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466725</wp:posOffset>
            </wp:positionH>
            <wp:positionV relativeFrom="page">
              <wp:posOffset>142875</wp:posOffset>
            </wp:positionV>
            <wp:extent cx="6628765" cy="266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28765" cy="26670"/>
                    </a:xfrm>
                    <a:prstGeom prst="rect">
                      <a:avLst/>
                    </a:prstGeom>
                    <a:noFill/>
                  </pic:spPr>
                </pic:pic>
              </a:graphicData>
            </a:graphic>
          </wp:anchor>
        </w:drawing>
        <w:drawing>
          <wp:anchor simplePos="0" relativeHeight="251657728" behindDoc="1" locked="0" layoutInCell="0" allowOverlap="1">
            <wp:simplePos x="0" y="0"/>
            <wp:positionH relativeFrom="page">
              <wp:posOffset>466725</wp:posOffset>
            </wp:positionH>
            <wp:positionV relativeFrom="page">
              <wp:posOffset>176530</wp:posOffset>
            </wp:positionV>
            <wp:extent cx="6628765"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28765" cy="6985"/>
                    </a:xfrm>
                    <a:prstGeom prst="rect">
                      <a:avLst/>
                    </a:prstGeom>
                    <a:noFill/>
                  </pic:spPr>
                </pic:pic>
              </a:graphicData>
            </a:graphic>
          </wp:anchor>
        </w:drawing>
        <w:t>UNITED STATES SECURITIES AND EXCHANGE COMMISSION</w:t>
      </w:r>
    </w:p>
    <w:p>
      <w:pPr>
        <w:spacing w:after="0" w:line="29" w:lineRule="exact"/>
        <w:rPr>
          <w:sz w:val="24"/>
          <w:szCs w:val="24"/>
          <w:color w:val="auto"/>
        </w:rPr>
      </w:pPr>
    </w:p>
    <w:p>
      <w:pPr>
        <w:jc w:val="center"/>
        <w:ind w:right="-9"/>
        <w:spacing w:after="0"/>
        <w:rPr>
          <w:sz w:val="20"/>
          <w:szCs w:val="20"/>
          <w:color w:val="auto"/>
        </w:rPr>
      </w:pPr>
      <w:r>
        <w:rPr>
          <w:rFonts w:ascii="Arial" w:cs="Arial" w:eastAsia="Arial" w:hAnsi="Arial"/>
          <w:sz w:val="16"/>
          <w:szCs w:val="16"/>
          <w:color w:val="auto"/>
        </w:rPr>
        <w:t>Washington, D.C. 20549</w:t>
      </w:r>
    </w:p>
    <w:p>
      <w:pPr>
        <w:spacing w:after="0" w:line="60" w:lineRule="exact"/>
        <w:rPr>
          <w:sz w:val="24"/>
          <w:szCs w:val="24"/>
          <w:color w:val="auto"/>
        </w:rPr>
      </w:pPr>
    </w:p>
    <w:p>
      <w:pPr>
        <w:jc w:val="center"/>
        <w:ind w:right="-9"/>
        <w:spacing w:after="0" w:line="242" w:lineRule="exact"/>
        <w:rPr>
          <w:sz w:val="20"/>
          <w:szCs w:val="20"/>
          <w:color w:val="auto"/>
        </w:rPr>
      </w:pPr>
      <w:r>
        <w:rPr>
          <w:rFonts w:ascii="Arial" w:cs="Arial" w:eastAsia="Arial" w:hAnsi="Arial"/>
          <w:sz w:val="21"/>
          <w:szCs w:val="21"/>
          <w:b w:val="1"/>
          <w:bCs w:val="1"/>
          <w:color w:val="auto"/>
        </w:rPr>
        <w:t>FORM 10</w:t>
      </w:r>
      <w:r>
        <w:rPr>
          <w:rFonts w:ascii="MS PGothic" w:cs="MS PGothic" w:eastAsia="MS PGothic" w:hAnsi="MS PGothic"/>
          <w:sz w:val="21"/>
          <w:szCs w:val="21"/>
          <w:b w:val="1"/>
          <w:bCs w:val="1"/>
          <w:color w:val="auto"/>
        </w:rPr>
        <w:t>‑</w:t>
      </w:r>
      <w:r>
        <w:rPr>
          <w:rFonts w:ascii="Arial" w:cs="Arial" w:eastAsia="Arial" w:hAnsi="Arial"/>
          <w:sz w:val="21"/>
          <w:szCs w:val="21"/>
          <w:b w:val="1"/>
          <w:bCs w:val="1"/>
          <w:color w:val="auto"/>
        </w:rPr>
        <w:t>K</w:t>
      </w:r>
    </w:p>
    <w:p>
      <w:pPr>
        <w:spacing w:after="0" w:line="103" w:lineRule="exact"/>
        <w:rPr>
          <w:sz w:val="24"/>
          <w:szCs w:val="24"/>
          <w:color w:val="auto"/>
        </w:rPr>
      </w:pPr>
    </w:p>
    <w:p>
      <w:pPr>
        <w:ind w:left="630" w:hanging="630"/>
        <w:spacing w:after="0"/>
        <w:tabs>
          <w:tab w:leader="none" w:pos="630" w:val="left"/>
        </w:tabs>
        <w:numPr>
          <w:ilvl w:val="0"/>
          <w:numId w:val="1"/>
        </w:numPr>
        <w:rPr>
          <w:rFonts w:ascii="MS PGothic" w:cs="MS PGothic" w:eastAsia="MS PGothic" w:hAnsi="MS PGothic"/>
          <w:sz w:val="13"/>
          <w:szCs w:val="13"/>
          <w:color w:val="auto"/>
        </w:rPr>
      </w:pPr>
      <w:r>
        <w:rPr>
          <w:rFonts w:ascii="Arial" w:cs="Arial" w:eastAsia="Arial" w:hAnsi="Arial"/>
          <w:sz w:val="13"/>
          <w:szCs w:val="13"/>
          <w:color w:val="auto"/>
        </w:rPr>
        <w:t xml:space="preserve">ANNUAL REPORT PURSUANT TO SECTION 13 OR 15(d) OF THE SECURITIES EXCHANGE ACT OF 1934. For the fiscal year ended </w:t>
      </w:r>
      <w:r>
        <w:rPr>
          <w:rFonts w:ascii="Arial" w:cs="Arial" w:eastAsia="Arial" w:hAnsi="Arial"/>
          <w:sz w:val="13"/>
          <w:szCs w:val="13"/>
          <w:u w:val="single" w:color="auto"/>
          <w:color w:val="auto"/>
        </w:rPr>
        <w:t>December 29, 2018</w:t>
      </w:r>
      <w:r>
        <w:rPr>
          <w:rFonts w:ascii="Arial" w:cs="Arial" w:eastAsia="Arial" w:hAnsi="Arial"/>
          <w:sz w:val="13"/>
          <w:szCs w:val="13"/>
          <w:color w:val="auto"/>
        </w:rPr>
        <w:t>.</w:t>
      </w:r>
    </w:p>
    <w:p>
      <w:pPr>
        <w:spacing w:after="0" w:line="94" w:lineRule="exact"/>
        <w:rPr>
          <w:rFonts w:ascii="MS PGothic" w:cs="MS PGothic" w:eastAsia="MS PGothic" w:hAnsi="MS PGothic"/>
          <w:sz w:val="13"/>
          <w:szCs w:val="13"/>
          <w:color w:val="auto"/>
        </w:rPr>
      </w:pPr>
    </w:p>
    <w:p>
      <w:pPr>
        <w:ind w:left="5130"/>
        <w:spacing w:after="0"/>
        <w:rPr>
          <w:rFonts w:ascii="MS PGothic" w:cs="MS PGothic" w:eastAsia="MS PGothic" w:hAnsi="MS PGothic"/>
          <w:sz w:val="13"/>
          <w:szCs w:val="13"/>
          <w:color w:val="auto"/>
        </w:rPr>
      </w:pPr>
      <w:r>
        <w:rPr>
          <w:rFonts w:ascii="Arial" w:cs="Arial" w:eastAsia="Arial" w:hAnsi="Arial"/>
          <w:sz w:val="13"/>
          <w:szCs w:val="13"/>
          <w:color w:val="auto"/>
        </w:rPr>
        <w:t>OR</w:t>
      </w:r>
    </w:p>
    <w:p>
      <w:pPr>
        <w:spacing w:after="0" w:line="95" w:lineRule="exact"/>
        <w:rPr>
          <w:sz w:val="24"/>
          <w:szCs w:val="24"/>
          <w:color w:val="auto"/>
        </w:rPr>
      </w:pPr>
    </w:p>
    <w:p>
      <w:pPr>
        <w:ind w:left="10" w:right="1420" w:hanging="10"/>
        <w:spacing w:after="0" w:line="203" w:lineRule="exact"/>
        <w:tabs>
          <w:tab w:leader="none" w:pos="636" w:val="left"/>
        </w:tabs>
        <w:numPr>
          <w:ilvl w:val="0"/>
          <w:numId w:val="2"/>
        </w:numPr>
        <w:rPr>
          <w:rFonts w:ascii="MS PGothic" w:cs="MS PGothic" w:eastAsia="MS PGothic" w:hAnsi="MS PGothic"/>
          <w:sz w:val="13"/>
          <w:szCs w:val="13"/>
          <w:color w:val="auto"/>
        </w:rPr>
      </w:pPr>
      <w:r>
        <w:rPr>
          <w:rFonts w:ascii="Arial" w:cs="Arial" w:eastAsia="Arial" w:hAnsi="Arial"/>
          <w:sz w:val="13"/>
          <w:szCs w:val="13"/>
          <w:color w:val="auto"/>
        </w:rPr>
        <w:t>TRANSITION REPORT PURSUANT TO SECTION 13 OR 15(d) OF THE SECURITIES EXCHANGE ACT OF 1934. For the transition period of ____ to _____. Commission File No.: 0</w:t>
      </w:r>
      <w:r>
        <w:rPr>
          <w:rFonts w:ascii="MS PGothic" w:cs="MS PGothic" w:eastAsia="MS PGothic" w:hAnsi="MS PGothic"/>
          <w:sz w:val="13"/>
          <w:szCs w:val="13"/>
          <w:color w:val="auto"/>
        </w:rPr>
        <w:t>‑</w:t>
      </w:r>
      <w:r>
        <w:rPr>
          <w:rFonts w:ascii="Arial" w:cs="Arial" w:eastAsia="Arial" w:hAnsi="Arial"/>
          <w:sz w:val="13"/>
          <w:szCs w:val="13"/>
          <w:color w:val="auto"/>
        </w:rPr>
        <w:t>22684</w:t>
      </w:r>
    </w:p>
    <w:p>
      <w:pPr>
        <w:spacing w:after="0" w:line="68" w:lineRule="exact"/>
        <w:rPr>
          <w:sz w:val="24"/>
          <w:szCs w:val="24"/>
          <w:color w:val="auto"/>
        </w:rPr>
      </w:pPr>
    </w:p>
    <w:p>
      <w:pPr>
        <w:jc w:val="center"/>
        <w:ind w:right="-9"/>
        <w:spacing w:after="0"/>
        <w:rPr>
          <w:sz w:val="20"/>
          <w:szCs w:val="20"/>
          <w:color w:val="auto"/>
        </w:rPr>
      </w:pPr>
      <w:r>
        <w:rPr>
          <w:rFonts w:ascii="Arial" w:cs="Arial" w:eastAsia="Arial" w:hAnsi="Arial"/>
          <w:sz w:val="21"/>
          <w:szCs w:val="21"/>
          <w:b w:val="1"/>
          <w:bCs w:val="1"/>
          <w:color w:val="auto"/>
        </w:rPr>
        <w:t>UNIVERSAL FOREST PRODUCTS, INC.</w:t>
      </w:r>
    </w:p>
    <w:p>
      <w:pPr>
        <w:spacing w:after="0" w:line="28" w:lineRule="exact"/>
        <w:rPr>
          <w:sz w:val="24"/>
          <w:szCs w:val="24"/>
          <w:color w:val="auto"/>
        </w:rPr>
      </w:pPr>
    </w:p>
    <w:p>
      <w:pPr>
        <w:jc w:val="center"/>
        <w:ind w:right="-9"/>
        <w:spacing w:after="0"/>
        <w:rPr>
          <w:sz w:val="20"/>
          <w:szCs w:val="20"/>
          <w:color w:val="auto"/>
        </w:rPr>
      </w:pPr>
      <w:r>
        <w:rPr>
          <w:rFonts w:ascii="Arial" w:cs="Arial" w:eastAsia="Arial" w:hAnsi="Arial"/>
          <w:sz w:val="13"/>
          <w:szCs w:val="13"/>
          <w:color w:val="auto"/>
        </w:rPr>
        <w:t>(Exact name of registrant as specified in its charter)</w:t>
      </w:r>
    </w:p>
    <w:p>
      <w:pPr>
        <w:spacing w:after="0" w:line="73" w:lineRule="exact"/>
        <w:rPr>
          <w:sz w:val="24"/>
          <w:szCs w:val="24"/>
          <w:color w:val="auto"/>
        </w:rPr>
      </w:pPr>
    </w:p>
    <w:tbl>
      <w:tblPr>
        <w:tblLayout w:type="fixed"/>
        <w:tblInd w:w="10" w:type="dxa"/>
        <w:tblCellMar>
          <w:top w:w="0" w:type="dxa"/>
          <w:left w:w="0" w:type="dxa"/>
          <w:bottom w:w="0" w:type="dxa"/>
          <w:right w:w="0" w:type="dxa"/>
        </w:tblCellMar>
      </w:tblPr>
      <w:tr>
        <w:trPr>
          <w:trHeight w:val="149"/>
        </w:trPr>
        <w:tc>
          <w:tcPr>
            <w:tcW w:w="6580" w:type="dxa"/>
            <w:vAlign w:val="bottom"/>
          </w:tcPr>
          <w:p>
            <w:pPr>
              <w:jc w:val="center"/>
              <w:ind w:right="1316"/>
              <w:spacing w:after="0"/>
              <w:rPr>
                <w:sz w:val="20"/>
                <w:szCs w:val="20"/>
                <w:color w:val="auto"/>
              </w:rPr>
            </w:pPr>
            <w:r>
              <w:rPr>
                <w:rFonts w:ascii="Arial" w:cs="Arial" w:eastAsia="Arial" w:hAnsi="Arial"/>
                <w:sz w:val="13"/>
                <w:szCs w:val="13"/>
                <w:b w:val="1"/>
                <w:bCs w:val="1"/>
                <w:color w:val="auto"/>
                <w:w w:val="92"/>
              </w:rPr>
              <w:t>Michigan</w:t>
            </w:r>
          </w:p>
        </w:tc>
        <w:tc>
          <w:tcPr>
            <w:tcW w:w="2440" w:type="dxa"/>
            <w:vAlign w:val="bottom"/>
          </w:tcPr>
          <w:p>
            <w:pPr>
              <w:jc w:val="center"/>
              <w:ind w:left="156"/>
              <w:spacing w:after="0" w:line="150" w:lineRule="exact"/>
              <w:rPr>
                <w:sz w:val="20"/>
                <w:szCs w:val="20"/>
                <w:color w:val="auto"/>
              </w:rPr>
            </w:pPr>
            <w:r>
              <w:rPr>
                <w:rFonts w:ascii="Arial" w:cs="Arial" w:eastAsia="Arial" w:hAnsi="Arial"/>
                <w:sz w:val="13"/>
                <w:szCs w:val="13"/>
                <w:b w:val="1"/>
                <w:bCs w:val="1"/>
                <w:color w:val="auto"/>
                <w:w w:val="89"/>
              </w:rPr>
              <w:t>38</w:t>
            </w:r>
            <w:r>
              <w:rPr>
                <w:rFonts w:ascii="MS PGothic" w:cs="MS PGothic" w:eastAsia="MS PGothic" w:hAnsi="MS PGothic"/>
                <w:sz w:val="13"/>
                <w:szCs w:val="13"/>
                <w:b w:val="1"/>
                <w:bCs w:val="1"/>
                <w:color w:val="auto"/>
                <w:w w:val="89"/>
              </w:rPr>
              <w:t>‑</w:t>
            </w:r>
            <w:r>
              <w:rPr>
                <w:rFonts w:ascii="Arial" w:cs="Arial" w:eastAsia="Arial" w:hAnsi="Arial"/>
                <w:sz w:val="13"/>
                <w:szCs w:val="13"/>
                <w:b w:val="1"/>
                <w:bCs w:val="1"/>
                <w:color w:val="auto"/>
                <w:w w:val="89"/>
              </w:rPr>
              <w:t>1465835</w:t>
            </w:r>
          </w:p>
        </w:tc>
      </w:tr>
      <w:tr>
        <w:trPr>
          <w:trHeight w:val="162"/>
        </w:trPr>
        <w:tc>
          <w:tcPr>
            <w:tcW w:w="6580" w:type="dxa"/>
            <w:vAlign w:val="bottom"/>
          </w:tcPr>
          <w:p>
            <w:pPr>
              <w:jc w:val="center"/>
              <w:ind w:right="1316"/>
              <w:spacing w:after="0"/>
              <w:rPr>
                <w:sz w:val="20"/>
                <w:szCs w:val="20"/>
                <w:color w:val="auto"/>
              </w:rPr>
            </w:pPr>
            <w:r>
              <w:rPr>
                <w:rFonts w:ascii="Arial" w:cs="Arial" w:eastAsia="Arial" w:hAnsi="Arial"/>
                <w:sz w:val="13"/>
                <w:szCs w:val="13"/>
                <w:color w:val="auto"/>
                <w:w w:val="90"/>
              </w:rPr>
              <w:t>(State or other jurisdiction of incorporation or organization)</w:t>
            </w:r>
          </w:p>
        </w:tc>
        <w:tc>
          <w:tcPr>
            <w:tcW w:w="2440" w:type="dxa"/>
            <w:vAlign w:val="bottom"/>
          </w:tcPr>
          <w:p>
            <w:pPr>
              <w:jc w:val="center"/>
              <w:ind w:left="156"/>
              <w:spacing w:after="0"/>
              <w:rPr>
                <w:sz w:val="20"/>
                <w:szCs w:val="20"/>
                <w:color w:val="auto"/>
              </w:rPr>
            </w:pPr>
            <w:r>
              <w:rPr>
                <w:rFonts w:ascii="Arial" w:cs="Arial" w:eastAsia="Arial" w:hAnsi="Arial"/>
                <w:sz w:val="13"/>
                <w:szCs w:val="13"/>
                <w:color w:val="auto"/>
                <w:w w:val="92"/>
              </w:rPr>
              <w:t>(I.R.S. Employer Identification No.)</w:t>
            </w:r>
          </w:p>
        </w:tc>
      </w:tr>
      <w:tr>
        <w:trPr>
          <w:trHeight w:val="189"/>
        </w:trPr>
        <w:tc>
          <w:tcPr>
            <w:tcW w:w="6580" w:type="dxa"/>
            <w:vAlign w:val="bottom"/>
          </w:tcPr>
          <w:p>
            <w:pPr>
              <w:jc w:val="center"/>
              <w:ind w:right="1296"/>
              <w:spacing w:after="0"/>
              <w:rPr>
                <w:sz w:val="20"/>
                <w:szCs w:val="20"/>
                <w:color w:val="auto"/>
              </w:rPr>
            </w:pPr>
            <w:r>
              <w:rPr>
                <w:rFonts w:ascii="Arial" w:cs="Arial" w:eastAsia="Arial" w:hAnsi="Arial"/>
                <w:sz w:val="13"/>
                <w:szCs w:val="13"/>
                <w:b w:val="1"/>
                <w:bCs w:val="1"/>
                <w:color w:val="auto"/>
                <w:w w:val="90"/>
              </w:rPr>
              <w:t>2801 East Beltline, N.E., Grand Rapids, Michigan</w:t>
            </w:r>
          </w:p>
        </w:tc>
        <w:tc>
          <w:tcPr>
            <w:tcW w:w="2440" w:type="dxa"/>
            <w:vAlign w:val="bottom"/>
          </w:tcPr>
          <w:p>
            <w:pPr>
              <w:jc w:val="right"/>
              <w:ind w:right="876"/>
              <w:spacing w:after="0"/>
              <w:rPr>
                <w:sz w:val="20"/>
                <w:szCs w:val="20"/>
                <w:color w:val="auto"/>
              </w:rPr>
            </w:pPr>
            <w:r>
              <w:rPr>
                <w:rFonts w:ascii="Arial" w:cs="Arial" w:eastAsia="Arial" w:hAnsi="Arial"/>
                <w:sz w:val="13"/>
                <w:szCs w:val="13"/>
                <w:b w:val="1"/>
                <w:bCs w:val="1"/>
                <w:color w:val="auto"/>
              </w:rPr>
              <w:t>49525</w:t>
            </w:r>
          </w:p>
        </w:tc>
      </w:tr>
      <w:tr>
        <w:trPr>
          <w:trHeight w:val="162"/>
        </w:trPr>
        <w:tc>
          <w:tcPr>
            <w:tcW w:w="6580" w:type="dxa"/>
            <w:vAlign w:val="bottom"/>
          </w:tcPr>
          <w:p>
            <w:pPr>
              <w:jc w:val="center"/>
              <w:ind w:right="1296"/>
              <w:spacing w:after="0"/>
              <w:rPr>
                <w:sz w:val="20"/>
                <w:szCs w:val="20"/>
                <w:color w:val="auto"/>
              </w:rPr>
            </w:pPr>
            <w:r>
              <w:rPr>
                <w:rFonts w:ascii="Arial" w:cs="Arial" w:eastAsia="Arial" w:hAnsi="Arial"/>
                <w:sz w:val="13"/>
                <w:szCs w:val="13"/>
                <w:color w:val="auto"/>
                <w:w w:val="90"/>
              </w:rPr>
              <w:t>(Address of principal executive offices)</w:t>
            </w:r>
          </w:p>
        </w:tc>
        <w:tc>
          <w:tcPr>
            <w:tcW w:w="2440" w:type="dxa"/>
            <w:vAlign w:val="bottom"/>
          </w:tcPr>
          <w:p>
            <w:pPr>
              <w:jc w:val="center"/>
              <w:ind w:left="156"/>
              <w:spacing w:after="0"/>
              <w:rPr>
                <w:sz w:val="20"/>
                <w:szCs w:val="20"/>
                <w:color w:val="auto"/>
              </w:rPr>
            </w:pPr>
            <w:r>
              <w:rPr>
                <w:rFonts w:ascii="Arial" w:cs="Arial" w:eastAsia="Arial" w:hAnsi="Arial"/>
                <w:sz w:val="13"/>
                <w:szCs w:val="13"/>
                <w:color w:val="auto"/>
                <w:w w:val="94"/>
              </w:rPr>
              <w:t>(Zip Code)</w:t>
            </w:r>
          </w:p>
        </w:tc>
      </w:tr>
      <w:tr>
        <w:trPr>
          <w:trHeight w:val="234"/>
        </w:trPr>
        <w:tc>
          <w:tcPr>
            <w:tcW w:w="6580" w:type="dxa"/>
            <w:vAlign w:val="bottom"/>
          </w:tcPr>
          <w:p>
            <w:pPr>
              <w:spacing w:after="0" w:line="150" w:lineRule="exact"/>
              <w:rPr>
                <w:sz w:val="20"/>
                <w:szCs w:val="20"/>
                <w:color w:val="auto"/>
              </w:rPr>
            </w:pPr>
            <w:r>
              <w:rPr>
                <w:rFonts w:ascii="Arial" w:cs="Arial" w:eastAsia="Arial" w:hAnsi="Arial"/>
                <w:sz w:val="13"/>
                <w:szCs w:val="13"/>
                <w:color w:val="auto"/>
              </w:rPr>
              <w:t xml:space="preserve">Registrant’s telephone number, including area code </w:t>
            </w:r>
            <w:r>
              <w:rPr>
                <w:rFonts w:ascii="Arial" w:cs="Arial" w:eastAsia="Arial" w:hAnsi="Arial"/>
                <w:sz w:val="13"/>
                <w:szCs w:val="13"/>
                <w:b w:val="1"/>
                <w:bCs w:val="1"/>
                <w:color w:val="auto"/>
              </w:rPr>
              <w:t>(616) 364</w:t>
            </w:r>
            <w:r>
              <w:rPr>
                <w:rFonts w:ascii="MS PGothic" w:cs="MS PGothic" w:eastAsia="MS PGothic" w:hAnsi="MS PGothic"/>
                <w:sz w:val="13"/>
                <w:szCs w:val="13"/>
                <w:b w:val="1"/>
                <w:bCs w:val="1"/>
                <w:color w:val="auto"/>
              </w:rPr>
              <w:t>‑</w:t>
            </w:r>
            <w:r>
              <w:rPr>
                <w:rFonts w:ascii="Arial" w:cs="Arial" w:eastAsia="Arial" w:hAnsi="Arial"/>
                <w:sz w:val="13"/>
                <w:szCs w:val="13"/>
                <w:b w:val="1"/>
                <w:bCs w:val="1"/>
                <w:color w:val="auto"/>
              </w:rPr>
              <w:t>6161</w:t>
            </w:r>
          </w:p>
        </w:tc>
        <w:tc>
          <w:tcPr>
            <w:tcW w:w="2440" w:type="dxa"/>
            <w:vAlign w:val="bottom"/>
          </w:tcPr>
          <w:p>
            <w:pPr>
              <w:spacing w:after="0"/>
              <w:rPr>
                <w:sz w:val="20"/>
                <w:szCs w:val="20"/>
                <w:color w:val="auto"/>
              </w:rPr>
            </w:pPr>
          </w:p>
        </w:tc>
      </w:tr>
      <w:tr>
        <w:trPr>
          <w:trHeight w:val="244"/>
        </w:trPr>
        <w:tc>
          <w:tcPr>
            <w:tcW w:w="6580" w:type="dxa"/>
            <w:vAlign w:val="bottom"/>
          </w:tcPr>
          <w:p>
            <w:pPr>
              <w:spacing w:after="0"/>
              <w:rPr>
                <w:sz w:val="20"/>
                <w:szCs w:val="20"/>
                <w:color w:val="auto"/>
              </w:rPr>
            </w:pPr>
            <w:r>
              <w:rPr>
                <w:rFonts w:ascii="Arial" w:cs="Arial" w:eastAsia="Arial" w:hAnsi="Arial"/>
                <w:sz w:val="13"/>
                <w:szCs w:val="13"/>
                <w:color w:val="auto"/>
              </w:rPr>
              <w:t>Securities registered pursuant to Section 12(b) of the Act:</w:t>
            </w:r>
          </w:p>
        </w:tc>
        <w:tc>
          <w:tcPr>
            <w:tcW w:w="2440" w:type="dxa"/>
            <w:vAlign w:val="bottom"/>
          </w:tcPr>
          <w:p>
            <w:pPr>
              <w:spacing w:after="0"/>
              <w:rPr>
                <w:sz w:val="21"/>
                <w:szCs w:val="21"/>
                <w:color w:val="auto"/>
              </w:rPr>
            </w:pPr>
          </w:p>
        </w:tc>
      </w:tr>
      <w:tr>
        <w:trPr>
          <w:trHeight w:val="249"/>
        </w:trPr>
        <w:tc>
          <w:tcPr>
            <w:tcW w:w="6580" w:type="dxa"/>
            <w:vAlign w:val="bottom"/>
          </w:tcPr>
          <w:p>
            <w:pPr>
              <w:jc w:val="center"/>
              <w:ind w:right="1316"/>
              <w:spacing w:after="0"/>
              <w:rPr>
                <w:sz w:val="20"/>
                <w:szCs w:val="20"/>
                <w:color w:val="auto"/>
              </w:rPr>
            </w:pPr>
            <w:r>
              <w:rPr>
                <w:rFonts w:ascii="Arial" w:cs="Arial" w:eastAsia="Arial" w:hAnsi="Arial"/>
                <w:sz w:val="13"/>
                <w:szCs w:val="13"/>
                <w:color w:val="auto"/>
                <w:w w:val="89"/>
              </w:rPr>
              <w:t>Title Of Each Class</w:t>
            </w:r>
          </w:p>
        </w:tc>
        <w:tc>
          <w:tcPr>
            <w:tcW w:w="2440" w:type="dxa"/>
            <w:vAlign w:val="bottom"/>
          </w:tcPr>
          <w:p>
            <w:pPr>
              <w:jc w:val="center"/>
              <w:spacing w:after="0"/>
              <w:rPr>
                <w:sz w:val="20"/>
                <w:szCs w:val="20"/>
                <w:color w:val="auto"/>
              </w:rPr>
            </w:pPr>
            <w:r>
              <w:rPr>
                <w:rFonts w:ascii="Arial" w:cs="Arial" w:eastAsia="Arial" w:hAnsi="Arial"/>
                <w:sz w:val="13"/>
                <w:szCs w:val="13"/>
                <w:color w:val="auto"/>
                <w:w w:val="88"/>
              </w:rPr>
              <w:t>Name of Each Exchange on Which Registered</w:t>
            </w:r>
          </w:p>
        </w:tc>
      </w:tr>
      <w:tr>
        <w:trPr>
          <w:trHeight w:val="166"/>
        </w:trPr>
        <w:tc>
          <w:tcPr>
            <w:tcW w:w="6580" w:type="dxa"/>
            <w:vAlign w:val="bottom"/>
          </w:tcPr>
          <w:p>
            <w:pPr>
              <w:jc w:val="center"/>
              <w:ind w:right="1296"/>
              <w:spacing w:after="0"/>
              <w:rPr>
                <w:sz w:val="20"/>
                <w:szCs w:val="20"/>
                <w:color w:val="auto"/>
              </w:rPr>
            </w:pPr>
            <w:r>
              <w:rPr>
                <w:rFonts w:ascii="Arial" w:cs="Arial" w:eastAsia="Arial" w:hAnsi="Arial"/>
                <w:sz w:val="13"/>
                <w:szCs w:val="13"/>
                <w:b w:val="1"/>
                <w:bCs w:val="1"/>
                <w:color w:val="auto"/>
                <w:w w:val="88"/>
              </w:rPr>
              <w:t>Common Stock, $1 par value</w:t>
            </w:r>
          </w:p>
        </w:tc>
        <w:tc>
          <w:tcPr>
            <w:tcW w:w="2440" w:type="dxa"/>
            <w:vAlign w:val="bottom"/>
          </w:tcPr>
          <w:p>
            <w:pPr>
              <w:jc w:val="center"/>
              <w:spacing w:after="0"/>
              <w:rPr>
                <w:sz w:val="20"/>
                <w:szCs w:val="20"/>
                <w:color w:val="auto"/>
              </w:rPr>
            </w:pPr>
            <w:r>
              <w:rPr>
                <w:rFonts w:ascii="Arial" w:cs="Arial" w:eastAsia="Arial" w:hAnsi="Arial"/>
                <w:sz w:val="13"/>
                <w:szCs w:val="13"/>
                <w:b w:val="1"/>
                <w:bCs w:val="1"/>
                <w:color w:val="auto"/>
                <w:w w:val="92"/>
              </w:rPr>
              <w:t>The NASDAQ Global Select Market</w:t>
            </w:r>
          </w:p>
        </w:tc>
      </w:tr>
      <w:tr>
        <w:trPr>
          <w:trHeight w:val="258"/>
        </w:trPr>
        <w:tc>
          <w:tcPr>
            <w:tcW w:w="6580" w:type="dxa"/>
            <w:vAlign w:val="bottom"/>
          </w:tcPr>
          <w:p>
            <w:pPr>
              <w:spacing w:after="0" w:line="150" w:lineRule="exact"/>
              <w:rPr>
                <w:sz w:val="20"/>
                <w:szCs w:val="20"/>
                <w:color w:val="auto"/>
              </w:rPr>
            </w:pPr>
            <w:r>
              <w:rPr>
                <w:rFonts w:ascii="Arial" w:cs="Arial" w:eastAsia="Arial" w:hAnsi="Arial"/>
                <w:sz w:val="13"/>
                <w:szCs w:val="13"/>
                <w:color w:val="auto"/>
                <w:w w:val="91"/>
              </w:rPr>
              <w:t xml:space="preserve">Indicate by check mark if the registrant is a well-known seasoned issuer, as defined in Rule 405 of the Securities Act.  Yes </w:t>
            </w:r>
            <w:r>
              <w:rPr>
                <w:rFonts w:ascii="MS PGothic" w:cs="MS PGothic" w:eastAsia="MS PGothic" w:hAnsi="MS PGothic"/>
                <w:sz w:val="13"/>
                <w:szCs w:val="13"/>
                <w:color w:val="auto"/>
                <w:w w:val="91"/>
              </w:rPr>
              <w:t>☒</w:t>
            </w:r>
          </w:p>
        </w:tc>
        <w:tc>
          <w:tcPr>
            <w:tcW w:w="2440" w:type="dxa"/>
            <w:vAlign w:val="bottom"/>
          </w:tcPr>
          <w:p>
            <w:pPr>
              <w:ind w:left="200"/>
              <w:spacing w:after="0" w:line="150" w:lineRule="exact"/>
              <w:rPr>
                <w:sz w:val="20"/>
                <w:szCs w:val="20"/>
                <w:color w:val="auto"/>
              </w:rPr>
            </w:pPr>
            <w:r>
              <w:rPr>
                <w:rFonts w:ascii="Arial" w:cs="Arial" w:eastAsia="Arial" w:hAnsi="Arial"/>
                <w:sz w:val="13"/>
                <w:szCs w:val="13"/>
                <w:color w:val="auto"/>
              </w:rPr>
              <w:t xml:space="preserve">No </w:t>
            </w:r>
            <w:r>
              <w:rPr>
                <w:rFonts w:ascii="MS PGothic" w:cs="MS PGothic" w:eastAsia="MS PGothic" w:hAnsi="MS PGothic"/>
                <w:sz w:val="13"/>
                <w:szCs w:val="13"/>
                <w:color w:val="auto"/>
              </w:rPr>
              <w:t>☐</w:t>
            </w:r>
          </w:p>
        </w:tc>
      </w:tr>
      <w:tr>
        <w:trPr>
          <w:trHeight w:val="244"/>
        </w:trPr>
        <w:tc>
          <w:tcPr>
            <w:tcW w:w="6580" w:type="dxa"/>
            <w:vAlign w:val="bottom"/>
          </w:tcPr>
          <w:p>
            <w:pPr>
              <w:spacing w:after="0" w:line="150" w:lineRule="exact"/>
              <w:rPr>
                <w:sz w:val="20"/>
                <w:szCs w:val="20"/>
                <w:color w:val="auto"/>
              </w:rPr>
            </w:pPr>
            <w:r>
              <w:rPr>
                <w:rFonts w:ascii="Arial" w:cs="Arial" w:eastAsia="Arial" w:hAnsi="Arial"/>
                <w:sz w:val="13"/>
                <w:szCs w:val="13"/>
                <w:color w:val="auto"/>
                <w:w w:val="90"/>
              </w:rPr>
              <w:t xml:space="preserve">Indicate by check mark if the registrant is not required to file reports pursuant to Section 13 or Section 15(d) of the Act.  Yes </w:t>
            </w:r>
            <w:r>
              <w:rPr>
                <w:rFonts w:ascii="MS PGothic" w:cs="MS PGothic" w:eastAsia="MS PGothic" w:hAnsi="MS PGothic"/>
                <w:sz w:val="13"/>
                <w:szCs w:val="13"/>
                <w:color w:val="auto"/>
                <w:w w:val="90"/>
              </w:rPr>
              <w:t>☐</w:t>
            </w:r>
          </w:p>
        </w:tc>
        <w:tc>
          <w:tcPr>
            <w:tcW w:w="2440" w:type="dxa"/>
            <w:vAlign w:val="bottom"/>
          </w:tcPr>
          <w:p>
            <w:pPr>
              <w:ind w:left="320"/>
              <w:spacing w:after="0" w:line="150" w:lineRule="exact"/>
              <w:rPr>
                <w:sz w:val="20"/>
                <w:szCs w:val="20"/>
                <w:color w:val="auto"/>
              </w:rPr>
            </w:pPr>
            <w:r>
              <w:rPr>
                <w:rFonts w:ascii="Arial" w:cs="Arial" w:eastAsia="Arial" w:hAnsi="Arial"/>
                <w:sz w:val="13"/>
                <w:szCs w:val="13"/>
                <w:color w:val="auto"/>
              </w:rPr>
              <w:t xml:space="preserve">No </w:t>
            </w:r>
            <w:r>
              <w:rPr>
                <w:rFonts w:ascii="MS PGothic" w:cs="MS PGothic" w:eastAsia="MS PGothic" w:hAnsi="MS PGothic"/>
                <w:sz w:val="13"/>
                <w:szCs w:val="13"/>
                <w:color w:val="auto"/>
              </w:rPr>
              <w:t>☒</w:t>
            </w:r>
          </w:p>
        </w:tc>
      </w:tr>
    </w:tbl>
    <w:p>
      <w:pPr>
        <w:spacing w:after="0" w:line="69" w:lineRule="exact"/>
        <w:rPr>
          <w:sz w:val="24"/>
          <w:szCs w:val="24"/>
          <w:color w:val="auto"/>
        </w:rPr>
      </w:pPr>
    </w:p>
    <w:p>
      <w:pPr>
        <w:ind w:left="10"/>
        <w:spacing w:after="0" w:line="167"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70" w:lineRule="exact"/>
        <w:rPr>
          <w:sz w:val="24"/>
          <w:szCs w:val="24"/>
          <w:color w:val="auto"/>
        </w:rPr>
      </w:pPr>
    </w:p>
    <w:p>
      <w:pPr>
        <w:ind w:left="10"/>
        <w:spacing w:after="0" w:line="167"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70" w:lineRule="exact"/>
        <w:rPr>
          <w:sz w:val="24"/>
          <w:szCs w:val="24"/>
          <w:color w:val="auto"/>
        </w:rPr>
      </w:pPr>
    </w:p>
    <w:p>
      <w:pPr>
        <w:ind w:left="10"/>
        <w:spacing w:after="0" w:line="167" w:lineRule="exact"/>
        <w:rPr>
          <w:sz w:val="20"/>
          <w:szCs w:val="20"/>
          <w:color w:val="auto"/>
        </w:rPr>
      </w:pPr>
      <w:r>
        <w:rPr>
          <w:rFonts w:ascii="Arial" w:cs="Arial" w:eastAsia="Arial" w:hAnsi="Arial"/>
          <w:sz w:val="13"/>
          <w:szCs w:val="13"/>
          <w:color w:val="auto"/>
        </w:rPr>
        <w:t>Indicate by check mark if disclosure of delinquent filers pursuant to Item 405 of Regulation S-K (§ 229.405 of this chapter) is not contained herein, and will not be contained, to the best of registrant’s knowledge, in definitive proxy or information statements incorporated by reference in Part III of this Form 10-K or any amendment to this Form 10-K.</w:t>
      </w:r>
      <w:r>
        <w:rPr>
          <w:rFonts w:ascii="MS PGothic" w:cs="MS PGothic" w:eastAsia="MS PGothic" w:hAnsi="MS PGothic"/>
          <w:sz w:val="13"/>
          <w:szCs w:val="13"/>
          <w:color w:val="auto"/>
        </w:rPr>
        <w:t>☐</w:t>
      </w:r>
    </w:p>
    <w:p>
      <w:pPr>
        <w:spacing w:after="0" w:line="70" w:lineRule="exact"/>
        <w:rPr>
          <w:sz w:val="24"/>
          <w:szCs w:val="24"/>
          <w:color w:val="auto"/>
        </w:rPr>
      </w:pPr>
    </w:p>
    <w:p>
      <w:pPr>
        <w:ind w:left="10"/>
        <w:spacing w:after="0" w:line="275"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450"/>
          </w:cols>
          <w:pgMar w:left="730" w:top="327" w:right="719" w:bottom="1440" w:gutter="0" w:footer="0" w:header="0"/>
        </w:sectPr>
      </w:pPr>
    </w:p>
    <w:p>
      <w:pPr>
        <w:spacing w:after="0" w:line="47" w:lineRule="exact"/>
        <w:rPr>
          <w:sz w:val="24"/>
          <w:szCs w:val="24"/>
          <w:color w:val="auto"/>
        </w:rPr>
      </w:pPr>
    </w:p>
    <w:p>
      <w:pPr>
        <w:ind w:left="470"/>
        <w:spacing w:after="0" w:line="127" w:lineRule="exact"/>
        <w:rPr>
          <w:sz w:val="20"/>
          <w:szCs w:val="20"/>
          <w:color w:val="auto"/>
        </w:rPr>
      </w:pPr>
      <w:r>
        <w:rPr>
          <w:rFonts w:ascii="Arial" w:cs="Arial" w:eastAsia="Arial" w:hAnsi="Arial"/>
          <w:sz w:val="11"/>
          <w:szCs w:val="11"/>
          <w:color w:val="auto"/>
        </w:rPr>
        <w:t xml:space="preserve">Large accelerated filer </w:t>
      </w:r>
      <w:r>
        <w:rPr>
          <w:rFonts w:ascii="MS PGothic" w:cs="MS PGothic" w:eastAsia="MS PGothic" w:hAnsi="MS PGothic"/>
          <w:sz w:val="11"/>
          <w:szCs w:val="11"/>
          <w:color w:val="auto"/>
        </w:rPr>
        <w:t>☒</w:t>
      </w:r>
    </w:p>
    <w:p>
      <w:pPr>
        <w:spacing w:after="0" w:line="20" w:lineRule="exact"/>
        <w:rPr>
          <w:sz w:val="24"/>
          <w:szCs w:val="24"/>
          <w:color w:val="auto"/>
        </w:rPr>
      </w:pPr>
      <w:r>
        <w:rPr>
          <w:sz w:val="24"/>
          <w:szCs w:val="24"/>
          <w:color w:val="auto"/>
        </w:rPr>
        <w:br w:type="column"/>
      </w:r>
    </w:p>
    <w:p>
      <w:pPr>
        <w:spacing w:after="0" w:line="27" w:lineRule="exact"/>
        <w:rPr>
          <w:sz w:val="24"/>
          <w:szCs w:val="24"/>
          <w:color w:val="auto"/>
        </w:rPr>
      </w:pPr>
    </w:p>
    <w:p>
      <w:pPr>
        <w:spacing w:after="0" w:line="127" w:lineRule="exact"/>
        <w:rPr>
          <w:sz w:val="20"/>
          <w:szCs w:val="20"/>
          <w:color w:val="auto"/>
        </w:rPr>
      </w:pPr>
      <w:r>
        <w:rPr>
          <w:rFonts w:ascii="Arial" w:cs="Arial" w:eastAsia="Arial" w:hAnsi="Arial"/>
          <w:sz w:val="11"/>
          <w:szCs w:val="11"/>
          <w:color w:val="auto"/>
        </w:rPr>
        <w:t xml:space="preserve">Accelerated filer </w:t>
      </w:r>
      <w:r>
        <w:rPr>
          <w:rFonts w:ascii="MS PGothic" w:cs="MS PGothic" w:eastAsia="MS PGothic" w:hAnsi="MS PGothic"/>
          <w:sz w:val="11"/>
          <w:szCs w:val="11"/>
          <w:color w:val="auto"/>
        </w:rPr>
        <w:t>☐</w:t>
      </w:r>
    </w:p>
    <w:p>
      <w:pPr>
        <w:spacing w:after="0" w:line="20" w:lineRule="exact"/>
        <w:rPr>
          <w:sz w:val="24"/>
          <w:szCs w:val="24"/>
          <w:color w:val="auto"/>
        </w:rPr>
      </w:pPr>
      <w:r>
        <w:rPr>
          <w:sz w:val="24"/>
          <w:szCs w:val="24"/>
          <w:color w:val="auto"/>
        </w:rPr>
        <w:br w:type="column"/>
      </w:r>
    </w:p>
    <w:p>
      <w:pPr>
        <w:spacing w:after="0" w:line="27" w:lineRule="exact"/>
        <w:rPr>
          <w:sz w:val="24"/>
          <w:szCs w:val="24"/>
          <w:color w:val="auto"/>
        </w:rPr>
      </w:pPr>
    </w:p>
    <w:p>
      <w:pPr>
        <w:spacing w:after="0" w:line="127" w:lineRule="exact"/>
        <w:rPr>
          <w:sz w:val="20"/>
          <w:szCs w:val="20"/>
          <w:color w:val="auto"/>
        </w:rPr>
      </w:pPr>
      <w:r>
        <w:rPr>
          <w:rFonts w:ascii="Arial" w:cs="Arial" w:eastAsia="Arial" w:hAnsi="Arial"/>
          <w:sz w:val="11"/>
          <w:szCs w:val="11"/>
          <w:color w:val="auto"/>
        </w:rPr>
        <w:t xml:space="preserve">Non-accelerated filer </w:t>
      </w:r>
      <w:r>
        <w:rPr>
          <w:rFonts w:ascii="MS PGothic" w:cs="MS PGothic" w:eastAsia="MS PGothic" w:hAnsi="MS PGothic"/>
          <w:sz w:val="11"/>
          <w:szCs w:val="11"/>
          <w:color w:val="auto"/>
        </w:rPr>
        <w:t>☐</w:t>
      </w:r>
    </w:p>
    <w:p>
      <w:pPr>
        <w:spacing w:after="0" w:line="20" w:lineRule="exact"/>
        <w:rPr>
          <w:sz w:val="24"/>
          <w:szCs w:val="24"/>
          <w:color w:val="auto"/>
        </w:rPr>
      </w:pPr>
      <w:r>
        <w:rPr>
          <w:sz w:val="24"/>
          <w:szCs w:val="24"/>
          <w:color w:val="auto"/>
        </w:rPr>
        <w:br w:type="column"/>
      </w:r>
    </w:p>
    <w:p>
      <w:pPr>
        <w:spacing w:after="0" w:line="27" w:lineRule="exact"/>
        <w:rPr>
          <w:sz w:val="24"/>
          <w:szCs w:val="24"/>
          <w:color w:val="auto"/>
        </w:rPr>
      </w:pPr>
    </w:p>
    <w:p>
      <w:pPr>
        <w:spacing w:after="0" w:line="127" w:lineRule="exact"/>
        <w:rPr>
          <w:sz w:val="20"/>
          <w:szCs w:val="20"/>
          <w:color w:val="auto"/>
        </w:rPr>
      </w:pPr>
      <w:r>
        <w:rPr>
          <w:rFonts w:ascii="Arial" w:cs="Arial" w:eastAsia="Arial" w:hAnsi="Arial"/>
          <w:sz w:val="11"/>
          <w:szCs w:val="11"/>
          <w:color w:val="auto"/>
        </w:rPr>
        <w:t xml:space="preserve">Smaller Reporting Company </w:t>
      </w:r>
      <w:r>
        <w:rPr>
          <w:rFonts w:ascii="MS PGothic" w:cs="MS PGothic" w:eastAsia="MS PGothic" w:hAnsi="MS PGothic"/>
          <w:sz w:val="11"/>
          <w:szCs w:val="11"/>
          <w:color w:val="auto"/>
        </w:rPr>
        <w:t>☐</w:t>
      </w:r>
    </w:p>
    <w:p>
      <w:pPr>
        <w:spacing w:after="0" w:line="192" w:lineRule="exact"/>
        <w:rPr>
          <w:sz w:val="24"/>
          <w:szCs w:val="24"/>
          <w:color w:val="auto"/>
        </w:rPr>
      </w:pPr>
    </w:p>
    <w:p>
      <w:pPr>
        <w:sectPr>
          <w:pgSz w:w="11900" w:h="16838" w:orient="portrait"/>
          <w:cols w:equalWidth="0" w:num="4">
            <w:col w:w="2150" w:space="720"/>
            <w:col w:w="1600" w:space="720"/>
            <w:col w:w="2060" w:space="720"/>
            <w:col w:w="2480"/>
          </w:cols>
          <w:pgMar w:left="730" w:top="327" w:right="719" w:bottom="1440" w:gutter="0" w:footer="0" w:header="0"/>
          <w:type w:val="continuous"/>
        </w:sectPr>
      </w:pPr>
    </w:p>
    <w:p>
      <w:pPr>
        <w:ind w:left="350"/>
        <w:spacing w:after="0" w:line="127" w:lineRule="exact"/>
        <w:rPr>
          <w:sz w:val="20"/>
          <w:szCs w:val="20"/>
          <w:color w:val="auto"/>
        </w:rPr>
      </w:pPr>
      <w:r>
        <w:rPr>
          <w:rFonts w:ascii="Arial" w:cs="Arial" w:eastAsia="Arial" w:hAnsi="Arial"/>
          <w:sz w:val="11"/>
          <w:szCs w:val="11"/>
          <w:color w:val="auto"/>
        </w:rPr>
        <w:t xml:space="preserve">Emerging growth company </w:t>
      </w:r>
      <w:r>
        <w:rPr>
          <w:rFonts w:ascii="MS PGothic" w:cs="MS PGothic" w:eastAsia="MS PGothic" w:hAnsi="MS PGothic"/>
          <w:sz w:val="11"/>
          <w:szCs w:val="11"/>
          <w:color w:val="auto"/>
        </w:rPr>
        <w:t>☐</w:t>
      </w:r>
    </w:p>
    <w:p>
      <w:pPr>
        <w:sectPr>
          <w:pgSz w:w="11900" w:h="16838" w:orient="portrait"/>
          <w:cols w:equalWidth="0" w:num="1">
            <w:col w:w="10450"/>
          </w:cols>
          <w:pgMar w:left="730" w:top="327" w:right="719" w:bottom="1440" w:gutter="0" w:footer="0" w:header="0"/>
          <w:type w:val="continuous"/>
        </w:sectPr>
      </w:pPr>
    </w:p>
    <w:p>
      <w:pPr>
        <w:spacing w:after="0" w:line="139" w:lineRule="exact"/>
        <w:rPr>
          <w:sz w:val="24"/>
          <w:szCs w:val="24"/>
          <w:color w:val="auto"/>
        </w:rPr>
      </w:pPr>
    </w:p>
    <w:p>
      <w:pPr>
        <w:ind w:left="10"/>
        <w:spacing w:after="0"/>
        <w:rPr>
          <w:sz w:val="20"/>
          <w:szCs w:val="20"/>
          <w:color w:val="auto"/>
        </w:rPr>
      </w:pPr>
      <w:r>
        <w:rPr>
          <w:rFonts w:ascii="Arial" w:cs="Arial" w:eastAsia="Arial" w:hAnsi="Arial"/>
          <w:sz w:val="12"/>
          <w:szCs w:val="12"/>
          <w:color w:val="auto"/>
        </w:rPr>
        <w:t>Indicate by check mark whether the registrant is a shell company (as defined in Rule 12b-2 of the Act).</w:t>
      </w:r>
    </w:p>
    <w:p>
      <w:pPr>
        <w:spacing w:after="0" w:line="20" w:lineRule="exact"/>
        <w:rPr>
          <w:sz w:val="24"/>
          <w:szCs w:val="24"/>
          <w:color w:val="auto"/>
        </w:rPr>
      </w:pPr>
      <w:r>
        <w:rPr>
          <w:sz w:val="24"/>
          <w:szCs w:val="24"/>
          <w:color w:val="auto"/>
        </w:rPr>
        <w:br w:type="column"/>
      </w:r>
    </w:p>
    <w:p>
      <w:pPr>
        <w:spacing w:after="0" w:line="108" w:lineRule="exact"/>
        <w:rPr>
          <w:sz w:val="24"/>
          <w:szCs w:val="24"/>
          <w:color w:val="auto"/>
        </w:rPr>
      </w:pPr>
    </w:p>
    <w:p>
      <w:pPr>
        <w:spacing w:after="0" w:line="115" w:lineRule="exact"/>
        <w:rPr>
          <w:sz w:val="20"/>
          <w:szCs w:val="20"/>
          <w:color w:val="auto"/>
        </w:rPr>
      </w:pPr>
      <w:r>
        <w:rPr>
          <w:rFonts w:ascii="Arial" w:cs="Arial" w:eastAsia="Arial" w:hAnsi="Arial"/>
          <w:sz w:val="10"/>
          <w:szCs w:val="10"/>
          <w:color w:val="auto"/>
        </w:rPr>
        <w:t xml:space="preserve">Yes </w:t>
      </w:r>
      <w:r>
        <w:rPr>
          <w:rFonts w:ascii="MS PGothic" w:cs="MS PGothic" w:eastAsia="MS PGothic" w:hAnsi="MS PGothic"/>
          <w:sz w:val="10"/>
          <w:szCs w:val="10"/>
          <w:color w:val="auto"/>
        </w:rPr>
        <w:t>☐</w:t>
      </w:r>
    </w:p>
    <w:p>
      <w:pPr>
        <w:spacing w:after="0" w:line="20" w:lineRule="exact"/>
        <w:rPr>
          <w:sz w:val="24"/>
          <w:szCs w:val="24"/>
          <w:color w:val="auto"/>
        </w:rPr>
      </w:pPr>
      <w:r>
        <w:rPr>
          <w:sz w:val="24"/>
          <w:szCs w:val="24"/>
          <w:color w:val="auto"/>
        </w:rPr>
        <w:br w:type="column"/>
      </w:r>
    </w:p>
    <w:p>
      <w:pPr>
        <w:spacing w:after="0" w:line="108" w:lineRule="exact"/>
        <w:rPr>
          <w:sz w:val="24"/>
          <w:szCs w:val="24"/>
          <w:color w:val="auto"/>
        </w:rPr>
      </w:pPr>
    </w:p>
    <w:p>
      <w:pPr>
        <w:spacing w:after="0" w:line="127" w:lineRule="exact"/>
        <w:rPr>
          <w:sz w:val="20"/>
          <w:szCs w:val="20"/>
          <w:color w:val="auto"/>
        </w:rPr>
      </w:pPr>
      <w:r>
        <w:rPr>
          <w:rFonts w:ascii="Arial" w:cs="Arial" w:eastAsia="Arial" w:hAnsi="Arial"/>
          <w:sz w:val="11"/>
          <w:szCs w:val="11"/>
          <w:color w:val="auto"/>
        </w:rPr>
        <w:t xml:space="preserve">No </w:t>
      </w:r>
      <w:r>
        <w:rPr>
          <w:rFonts w:ascii="MS PGothic" w:cs="MS PGothic" w:eastAsia="MS PGothic" w:hAnsi="MS PGothic"/>
          <w:sz w:val="11"/>
          <w:szCs w:val="11"/>
          <w:color w:val="auto"/>
        </w:rPr>
        <w:t>☒</w:t>
      </w:r>
    </w:p>
    <w:p>
      <w:pPr>
        <w:spacing w:after="0" w:line="142" w:lineRule="exact"/>
        <w:rPr>
          <w:sz w:val="24"/>
          <w:szCs w:val="24"/>
          <w:color w:val="auto"/>
        </w:rPr>
      </w:pPr>
    </w:p>
    <w:p>
      <w:pPr>
        <w:sectPr>
          <w:pgSz w:w="11900" w:h="16838" w:orient="portrait"/>
          <w:cols w:equalWidth="0" w:num="3">
            <w:col w:w="5830" w:space="100"/>
            <w:col w:w="320" w:space="400"/>
            <w:col w:w="3800"/>
          </w:cols>
          <w:pgMar w:left="730" w:top="327" w:right="719" w:bottom="1440" w:gutter="0" w:footer="0" w:header="0"/>
          <w:type w:val="continuous"/>
        </w:sectPr>
      </w:pPr>
    </w:p>
    <w:p>
      <w:pPr>
        <w:ind w:left="10"/>
        <w:spacing w:after="0" w:line="275" w:lineRule="auto"/>
        <w:rPr>
          <w:sz w:val="20"/>
          <w:szCs w:val="20"/>
          <w:color w:val="auto"/>
        </w:rPr>
      </w:pPr>
      <w:r>
        <w:rPr>
          <w:rFonts w:ascii="Arial" w:cs="Arial" w:eastAsia="Arial" w:hAnsi="Arial"/>
          <w:sz w:val="13"/>
          <w:szCs w:val="13"/>
          <w:color w:val="auto"/>
        </w:rPr>
        <w:t>The aggregate market value of the common stock held by non-affiliates of the registrant (i.e. excluding shares held by executive officers, directors, and control persons as defined in Rule 405, 17 CFR 230.405) on June 30, 2018 was $2,136,389,121 computed at the closing price of $36.62 on that date.</w:t>
      </w:r>
    </w:p>
    <w:p>
      <w:pPr>
        <w:spacing w:after="0" w:line="61" w:lineRule="exact"/>
        <w:rPr>
          <w:sz w:val="24"/>
          <w:szCs w:val="24"/>
          <w:color w:val="auto"/>
        </w:rPr>
      </w:pPr>
    </w:p>
    <w:p>
      <w:pPr>
        <w:ind w:left="10"/>
        <w:spacing w:after="0"/>
        <w:rPr>
          <w:sz w:val="20"/>
          <w:szCs w:val="20"/>
          <w:color w:val="auto"/>
        </w:rPr>
      </w:pPr>
      <w:r>
        <w:rPr>
          <w:rFonts w:ascii="Arial" w:cs="Arial" w:eastAsia="Arial" w:hAnsi="Arial"/>
          <w:sz w:val="13"/>
          <w:szCs w:val="13"/>
          <w:color w:val="auto"/>
        </w:rPr>
        <w:t>As of February 2, 2019, 60,890,762 shares of the registrant’s common stock, $1 par value, were outstanding.</w:t>
      </w:r>
    </w:p>
    <w:p>
      <w:pPr>
        <w:spacing w:after="0" w:line="95" w:lineRule="exact"/>
        <w:rPr>
          <w:sz w:val="24"/>
          <w:szCs w:val="24"/>
          <w:color w:val="auto"/>
        </w:rPr>
      </w:pPr>
    </w:p>
    <w:p>
      <w:pPr>
        <w:ind w:left="10"/>
        <w:spacing w:after="0"/>
        <w:rPr>
          <w:sz w:val="20"/>
          <w:szCs w:val="20"/>
          <w:color w:val="auto"/>
        </w:rPr>
      </w:pPr>
      <w:r>
        <w:rPr>
          <w:rFonts w:ascii="Arial" w:cs="Arial" w:eastAsia="Arial" w:hAnsi="Arial"/>
          <w:sz w:val="13"/>
          <w:szCs w:val="13"/>
          <w:color w:val="auto"/>
        </w:rPr>
        <w:t>Documents incorporated by reference:</w:t>
      </w:r>
    </w:p>
    <w:p>
      <w:pPr>
        <w:spacing w:after="0" w:line="95" w:lineRule="exact"/>
        <w:rPr>
          <w:sz w:val="24"/>
          <w:szCs w:val="24"/>
          <w:color w:val="auto"/>
        </w:rPr>
      </w:pPr>
    </w:p>
    <w:p>
      <w:pPr>
        <w:ind w:left="410" w:hanging="261"/>
        <w:spacing w:after="0"/>
        <w:tabs>
          <w:tab w:leader="none" w:pos="410" w:val="left"/>
        </w:tabs>
        <w:numPr>
          <w:ilvl w:val="0"/>
          <w:numId w:val="3"/>
        </w:numPr>
        <w:rPr>
          <w:rFonts w:ascii="Arial" w:cs="Arial" w:eastAsia="Arial" w:hAnsi="Arial"/>
          <w:sz w:val="13"/>
          <w:szCs w:val="13"/>
          <w:color w:val="auto"/>
        </w:rPr>
      </w:pPr>
      <w:r>
        <w:rPr>
          <w:rFonts w:ascii="Arial" w:cs="Arial" w:eastAsia="Arial" w:hAnsi="Arial"/>
          <w:sz w:val="13"/>
          <w:szCs w:val="13"/>
          <w:color w:val="auto"/>
        </w:rPr>
        <w:t>Certain portions of the registrant’s Annual Report to Shareholders for the fiscal year ended December 29, 2018 are incorporated by reference into Part I and II of this Report.</w:t>
      </w:r>
    </w:p>
    <w:p>
      <w:pPr>
        <w:spacing w:after="0" w:line="94" w:lineRule="exact"/>
        <w:rPr>
          <w:rFonts w:ascii="Arial" w:cs="Arial" w:eastAsia="Arial" w:hAnsi="Arial"/>
          <w:sz w:val="13"/>
          <w:szCs w:val="13"/>
          <w:color w:val="auto"/>
        </w:rPr>
      </w:pPr>
    </w:p>
    <w:p>
      <w:pPr>
        <w:ind w:left="410" w:hanging="261"/>
        <w:spacing w:after="0"/>
        <w:tabs>
          <w:tab w:leader="none" w:pos="410" w:val="left"/>
        </w:tabs>
        <w:numPr>
          <w:ilvl w:val="0"/>
          <w:numId w:val="3"/>
        </w:numPr>
        <w:rPr>
          <w:rFonts w:ascii="Arial" w:cs="Arial" w:eastAsia="Arial" w:hAnsi="Arial"/>
          <w:sz w:val="13"/>
          <w:szCs w:val="13"/>
          <w:color w:val="auto"/>
        </w:rPr>
      </w:pPr>
      <w:r>
        <w:rPr>
          <w:rFonts w:ascii="Arial" w:cs="Arial" w:eastAsia="Arial" w:hAnsi="Arial"/>
          <w:sz w:val="13"/>
          <w:szCs w:val="13"/>
          <w:color w:val="auto"/>
        </w:rPr>
        <w:t>Certain portions of the registrant’s Proxy Statement for its 2018 Annual Meeting of Shareholders are incorporated by reference into Part III of this Report.</w:t>
      </w:r>
    </w:p>
    <w:p>
      <w:pPr>
        <w:spacing w:after="0" w:line="95" w:lineRule="exact"/>
        <w:rPr>
          <w:sz w:val="24"/>
          <w:szCs w:val="24"/>
          <w:color w:val="auto"/>
        </w:rPr>
      </w:pPr>
    </w:p>
    <w:p>
      <w:pPr>
        <w:jc w:val="center"/>
        <w:ind w:right="-9"/>
        <w:spacing w:after="0" w:line="150" w:lineRule="exact"/>
        <w:rPr>
          <w:sz w:val="20"/>
          <w:szCs w:val="20"/>
          <w:color w:val="auto"/>
        </w:rPr>
      </w:pPr>
      <w:r>
        <w:rPr>
          <w:rFonts w:ascii="Arial" w:cs="Arial" w:eastAsia="Arial" w:hAnsi="Arial"/>
          <w:sz w:val="13"/>
          <w:szCs w:val="13"/>
          <w:color w:val="auto"/>
        </w:rPr>
        <w:t>Exhibit Index located on page E</w:t>
      </w:r>
      <w:r>
        <w:rPr>
          <w:rFonts w:ascii="MS PGothic" w:cs="MS PGothic" w:eastAsia="MS PGothic" w:hAnsi="MS PGothic"/>
          <w:sz w:val="13"/>
          <w:szCs w:val="13"/>
          <w:color w:val="auto"/>
        </w:rPr>
        <w:t>‑</w:t>
      </w:r>
      <w:r>
        <w:rPr>
          <w:rFonts w:ascii="Arial" w:cs="Arial" w:eastAsia="Arial" w:hAnsi="Arial"/>
          <w:sz w:val="13"/>
          <w:szCs w:val="13"/>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118110</wp:posOffset>
            </wp:positionV>
            <wp:extent cx="6628765"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28765" cy="698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138430</wp:posOffset>
            </wp:positionV>
            <wp:extent cx="6628765" cy="266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28765" cy="2667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529590</wp:posOffset>
            </wp:positionV>
            <wp:extent cx="6628765" cy="133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28765" cy="13335"/>
                    </a:xfrm>
                    <a:prstGeom prst="rect">
                      <a:avLst/>
                    </a:prstGeom>
                    <a:noFill/>
                  </pic:spPr>
                </pic:pic>
              </a:graphicData>
            </a:graphic>
          </wp:anchor>
        </w:drawing>
      </w:r>
    </w:p>
    <w:p>
      <w:pPr>
        <w:sectPr>
          <w:pgSz w:w="11900" w:h="16838" w:orient="portrait"/>
          <w:cols w:equalWidth="0" w:num="1">
            <w:col w:w="10450"/>
          </w:cols>
          <w:pgMar w:left="730" w:top="327" w:right="71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70"/>
        </w:trPr>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80" w:type="dxa"/>
            <w:vAlign w:val="bottom"/>
            <w:gridSpan w:val="15"/>
          </w:tcPr>
          <w:p>
            <w:pPr>
              <w:jc w:val="center"/>
              <w:ind w:right="1280"/>
              <w:spacing w:after="0" w:line="161" w:lineRule="exact"/>
              <w:rPr>
                <w:sz w:val="20"/>
                <w:szCs w:val="20"/>
                <w:color w:val="auto"/>
              </w:rPr>
            </w:pPr>
            <w:r>
              <w:rPr>
                <w:rFonts w:ascii="Arial" w:cs="Arial" w:eastAsia="Arial" w:hAnsi="Arial"/>
                <w:sz w:val="14"/>
                <w:szCs w:val="14"/>
                <w:b w:val="1"/>
                <w:bCs w:val="1"/>
                <w:color w:val="auto"/>
              </w:rPr>
              <w:t>ANNUAL REPORT ON FORM 10</w:t>
            </w:r>
            <w:r>
              <w:rPr>
                <w:rFonts w:ascii="MS PGothic" w:cs="MS PGothic" w:eastAsia="MS PGothic" w:hAnsi="MS PGothic"/>
                <w:sz w:val="14"/>
                <w:szCs w:val="14"/>
                <w:b w:val="1"/>
                <w:bCs w:val="1"/>
                <w:color w:val="auto"/>
              </w:rPr>
              <w:t>‑</w:t>
            </w:r>
            <w:r>
              <w:rPr>
                <w:rFonts w:ascii="Arial" w:cs="Arial" w:eastAsia="Arial" w:hAnsi="Arial"/>
                <w:sz w:val="14"/>
                <w:szCs w:val="14"/>
                <w:b w:val="1"/>
                <w:bCs w:val="1"/>
                <w:color w:val="auto"/>
              </w:rPr>
              <w:t>K</w:t>
            </w:r>
          </w:p>
        </w:tc>
        <w:tc>
          <w:tcPr>
            <w:tcW w:w="1860" w:type="dxa"/>
            <w:vAlign w:val="bottom"/>
          </w:tcPr>
          <w:p>
            <w:pPr>
              <w:spacing w:after="0"/>
              <w:rPr>
                <w:sz w:val="14"/>
                <w:szCs w:val="14"/>
                <w:color w:val="auto"/>
              </w:rPr>
            </w:pPr>
          </w:p>
        </w:tc>
      </w:tr>
      <w:tr>
        <w:trPr>
          <w:trHeight w:val="170"/>
        </w:trPr>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740" w:type="dxa"/>
            <w:vAlign w:val="bottom"/>
            <w:gridSpan w:val="14"/>
          </w:tcPr>
          <w:p>
            <w:pPr>
              <w:jc w:val="center"/>
              <w:ind w:right="1640"/>
              <w:spacing w:after="0"/>
              <w:rPr>
                <w:sz w:val="20"/>
                <w:szCs w:val="20"/>
                <w:color w:val="auto"/>
              </w:rPr>
            </w:pPr>
            <w:r>
              <w:rPr>
                <w:rFonts w:ascii="Arial" w:cs="Arial" w:eastAsia="Arial" w:hAnsi="Arial"/>
                <w:sz w:val="14"/>
                <w:szCs w:val="14"/>
                <w:b w:val="1"/>
                <w:bCs w:val="1"/>
                <w:color w:val="auto"/>
                <w:w w:val="96"/>
              </w:rPr>
              <w:t>DECEMBER 29, 2018</w:t>
            </w:r>
          </w:p>
        </w:tc>
        <w:tc>
          <w:tcPr>
            <w:tcW w:w="1860" w:type="dxa"/>
            <w:vAlign w:val="bottom"/>
          </w:tcPr>
          <w:p>
            <w:pPr>
              <w:spacing w:after="0"/>
              <w:rPr>
                <w:sz w:val="14"/>
                <w:szCs w:val="14"/>
                <w:color w:val="auto"/>
              </w:rPr>
            </w:pPr>
          </w:p>
        </w:tc>
      </w:tr>
      <w:tr>
        <w:trPr>
          <w:trHeight w:val="184"/>
        </w:trPr>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740" w:type="dxa"/>
            <w:vAlign w:val="bottom"/>
            <w:gridSpan w:val="14"/>
          </w:tcPr>
          <w:p>
            <w:pPr>
              <w:jc w:val="center"/>
              <w:ind w:right="1620"/>
              <w:spacing w:after="0"/>
              <w:rPr>
                <w:sz w:val="20"/>
                <w:szCs w:val="20"/>
                <w:color w:val="auto"/>
              </w:rPr>
            </w:pPr>
            <w:r>
              <w:rPr>
                <w:rFonts w:ascii="Arial" w:cs="Arial" w:eastAsia="Arial" w:hAnsi="Arial"/>
                <w:sz w:val="14"/>
                <w:szCs w:val="14"/>
                <w:b w:val="1"/>
                <w:bCs w:val="1"/>
                <w:color w:val="auto"/>
              </w:rPr>
              <w:t>TABLE OF CONTENTS</w:t>
            </w:r>
          </w:p>
        </w:tc>
        <w:tc>
          <w:tcPr>
            <w:tcW w:w="1860" w:type="dxa"/>
            <w:vAlign w:val="bottom"/>
          </w:tcPr>
          <w:p>
            <w:pPr>
              <w:spacing w:after="0"/>
              <w:rPr>
                <w:sz w:val="16"/>
                <w:szCs w:val="16"/>
                <w:color w:val="auto"/>
              </w:rPr>
            </w:pPr>
          </w:p>
        </w:tc>
      </w:tr>
      <w:tr>
        <w:trPr>
          <w:trHeight w:val="319"/>
        </w:trPr>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940" w:type="dxa"/>
            <w:vAlign w:val="bottom"/>
            <w:gridSpan w:val="10"/>
          </w:tcPr>
          <w:p>
            <w:pPr>
              <w:jc w:val="center"/>
              <w:ind w:right="2480"/>
              <w:spacing w:after="0"/>
              <w:rPr>
                <w:rFonts w:ascii="Arial" w:cs="Arial" w:eastAsia="Arial" w:hAnsi="Arial"/>
                <w:sz w:val="14"/>
                <w:szCs w:val="14"/>
                <w:b w:val="1"/>
                <w:bCs w:val="1"/>
                <w:color w:val="0000EE"/>
              </w:rPr>
            </w:pPr>
            <w:hyperlink w:anchor="page3">
              <w:r>
                <w:rPr>
                  <w:rFonts w:ascii="Arial" w:cs="Arial" w:eastAsia="Arial" w:hAnsi="Arial"/>
                  <w:sz w:val="14"/>
                  <w:szCs w:val="14"/>
                  <w:b w:val="1"/>
                  <w:bCs w:val="1"/>
                  <w:color w:val="0000EE"/>
                </w:rPr>
                <w:t>PART I</w:t>
              </w:r>
            </w:hyperlink>
          </w:p>
        </w:tc>
        <w:tc>
          <w:tcPr>
            <w:tcW w:w="1860" w:type="dxa"/>
            <w:vAlign w:val="bottom"/>
          </w:tcPr>
          <w:p>
            <w:pPr>
              <w:spacing w:after="0"/>
              <w:rPr>
                <w:sz w:val="24"/>
                <w:szCs w:val="24"/>
                <w:color w:val="auto"/>
              </w:rPr>
            </w:pPr>
          </w:p>
        </w:tc>
      </w:tr>
      <w:tr>
        <w:trPr>
          <w:trHeight w:val="320"/>
        </w:trPr>
        <w:tc>
          <w:tcPr>
            <w:tcW w:w="840" w:type="dxa"/>
            <w:vAlign w:val="bottom"/>
            <w:gridSpan w:val="5"/>
          </w:tcPr>
          <w:p>
            <w:pPr>
              <w:spacing w:after="0"/>
              <w:rPr>
                <w:rFonts w:ascii="Arial" w:cs="Arial" w:eastAsia="Arial" w:hAnsi="Arial"/>
                <w:sz w:val="14"/>
                <w:szCs w:val="14"/>
                <w:color w:val="0000EE"/>
              </w:rPr>
            </w:pPr>
            <w:hyperlink w:anchor="page3">
              <w:r>
                <w:rPr>
                  <w:rFonts w:ascii="Arial" w:cs="Arial" w:eastAsia="Arial" w:hAnsi="Arial"/>
                  <w:sz w:val="14"/>
                  <w:szCs w:val="14"/>
                  <w:color w:val="0000EE"/>
                </w:rPr>
                <w:t>Item 1.</w:t>
              </w:r>
            </w:hyperlink>
          </w:p>
        </w:tc>
        <w:tc>
          <w:tcPr>
            <w:tcW w:w="3460" w:type="dxa"/>
            <w:vAlign w:val="bottom"/>
            <w:gridSpan w:val="15"/>
          </w:tcPr>
          <w:p>
            <w:pPr>
              <w:spacing w:after="0"/>
              <w:rPr>
                <w:rFonts w:ascii="Arial" w:cs="Arial" w:eastAsia="Arial" w:hAnsi="Arial"/>
                <w:sz w:val="14"/>
                <w:szCs w:val="14"/>
                <w:color w:val="0000EE"/>
              </w:rPr>
            </w:pPr>
            <w:hyperlink w:anchor="page3">
              <w:r>
                <w:rPr>
                  <w:rFonts w:ascii="Arial" w:cs="Arial" w:eastAsia="Arial" w:hAnsi="Arial"/>
                  <w:sz w:val="14"/>
                  <w:szCs w:val="14"/>
                  <w:color w:val="0000EE"/>
                </w:rPr>
                <w:t>Business.</w:t>
              </w:r>
            </w:hyperlink>
          </w:p>
        </w:tc>
        <w:tc>
          <w:tcPr>
            <w:tcW w:w="460" w:type="dxa"/>
            <w:vAlign w:val="bottom"/>
            <w:tcBorders>
              <w:top w:val="single" w:sz="8" w:color="0000EE"/>
            </w:tcBorders>
            <w:gridSpan w:val="2"/>
          </w:tcPr>
          <w:p>
            <w:pPr>
              <w:spacing w:after="0"/>
              <w:rPr>
                <w:sz w:val="24"/>
                <w:szCs w:val="24"/>
                <w:color w:val="auto"/>
              </w:rPr>
            </w:pPr>
          </w:p>
        </w:tc>
        <w:tc>
          <w:tcPr>
            <w:tcW w:w="2480" w:type="dxa"/>
            <w:vAlign w:val="bottom"/>
            <w:gridSpan w:val="8"/>
          </w:tcPr>
          <w:p>
            <w:pPr>
              <w:spacing w:after="0"/>
              <w:rPr>
                <w:sz w:val="24"/>
                <w:szCs w:val="24"/>
                <w:color w:val="auto"/>
              </w:rPr>
            </w:pPr>
          </w:p>
        </w:tc>
        <w:tc>
          <w:tcPr>
            <w:tcW w:w="1860" w:type="dxa"/>
            <w:vAlign w:val="bottom"/>
          </w:tcPr>
          <w:p>
            <w:pPr>
              <w:jc w:val="right"/>
              <w:spacing w:after="0"/>
              <w:rPr>
                <w:sz w:val="20"/>
                <w:szCs w:val="20"/>
                <w:color w:val="auto"/>
              </w:rPr>
            </w:pPr>
            <w:r>
              <w:rPr>
                <w:rFonts w:ascii="Arial" w:cs="Arial" w:eastAsia="Arial" w:hAnsi="Arial"/>
                <w:sz w:val="14"/>
                <w:szCs w:val="14"/>
                <w:color w:val="auto"/>
              </w:rPr>
              <w:t>2</w:t>
            </w:r>
          </w:p>
        </w:tc>
      </w:tr>
      <w:tr>
        <w:trPr>
          <w:trHeight w:val="20"/>
        </w:trPr>
        <w:tc>
          <w:tcPr>
            <w:tcW w:w="4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150"/>
        </w:trPr>
        <w:tc>
          <w:tcPr>
            <w:tcW w:w="520" w:type="dxa"/>
            <w:vAlign w:val="bottom"/>
            <w:tcBorders>
              <w:bottom w:val="single" w:sz="8" w:color="0000EE"/>
            </w:tcBorders>
            <w:gridSpan w:val="4"/>
          </w:tcPr>
          <w:p>
            <w:pPr>
              <w:spacing w:after="0" w:line="150" w:lineRule="exact"/>
              <w:rPr>
                <w:rFonts w:ascii="Arial" w:cs="Arial" w:eastAsia="Arial" w:hAnsi="Arial"/>
                <w:sz w:val="14"/>
                <w:szCs w:val="14"/>
                <w:color w:val="0000EE"/>
                <w:w w:val="95"/>
              </w:rPr>
            </w:pPr>
            <w:hyperlink w:anchor="page6">
              <w:r>
                <w:rPr>
                  <w:rFonts w:ascii="Arial" w:cs="Arial" w:eastAsia="Arial" w:hAnsi="Arial"/>
                  <w:sz w:val="14"/>
                  <w:szCs w:val="14"/>
                  <w:color w:val="0000EE"/>
                  <w:w w:val="95"/>
                </w:rPr>
                <w:t>Item 1A.</w:t>
              </w:r>
            </w:hyperlink>
          </w:p>
        </w:tc>
        <w:tc>
          <w:tcPr>
            <w:tcW w:w="320" w:type="dxa"/>
            <w:vAlign w:val="bottom"/>
          </w:tcPr>
          <w:p>
            <w:pPr>
              <w:spacing w:after="0"/>
              <w:rPr>
                <w:sz w:val="13"/>
                <w:szCs w:val="13"/>
                <w:color w:val="auto"/>
              </w:rPr>
            </w:pPr>
          </w:p>
        </w:tc>
        <w:tc>
          <w:tcPr>
            <w:tcW w:w="760" w:type="dxa"/>
            <w:vAlign w:val="bottom"/>
            <w:tcBorders>
              <w:bottom w:val="single" w:sz="8" w:color="0000EE"/>
            </w:tcBorders>
            <w:gridSpan w:val="3"/>
          </w:tcPr>
          <w:p>
            <w:pPr>
              <w:spacing w:after="0" w:line="150" w:lineRule="exact"/>
              <w:rPr>
                <w:rFonts w:ascii="Arial" w:cs="Arial" w:eastAsia="Arial" w:hAnsi="Arial"/>
                <w:sz w:val="14"/>
                <w:szCs w:val="14"/>
                <w:color w:val="0000EE"/>
                <w:w w:val="90"/>
              </w:rPr>
            </w:pPr>
            <w:hyperlink w:anchor="page6">
              <w:r>
                <w:rPr>
                  <w:rFonts w:ascii="Arial" w:cs="Arial" w:eastAsia="Arial" w:hAnsi="Arial"/>
                  <w:sz w:val="14"/>
                  <w:szCs w:val="14"/>
                  <w:color w:val="0000EE"/>
                  <w:w w:val="90"/>
                </w:rPr>
                <w:t>Risk Factors.</w:t>
              </w:r>
            </w:hyperlink>
          </w:p>
        </w:tc>
        <w:tc>
          <w:tcPr>
            <w:tcW w:w="5640" w:type="dxa"/>
            <w:vAlign w:val="bottom"/>
            <w:gridSpan w:val="22"/>
          </w:tcPr>
          <w:p>
            <w:pPr>
              <w:spacing w:after="0"/>
              <w:rPr>
                <w:sz w:val="13"/>
                <w:szCs w:val="13"/>
                <w:color w:val="auto"/>
              </w:rPr>
            </w:pPr>
          </w:p>
        </w:tc>
        <w:tc>
          <w:tcPr>
            <w:tcW w:w="1860" w:type="dxa"/>
            <w:vAlign w:val="bottom"/>
          </w:tcPr>
          <w:p>
            <w:pPr>
              <w:jc w:val="right"/>
              <w:spacing w:after="0" w:line="150" w:lineRule="exact"/>
              <w:rPr>
                <w:sz w:val="20"/>
                <w:szCs w:val="20"/>
                <w:color w:val="auto"/>
              </w:rPr>
            </w:pPr>
            <w:r>
              <w:rPr>
                <w:rFonts w:ascii="Arial" w:cs="Arial" w:eastAsia="Arial" w:hAnsi="Arial"/>
                <w:sz w:val="14"/>
                <w:szCs w:val="14"/>
                <w:color w:val="auto"/>
              </w:rPr>
              <w:t>5</w:t>
            </w:r>
          </w:p>
        </w:tc>
      </w:tr>
      <w:tr>
        <w:trPr>
          <w:trHeight w:val="150"/>
        </w:trPr>
        <w:tc>
          <w:tcPr>
            <w:tcW w:w="840" w:type="dxa"/>
            <w:vAlign w:val="bottom"/>
            <w:gridSpan w:val="5"/>
          </w:tcPr>
          <w:p>
            <w:pPr>
              <w:spacing w:after="0" w:line="150" w:lineRule="exact"/>
              <w:rPr>
                <w:rFonts w:ascii="Arial" w:cs="Arial" w:eastAsia="Arial" w:hAnsi="Arial"/>
                <w:sz w:val="14"/>
                <w:szCs w:val="14"/>
                <w:color w:val="0000EE"/>
              </w:rPr>
            </w:pPr>
            <w:hyperlink w:anchor="page7">
              <w:r>
                <w:rPr>
                  <w:rFonts w:ascii="Arial" w:cs="Arial" w:eastAsia="Arial" w:hAnsi="Arial"/>
                  <w:sz w:val="14"/>
                  <w:szCs w:val="14"/>
                  <w:color w:val="0000EE"/>
                </w:rPr>
                <w:t>Item 1B.</w:t>
              </w:r>
            </w:hyperlink>
          </w:p>
        </w:tc>
        <w:tc>
          <w:tcPr>
            <w:tcW w:w="6400" w:type="dxa"/>
            <w:vAlign w:val="bottom"/>
            <w:gridSpan w:val="25"/>
          </w:tcPr>
          <w:p>
            <w:pPr>
              <w:spacing w:after="0" w:line="150" w:lineRule="exact"/>
              <w:rPr>
                <w:rFonts w:ascii="Arial" w:cs="Arial" w:eastAsia="Arial" w:hAnsi="Arial"/>
                <w:sz w:val="14"/>
                <w:szCs w:val="14"/>
                <w:color w:val="0000EE"/>
              </w:rPr>
            </w:pPr>
            <w:hyperlink w:anchor="page7">
              <w:r>
                <w:rPr>
                  <w:rFonts w:ascii="Arial" w:cs="Arial" w:eastAsia="Arial" w:hAnsi="Arial"/>
                  <w:sz w:val="14"/>
                  <w:szCs w:val="14"/>
                  <w:color w:val="0000EE"/>
                </w:rPr>
                <w:t>Unresolved Staff Comments.</w:t>
              </w:r>
            </w:hyperlink>
          </w:p>
        </w:tc>
        <w:tc>
          <w:tcPr>
            <w:tcW w:w="1860" w:type="dxa"/>
            <w:vAlign w:val="bottom"/>
          </w:tcPr>
          <w:p>
            <w:pPr>
              <w:jc w:val="right"/>
              <w:spacing w:after="0" w:line="150" w:lineRule="exact"/>
              <w:rPr>
                <w:sz w:val="20"/>
                <w:szCs w:val="20"/>
                <w:color w:val="auto"/>
              </w:rPr>
            </w:pPr>
            <w:r>
              <w:rPr>
                <w:rFonts w:ascii="Arial" w:cs="Arial" w:eastAsia="Arial" w:hAnsi="Arial"/>
                <w:sz w:val="14"/>
                <w:szCs w:val="14"/>
                <w:color w:val="auto"/>
              </w:rPr>
              <w:t>6</w:t>
            </w:r>
          </w:p>
        </w:tc>
      </w:tr>
      <w:tr>
        <w:trPr>
          <w:trHeight w:val="150"/>
        </w:trPr>
        <w:tc>
          <w:tcPr>
            <w:tcW w:w="500" w:type="dxa"/>
            <w:vAlign w:val="bottom"/>
            <w:tcBorders>
              <w:top w:val="single" w:sz="8" w:color="0000EE"/>
            </w:tcBorders>
            <w:gridSpan w:val="3"/>
          </w:tcPr>
          <w:p>
            <w:pPr>
              <w:spacing w:after="0" w:line="150" w:lineRule="exact"/>
              <w:rPr>
                <w:rFonts w:ascii="Arial" w:cs="Arial" w:eastAsia="Arial" w:hAnsi="Arial"/>
                <w:sz w:val="14"/>
                <w:szCs w:val="14"/>
                <w:color w:val="0000EE"/>
              </w:rPr>
            </w:pPr>
            <w:hyperlink w:anchor="page7">
              <w:r>
                <w:rPr>
                  <w:rFonts w:ascii="Arial" w:cs="Arial" w:eastAsia="Arial" w:hAnsi="Arial"/>
                  <w:sz w:val="14"/>
                  <w:szCs w:val="14"/>
                  <w:color w:val="0000EE"/>
                </w:rPr>
                <w:t>Item 2.</w:t>
              </w:r>
            </w:hyperlink>
          </w:p>
        </w:tc>
        <w:tc>
          <w:tcPr>
            <w:tcW w:w="340" w:type="dxa"/>
            <w:vAlign w:val="bottom"/>
            <w:gridSpan w:val="2"/>
          </w:tcPr>
          <w:p>
            <w:pPr>
              <w:spacing w:after="0"/>
              <w:rPr>
                <w:sz w:val="13"/>
                <w:szCs w:val="13"/>
                <w:color w:val="auto"/>
              </w:rPr>
            </w:pPr>
          </w:p>
        </w:tc>
        <w:tc>
          <w:tcPr>
            <w:tcW w:w="1660" w:type="dxa"/>
            <w:vAlign w:val="bottom"/>
            <w:tcBorders>
              <w:top w:val="single" w:sz="8" w:color="0000EE"/>
            </w:tcBorders>
            <w:gridSpan w:val="7"/>
          </w:tcPr>
          <w:p>
            <w:pPr>
              <w:spacing w:after="0" w:line="150" w:lineRule="exact"/>
              <w:rPr>
                <w:rFonts w:ascii="Arial" w:cs="Arial" w:eastAsia="Arial" w:hAnsi="Arial"/>
                <w:sz w:val="14"/>
                <w:szCs w:val="14"/>
                <w:color w:val="0000EE"/>
              </w:rPr>
            </w:pPr>
            <w:hyperlink w:anchor="page7">
              <w:r>
                <w:rPr>
                  <w:rFonts w:ascii="Arial" w:cs="Arial" w:eastAsia="Arial" w:hAnsi="Arial"/>
                  <w:sz w:val="14"/>
                  <w:szCs w:val="14"/>
                  <w:color w:val="0000EE"/>
                </w:rPr>
                <w:t>Properties.</w:t>
              </w:r>
            </w:hyperlink>
          </w:p>
        </w:tc>
        <w:tc>
          <w:tcPr>
            <w:tcW w:w="4740" w:type="dxa"/>
            <w:vAlign w:val="bottom"/>
            <w:gridSpan w:val="18"/>
          </w:tcPr>
          <w:p>
            <w:pPr>
              <w:spacing w:after="0"/>
              <w:rPr>
                <w:sz w:val="13"/>
                <w:szCs w:val="13"/>
                <w:color w:val="auto"/>
              </w:rPr>
            </w:pPr>
          </w:p>
        </w:tc>
        <w:tc>
          <w:tcPr>
            <w:tcW w:w="1860" w:type="dxa"/>
            <w:vAlign w:val="bottom"/>
          </w:tcPr>
          <w:p>
            <w:pPr>
              <w:jc w:val="right"/>
              <w:spacing w:after="0" w:line="150" w:lineRule="exact"/>
              <w:rPr>
                <w:sz w:val="20"/>
                <w:szCs w:val="20"/>
                <w:color w:val="auto"/>
              </w:rPr>
            </w:pPr>
            <w:r>
              <w:rPr>
                <w:rFonts w:ascii="Arial" w:cs="Arial" w:eastAsia="Arial" w:hAnsi="Arial"/>
                <w:sz w:val="14"/>
                <w:szCs w:val="14"/>
                <w:color w:val="auto"/>
              </w:rPr>
              <w:t>6</w:t>
            </w:r>
          </w:p>
        </w:tc>
      </w:tr>
      <w:tr>
        <w:trPr>
          <w:trHeight w:val="20"/>
        </w:trPr>
        <w:tc>
          <w:tcPr>
            <w:tcW w:w="4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150"/>
        </w:trPr>
        <w:tc>
          <w:tcPr>
            <w:tcW w:w="840" w:type="dxa"/>
            <w:vAlign w:val="bottom"/>
            <w:gridSpan w:val="5"/>
          </w:tcPr>
          <w:p>
            <w:pPr>
              <w:spacing w:after="0" w:line="150" w:lineRule="exact"/>
              <w:rPr>
                <w:rFonts w:ascii="Arial" w:cs="Arial" w:eastAsia="Arial" w:hAnsi="Arial"/>
                <w:sz w:val="14"/>
                <w:szCs w:val="14"/>
                <w:color w:val="0000EE"/>
              </w:rPr>
            </w:pPr>
            <w:hyperlink w:anchor="page8">
              <w:r>
                <w:rPr>
                  <w:rFonts w:ascii="Arial" w:cs="Arial" w:eastAsia="Arial" w:hAnsi="Arial"/>
                  <w:sz w:val="14"/>
                  <w:szCs w:val="14"/>
                  <w:color w:val="0000EE"/>
                </w:rPr>
                <w:t>Item 3.</w:t>
              </w:r>
            </w:hyperlink>
          </w:p>
        </w:tc>
        <w:tc>
          <w:tcPr>
            <w:tcW w:w="6400" w:type="dxa"/>
            <w:vAlign w:val="bottom"/>
            <w:gridSpan w:val="25"/>
          </w:tcPr>
          <w:p>
            <w:pPr>
              <w:spacing w:after="0" w:line="150" w:lineRule="exact"/>
              <w:rPr>
                <w:rFonts w:ascii="Arial" w:cs="Arial" w:eastAsia="Arial" w:hAnsi="Arial"/>
                <w:sz w:val="14"/>
                <w:szCs w:val="14"/>
                <w:color w:val="0000EE"/>
              </w:rPr>
            </w:pPr>
            <w:hyperlink w:anchor="page8">
              <w:r>
                <w:rPr>
                  <w:rFonts w:ascii="Arial" w:cs="Arial" w:eastAsia="Arial" w:hAnsi="Arial"/>
                  <w:sz w:val="14"/>
                  <w:szCs w:val="14"/>
                  <w:color w:val="0000EE"/>
                </w:rPr>
                <w:t>Legal Proceedings.</w:t>
              </w:r>
            </w:hyperlink>
          </w:p>
        </w:tc>
        <w:tc>
          <w:tcPr>
            <w:tcW w:w="1860" w:type="dxa"/>
            <w:vAlign w:val="bottom"/>
          </w:tcPr>
          <w:p>
            <w:pPr>
              <w:jc w:val="right"/>
              <w:spacing w:after="0" w:line="150" w:lineRule="exact"/>
              <w:rPr>
                <w:sz w:val="20"/>
                <w:szCs w:val="20"/>
                <w:color w:val="auto"/>
              </w:rPr>
            </w:pPr>
            <w:r>
              <w:rPr>
                <w:rFonts w:ascii="Arial" w:cs="Arial" w:eastAsia="Arial" w:hAnsi="Arial"/>
                <w:sz w:val="14"/>
                <w:szCs w:val="14"/>
                <w:color w:val="auto"/>
              </w:rPr>
              <w:t>7</w:t>
            </w:r>
          </w:p>
        </w:tc>
      </w:tr>
      <w:tr>
        <w:trPr>
          <w:trHeight w:val="20"/>
        </w:trPr>
        <w:tc>
          <w:tcPr>
            <w:tcW w:w="4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100" w:type="dxa"/>
            <w:vAlign w:val="bottom"/>
            <w:tcBorders>
              <w:right w:val="single" w:sz="8" w:color="0000EE"/>
            </w:tcBorders>
            <w:gridSpan w:val="4"/>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150"/>
        </w:trPr>
        <w:tc>
          <w:tcPr>
            <w:tcW w:w="840" w:type="dxa"/>
            <w:vAlign w:val="bottom"/>
            <w:gridSpan w:val="5"/>
          </w:tcPr>
          <w:p>
            <w:pPr>
              <w:spacing w:after="0" w:line="150" w:lineRule="exact"/>
              <w:rPr>
                <w:rFonts w:ascii="Arial" w:cs="Arial" w:eastAsia="Arial" w:hAnsi="Arial"/>
                <w:sz w:val="14"/>
                <w:szCs w:val="14"/>
                <w:color w:val="0000EE"/>
              </w:rPr>
            </w:pPr>
            <w:hyperlink w:anchor="page8">
              <w:r>
                <w:rPr>
                  <w:rFonts w:ascii="Arial" w:cs="Arial" w:eastAsia="Arial" w:hAnsi="Arial"/>
                  <w:sz w:val="14"/>
                  <w:szCs w:val="14"/>
                  <w:color w:val="0000EE"/>
                </w:rPr>
                <w:t>Item 4.</w:t>
              </w:r>
            </w:hyperlink>
          </w:p>
        </w:tc>
        <w:tc>
          <w:tcPr>
            <w:tcW w:w="6400" w:type="dxa"/>
            <w:vAlign w:val="bottom"/>
            <w:gridSpan w:val="25"/>
          </w:tcPr>
          <w:p>
            <w:pPr>
              <w:spacing w:after="0" w:line="150" w:lineRule="exact"/>
              <w:rPr>
                <w:rFonts w:ascii="Arial" w:cs="Arial" w:eastAsia="Arial" w:hAnsi="Arial"/>
                <w:sz w:val="14"/>
                <w:szCs w:val="14"/>
                <w:color w:val="0000EE"/>
              </w:rPr>
            </w:pPr>
            <w:hyperlink w:anchor="page8">
              <w:r>
                <w:rPr>
                  <w:rFonts w:ascii="Arial" w:cs="Arial" w:eastAsia="Arial" w:hAnsi="Arial"/>
                  <w:sz w:val="14"/>
                  <w:szCs w:val="14"/>
                  <w:color w:val="0000EE"/>
                </w:rPr>
                <w:t>Mine Safety Disclosures.</w:t>
              </w:r>
            </w:hyperlink>
          </w:p>
        </w:tc>
        <w:tc>
          <w:tcPr>
            <w:tcW w:w="1860" w:type="dxa"/>
            <w:vAlign w:val="bottom"/>
          </w:tcPr>
          <w:p>
            <w:pPr>
              <w:jc w:val="right"/>
              <w:spacing w:after="0" w:line="150" w:lineRule="exact"/>
              <w:rPr>
                <w:sz w:val="20"/>
                <w:szCs w:val="20"/>
                <w:color w:val="auto"/>
              </w:rPr>
            </w:pPr>
            <w:r>
              <w:rPr>
                <w:rFonts w:ascii="Arial" w:cs="Arial" w:eastAsia="Arial" w:hAnsi="Arial"/>
                <w:sz w:val="14"/>
                <w:szCs w:val="14"/>
                <w:color w:val="auto"/>
              </w:rPr>
              <w:t>7</w:t>
            </w:r>
          </w:p>
        </w:tc>
      </w:tr>
      <w:tr>
        <w:trPr>
          <w:trHeight w:val="20"/>
        </w:trPr>
        <w:tc>
          <w:tcPr>
            <w:tcW w:w="4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100" w:type="dxa"/>
            <w:vAlign w:val="bottom"/>
            <w:tcBorders>
              <w:right w:val="single" w:sz="8" w:color="0000EE"/>
            </w:tcBorders>
            <w:gridSpan w:val="4"/>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320"/>
        </w:trPr>
        <w:tc>
          <w:tcPr>
            <w:tcW w:w="7240" w:type="dxa"/>
            <w:vAlign w:val="bottom"/>
            <w:gridSpan w:val="30"/>
          </w:tcPr>
          <w:p>
            <w:pPr>
              <w:spacing w:after="0"/>
              <w:rPr>
                <w:rFonts w:ascii="Arial" w:cs="Arial" w:eastAsia="Arial" w:hAnsi="Arial"/>
                <w:sz w:val="14"/>
                <w:szCs w:val="14"/>
                <w:color w:val="0000EE"/>
              </w:rPr>
            </w:pPr>
            <w:hyperlink w:anchor="page8">
              <w:r>
                <w:rPr>
                  <w:rFonts w:ascii="Arial" w:cs="Arial" w:eastAsia="Arial" w:hAnsi="Arial"/>
                  <w:sz w:val="14"/>
                  <w:szCs w:val="14"/>
                  <w:color w:val="0000EE"/>
                </w:rPr>
                <w:t>Additional item Executive Officers of the Registrant.</w:t>
              </w:r>
            </w:hyperlink>
          </w:p>
        </w:tc>
        <w:tc>
          <w:tcPr>
            <w:tcW w:w="1860" w:type="dxa"/>
            <w:vAlign w:val="bottom"/>
          </w:tcPr>
          <w:p>
            <w:pPr>
              <w:jc w:val="right"/>
              <w:spacing w:after="0"/>
              <w:rPr>
                <w:sz w:val="20"/>
                <w:szCs w:val="20"/>
                <w:color w:val="auto"/>
              </w:rPr>
            </w:pPr>
            <w:r>
              <w:rPr>
                <w:rFonts w:ascii="Arial" w:cs="Arial" w:eastAsia="Arial" w:hAnsi="Arial"/>
                <w:sz w:val="14"/>
                <w:szCs w:val="14"/>
                <w:color w:val="auto"/>
              </w:rPr>
              <w:t>7</w:t>
            </w:r>
          </w:p>
        </w:tc>
      </w:tr>
      <w:tr>
        <w:trPr>
          <w:trHeight w:val="320"/>
        </w:trPr>
        <w:tc>
          <w:tcPr>
            <w:tcW w:w="4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Borders>
              <w:bottom w:val="single" w:sz="8" w:color="0000EE"/>
            </w:tcBorders>
            <w:gridSpan w:val="4"/>
          </w:tcPr>
          <w:p>
            <w:pPr>
              <w:jc w:val="center"/>
              <w:spacing w:after="0"/>
              <w:rPr>
                <w:rFonts w:ascii="Arial" w:cs="Arial" w:eastAsia="Arial" w:hAnsi="Arial"/>
                <w:sz w:val="14"/>
                <w:szCs w:val="14"/>
                <w:b w:val="1"/>
                <w:bCs w:val="1"/>
                <w:color w:val="0000EE"/>
              </w:rPr>
            </w:pPr>
            <w:hyperlink w:anchor="page9">
              <w:r>
                <w:rPr>
                  <w:rFonts w:ascii="Arial" w:cs="Arial" w:eastAsia="Arial" w:hAnsi="Arial"/>
                  <w:sz w:val="14"/>
                  <w:szCs w:val="14"/>
                  <w:b w:val="1"/>
                  <w:bCs w:val="1"/>
                  <w:color w:val="0000EE"/>
                </w:rPr>
                <w:t>PART II</w:t>
              </w:r>
            </w:hyperlink>
          </w:p>
        </w:tc>
        <w:tc>
          <w:tcPr>
            <w:tcW w:w="2440" w:type="dxa"/>
            <w:vAlign w:val="bottom"/>
            <w:gridSpan w:val="7"/>
          </w:tcPr>
          <w:p>
            <w:pPr>
              <w:spacing w:after="0"/>
              <w:rPr>
                <w:sz w:val="24"/>
                <w:szCs w:val="24"/>
                <w:color w:val="auto"/>
              </w:rPr>
            </w:pPr>
          </w:p>
        </w:tc>
        <w:tc>
          <w:tcPr>
            <w:tcW w:w="1860" w:type="dxa"/>
            <w:vAlign w:val="bottom"/>
          </w:tcPr>
          <w:p>
            <w:pPr>
              <w:spacing w:after="0"/>
              <w:rPr>
                <w:sz w:val="24"/>
                <w:szCs w:val="24"/>
                <w:color w:val="auto"/>
              </w:rPr>
            </w:pPr>
          </w:p>
        </w:tc>
      </w:tr>
      <w:tr>
        <w:trPr>
          <w:trHeight w:val="320"/>
        </w:trPr>
        <w:tc>
          <w:tcPr>
            <w:tcW w:w="840" w:type="dxa"/>
            <w:vAlign w:val="bottom"/>
            <w:gridSpan w:val="5"/>
          </w:tcPr>
          <w:p>
            <w:pPr>
              <w:spacing w:after="0"/>
              <w:rPr>
                <w:rFonts w:ascii="Arial" w:cs="Arial" w:eastAsia="Arial" w:hAnsi="Arial"/>
                <w:sz w:val="14"/>
                <w:szCs w:val="14"/>
                <w:color w:val="0000EE"/>
              </w:rPr>
            </w:pPr>
            <w:hyperlink w:anchor="page9">
              <w:r>
                <w:rPr>
                  <w:rFonts w:ascii="Arial" w:cs="Arial" w:eastAsia="Arial" w:hAnsi="Arial"/>
                  <w:sz w:val="14"/>
                  <w:szCs w:val="14"/>
                  <w:color w:val="0000EE"/>
                </w:rPr>
                <w:t>Item 5.</w:t>
              </w:r>
            </w:hyperlink>
          </w:p>
        </w:tc>
        <w:tc>
          <w:tcPr>
            <w:tcW w:w="6400" w:type="dxa"/>
            <w:vAlign w:val="bottom"/>
            <w:gridSpan w:val="25"/>
          </w:tcPr>
          <w:p>
            <w:pPr>
              <w:spacing w:after="0"/>
              <w:rPr>
                <w:rFonts w:ascii="Arial" w:cs="Arial" w:eastAsia="Arial" w:hAnsi="Arial"/>
                <w:sz w:val="14"/>
                <w:szCs w:val="14"/>
                <w:color w:val="0000EE"/>
                <w:w w:val="91"/>
              </w:rPr>
            </w:pPr>
            <w:hyperlink w:anchor="page9">
              <w:r>
                <w:rPr>
                  <w:rFonts w:ascii="Arial" w:cs="Arial" w:eastAsia="Arial" w:hAnsi="Arial"/>
                  <w:sz w:val="14"/>
                  <w:szCs w:val="14"/>
                  <w:color w:val="0000EE"/>
                  <w:w w:val="91"/>
                </w:rPr>
                <w:t>Market for Registrant’s Common Equity, Related Shareholder Matters and Issuer Purchases of Equity Securities.</w:t>
              </w:r>
            </w:hyperlink>
          </w:p>
        </w:tc>
        <w:tc>
          <w:tcPr>
            <w:tcW w:w="1860" w:type="dxa"/>
            <w:vAlign w:val="bottom"/>
          </w:tcPr>
          <w:p>
            <w:pPr>
              <w:jc w:val="right"/>
              <w:spacing w:after="0"/>
              <w:rPr>
                <w:sz w:val="20"/>
                <w:szCs w:val="20"/>
                <w:color w:val="auto"/>
              </w:rPr>
            </w:pPr>
            <w:r>
              <w:rPr>
                <w:rFonts w:ascii="Arial" w:cs="Arial" w:eastAsia="Arial" w:hAnsi="Arial"/>
                <w:sz w:val="14"/>
                <w:szCs w:val="14"/>
                <w:color w:val="auto"/>
              </w:rPr>
              <w:t>8</w:t>
            </w:r>
          </w:p>
        </w:tc>
      </w:tr>
      <w:tr>
        <w:trPr>
          <w:trHeight w:val="20"/>
        </w:trPr>
        <w:tc>
          <w:tcPr>
            <w:tcW w:w="4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100" w:type="dxa"/>
            <w:vAlign w:val="bottom"/>
            <w:tcBorders>
              <w:right w:val="single" w:sz="8" w:color="0000EE"/>
            </w:tcBorders>
            <w:gridSpan w:val="4"/>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150"/>
        </w:trPr>
        <w:tc>
          <w:tcPr>
            <w:tcW w:w="840" w:type="dxa"/>
            <w:vAlign w:val="bottom"/>
            <w:gridSpan w:val="5"/>
          </w:tcPr>
          <w:p>
            <w:pPr>
              <w:spacing w:after="0" w:line="150" w:lineRule="exact"/>
              <w:rPr>
                <w:rFonts w:ascii="Arial" w:cs="Arial" w:eastAsia="Arial" w:hAnsi="Arial"/>
                <w:sz w:val="14"/>
                <w:szCs w:val="14"/>
                <w:color w:val="0000EE"/>
              </w:rPr>
            </w:pPr>
            <w:hyperlink w:anchor="page10">
              <w:r>
                <w:rPr>
                  <w:rFonts w:ascii="Arial" w:cs="Arial" w:eastAsia="Arial" w:hAnsi="Arial"/>
                  <w:sz w:val="14"/>
                  <w:szCs w:val="14"/>
                  <w:color w:val="0000EE"/>
                </w:rPr>
                <w:t>Item 6.</w:t>
              </w:r>
            </w:hyperlink>
          </w:p>
        </w:tc>
        <w:tc>
          <w:tcPr>
            <w:tcW w:w="6400" w:type="dxa"/>
            <w:vAlign w:val="bottom"/>
            <w:gridSpan w:val="25"/>
          </w:tcPr>
          <w:p>
            <w:pPr>
              <w:spacing w:after="0" w:line="150" w:lineRule="exact"/>
              <w:rPr>
                <w:rFonts w:ascii="Arial" w:cs="Arial" w:eastAsia="Arial" w:hAnsi="Arial"/>
                <w:sz w:val="14"/>
                <w:szCs w:val="14"/>
                <w:color w:val="0000EE"/>
              </w:rPr>
            </w:pPr>
            <w:hyperlink w:anchor="page10">
              <w:r>
                <w:rPr>
                  <w:rFonts w:ascii="Arial" w:cs="Arial" w:eastAsia="Arial" w:hAnsi="Arial"/>
                  <w:sz w:val="14"/>
                  <w:szCs w:val="14"/>
                  <w:color w:val="0000EE"/>
                </w:rPr>
                <w:t>Selected Financial Data.</w:t>
              </w:r>
            </w:hyperlink>
          </w:p>
        </w:tc>
        <w:tc>
          <w:tcPr>
            <w:tcW w:w="1860" w:type="dxa"/>
            <w:vAlign w:val="bottom"/>
          </w:tcPr>
          <w:p>
            <w:pPr>
              <w:jc w:val="right"/>
              <w:spacing w:after="0" w:line="150" w:lineRule="exact"/>
              <w:rPr>
                <w:sz w:val="20"/>
                <w:szCs w:val="20"/>
                <w:color w:val="auto"/>
              </w:rPr>
            </w:pPr>
            <w:r>
              <w:rPr>
                <w:rFonts w:ascii="Arial" w:cs="Arial" w:eastAsia="Arial" w:hAnsi="Arial"/>
                <w:sz w:val="14"/>
                <w:szCs w:val="14"/>
                <w:color w:val="auto"/>
              </w:rPr>
              <w:t>9</w:t>
            </w:r>
          </w:p>
        </w:tc>
      </w:tr>
      <w:tr>
        <w:trPr>
          <w:trHeight w:val="20"/>
        </w:trPr>
        <w:tc>
          <w:tcPr>
            <w:tcW w:w="4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100" w:type="dxa"/>
            <w:vAlign w:val="bottom"/>
            <w:tcBorders>
              <w:right w:val="single" w:sz="8" w:color="0000EE"/>
            </w:tcBorders>
            <w:gridSpan w:val="4"/>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150"/>
        </w:trPr>
        <w:tc>
          <w:tcPr>
            <w:tcW w:w="840" w:type="dxa"/>
            <w:vAlign w:val="bottom"/>
            <w:gridSpan w:val="5"/>
          </w:tcPr>
          <w:p>
            <w:pPr>
              <w:spacing w:after="0" w:line="150" w:lineRule="exact"/>
              <w:rPr>
                <w:rFonts w:ascii="Arial" w:cs="Arial" w:eastAsia="Arial" w:hAnsi="Arial"/>
                <w:sz w:val="14"/>
                <w:szCs w:val="14"/>
                <w:color w:val="0000EE"/>
              </w:rPr>
            </w:pPr>
            <w:hyperlink w:anchor="page10">
              <w:r>
                <w:rPr>
                  <w:rFonts w:ascii="Arial" w:cs="Arial" w:eastAsia="Arial" w:hAnsi="Arial"/>
                  <w:sz w:val="14"/>
                  <w:szCs w:val="14"/>
                  <w:color w:val="0000EE"/>
                </w:rPr>
                <w:t>Item 7.</w:t>
              </w:r>
            </w:hyperlink>
          </w:p>
        </w:tc>
        <w:tc>
          <w:tcPr>
            <w:tcW w:w="6400" w:type="dxa"/>
            <w:vAlign w:val="bottom"/>
            <w:gridSpan w:val="25"/>
          </w:tcPr>
          <w:p>
            <w:pPr>
              <w:spacing w:after="0" w:line="150" w:lineRule="exact"/>
              <w:rPr>
                <w:rFonts w:ascii="Arial" w:cs="Arial" w:eastAsia="Arial" w:hAnsi="Arial"/>
                <w:sz w:val="14"/>
                <w:szCs w:val="14"/>
                <w:color w:val="0000EE"/>
              </w:rPr>
            </w:pPr>
            <w:hyperlink w:anchor="page10">
              <w:r>
                <w:rPr>
                  <w:rFonts w:ascii="Arial" w:cs="Arial" w:eastAsia="Arial" w:hAnsi="Arial"/>
                  <w:sz w:val="14"/>
                  <w:szCs w:val="14"/>
                  <w:color w:val="0000EE"/>
                </w:rPr>
                <w:t>Management’s Discussion and Analysis of Financial Condition and Results of Operations.</w:t>
              </w:r>
            </w:hyperlink>
          </w:p>
        </w:tc>
        <w:tc>
          <w:tcPr>
            <w:tcW w:w="1860" w:type="dxa"/>
            <w:vAlign w:val="bottom"/>
          </w:tcPr>
          <w:p>
            <w:pPr>
              <w:jc w:val="right"/>
              <w:spacing w:after="0" w:line="150" w:lineRule="exact"/>
              <w:rPr>
                <w:sz w:val="20"/>
                <w:szCs w:val="20"/>
                <w:color w:val="auto"/>
              </w:rPr>
            </w:pPr>
            <w:r>
              <w:rPr>
                <w:rFonts w:ascii="Arial" w:cs="Arial" w:eastAsia="Arial" w:hAnsi="Arial"/>
                <w:sz w:val="14"/>
                <w:szCs w:val="14"/>
                <w:color w:val="auto"/>
              </w:rPr>
              <w:t>9</w:t>
            </w:r>
          </w:p>
        </w:tc>
      </w:tr>
      <w:tr>
        <w:trPr>
          <w:trHeight w:val="20"/>
        </w:trPr>
        <w:tc>
          <w:tcPr>
            <w:tcW w:w="4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100" w:type="dxa"/>
            <w:vAlign w:val="bottom"/>
            <w:tcBorders>
              <w:right w:val="single" w:sz="8" w:color="0000EE"/>
            </w:tcBorders>
            <w:gridSpan w:val="4"/>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8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150"/>
        </w:trPr>
        <w:tc>
          <w:tcPr>
            <w:tcW w:w="520" w:type="dxa"/>
            <w:vAlign w:val="bottom"/>
            <w:tcBorders>
              <w:bottom w:val="single" w:sz="8" w:color="0000EE"/>
            </w:tcBorders>
            <w:gridSpan w:val="4"/>
          </w:tcPr>
          <w:p>
            <w:pPr>
              <w:spacing w:after="0" w:line="150" w:lineRule="exact"/>
              <w:rPr>
                <w:rFonts w:ascii="Arial" w:cs="Arial" w:eastAsia="Arial" w:hAnsi="Arial"/>
                <w:sz w:val="14"/>
                <w:szCs w:val="14"/>
                <w:color w:val="0000EE"/>
                <w:w w:val="95"/>
              </w:rPr>
            </w:pPr>
            <w:hyperlink w:anchor="page10">
              <w:r>
                <w:rPr>
                  <w:rFonts w:ascii="Arial" w:cs="Arial" w:eastAsia="Arial" w:hAnsi="Arial"/>
                  <w:sz w:val="14"/>
                  <w:szCs w:val="14"/>
                  <w:color w:val="0000EE"/>
                  <w:w w:val="95"/>
                </w:rPr>
                <w:t>Item 7A.</w:t>
              </w:r>
            </w:hyperlink>
          </w:p>
        </w:tc>
        <w:tc>
          <w:tcPr>
            <w:tcW w:w="320" w:type="dxa"/>
            <w:vAlign w:val="bottom"/>
          </w:tcPr>
          <w:p>
            <w:pPr>
              <w:spacing w:after="0"/>
              <w:rPr>
                <w:sz w:val="13"/>
                <w:szCs w:val="13"/>
                <w:color w:val="auto"/>
              </w:rPr>
            </w:pPr>
          </w:p>
        </w:tc>
        <w:tc>
          <w:tcPr>
            <w:tcW w:w="3480" w:type="dxa"/>
            <w:vAlign w:val="bottom"/>
            <w:tcBorders>
              <w:bottom w:val="single" w:sz="8" w:color="0000EE"/>
            </w:tcBorders>
            <w:gridSpan w:val="16"/>
          </w:tcPr>
          <w:p>
            <w:pPr>
              <w:spacing w:after="0" w:line="150" w:lineRule="exact"/>
              <w:rPr>
                <w:rFonts w:ascii="Arial" w:cs="Arial" w:eastAsia="Arial" w:hAnsi="Arial"/>
                <w:sz w:val="14"/>
                <w:szCs w:val="14"/>
                <w:color w:val="0000EE"/>
                <w:w w:val="93"/>
              </w:rPr>
            </w:pPr>
            <w:hyperlink w:anchor="page10">
              <w:r>
                <w:rPr>
                  <w:rFonts w:ascii="Arial" w:cs="Arial" w:eastAsia="Arial" w:hAnsi="Arial"/>
                  <w:sz w:val="14"/>
                  <w:szCs w:val="14"/>
                  <w:color w:val="0000EE"/>
                  <w:w w:val="93"/>
                </w:rPr>
                <w:t>Quantitative and Qualitative Disclosures About Market Risk.</w:t>
              </w:r>
            </w:hyperlink>
          </w:p>
        </w:tc>
        <w:tc>
          <w:tcPr>
            <w:tcW w:w="2920" w:type="dxa"/>
            <w:vAlign w:val="bottom"/>
            <w:gridSpan w:val="9"/>
          </w:tcPr>
          <w:p>
            <w:pPr>
              <w:spacing w:after="0"/>
              <w:rPr>
                <w:sz w:val="13"/>
                <w:szCs w:val="13"/>
                <w:color w:val="auto"/>
              </w:rPr>
            </w:pPr>
          </w:p>
        </w:tc>
        <w:tc>
          <w:tcPr>
            <w:tcW w:w="1860" w:type="dxa"/>
            <w:vAlign w:val="bottom"/>
          </w:tcPr>
          <w:p>
            <w:pPr>
              <w:jc w:val="right"/>
              <w:spacing w:after="0" w:line="150" w:lineRule="exact"/>
              <w:rPr>
                <w:sz w:val="20"/>
                <w:szCs w:val="20"/>
                <w:color w:val="auto"/>
              </w:rPr>
            </w:pPr>
            <w:r>
              <w:rPr>
                <w:rFonts w:ascii="Arial" w:cs="Arial" w:eastAsia="Arial" w:hAnsi="Arial"/>
                <w:sz w:val="14"/>
                <w:szCs w:val="14"/>
                <w:color w:val="auto"/>
              </w:rPr>
              <w:t>9</w:t>
            </w:r>
          </w:p>
        </w:tc>
      </w:tr>
      <w:tr>
        <w:trPr>
          <w:trHeight w:val="150"/>
        </w:trPr>
        <w:tc>
          <w:tcPr>
            <w:tcW w:w="840" w:type="dxa"/>
            <w:vAlign w:val="bottom"/>
            <w:gridSpan w:val="5"/>
          </w:tcPr>
          <w:p>
            <w:pPr>
              <w:spacing w:after="0" w:line="150" w:lineRule="exact"/>
              <w:rPr>
                <w:rFonts w:ascii="Arial" w:cs="Arial" w:eastAsia="Arial" w:hAnsi="Arial"/>
                <w:sz w:val="14"/>
                <w:szCs w:val="14"/>
                <w:color w:val="0000EE"/>
              </w:rPr>
            </w:pPr>
            <w:hyperlink w:anchor="page10">
              <w:r>
                <w:rPr>
                  <w:rFonts w:ascii="Arial" w:cs="Arial" w:eastAsia="Arial" w:hAnsi="Arial"/>
                  <w:sz w:val="14"/>
                  <w:szCs w:val="14"/>
                  <w:color w:val="0000EE"/>
                </w:rPr>
                <w:t>Item 8.</w:t>
              </w:r>
            </w:hyperlink>
          </w:p>
        </w:tc>
        <w:tc>
          <w:tcPr>
            <w:tcW w:w="6400" w:type="dxa"/>
            <w:vAlign w:val="bottom"/>
            <w:gridSpan w:val="25"/>
          </w:tcPr>
          <w:p>
            <w:pPr>
              <w:spacing w:after="0" w:line="150" w:lineRule="exact"/>
              <w:rPr>
                <w:rFonts w:ascii="Arial" w:cs="Arial" w:eastAsia="Arial" w:hAnsi="Arial"/>
                <w:sz w:val="14"/>
                <w:szCs w:val="14"/>
                <w:color w:val="0000EE"/>
              </w:rPr>
            </w:pPr>
            <w:hyperlink w:anchor="page10">
              <w:r>
                <w:rPr>
                  <w:rFonts w:ascii="Arial" w:cs="Arial" w:eastAsia="Arial" w:hAnsi="Arial"/>
                  <w:sz w:val="14"/>
                  <w:szCs w:val="14"/>
                  <w:color w:val="0000EE"/>
                </w:rPr>
                <w:t>Financial Statements and Supplementary Data.</w:t>
              </w:r>
            </w:hyperlink>
          </w:p>
        </w:tc>
        <w:tc>
          <w:tcPr>
            <w:tcW w:w="1860" w:type="dxa"/>
            <w:vAlign w:val="bottom"/>
          </w:tcPr>
          <w:p>
            <w:pPr>
              <w:jc w:val="right"/>
              <w:spacing w:after="0" w:line="150" w:lineRule="exact"/>
              <w:rPr>
                <w:sz w:val="20"/>
                <w:szCs w:val="20"/>
                <w:color w:val="auto"/>
              </w:rPr>
            </w:pPr>
            <w:r>
              <w:rPr>
                <w:rFonts w:ascii="Arial" w:cs="Arial" w:eastAsia="Arial" w:hAnsi="Arial"/>
                <w:sz w:val="14"/>
                <w:szCs w:val="14"/>
                <w:color w:val="auto"/>
              </w:rPr>
              <w:t>9</w:t>
            </w:r>
          </w:p>
        </w:tc>
      </w:tr>
      <w:tr>
        <w:trPr>
          <w:trHeight w:val="20"/>
        </w:trPr>
        <w:tc>
          <w:tcPr>
            <w:tcW w:w="4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100" w:type="dxa"/>
            <w:vAlign w:val="bottom"/>
            <w:tcBorders>
              <w:right w:val="single" w:sz="8" w:color="0000EE"/>
            </w:tcBorders>
            <w:gridSpan w:val="4"/>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8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150"/>
        </w:trPr>
        <w:tc>
          <w:tcPr>
            <w:tcW w:w="840" w:type="dxa"/>
            <w:vAlign w:val="bottom"/>
            <w:gridSpan w:val="5"/>
          </w:tcPr>
          <w:p>
            <w:pPr>
              <w:spacing w:after="0" w:line="150" w:lineRule="exact"/>
              <w:rPr>
                <w:rFonts w:ascii="Arial" w:cs="Arial" w:eastAsia="Arial" w:hAnsi="Arial"/>
                <w:sz w:val="14"/>
                <w:szCs w:val="14"/>
                <w:color w:val="0000EE"/>
              </w:rPr>
            </w:pPr>
            <w:hyperlink w:anchor="page11">
              <w:r>
                <w:rPr>
                  <w:rFonts w:ascii="Arial" w:cs="Arial" w:eastAsia="Arial" w:hAnsi="Arial"/>
                  <w:sz w:val="14"/>
                  <w:szCs w:val="14"/>
                  <w:color w:val="0000EE"/>
                </w:rPr>
                <w:t>Item 9.</w:t>
              </w:r>
            </w:hyperlink>
          </w:p>
        </w:tc>
        <w:tc>
          <w:tcPr>
            <w:tcW w:w="6400" w:type="dxa"/>
            <w:vAlign w:val="bottom"/>
            <w:gridSpan w:val="25"/>
          </w:tcPr>
          <w:p>
            <w:pPr>
              <w:spacing w:after="0" w:line="150" w:lineRule="exact"/>
              <w:rPr>
                <w:rFonts w:ascii="Arial" w:cs="Arial" w:eastAsia="Arial" w:hAnsi="Arial"/>
                <w:sz w:val="14"/>
                <w:szCs w:val="14"/>
                <w:color w:val="0000EE"/>
              </w:rPr>
            </w:pPr>
            <w:hyperlink w:anchor="page11">
              <w:r>
                <w:rPr>
                  <w:rFonts w:ascii="Arial" w:cs="Arial" w:eastAsia="Arial" w:hAnsi="Arial"/>
                  <w:sz w:val="14"/>
                  <w:szCs w:val="14"/>
                  <w:color w:val="0000EE"/>
                </w:rPr>
                <w:t>Changes In and Disagreements with Accountants on Accounting and Financial Disclosure.</w:t>
              </w:r>
            </w:hyperlink>
          </w:p>
        </w:tc>
        <w:tc>
          <w:tcPr>
            <w:tcW w:w="1860" w:type="dxa"/>
            <w:vAlign w:val="bottom"/>
          </w:tcPr>
          <w:p>
            <w:pPr>
              <w:jc w:val="right"/>
              <w:spacing w:after="0" w:line="150" w:lineRule="exact"/>
              <w:rPr>
                <w:sz w:val="20"/>
                <w:szCs w:val="20"/>
                <w:color w:val="auto"/>
              </w:rPr>
            </w:pPr>
            <w:r>
              <w:rPr>
                <w:rFonts w:ascii="Arial" w:cs="Arial" w:eastAsia="Arial" w:hAnsi="Arial"/>
                <w:sz w:val="14"/>
                <w:szCs w:val="14"/>
                <w:color w:val="auto"/>
              </w:rPr>
              <w:t>10</w:t>
            </w:r>
          </w:p>
        </w:tc>
      </w:tr>
      <w:tr>
        <w:trPr>
          <w:trHeight w:val="20"/>
        </w:trPr>
        <w:tc>
          <w:tcPr>
            <w:tcW w:w="4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100" w:type="dxa"/>
            <w:vAlign w:val="bottom"/>
            <w:tcBorders>
              <w:right w:val="single" w:sz="8" w:color="0000EE"/>
            </w:tcBorders>
            <w:gridSpan w:val="4"/>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8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150"/>
        </w:trPr>
        <w:tc>
          <w:tcPr>
            <w:tcW w:w="520" w:type="dxa"/>
            <w:vAlign w:val="bottom"/>
            <w:tcBorders>
              <w:bottom w:val="single" w:sz="8" w:color="0000EE"/>
            </w:tcBorders>
            <w:gridSpan w:val="4"/>
          </w:tcPr>
          <w:p>
            <w:pPr>
              <w:spacing w:after="0" w:line="150" w:lineRule="exact"/>
              <w:rPr>
                <w:rFonts w:ascii="Arial" w:cs="Arial" w:eastAsia="Arial" w:hAnsi="Arial"/>
                <w:sz w:val="14"/>
                <w:szCs w:val="14"/>
                <w:color w:val="0000EE"/>
                <w:w w:val="95"/>
              </w:rPr>
            </w:pPr>
            <w:hyperlink w:anchor="page11">
              <w:r>
                <w:rPr>
                  <w:rFonts w:ascii="Arial" w:cs="Arial" w:eastAsia="Arial" w:hAnsi="Arial"/>
                  <w:sz w:val="14"/>
                  <w:szCs w:val="14"/>
                  <w:color w:val="0000EE"/>
                  <w:w w:val="95"/>
                </w:rPr>
                <w:t>Item 9A.</w:t>
              </w:r>
            </w:hyperlink>
          </w:p>
        </w:tc>
        <w:tc>
          <w:tcPr>
            <w:tcW w:w="320" w:type="dxa"/>
            <w:vAlign w:val="bottom"/>
          </w:tcPr>
          <w:p>
            <w:pPr>
              <w:spacing w:after="0"/>
              <w:rPr>
                <w:sz w:val="13"/>
                <w:szCs w:val="13"/>
                <w:color w:val="auto"/>
              </w:rPr>
            </w:pPr>
          </w:p>
        </w:tc>
        <w:tc>
          <w:tcPr>
            <w:tcW w:w="1380" w:type="dxa"/>
            <w:vAlign w:val="bottom"/>
            <w:tcBorders>
              <w:bottom w:val="single" w:sz="8" w:color="0000EE"/>
            </w:tcBorders>
            <w:gridSpan w:val="5"/>
          </w:tcPr>
          <w:p>
            <w:pPr>
              <w:spacing w:after="0" w:line="150" w:lineRule="exact"/>
              <w:rPr>
                <w:rFonts w:ascii="Arial" w:cs="Arial" w:eastAsia="Arial" w:hAnsi="Arial"/>
                <w:sz w:val="14"/>
                <w:szCs w:val="14"/>
                <w:color w:val="0000EE"/>
                <w:w w:val="84"/>
              </w:rPr>
            </w:pPr>
            <w:hyperlink w:anchor="page11">
              <w:r>
                <w:rPr>
                  <w:rFonts w:ascii="Arial" w:cs="Arial" w:eastAsia="Arial" w:hAnsi="Arial"/>
                  <w:sz w:val="14"/>
                  <w:szCs w:val="14"/>
                  <w:color w:val="0000EE"/>
                  <w:w w:val="84"/>
                </w:rPr>
                <w:t>Controls and Procedures.</w:t>
              </w:r>
            </w:hyperlink>
          </w:p>
        </w:tc>
        <w:tc>
          <w:tcPr>
            <w:tcW w:w="5020" w:type="dxa"/>
            <w:vAlign w:val="bottom"/>
            <w:gridSpan w:val="20"/>
          </w:tcPr>
          <w:p>
            <w:pPr>
              <w:spacing w:after="0"/>
              <w:rPr>
                <w:sz w:val="13"/>
                <w:szCs w:val="13"/>
                <w:color w:val="auto"/>
              </w:rPr>
            </w:pPr>
          </w:p>
        </w:tc>
        <w:tc>
          <w:tcPr>
            <w:tcW w:w="1860" w:type="dxa"/>
            <w:vAlign w:val="bottom"/>
          </w:tcPr>
          <w:p>
            <w:pPr>
              <w:jc w:val="right"/>
              <w:spacing w:after="0" w:line="150" w:lineRule="exact"/>
              <w:rPr>
                <w:sz w:val="20"/>
                <w:szCs w:val="20"/>
                <w:color w:val="auto"/>
              </w:rPr>
            </w:pPr>
            <w:r>
              <w:rPr>
                <w:rFonts w:ascii="Arial" w:cs="Arial" w:eastAsia="Arial" w:hAnsi="Arial"/>
                <w:sz w:val="14"/>
                <w:szCs w:val="14"/>
                <w:color w:val="auto"/>
              </w:rPr>
              <w:t>10</w:t>
            </w:r>
          </w:p>
        </w:tc>
      </w:tr>
      <w:tr>
        <w:trPr>
          <w:trHeight w:val="150"/>
        </w:trPr>
        <w:tc>
          <w:tcPr>
            <w:tcW w:w="840" w:type="dxa"/>
            <w:vAlign w:val="bottom"/>
            <w:gridSpan w:val="5"/>
          </w:tcPr>
          <w:p>
            <w:pPr>
              <w:spacing w:after="0" w:line="150" w:lineRule="exact"/>
              <w:rPr>
                <w:rFonts w:ascii="Arial" w:cs="Arial" w:eastAsia="Arial" w:hAnsi="Arial"/>
                <w:sz w:val="14"/>
                <w:szCs w:val="14"/>
                <w:color w:val="0000EE"/>
              </w:rPr>
            </w:pPr>
            <w:hyperlink w:anchor="page11">
              <w:r>
                <w:rPr>
                  <w:rFonts w:ascii="Arial" w:cs="Arial" w:eastAsia="Arial" w:hAnsi="Arial"/>
                  <w:sz w:val="14"/>
                  <w:szCs w:val="14"/>
                  <w:color w:val="0000EE"/>
                </w:rPr>
                <w:t>Item 9B.</w:t>
              </w:r>
            </w:hyperlink>
          </w:p>
        </w:tc>
        <w:tc>
          <w:tcPr>
            <w:tcW w:w="6400" w:type="dxa"/>
            <w:vAlign w:val="bottom"/>
            <w:gridSpan w:val="25"/>
          </w:tcPr>
          <w:p>
            <w:pPr>
              <w:spacing w:after="0" w:line="150" w:lineRule="exact"/>
              <w:rPr>
                <w:rFonts w:ascii="Arial" w:cs="Arial" w:eastAsia="Arial" w:hAnsi="Arial"/>
                <w:sz w:val="14"/>
                <w:szCs w:val="14"/>
                <w:color w:val="0000EE"/>
              </w:rPr>
            </w:pPr>
            <w:hyperlink w:anchor="page11">
              <w:r>
                <w:rPr>
                  <w:rFonts w:ascii="Arial" w:cs="Arial" w:eastAsia="Arial" w:hAnsi="Arial"/>
                  <w:sz w:val="14"/>
                  <w:szCs w:val="14"/>
                  <w:color w:val="0000EE"/>
                </w:rPr>
                <w:t>Other Information.</w:t>
              </w:r>
            </w:hyperlink>
          </w:p>
        </w:tc>
        <w:tc>
          <w:tcPr>
            <w:tcW w:w="1860" w:type="dxa"/>
            <w:vAlign w:val="bottom"/>
          </w:tcPr>
          <w:p>
            <w:pPr>
              <w:jc w:val="right"/>
              <w:spacing w:after="0" w:line="150" w:lineRule="exact"/>
              <w:rPr>
                <w:sz w:val="20"/>
                <w:szCs w:val="20"/>
                <w:color w:val="auto"/>
              </w:rPr>
            </w:pPr>
            <w:r>
              <w:rPr>
                <w:rFonts w:ascii="Arial" w:cs="Arial" w:eastAsia="Arial" w:hAnsi="Arial"/>
                <w:sz w:val="14"/>
                <w:szCs w:val="14"/>
                <w:color w:val="auto"/>
              </w:rPr>
              <w:t>10</w:t>
            </w:r>
          </w:p>
        </w:tc>
      </w:tr>
      <w:tr>
        <w:trPr>
          <w:trHeight w:val="320"/>
        </w:trPr>
        <w:tc>
          <w:tcPr>
            <w:tcW w:w="4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Borders>
              <w:bottom w:val="single" w:sz="8" w:color="0000EE"/>
            </w:tcBorders>
            <w:gridSpan w:val="7"/>
          </w:tcPr>
          <w:p>
            <w:pPr>
              <w:jc w:val="center"/>
              <w:ind w:right="20"/>
              <w:spacing w:after="0"/>
              <w:rPr>
                <w:rFonts w:ascii="Arial" w:cs="Arial" w:eastAsia="Arial" w:hAnsi="Arial"/>
                <w:sz w:val="14"/>
                <w:szCs w:val="14"/>
                <w:b w:val="1"/>
                <w:bCs w:val="1"/>
                <w:color w:val="0000EE"/>
              </w:rPr>
            </w:pPr>
            <w:hyperlink w:anchor="page11">
              <w:r>
                <w:rPr>
                  <w:rFonts w:ascii="Arial" w:cs="Arial" w:eastAsia="Arial" w:hAnsi="Arial"/>
                  <w:sz w:val="14"/>
                  <w:szCs w:val="14"/>
                  <w:b w:val="1"/>
                  <w:bCs w:val="1"/>
                  <w:color w:val="0000EE"/>
                </w:rPr>
                <w:t>PART III</w:t>
              </w:r>
            </w:hyperlink>
          </w:p>
        </w:tc>
        <w:tc>
          <w:tcPr>
            <w:tcW w:w="2400" w:type="dxa"/>
            <w:vAlign w:val="bottom"/>
            <w:gridSpan w:val="5"/>
          </w:tcPr>
          <w:p>
            <w:pPr>
              <w:spacing w:after="0"/>
              <w:rPr>
                <w:sz w:val="24"/>
                <w:szCs w:val="24"/>
                <w:color w:val="auto"/>
              </w:rPr>
            </w:pPr>
          </w:p>
        </w:tc>
        <w:tc>
          <w:tcPr>
            <w:tcW w:w="1860" w:type="dxa"/>
            <w:vAlign w:val="bottom"/>
          </w:tcPr>
          <w:p>
            <w:pPr>
              <w:spacing w:after="0"/>
              <w:rPr>
                <w:sz w:val="24"/>
                <w:szCs w:val="24"/>
                <w:color w:val="auto"/>
              </w:rPr>
            </w:pPr>
          </w:p>
        </w:tc>
      </w:tr>
      <w:tr>
        <w:trPr>
          <w:trHeight w:val="320"/>
        </w:trPr>
        <w:tc>
          <w:tcPr>
            <w:tcW w:w="840" w:type="dxa"/>
            <w:vAlign w:val="bottom"/>
            <w:gridSpan w:val="5"/>
          </w:tcPr>
          <w:p>
            <w:pPr>
              <w:spacing w:after="0"/>
              <w:rPr>
                <w:rFonts w:ascii="Arial" w:cs="Arial" w:eastAsia="Arial" w:hAnsi="Arial"/>
                <w:sz w:val="14"/>
                <w:szCs w:val="14"/>
                <w:color w:val="0000EE"/>
              </w:rPr>
            </w:pPr>
            <w:hyperlink w:anchor="page11">
              <w:r>
                <w:rPr>
                  <w:rFonts w:ascii="Arial" w:cs="Arial" w:eastAsia="Arial" w:hAnsi="Arial"/>
                  <w:sz w:val="14"/>
                  <w:szCs w:val="14"/>
                  <w:color w:val="0000EE"/>
                </w:rPr>
                <w:t>Item 10.</w:t>
              </w:r>
            </w:hyperlink>
          </w:p>
        </w:tc>
        <w:tc>
          <w:tcPr>
            <w:tcW w:w="6400" w:type="dxa"/>
            <w:vAlign w:val="bottom"/>
            <w:gridSpan w:val="25"/>
          </w:tcPr>
          <w:p>
            <w:pPr>
              <w:spacing w:after="0"/>
              <w:rPr>
                <w:rFonts w:ascii="Arial" w:cs="Arial" w:eastAsia="Arial" w:hAnsi="Arial"/>
                <w:sz w:val="14"/>
                <w:szCs w:val="14"/>
                <w:color w:val="0000EE"/>
              </w:rPr>
            </w:pPr>
            <w:hyperlink w:anchor="page11">
              <w:r>
                <w:rPr>
                  <w:rFonts w:ascii="Arial" w:cs="Arial" w:eastAsia="Arial" w:hAnsi="Arial"/>
                  <w:sz w:val="14"/>
                  <w:szCs w:val="14"/>
                  <w:color w:val="0000EE"/>
                </w:rPr>
                <w:t>Directors, Executive Officers and Corporate Governance.</w:t>
              </w:r>
            </w:hyperlink>
          </w:p>
        </w:tc>
        <w:tc>
          <w:tcPr>
            <w:tcW w:w="1860" w:type="dxa"/>
            <w:vAlign w:val="bottom"/>
          </w:tcPr>
          <w:p>
            <w:pPr>
              <w:jc w:val="right"/>
              <w:spacing w:after="0"/>
              <w:rPr>
                <w:sz w:val="20"/>
                <w:szCs w:val="20"/>
                <w:color w:val="auto"/>
              </w:rPr>
            </w:pPr>
            <w:r>
              <w:rPr>
                <w:rFonts w:ascii="Arial" w:cs="Arial" w:eastAsia="Arial" w:hAnsi="Arial"/>
                <w:sz w:val="14"/>
                <w:szCs w:val="14"/>
                <w:color w:val="auto"/>
              </w:rPr>
              <w:t>10</w:t>
            </w:r>
          </w:p>
        </w:tc>
      </w:tr>
      <w:tr>
        <w:trPr>
          <w:trHeight w:val="150"/>
        </w:trPr>
        <w:tc>
          <w:tcPr>
            <w:tcW w:w="480" w:type="dxa"/>
            <w:vAlign w:val="bottom"/>
            <w:tcBorders>
              <w:top w:val="single" w:sz="8" w:color="0000EE"/>
            </w:tcBorders>
            <w:gridSpan w:val="2"/>
          </w:tcPr>
          <w:p>
            <w:pPr>
              <w:spacing w:after="0" w:line="150" w:lineRule="exact"/>
              <w:rPr>
                <w:rFonts w:ascii="Arial" w:cs="Arial" w:eastAsia="Arial" w:hAnsi="Arial"/>
                <w:sz w:val="14"/>
                <w:szCs w:val="14"/>
                <w:color w:val="0000EE"/>
                <w:w w:val="90"/>
              </w:rPr>
            </w:pPr>
            <w:hyperlink w:anchor="page11">
              <w:r>
                <w:rPr>
                  <w:rFonts w:ascii="Arial" w:cs="Arial" w:eastAsia="Arial" w:hAnsi="Arial"/>
                  <w:sz w:val="14"/>
                  <w:szCs w:val="14"/>
                  <w:color w:val="0000EE"/>
                  <w:w w:val="90"/>
                </w:rPr>
                <w:t>Item 11.</w:t>
              </w:r>
            </w:hyperlink>
          </w:p>
        </w:tc>
        <w:tc>
          <w:tcPr>
            <w:tcW w:w="360" w:type="dxa"/>
            <w:vAlign w:val="bottom"/>
            <w:gridSpan w:val="3"/>
          </w:tcPr>
          <w:p>
            <w:pPr>
              <w:spacing w:after="0"/>
              <w:rPr>
                <w:sz w:val="13"/>
                <w:szCs w:val="13"/>
                <w:color w:val="auto"/>
              </w:rPr>
            </w:pPr>
          </w:p>
        </w:tc>
        <w:tc>
          <w:tcPr>
            <w:tcW w:w="3260" w:type="dxa"/>
            <w:vAlign w:val="bottom"/>
            <w:tcBorders>
              <w:top w:val="single" w:sz="8" w:color="0000EE"/>
            </w:tcBorders>
            <w:gridSpan w:val="12"/>
          </w:tcPr>
          <w:p>
            <w:pPr>
              <w:spacing w:after="0" w:line="150" w:lineRule="exact"/>
              <w:rPr>
                <w:rFonts w:ascii="Arial" w:cs="Arial" w:eastAsia="Arial" w:hAnsi="Arial"/>
                <w:sz w:val="14"/>
                <w:szCs w:val="14"/>
                <w:color w:val="0000EE"/>
              </w:rPr>
            </w:pPr>
            <w:hyperlink w:anchor="page11">
              <w:r>
                <w:rPr>
                  <w:rFonts w:ascii="Arial" w:cs="Arial" w:eastAsia="Arial" w:hAnsi="Arial"/>
                  <w:sz w:val="14"/>
                  <w:szCs w:val="14"/>
                  <w:color w:val="0000EE"/>
                </w:rPr>
                <w:t>Executive Compensation.</w:t>
              </w:r>
            </w:hyperlink>
          </w:p>
        </w:tc>
        <w:tc>
          <w:tcPr>
            <w:tcW w:w="3140" w:type="dxa"/>
            <w:vAlign w:val="bottom"/>
            <w:gridSpan w:val="13"/>
          </w:tcPr>
          <w:p>
            <w:pPr>
              <w:spacing w:after="0"/>
              <w:rPr>
                <w:sz w:val="13"/>
                <w:szCs w:val="13"/>
                <w:color w:val="auto"/>
              </w:rPr>
            </w:pPr>
          </w:p>
        </w:tc>
        <w:tc>
          <w:tcPr>
            <w:tcW w:w="1860" w:type="dxa"/>
            <w:vAlign w:val="bottom"/>
          </w:tcPr>
          <w:p>
            <w:pPr>
              <w:jc w:val="right"/>
              <w:spacing w:after="0" w:line="150" w:lineRule="exact"/>
              <w:rPr>
                <w:sz w:val="20"/>
                <w:szCs w:val="20"/>
                <w:color w:val="auto"/>
              </w:rPr>
            </w:pPr>
            <w:r>
              <w:rPr>
                <w:rFonts w:ascii="Arial" w:cs="Arial" w:eastAsia="Arial" w:hAnsi="Arial"/>
                <w:sz w:val="14"/>
                <w:szCs w:val="14"/>
                <w:color w:val="auto"/>
              </w:rPr>
              <w:t>10</w:t>
            </w:r>
          </w:p>
        </w:tc>
      </w:tr>
      <w:tr>
        <w:trPr>
          <w:trHeight w:val="20"/>
        </w:trPr>
        <w:tc>
          <w:tcPr>
            <w:tcW w:w="480" w:type="dxa"/>
            <w:vAlign w:val="bottom"/>
            <w:gridSpan w:val="2"/>
            <w:shd w:val="clear" w:color="auto" w:fill="0000EE"/>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460" w:type="dxa"/>
            <w:vAlign w:val="bottom"/>
            <w:gridSpan w:val="6"/>
            <w:shd w:val="clear" w:color="auto" w:fill="0000EE"/>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gridSpan w:val="4"/>
          </w:tcPr>
          <w:p>
            <w:pPr>
              <w:spacing w:after="0" w:line="20" w:lineRule="exact"/>
              <w:rPr>
                <w:sz w:val="1"/>
                <w:szCs w:val="1"/>
                <w:color w:val="auto"/>
              </w:rPr>
            </w:pPr>
          </w:p>
        </w:tc>
        <w:tc>
          <w:tcPr>
            <w:tcW w:w="540" w:type="dxa"/>
            <w:vAlign w:val="bottom"/>
            <w:gridSpan w:val="5"/>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150"/>
        </w:trPr>
        <w:tc>
          <w:tcPr>
            <w:tcW w:w="840" w:type="dxa"/>
            <w:vAlign w:val="bottom"/>
            <w:gridSpan w:val="5"/>
          </w:tcPr>
          <w:p>
            <w:pPr>
              <w:spacing w:after="0" w:line="150" w:lineRule="exact"/>
              <w:rPr>
                <w:rFonts w:ascii="Arial" w:cs="Arial" w:eastAsia="Arial" w:hAnsi="Arial"/>
                <w:sz w:val="14"/>
                <w:szCs w:val="14"/>
                <w:color w:val="0000EE"/>
              </w:rPr>
            </w:pPr>
            <w:hyperlink w:anchor="page11">
              <w:r>
                <w:rPr>
                  <w:rFonts w:ascii="Arial" w:cs="Arial" w:eastAsia="Arial" w:hAnsi="Arial"/>
                  <w:sz w:val="14"/>
                  <w:szCs w:val="14"/>
                  <w:color w:val="0000EE"/>
                </w:rPr>
                <w:t>Item 12.</w:t>
              </w:r>
            </w:hyperlink>
          </w:p>
        </w:tc>
        <w:tc>
          <w:tcPr>
            <w:tcW w:w="6400" w:type="dxa"/>
            <w:vAlign w:val="bottom"/>
            <w:gridSpan w:val="25"/>
          </w:tcPr>
          <w:p>
            <w:pPr>
              <w:spacing w:after="0" w:line="150" w:lineRule="exact"/>
              <w:rPr>
                <w:rFonts w:ascii="Arial" w:cs="Arial" w:eastAsia="Arial" w:hAnsi="Arial"/>
                <w:sz w:val="14"/>
                <w:szCs w:val="14"/>
                <w:color w:val="0000EE"/>
              </w:rPr>
            </w:pPr>
            <w:hyperlink w:anchor="page11">
              <w:r>
                <w:rPr>
                  <w:rFonts w:ascii="Arial" w:cs="Arial" w:eastAsia="Arial" w:hAnsi="Arial"/>
                  <w:sz w:val="14"/>
                  <w:szCs w:val="14"/>
                  <w:color w:val="0000EE"/>
                </w:rPr>
                <w:t>Security Ownership of Certain Beneficial Owners and Management and Related Shareholder Matters.</w:t>
              </w:r>
            </w:hyperlink>
          </w:p>
        </w:tc>
        <w:tc>
          <w:tcPr>
            <w:tcW w:w="1860" w:type="dxa"/>
            <w:vAlign w:val="bottom"/>
          </w:tcPr>
          <w:p>
            <w:pPr>
              <w:jc w:val="right"/>
              <w:spacing w:after="0" w:line="150" w:lineRule="exact"/>
              <w:rPr>
                <w:sz w:val="20"/>
                <w:szCs w:val="20"/>
                <w:color w:val="auto"/>
              </w:rPr>
            </w:pPr>
            <w:r>
              <w:rPr>
                <w:rFonts w:ascii="Arial" w:cs="Arial" w:eastAsia="Arial" w:hAnsi="Arial"/>
                <w:sz w:val="14"/>
                <w:szCs w:val="14"/>
                <w:color w:val="auto"/>
              </w:rPr>
              <w:t>10</w:t>
            </w:r>
          </w:p>
        </w:tc>
      </w:tr>
      <w:tr>
        <w:trPr>
          <w:trHeight w:val="20"/>
        </w:trPr>
        <w:tc>
          <w:tcPr>
            <w:tcW w:w="480" w:type="dxa"/>
            <w:vAlign w:val="bottom"/>
            <w:gridSpan w:val="2"/>
            <w:shd w:val="clear" w:color="auto" w:fill="0000EE"/>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300" w:type="dxa"/>
            <w:vAlign w:val="bottom"/>
            <w:gridSpan w:val="9"/>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120" w:type="dxa"/>
            <w:vAlign w:val="bottom"/>
            <w:gridSpan w:val="4"/>
            <w:shd w:val="clear" w:color="auto" w:fill="0000EE"/>
          </w:tcPr>
          <w:p>
            <w:pPr>
              <w:spacing w:after="0" w:line="20" w:lineRule="exact"/>
              <w:rPr>
                <w:sz w:val="1"/>
                <w:szCs w:val="1"/>
                <w:color w:val="auto"/>
              </w:rPr>
            </w:pPr>
          </w:p>
        </w:tc>
        <w:tc>
          <w:tcPr>
            <w:tcW w:w="540" w:type="dxa"/>
            <w:vAlign w:val="bottom"/>
            <w:gridSpan w:val="5"/>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460" w:type="dxa"/>
            <w:vAlign w:val="bottom"/>
            <w:gridSpan w:val="3"/>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150"/>
        </w:trPr>
        <w:tc>
          <w:tcPr>
            <w:tcW w:w="840" w:type="dxa"/>
            <w:vAlign w:val="bottom"/>
            <w:gridSpan w:val="5"/>
          </w:tcPr>
          <w:p>
            <w:pPr>
              <w:spacing w:after="0" w:line="150" w:lineRule="exact"/>
              <w:rPr>
                <w:rFonts w:ascii="Arial" w:cs="Arial" w:eastAsia="Arial" w:hAnsi="Arial"/>
                <w:sz w:val="14"/>
                <w:szCs w:val="14"/>
                <w:color w:val="0000EE"/>
              </w:rPr>
            </w:pPr>
            <w:hyperlink w:anchor="page12">
              <w:r>
                <w:rPr>
                  <w:rFonts w:ascii="Arial" w:cs="Arial" w:eastAsia="Arial" w:hAnsi="Arial"/>
                  <w:sz w:val="14"/>
                  <w:szCs w:val="14"/>
                  <w:color w:val="0000EE"/>
                </w:rPr>
                <w:t>Item 13.</w:t>
              </w:r>
            </w:hyperlink>
          </w:p>
        </w:tc>
        <w:tc>
          <w:tcPr>
            <w:tcW w:w="6400" w:type="dxa"/>
            <w:vAlign w:val="bottom"/>
            <w:gridSpan w:val="25"/>
          </w:tcPr>
          <w:p>
            <w:pPr>
              <w:spacing w:after="0" w:line="150" w:lineRule="exact"/>
              <w:rPr>
                <w:rFonts w:ascii="Arial" w:cs="Arial" w:eastAsia="Arial" w:hAnsi="Arial"/>
                <w:sz w:val="14"/>
                <w:szCs w:val="14"/>
                <w:color w:val="0000EE"/>
              </w:rPr>
            </w:pPr>
            <w:hyperlink w:anchor="page12">
              <w:r>
                <w:rPr>
                  <w:rFonts w:ascii="Arial" w:cs="Arial" w:eastAsia="Arial" w:hAnsi="Arial"/>
                  <w:sz w:val="14"/>
                  <w:szCs w:val="14"/>
                  <w:color w:val="0000EE"/>
                </w:rPr>
                <w:t>Certain Relationships and Related Transactions, and Director Independence.</w:t>
              </w:r>
            </w:hyperlink>
          </w:p>
        </w:tc>
        <w:tc>
          <w:tcPr>
            <w:tcW w:w="1860" w:type="dxa"/>
            <w:vAlign w:val="bottom"/>
          </w:tcPr>
          <w:p>
            <w:pPr>
              <w:jc w:val="right"/>
              <w:spacing w:after="0" w:line="150" w:lineRule="exact"/>
              <w:rPr>
                <w:sz w:val="20"/>
                <w:szCs w:val="20"/>
                <w:color w:val="auto"/>
              </w:rPr>
            </w:pPr>
            <w:r>
              <w:rPr>
                <w:rFonts w:ascii="Arial" w:cs="Arial" w:eastAsia="Arial" w:hAnsi="Arial"/>
                <w:sz w:val="14"/>
                <w:szCs w:val="14"/>
                <w:color w:val="auto"/>
              </w:rPr>
              <w:t>11</w:t>
            </w:r>
          </w:p>
        </w:tc>
      </w:tr>
      <w:tr>
        <w:trPr>
          <w:trHeight w:val="20"/>
        </w:trPr>
        <w:tc>
          <w:tcPr>
            <w:tcW w:w="480" w:type="dxa"/>
            <w:vAlign w:val="bottom"/>
            <w:gridSpan w:val="2"/>
            <w:shd w:val="clear" w:color="auto" w:fill="0000EE"/>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300" w:type="dxa"/>
            <w:vAlign w:val="bottom"/>
            <w:gridSpan w:val="9"/>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120" w:type="dxa"/>
            <w:vAlign w:val="bottom"/>
            <w:gridSpan w:val="4"/>
            <w:shd w:val="clear" w:color="auto" w:fill="0000EE"/>
          </w:tcPr>
          <w:p>
            <w:pPr>
              <w:spacing w:after="0" w:line="20" w:lineRule="exact"/>
              <w:rPr>
                <w:sz w:val="1"/>
                <w:szCs w:val="1"/>
                <w:color w:val="auto"/>
              </w:rPr>
            </w:pPr>
          </w:p>
        </w:tc>
        <w:tc>
          <w:tcPr>
            <w:tcW w:w="540" w:type="dxa"/>
            <w:vAlign w:val="bottom"/>
            <w:gridSpan w:val="5"/>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080" w:type="dxa"/>
            <w:vAlign w:val="bottom"/>
            <w:gridSpan w:val="4"/>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150"/>
        </w:trPr>
        <w:tc>
          <w:tcPr>
            <w:tcW w:w="840" w:type="dxa"/>
            <w:vAlign w:val="bottom"/>
            <w:gridSpan w:val="5"/>
          </w:tcPr>
          <w:p>
            <w:pPr>
              <w:spacing w:after="0" w:line="150" w:lineRule="exact"/>
              <w:rPr>
                <w:rFonts w:ascii="Arial" w:cs="Arial" w:eastAsia="Arial" w:hAnsi="Arial"/>
                <w:sz w:val="14"/>
                <w:szCs w:val="14"/>
                <w:color w:val="0000EE"/>
              </w:rPr>
            </w:pPr>
            <w:hyperlink w:anchor="page12">
              <w:r>
                <w:rPr>
                  <w:rFonts w:ascii="Arial" w:cs="Arial" w:eastAsia="Arial" w:hAnsi="Arial"/>
                  <w:sz w:val="14"/>
                  <w:szCs w:val="14"/>
                  <w:color w:val="0000EE"/>
                </w:rPr>
                <w:t>Item 14.</w:t>
              </w:r>
            </w:hyperlink>
          </w:p>
        </w:tc>
        <w:tc>
          <w:tcPr>
            <w:tcW w:w="6400" w:type="dxa"/>
            <w:vAlign w:val="bottom"/>
            <w:gridSpan w:val="25"/>
          </w:tcPr>
          <w:p>
            <w:pPr>
              <w:spacing w:after="0" w:line="150" w:lineRule="exact"/>
              <w:rPr>
                <w:rFonts w:ascii="Arial" w:cs="Arial" w:eastAsia="Arial" w:hAnsi="Arial"/>
                <w:sz w:val="14"/>
                <w:szCs w:val="14"/>
                <w:color w:val="0000EE"/>
              </w:rPr>
            </w:pPr>
            <w:hyperlink w:anchor="page12">
              <w:r>
                <w:rPr>
                  <w:rFonts w:ascii="Arial" w:cs="Arial" w:eastAsia="Arial" w:hAnsi="Arial"/>
                  <w:sz w:val="14"/>
                  <w:szCs w:val="14"/>
                  <w:color w:val="0000EE"/>
                </w:rPr>
                <w:t>Principal Accountant Fees and Services.</w:t>
              </w:r>
            </w:hyperlink>
          </w:p>
        </w:tc>
        <w:tc>
          <w:tcPr>
            <w:tcW w:w="1860" w:type="dxa"/>
            <w:vAlign w:val="bottom"/>
          </w:tcPr>
          <w:p>
            <w:pPr>
              <w:jc w:val="right"/>
              <w:spacing w:after="0" w:line="150" w:lineRule="exact"/>
              <w:rPr>
                <w:sz w:val="20"/>
                <w:szCs w:val="20"/>
                <w:color w:val="auto"/>
              </w:rPr>
            </w:pPr>
            <w:r>
              <w:rPr>
                <w:rFonts w:ascii="Arial" w:cs="Arial" w:eastAsia="Arial" w:hAnsi="Arial"/>
                <w:sz w:val="14"/>
                <w:szCs w:val="14"/>
                <w:color w:val="auto"/>
              </w:rPr>
              <w:t>11</w:t>
            </w:r>
          </w:p>
        </w:tc>
      </w:tr>
      <w:tr>
        <w:trPr>
          <w:trHeight w:val="320"/>
        </w:trPr>
        <w:tc>
          <w:tcPr>
            <w:tcW w:w="4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Borders>
              <w:bottom w:val="single" w:sz="8" w:color="0000EE"/>
            </w:tcBorders>
            <w:gridSpan w:val="5"/>
          </w:tcPr>
          <w:p>
            <w:pPr>
              <w:jc w:val="center"/>
              <w:spacing w:after="0"/>
              <w:rPr>
                <w:rFonts w:ascii="Arial" w:cs="Arial" w:eastAsia="Arial" w:hAnsi="Arial"/>
                <w:sz w:val="14"/>
                <w:szCs w:val="14"/>
                <w:b w:val="1"/>
                <w:bCs w:val="1"/>
                <w:color w:val="0000EE"/>
                <w:w w:val="97"/>
              </w:rPr>
            </w:pPr>
            <w:hyperlink w:anchor="page12">
              <w:r>
                <w:rPr>
                  <w:rFonts w:ascii="Arial" w:cs="Arial" w:eastAsia="Arial" w:hAnsi="Arial"/>
                  <w:sz w:val="14"/>
                  <w:szCs w:val="14"/>
                  <w:b w:val="1"/>
                  <w:bCs w:val="1"/>
                  <w:color w:val="0000EE"/>
                  <w:w w:val="97"/>
                </w:rPr>
                <w:t>PART IV</w:t>
              </w:r>
            </w:hyperlink>
          </w:p>
        </w:tc>
        <w:tc>
          <w:tcPr>
            <w:tcW w:w="2420" w:type="dxa"/>
            <w:vAlign w:val="bottom"/>
            <w:gridSpan w:val="6"/>
          </w:tcPr>
          <w:p>
            <w:pPr>
              <w:spacing w:after="0"/>
              <w:rPr>
                <w:sz w:val="24"/>
                <w:szCs w:val="24"/>
                <w:color w:val="auto"/>
              </w:rPr>
            </w:pPr>
          </w:p>
        </w:tc>
        <w:tc>
          <w:tcPr>
            <w:tcW w:w="1860" w:type="dxa"/>
            <w:vAlign w:val="bottom"/>
          </w:tcPr>
          <w:p>
            <w:pPr>
              <w:spacing w:after="0"/>
              <w:rPr>
                <w:sz w:val="24"/>
                <w:szCs w:val="24"/>
                <w:color w:val="auto"/>
              </w:rPr>
            </w:pPr>
          </w:p>
        </w:tc>
      </w:tr>
      <w:tr>
        <w:trPr>
          <w:trHeight w:val="320"/>
        </w:trPr>
        <w:tc>
          <w:tcPr>
            <w:tcW w:w="840" w:type="dxa"/>
            <w:vAlign w:val="bottom"/>
            <w:gridSpan w:val="5"/>
          </w:tcPr>
          <w:p>
            <w:pPr>
              <w:spacing w:after="0"/>
              <w:rPr>
                <w:rFonts w:ascii="Arial" w:cs="Arial" w:eastAsia="Arial" w:hAnsi="Arial"/>
                <w:sz w:val="14"/>
                <w:szCs w:val="14"/>
                <w:color w:val="0000EE"/>
              </w:rPr>
            </w:pPr>
            <w:hyperlink w:anchor="page12">
              <w:r>
                <w:rPr>
                  <w:rFonts w:ascii="Arial" w:cs="Arial" w:eastAsia="Arial" w:hAnsi="Arial"/>
                  <w:sz w:val="14"/>
                  <w:szCs w:val="14"/>
                  <w:color w:val="0000EE"/>
                </w:rPr>
                <w:t>Item 15.</w:t>
              </w:r>
            </w:hyperlink>
          </w:p>
        </w:tc>
        <w:tc>
          <w:tcPr>
            <w:tcW w:w="6400" w:type="dxa"/>
            <w:vAlign w:val="bottom"/>
            <w:gridSpan w:val="25"/>
          </w:tcPr>
          <w:p>
            <w:pPr>
              <w:spacing w:after="0"/>
              <w:rPr>
                <w:rFonts w:ascii="Arial" w:cs="Arial" w:eastAsia="Arial" w:hAnsi="Arial"/>
                <w:sz w:val="14"/>
                <w:szCs w:val="14"/>
                <w:color w:val="0000EE"/>
              </w:rPr>
            </w:pPr>
            <w:hyperlink w:anchor="page12">
              <w:r>
                <w:rPr>
                  <w:rFonts w:ascii="Arial" w:cs="Arial" w:eastAsia="Arial" w:hAnsi="Arial"/>
                  <w:sz w:val="14"/>
                  <w:szCs w:val="14"/>
                  <w:color w:val="0000EE"/>
                </w:rPr>
                <w:t>Exhibits, Financial Statement Schedules.</w:t>
              </w:r>
            </w:hyperlink>
          </w:p>
        </w:tc>
        <w:tc>
          <w:tcPr>
            <w:tcW w:w="1860" w:type="dxa"/>
            <w:vAlign w:val="bottom"/>
          </w:tcPr>
          <w:p>
            <w:pPr>
              <w:jc w:val="right"/>
              <w:spacing w:after="0"/>
              <w:rPr>
                <w:sz w:val="20"/>
                <w:szCs w:val="20"/>
                <w:color w:val="auto"/>
              </w:rPr>
            </w:pPr>
            <w:r>
              <w:rPr>
                <w:rFonts w:ascii="Arial" w:cs="Arial" w:eastAsia="Arial" w:hAnsi="Arial"/>
                <w:sz w:val="14"/>
                <w:szCs w:val="14"/>
                <w:color w:val="auto"/>
              </w:rPr>
              <w:t>11</w:t>
            </w:r>
          </w:p>
        </w:tc>
      </w:tr>
      <w:tr>
        <w:trPr>
          <w:trHeight w:val="532"/>
        </w:trPr>
        <w:tc>
          <w:tcPr>
            <w:tcW w:w="4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320" w:type="dxa"/>
            <w:vAlign w:val="bottom"/>
            <w:tcBorders>
              <w:top w:val="single" w:sz="8" w:color="0000EE"/>
            </w:tcBorders>
            <w:gridSpan w:val="10"/>
          </w:tcPr>
          <w:p>
            <w:pPr>
              <w:spacing w:after="0"/>
              <w:rPr>
                <w:sz w:val="24"/>
                <w:szCs w:val="24"/>
                <w:color w:val="auto"/>
              </w:rPr>
            </w:pPr>
          </w:p>
        </w:tc>
        <w:tc>
          <w:tcPr>
            <w:tcW w:w="1600" w:type="dxa"/>
            <w:vAlign w:val="bottom"/>
            <w:gridSpan w:val="7"/>
          </w:tcPr>
          <w:p>
            <w:pPr>
              <w:jc w:val="center"/>
              <w:ind w:left="1109"/>
              <w:spacing w:after="0"/>
              <w:rPr>
                <w:sz w:val="20"/>
                <w:szCs w:val="20"/>
                <w:color w:val="auto"/>
              </w:rPr>
            </w:pPr>
            <w:r>
              <w:rPr>
                <w:rFonts w:ascii="Arial" w:cs="Arial" w:eastAsia="Arial" w:hAnsi="Arial"/>
                <w:sz w:val="14"/>
                <w:szCs w:val="14"/>
                <w:color w:val="auto"/>
                <w:w w:val="76"/>
              </w:rPr>
              <w:t>1</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97"/>
        </w:trPr>
        <w:tc>
          <w:tcPr>
            <w:tcW w:w="4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860" w:type="dxa"/>
            <w:vAlign w:val="bottom"/>
            <w:tcBorders>
              <w:bottom w:val="single" w:sz="8" w:color="auto"/>
            </w:tcBorders>
          </w:tcPr>
          <w:p>
            <w:pPr>
              <w:spacing w:after="0"/>
              <w:rPr>
                <w:sz w:val="8"/>
                <w:szCs w:val="8"/>
                <w:color w:val="auto"/>
              </w:rPr>
            </w:pPr>
          </w:p>
        </w:tc>
      </w:tr>
    </w:tbl>
    <w:p>
      <w:pPr>
        <w:sectPr>
          <w:pgSz w:w="11900" w:h="16838" w:orient="portrait"/>
          <w:cols w:equalWidth="0" w:num="1">
            <w:col w:w="9100"/>
          </w:cols>
          <w:pgMar w:left="1400" w:top="125" w:right="1399" w:bottom="1440" w:gutter="0" w:footer="0" w:header="0"/>
        </w:sectPr>
      </w:pPr>
    </w:p>
    <w:bookmarkStart w:id="2" w:name="page3"/>
    <w:bookmarkEnd w:id="2"/>
    <w:p>
      <w:pPr>
        <w:jc w:val="center"/>
        <w:spacing w:after="0"/>
        <w:rPr>
          <w:sz w:val="20"/>
          <w:szCs w:val="20"/>
          <w:color w:val="auto"/>
        </w:rPr>
      </w:pPr>
      <w:r>
        <w:rPr>
          <w:rFonts w:ascii="Arial" w:cs="Arial" w:eastAsia="Arial" w:hAnsi="Arial"/>
          <w:sz w:val="14"/>
          <w:szCs w:val="14"/>
          <w:b w:val="1"/>
          <w:bCs w:val="1"/>
          <w:color w:val="auto"/>
        </w:rPr>
        <w:t>PART I</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Item 1. Business.</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General Development of the Business.</w:t>
      </w:r>
    </w:p>
    <w:p>
      <w:pPr>
        <w:spacing w:after="0" w:line="183"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Universal Forest Products, Inc. is a holding company with subsidiaries throughout North America, Europe, Asia, and Australia that supply wood, wood composite and other products to three markets: retail, industrial, and construction. The Company is headquartered in Grand Rapids, Michigan. For more information about Universal Forest Products, Inc., or its affiliated operations, go to www.ufpi.com.</w:t>
      </w:r>
    </w:p>
    <w:p>
      <w:pPr>
        <w:spacing w:after="0" w:line="142" w:lineRule="exact"/>
        <w:rPr>
          <w:sz w:val="20"/>
          <w:szCs w:val="20"/>
          <w:color w:val="auto"/>
        </w:rPr>
      </w:pPr>
    </w:p>
    <w:p>
      <w:pPr>
        <w:jc w:val="both"/>
        <w:spacing w:after="0" w:line="174" w:lineRule="exact"/>
        <w:rPr>
          <w:sz w:val="20"/>
          <w:szCs w:val="20"/>
          <w:color w:val="auto"/>
        </w:rPr>
      </w:pPr>
      <w:r>
        <w:rPr>
          <w:rFonts w:ascii="Arial" w:cs="Arial" w:eastAsia="Arial" w:hAnsi="Arial"/>
          <w:sz w:val="14"/>
          <w:szCs w:val="14"/>
          <w:color w:val="auto"/>
        </w:rPr>
        <w:t>Information relating to current developments in our business is incorporated by reference from our Annual Report to Shareholders for the fiscal year ended December 29, 2018 ("2018 Annual Report") under the caption "Management’s Discussion and Analysis of Financial Condition and Results of Operations." Selected portions of the 2018 Annual Report are filed as Exhibit 13 with this Form 10</w:t>
      </w:r>
      <w:r>
        <w:rPr>
          <w:rFonts w:ascii="MS PGothic" w:cs="MS PGothic" w:eastAsia="MS PGothic" w:hAnsi="MS PGothic"/>
          <w:sz w:val="14"/>
          <w:szCs w:val="14"/>
          <w:color w:val="auto"/>
        </w:rPr>
        <w:t>‑</w:t>
      </w:r>
      <w:r>
        <w:rPr>
          <w:rFonts w:ascii="Arial" w:cs="Arial" w:eastAsia="Arial" w:hAnsi="Arial"/>
          <w:sz w:val="14"/>
          <w:szCs w:val="14"/>
          <w:color w:val="auto"/>
        </w:rPr>
        <w:t>K Report.</w:t>
      </w:r>
    </w:p>
    <w:p>
      <w:pPr>
        <w:spacing w:after="0" w:line="156"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Financial Information About Segments.</w:t>
      </w:r>
    </w:p>
    <w:p>
      <w:pPr>
        <w:spacing w:after="0" w:line="183"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 xml:space="preserve">ASC 280, </w:t>
      </w:r>
      <w:r>
        <w:rPr>
          <w:rFonts w:ascii="Arial" w:cs="Arial" w:eastAsia="Arial" w:hAnsi="Arial"/>
          <w:sz w:val="14"/>
          <w:szCs w:val="14"/>
          <w:i w:val="1"/>
          <w:iCs w:val="1"/>
          <w:color w:val="auto"/>
        </w:rPr>
        <w:t>Segment Reporting</w:t>
      </w:r>
      <w:r>
        <w:rPr>
          <w:rFonts w:ascii="Arial" w:cs="Arial" w:eastAsia="Arial" w:hAnsi="Arial"/>
          <w:sz w:val="14"/>
          <w:szCs w:val="14"/>
          <w:color w:val="auto"/>
        </w:rPr>
        <w:t xml:space="preserve"> (“ASC 280”) defines operating segments as components of an enterprise about which separate financial information is available that is evaluated regularly by the chief operating decision maker in deciding how to allocate resources and in assessing performance.</w:t>
      </w:r>
    </w:p>
    <w:p>
      <w:pPr>
        <w:spacing w:after="0" w:line="133"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Our operating segments that are stand-alone reportable segments consist of our Northern, Southern, and Western divisions. Our operating segments that are aggregated into the All Other reportable segment are the Alternative Materials, International, idX, and Corporate business units.</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Narrative Description of Business.</w:t>
      </w:r>
    </w:p>
    <w:p>
      <w:pPr>
        <w:spacing w:after="0" w:line="183" w:lineRule="exact"/>
        <w:rPr>
          <w:sz w:val="20"/>
          <w:szCs w:val="20"/>
          <w:color w:val="auto"/>
        </w:rPr>
      </w:pPr>
    </w:p>
    <w:p>
      <w:pPr>
        <w:jc w:val="both"/>
        <w:spacing w:after="0" w:line="289" w:lineRule="auto"/>
        <w:rPr>
          <w:sz w:val="20"/>
          <w:szCs w:val="20"/>
          <w:color w:val="auto"/>
        </w:rPr>
      </w:pPr>
      <w:r>
        <w:rPr>
          <w:rFonts w:ascii="Arial" w:cs="Arial" w:eastAsia="Arial" w:hAnsi="Arial"/>
          <w:sz w:val="13"/>
          <w:szCs w:val="13"/>
          <w:color w:val="auto"/>
        </w:rPr>
        <w:t>We design, manufacture and market wood and wood-alternative products for national home centers and other retailers, structural lumber and other products for the manufactured housing industry, engineered wood components for residential and commercial construction, specialty wood packaging, components and packing materials for various industries, and customized interior fixtures used in a variety of retail and commercial structures. Our locations generally serve customers in multiple markets. Each of our markets, Retail, Industrial and Construction, are discussed in the paragraphs that follow.</w:t>
      </w:r>
    </w:p>
    <w:p>
      <w:pPr>
        <w:spacing w:after="0" w:line="129"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Retail</w:t>
      </w:r>
      <w:r>
        <w:rPr>
          <w:rFonts w:ascii="Arial" w:cs="Arial" w:eastAsia="Arial" w:hAnsi="Arial"/>
          <w:sz w:val="13"/>
          <w:szCs w:val="13"/>
          <w:color w:val="auto"/>
        </w:rPr>
        <w:t>. The customers comprising this market are national home center retailers, retail-oriented regional lumberyards and contractor-oriented lumberyards.</w:t>
      </w:r>
    </w:p>
    <w:p>
      <w:pPr>
        <w:spacing w:after="0" w:line="31" w:lineRule="exact"/>
        <w:rPr>
          <w:sz w:val="20"/>
          <w:szCs w:val="20"/>
          <w:color w:val="auto"/>
        </w:rPr>
      </w:pPr>
    </w:p>
    <w:p>
      <w:pPr>
        <w:spacing w:after="0"/>
        <w:rPr>
          <w:sz w:val="20"/>
          <w:szCs w:val="20"/>
          <w:color w:val="auto"/>
        </w:rPr>
      </w:pPr>
      <w:r>
        <w:rPr>
          <w:rFonts w:ascii="Arial" w:cs="Arial" w:eastAsia="Arial" w:hAnsi="Arial"/>
          <w:sz w:val="12"/>
          <w:szCs w:val="12"/>
          <w:color w:val="auto"/>
        </w:rPr>
        <w:t>Generally, terms of sale are established for annual or bi-annual periods, and orders are placed with our regional facilities in accordance with established terms.</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One customer, The Home Depot, accounted for approximately 19% of our total sales in fiscal 2018 and 2017, and 20% in 2016.</w:t>
      </w:r>
    </w:p>
    <w:p>
      <w:pPr>
        <w:spacing w:after="0" w:line="169"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We currently supply customers in this market from many of our locations. These regional facilities are able to supply mixed truckloads of products which can be delivered to customers with rapid turnaround from receipt of an order. Freight costs are a factor in the ability to competitively service this market, especially with treated wood products because of their heavier weight. The close proximity of our regional facilities to the various outlets of these customers is a factor when negotiating annual sales programs.</w:t>
      </w:r>
    </w:p>
    <w:p>
      <w:pPr>
        <w:spacing w:after="0" w:line="147"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The products offered to customers in this market include dimensional lumber (both preserved and unpreserved) and various "value-added products," some of which are sold under our trademarks. In addition to our conventional lumber products, we offer a large portfolio of outdoor living products, including wood and wood composite decking and related accessories and decorative lawn and garden products. Products sold to this market include those sold under the following trademarks: ProWood, Deckorators, and UFP-Edge. We also sell engineered wood components to retail lumber yards, which include roof trusses, wall panels and engineered floor systems (see "Construction Market" below).</w:t>
      </w:r>
    </w:p>
    <w:p>
      <w:pPr>
        <w:spacing w:after="0" w:line="147"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We are not aware of any competitor that currently manufactures, treats and distributes a full line of both value-added and commodity products on a national basis. We face competition on individual products from several different producers, but</w:t>
      </w: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66675</wp:posOffset>
            </wp:positionV>
            <wp:extent cx="5779135" cy="203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79135" cy="20320"/>
                    </a:xfrm>
                    <a:prstGeom prst="rect">
                      <a:avLst/>
                    </a:prstGeom>
                    <a:noFill/>
                  </pic:spPr>
                </pic:pic>
              </a:graphicData>
            </a:graphic>
          </wp:anchor>
        </w:drawing>
      </w:r>
    </w:p>
    <w:p>
      <w:pPr>
        <w:sectPr>
          <w:pgSz w:w="11900" w:h="16838" w:orient="portrait"/>
          <w:cols w:equalWidth="0" w:num="1">
            <w:col w:w="9100"/>
          </w:cols>
          <w:pgMar w:left="1400" w:top="125" w:right="1399" w:bottom="1440" w:gutter="0" w:footer="0" w:header="0"/>
        </w:sectPr>
      </w:pPr>
    </w:p>
    <w:bookmarkStart w:id="3" w:name="page4"/>
    <w:bookmarkEnd w:id="3"/>
    <w:p>
      <w:pPr>
        <w:jc w:val="both"/>
        <w:spacing w:after="0" w:line="267" w:lineRule="auto"/>
        <w:rPr>
          <w:sz w:val="20"/>
          <w:szCs w:val="20"/>
          <w:color w:val="auto"/>
        </w:rPr>
      </w:pPr>
      <w:r>
        <w:rPr>
          <w:rFonts w:ascii="Arial" w:cs="Arial" w:eastAsia="Arial" w:hAnsi="Arial"/>
          <w:sz w:val="14"/>
          <w:szCs w:val="14"/>
          <w:color w:val="auto"/>
        </w:rPr>
        <w:t>the majority of these competitors tend to be regional in their efforts and/or do not offer a full line of outdoor lumber products. We believe the breadth of our product offering, geographic dispersion, close proximity of our plants to core customers, purchasing and manufacturing expertise, and service capabilities provide competitive advantages in this market.</w:t>
      </w:r>
    </w:p>
    <w:p>
      <w:pPr>
        <w:spacing w:after="0" w:line="142" w:lineRule="exact"/>
        <w:rPr>
          <w:sz w:val="20"/>
          <w:szCs w:val="20"/>
          <w:color w:val="auto"/>
        </w:rPr>
      </w:pPr>
    </w:p>
    <w:p>
      <w:pPr>
        <w:jc w:val="both"/>
        <w:spacing w:after="0" w:line="260" w:lineRule="auto"/>
        <w:rPr>
          <w:sz w:val="20"/>
          <w:szCs w:val="20"/>
          <w:color w:val="auto"/>
        </w:rPr>
      </w:pPr>
      <w:r>
        <w:rPr>
          <w:rFonts w:ascii="Arial" w:cs="Arial" w:eastAsia="Arial" w:hAnsi="Arial"/>
          <w:sz w:val="14"/>
          <w:szCs w:val="14"/>
          <w:u w:val="single" w:color="auto"/>
          <w:color w:val="auto"/>
        </w:rPr>
        <w:t>Industrial Market</w:t>
      </w:r>
      <w:r>
        <w:rPr>
          <w:rFonts w:ascii="Arial" w:cs="Arial" w:eastAsia="Arial" w:hAnsi="Arial"/>
          <w:sz w:val="14"/>
          <w:szCs w:val="14"/>
          <w:color w:val="auto"/>
        </w:rPr>
        <w:t>. We define our industrial market as manufacturers and agricultural customers who use pallets, specialty crates, wooden boxes, and other containers used for packaging, shipping and material handling purposes, as well as various other products, used in a variety of different applications. Many of the products sold to this market may be produced from the by-product of other manufactured products, thereby allowing us to increase our raw material yields while expanding our business. Competition is fragmented and includes virtually every supplier of lumber convenient to the customer. We service this market with our dedicated local sales teams and through national sales support efforts.</w:t>
      </w:r>
    </w:p>
    <w:p>
      <w:pPr>
        <w:spacing w:after="0" w:line="147" w:lineRule="exact"/>
        <w:rPr>
          <w:sz w:val="20"/>
          <w:szCs w:val="20"/>
          <w:color w:val="auto"/>
        </w:rPr>
      </w:pPr>
    </w:p>
    <w:p>
      <w:pPr>
        <w:jc w:val="both"/>
        <w:spacing w:after="0" w:line="321" w:lineRule="auto"/>
        <w:rPr>
          <w:sz w:val="20"/>
          <w:szCs w:val="20"/>
          <w:color w:val="auto"/>
        </w:rPr>
      </w:pPr>
      <w:r>
        <w:rPr>
          <w:rFonts w:ascii="Arial" w:cs="Arial" w:eastAsia="Arial" w:hAnsi="Arial"/>
          <w:sz w:val="13"/>
          <w:szCs w:val="13"/>
          <w:color w:val="auto"/>
        </w:rPr>
        <w:t>Our industrial market also includes the results of operations of idX Holdings, Inc. ("idX"). idX is a designer, manufacturer and installer of highly customized interior fixtures that are used in retail and commercial structures representing several end markets. We acquired idX on September 16, 2016.</w:t>
      </w:r>
    </w:p>
    <w:p>
      <w:pPr>
        <w:spacing w:after="0" w:line="110" w:lineRule="exact"/>
        <w:rPr>
          <w:sz w:val="20"/>
          <w:szCs w:val="20"/>
          <w:color w:val="auto"/>
        </w:rPr>
      </w:pPr>
    </w:p>
    <w:p>
      <w:pPr>
        <w:jc w:val="both"/>
        <w:spacing w:after="0" w:line="281" w:lineRule="auto"/>
        <w:rPr>
          <w:sz w:val="20"/>
          <w:szCs w:val="20"/>
          <w:color w:val="auto"/>
        </w:rPr>
      </w:pPr>
      <w:r>
        <w:rPr>
          <w:rFonts w:ascii="Arial" w:cs="Arial" w:eastAsia="Arial" w:hAnsi="Arial"/>
          <w:sz w:val="14"/>
          <w:szCs w:val="14"/>
          <w:u w:val="single" w:color="auto"/>
          <w:color w:val="auto"/>
        </w:rPr>
        <w:t>Construction Market</w:t>
      </w:r>
      <w:r>
        <w:rPr>
          <w:rFonts w:ascii="Arial" w:cs="Arial" w:eastAsia="Arial" w:hAnsi="Arial"/>
          <w:sz w:val="14"/>
          <w:szCs w:val="14"/>
          <w:color w:val="auto"/>
        </w:rPr>
        <w:t>. Our construction market is made up of customers in three submarkets - manufactured housing, residential construction and commercial construction.</w:t>
      </w:r>
    </w:p>
    <w:p>
      <w:pPr>
        <w:spacing w:after="0" w:line="133"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The customers comprising the manufactured housing market are producers of mobile, modular and prefabricated homes and recreational vehicles (RV). Products sold to customers in this market consist primarily of roof trusses, lumber cut and shaped to the customer’s specification, plywood, oriented strand board and dimensional lumber, all intended for use in the construction of manufactured housing. Sales are made by personnel located at each regional facility based on customer orders. Our principal competitive advantages include our product knowledge, the strength of our engineering support services, the close proximity of our regional facilities to our customers, our purchasing and manufacturing expertise and our ability to provide national sales programs to certain customers. These factors have enabled us to accumulate significant market share in the products we supply. We also distribute products such as siding, electrical and plumbing products to manufactured housing and RV customers.</w:t>
      </w:r>
    </w:p>
    <w:p>
      <w:pPr>
        <w:spacing w:after="0" w:line="148"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The customers comprising the residential construction market are primarily large-volume, multi-tract builders and smaller volume custom builders. We also supply builders engaged in multi-family and commercial construction. In addition, we supply wood forms and related products to set or form concrete for various structures including large parking garages, stadiums and bridges. Generally, terms of sale and pricing are determined based on contracts we entered into with our customers.</w:t>
      </w:r>
    </w:p>
    <w:p>
      <w:pPr>
        <w:spacing w:after="0" w:line="147"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We currently supply customers in these markets from manufacturing facilities located in many different states. These facilities manufacture various engineered wood components used to frame residential or light commercial projects, including roof and floor trusses, wall panels, I-joists and lumber packages. Freight costs are a factor in the ability to competitively service this market due to the space requirements of these products on each truckload. We also provide framing services for customers in certain regional markets, in which we erect the wood structure. We believe that providing a comprehensive turn-key package, including installation, provides a competitive advantage.</w:t>
      </w:r>
    </w:p>
    <w:p>
      <w:pPr>
        <w:spacing w:after="0" w:line="147"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Competition in this market is primarily fragmented, but we do compete with a small number of national and regional retail contractor yards who also manufacture components and provide framing services, as well as regional manufacturers of components. We believe our primary competitive advantages relate to the engineering and design capabilities of our regional staff, purchasing and manufacturing expertise, product quality, timeliness of delivery, and financial strength.</w:t>
      </w:r>
    </w:p>
    <w:p>
      <w:pPr>
        <w:spacing w:after="0" w:line="147" w:lineRule="exact"/>
        <w:rPr>
          <w:sz w:val="20"/>
          <w:szCs w:val="20"/>
          <w:color w:val="auto"/>
        </w:rPr>
      </w:pPr>
    </w:p>
    <w:p>
      <w:pPr>
        <w:jc w:val="both"/>
        <w:spacing w:after="0" w:line="258" w:lineRule="auto"/>
        <w:rPr>
          <w:sz w:val="20"/>
          <w:szCs w:val="20"/>
          <w:color w:val="auto"/>
        </w:rPr>
      </w:pPr>
      <w:r>
        <w:rPr>
          <w:rFonts w:ascii="Arial" w:cs="Arial" w:eastAsia="Arial" w:hAnsi="Arial"/>
          <w:sz w:val="14"/>
          <w:szCs w:val="14"/>
          <w:u w:val="single" w:color="auto"/>
          <w:color w:val="auto"/>
        </w:rPr>
        <w:t>Suppliers</w:t>
      </w:r>
      <w:r>
        <w:rPr>
          <w:rFonts w:ascii="Arial" w:cs="Arial" w:eastAsia="Arial" w:hAnsi="Arial"/>
          <w:sz w:val="14"/>
          <w:szCs w:val="14"/>
          <w:color w:val="auto"/>
        </w:rPr>
        <w:t>. We are one of the largest domestic buyers of solid sawn softwood lumber from primary producers (lumber mills). We use primarily southern yellow pine in our pressure-treating operations and site-built component plants in the Southeastern United States, which we obtain from mills located throughout the states comprising the Sunbelt. Other species we use include "spruce-pine-fir" from various provinces in Canada; hemlock, douglas fir and cedar from the Pacific Northwest; inland species of pine, plantation grown radiata and southern yellow pines from South America; and European spruce. Our annual purchases of lumber are approximately $1.7 billion and consist of the following species and their respective percent of total lumber purchases: southern yellow pine (58%), spruce-pine-fur (21%), and douglas fir (4%),</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66675</wp:posOffset>
            </wp:positionV>
            <wp:extent cx="5779135" cy="203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79135" cy="20320"/>
                    </a:xfrm>
                    <a:prstGeom prst="rect">
                      <a:avLst/>
                    </a:prstGeom>
                    <a:noFill/>
                  </pic:spPr>
                </pic:pic>
              </a:graphicData>
            </a:graphic>
          </wp:anchor>
        </w:drawing>
      </w:r>
    </w:p>
    <w:p>
      <w:pPr>
        <w:sectPr>
          <w:pgSz w:w="11900" w:h="16838" w:orient="portrait"/>
          <w:cols w:equalWidth="0" w:num="1">
            <w:col w:w="9100"/>
          </w:cols>
          <w:pgMar w:left="1400" w:top="129" w:right="1399" w:bottom="1440" w:gutter="0" w:footer="0" w:header="0"/>
        </w:sectPr>
      </w:pPr>
    </w:p>
    <w:bookmarkStart w:id="4" w:name="page5"/>
    <w:bookmarkEnd w:id="4"/>
    <w:p>
      <w:pPr>
        <w:jc w:val="both"/>
        <w:spacing w:after="0" w:line="313" w:lineRule="auto"/>
        <w:rPr>
          <w:sz w:val="20"/>
          <w:szCs w:val="20"/>
          <w:color w:val="auto"/>
        </w:rPr>
      </w:pPr>
      <w:r>
        <w:rPr>
          <w:rFonts w:ascii="Arial" w:cs="Arial" w:eastAsia="Arial" w:hAnsi="Arial"/>
          <w:sz w:val="12"/>
          <w:szCs w:val="12"/>
          <w:color w:val="auto"/>
        </w:rPr>
        <w:t>while the remaining 17% of lumber purchases were various other species. Additionally, we purchase approximately $0.6 billion in plywood, oriented strand board (OSB), and a variety of other wood-based products on an annual basis. There are numerous primary producers for all varieties we use, and we are not dependent on any particular source of supply. Our financial resources and size, in combination with our strong sales network and ability to remanufacture lumber, enable us to purchase a large percentage of a primary producer’s output (as opposed to only those dimensions or grades in immediate need), thereby lowering our average cost of raw materials and allowing us to obtain programs such as consigned inventory. We believe this represents a competitive advantage.</w:t>
      </w:r>
    </w:p>
    <w:p>
      <w:pPr>
        <w:spacing w:after="0" w:line="120" w:lineRule="exact"/>
        <w:rPr>
          <w:sz w:val="20"/>
          <w:szCs w:val="20"/>
          <w:color w:val="auto"/>
        </w:rPr>
      </w:pPr>
    </w:p>
    <w:p>
      <w:pPr>
        <w:jc w:val="both"/>
        <w:spacing w:after="0" w:line="262" w:lineRule="auto"/>
        <w:rPr>
          <w:sz w:val="20"/>
          <w:szCs w:val="20"/>
          <w:color w:val="auto"/>
        </w:rPr>
      </w:pPr>
      <w:r>
        <w:rPr>
          <w:rFonts w:ascii="Arial" w:cs="Arial" w:eastAsia="Arial" w:hAnsi="Arial"/>
          <w:sz w:val="14"/>
          <w:szCs w:val="14"/>
          <w:u w:val="single" w:color="auto"/>
          <w:color w:val="auto"/>
        </w:rPr>
        <w:t>Intellectual Property</w:t>
      </w:r>
      <w:r>
        <w:rPr>
          <w:rFonts w:ascii="Arial" w:cs="Arial" w:eastAsia="Arial" w:hAnsi="Arial"/>
          <w:sz w:val="14"/>
          <w:szCs w:val="14"/>
          <w:color w:val="auto"/>
        </w:rPr>
        <w:t>. We own several patents and have several patents pending on technologies related to our business. In addition, we own numerous registered trademarks and claim common law trademark rights to several others. As we develop proprietary brands, we may pursue registration or other formal protection. While we believe our patent and trademark rights are valuable, the loss of a patent or any trademark would not be likely to have a material adverse impact on our competitive position.</w:t>
      </w:r>
    </w:p>
    <w:p>
      <w:pPr>
        <w:spacing w:after="0" w:line="147" w:lineRule="exact"/>
        <w:rPr>
          <w:sz w:val="20"/>
          <w:szCs w:val="20"/>
          <w:color w:val="auto"/>
        </w:rPr>
      </w:pPr>
    </w:p>
    <w:p>
      <w:pPr>
        <w:jc w:val="both"/>
        <w:spacing w:after="0" w:line="285" w:lineRule="auto"/>
        <w:rPr>
          <w:sz w:val="20"/>
          <w:szCs w:val="20"/>
          <w:color w:val="auto"/>
        </w:rPr>
      </w:pPr>
      <w:r>
        <w:rPr>
          <w:rFonts w:ascii="Arial" w:cs="Arial" w:eastAsia="Arial" w:hAnsi="Arial"/>
          <w:sz w:val="13"/>
          <w:szCs w:val="13"/>
          <w:u w:val="single" w:color="auto"/>
          <w:color w:val="auto"/>
        </w:rPr>
        <w:t>Backlog</w:t>
      </w:r>
      <w:r>
        <w:rPr>
          <w:rFonts w:ascii="Arial" w:cs="Arial" w:eastAsia="Arial" w:hAnsi="Arial"/>
          <w:sz w:val="13"/>
          <w:szCs w:val="13"/>
          <w:color w:val="auto"/>
        </w:rPr>
        <w:t>. Due to the nature of our retail and industrial businesses, backlog information is not meaningful. The maximum time between receipt of a firm order and shipment does not usually exceed a few days. Therefore, we would not normally have a backlog of unfilled orders in a material amount. The relationships with our major customers are such that we are either the exclusive supplier of certain products and/or certain geographic areas, or the designated source for a specified portion of the customer’s requirements. In such cases, either we are able to forecast the customer’s requirements or the customer may provide an estimate of its future needs. In neither case, however, will we receive firm orders until just prior to the anticipated delivery dates for the products in question.</w:t>
      </w:r>
    </w:p>
    <w:p>
      <w:pPr>
        <w:spacing w:after="0" w:line="132"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On December 29, 2018 and December 30, 2017, we estimate that backlog orders associated with our customized interior fixture businesses approximated $75.4 million and $60.0 million, respectively. With respect to the former, we expect that these orders will be primarily filled within the next fiscal year; however, it is possible that some orders could be canceled.</w:t>
      </w:r>
    </w:p>
    <w:p>
      <w:pPr>
        <w:spacing w:after="0" w:line="142"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On December 29, 2018 and December 30, 2017, we estimate that backlog orders associated with our construction businesses approximated $95.1 million and $81.7 million, respectively. With respect to the former, we expect that these orders will be primarily filled within the next fiscal year; however, it is possible that some orders could be canceled.</w:t>
      </w:r>
    </w:p>
    <w:p>
      <w:pPr>
        <w:spacing w:after="0" w:line="142" w:lineRule="exact"/>
        <w:rPr>
          <w:sz w:val="20"/>
          <w:szCs w:val="20"/>
          <w:color w:val="auto"/>
        </w:rPr>
      </w:pPr>
    </w:p>
    <w:p>
      <w:pPr>
        <w:jc w:val="both"/>
        <w:spacing w:after="0" w:line="281" w:lineRule="auto"/>
        <w:rPr>
          <w:sz w:val="20"/>
          <w:szCs w:val="20"/>
          <w:color w:val="auto"/>
        </w:rPr>
      </w:pPr>
      <w:r>
        <w:rPr>
          <w:rFonts w:ascii="Arial" w:cs="Arial" w:eastAsia="Arial" w:hAnsi="Arial"/>
          <w:sz w:val="14"/>
          <w:szCs w:val="14"/>
          <w:u w:val="single" w:color="auto"/>
          <w:color w:val="auto"/>
        </w:rPr>
        <w:t>Environmental</w:t>
      </w:r>
      <w:r>
        <w:rPr>
          <w:rFonts w:ascii="Arial" w:cs="Arial" w:eastAsia="Arial" w:hAnsi="Arial"/>
          <w:sz w:val="14"/>
          <w:szCs w:val="14"/>
          <w:color w:val="auto"/>
        </w:rPr>
        <w:t>. Information required for environmental disclosures is incorporated by reference from Note M of the Consolidated Financial Statements presented under Item 8 herein.</w:t>
      </w:r>
    </w:p>
    <w:p>
      <w:pPr>
        <w:spacing w:after="0" w:line="133" w:lineRule="exact"/>
        <w:rPr>
          <w:sz w:val="20"/>
          <w:szCs w:val="20"/>
          <w:color w:val="auto"/>
        </w:rPr>
      </w:pPr>
    </w:p>
    <w:p>
      <w:pPr>
        <w:jc w:val="both"/>
        <w:spacing w:after="0" w:line="281" w:lineRule="auto"/>
        <w:rPr>
          <w:sz w:val="20"/>
          <w:szCs w:val="20"/>
          <w:color w:val="auto"/>
        </w:rPr>
      </w:pPr>
      <w:r>
        <w:rPr>
          <w:rFonts w:ascii="Arial" w:cs="Arial" w:eastAsia="Arial" w:hAnsi="Arial"/>
          <w:sz w:val="14"/>
          <w:szCs w:val="14"/>
          <w:u w:val="single" w:color="auto"/>
          <w:color w:val="auto"/>
        </w:rPr>
        <w:t>Seasonality</w:t>
      </w:r>
      <w:r>
        <w:rPr>
          <w:rFonts w:ascii="Arial" w:cs="Arial" w:eastAsia="Arial" w:hAnsi="Arial"/>
          <w:sz w:val="14"/>
          <w:szCs w:val="14"/>
          <w:color w:val="auto"/>
        </w:rPr>
        <w:t>. Information required for seasonality disclosures is incorporated by reference from Item 1A. Risk Factors under the caption “</w:t>
      </w:r>
      <w:r>
        <w:rPr>
          <w:rFonts w:ascii="Arial" w:cs="Arial" w:eastAsia="Arial" w:hAnsi="Arial"/>
          <w:sz w:val="14"/>
          <w:szCs w:val="14"/>
          <w:i w:val="1"/>
          <w:iCs w:val="1"/>
          <w:color w:val="auto"/>
        </w:rPr>
        <w:t>Seasonality and</w:t>
      </w:r>
      <w:r>
        <w:rPr>
          <w:rFonts w:ascii="Arial" w:cs="Arial" w:eastAsia="Arial" w:hAnsi="Arial"/>
          <w:sz w:val="14"/>
          <w:szCs w:val="14"/>
          <w:color w:val="auto"/>
        </w:rPr>
        <w:t xml:space="preserve"> </w:t>
      </w:r>
      <w:r>
        <w:rPr>
          <w:rFonts w:ascii="Arial" w:cs="Arial" w:eastAsia="Arial" w:hAnsi="Arial"/>
          <w:sz w:val="14"/>
          <w:szCs w:val="14"/>
          <w:i w:val="1"/>
          <w:iCs w:val="1"/>
          <w:color w:val="auto"/>
        </w:rPr>
        <w:t>weather conditions could adversely affect us</w:t>
      </w:r>
      <w:r>
        <w:rPr>
          <w:rFonts w:ascii="Arial" w:cs="Arial" w:eastAsia="Arial" w:hAnsi="Arial"/>
          <w:sz w:val="14"/>
          <w:szCs w:val="14"/>
          <w:color w:val="auto"/>
        </w:rPr>
        <w:t>.”</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Employees</w:t>
      </w:r>
      <w:r>
        <w:rPr>
          <w:rFonts w:ascii="Arial" w:cs="Arial" w:eastAsia="Arial" w:hAnsi="Arial"/>
          <w:sz w:val="14"/>
          <w:szCs w:val="14"/>
          <w:color w:val="auto"/>
        </w:rPr>
        <w:t>. On December 29, 2018, we had approximately 12,000 employees.</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Available Information.</w:t>
      </w:r>
    </w:p>
    <w:p>
      <w:pPr>
        <w:spacing w:after="0" w:line="183" w:lineRule="exact"/>
        <w:rPr>
          <w:sz w:val="20"/>
          <w:szCs w:val="20"/>
          <w:color w:val="auto"/>
        </w:rPr>
      </w:pPr>
    </w:p>
    <w:p>
      <w:pPr>
        <w:jc w:val="both"/>
        <w:spacing w:after="0" w:line="172" w:lineRule="exact"/>
        <w:rPr>
          <w:sz w:val="20"/>
          <w:szCs w:val="20"/>
          <w:color w:val="auto"/>
        </w:rPr>
      </w:pPr>
      <w:r>
        <w:rPr>
          <w:rFonts w:ascii="Arial" w:cs="Arial" w:eastAsia="Arial" w:hAnsi="Arial"/>
          <w:sz w:val="13"/>
          <w:szCs w:val="13"/>
          <w:color w:val="auto"/>
        </w:rPr>
        <w:t>Our Internet address is www.ufpi.com. Through our Internet website under "Financial Information" in the Investor Relations section, we make available free of charge, as soon as reasonably practical after such information has been filed with the SEC, our annual report on Form 10</w:t>
      </w:r>
      <w:r>
        <w:rPr>
          <w:rFonts w:ascii="MS PGothic" w:cs="MS PGothic" w:eastAsia="MS PGothic" w:hAnsi="MS PGothic"/>
          <w:sz w:val="13"/>
          <w:szCs w:val="13"/>
          <w:color w:val="auto"/>
        </w:rPr>
        <w:t>‑</w:t>
      </w:r>
      <w:r>
        <w:rPr>
          <w:rFonts w:ascii="Arial" w:cs="Arial" w:eastAsia="Arial" w:hAnsi="Arial"/>
          <w:sz w:val="13"/>
          <w:szCs w:val="13"/>
          <w:color w:val="auto"/>
        </w:rPr>
        <w:t>K, quarterly reports on Form 10</w:t>
      </w:r>
      <w:r>
        <w:rPr>
          <w:rFonts w:ascii="MS PGothic" w:cs="MS PGothic" w:eastAsia="MS PGothic" w:hAnsi="MS PGothic"/>
          <w:sz w:val="13"/>
          <w:szCs w:val="13"/>
          <w:color w:val="auto"/>
        </w:rPr>
        <w:t>‑</w:t>
      </w:r>
      <w:r>
        <w:rPr>
          <w:rFonts w:ascii="Arial" w:cs="Arial" w:eastAsia="Arial" w:hAnsi="Arial"/>
          <w:sz w:val="13"/>
          <w:szCs w:val="13"/>
          <w:color w:val="auto"/>
        </w:rPr>
        <w:t>Q, current reports on Form 8</w:t>
      </w:r>
      <w:r>
        <w:rPr>
          <w:rFonts w:ascii="MS PGothic" w:cs="MS PGothic" w:eastAsia="MS PGothic" w:hAnsi="MS PGothic"/>
          <w:sz w:val="13"/>
          <w:szCs w:val="13"/>
          <w:color w:val="auto"/>
        </w:rPr>
        <w:t>‑</w:t>
      </w:r>
      <w:r>
        <w:rPr>
          <w:rFonts w:ascii="Arial" w:cs="Arial" w:eastAsia="Arial" w:hAnsi="Arial"/>
          <w:sz w:val="13"/>
          <w:szCs w:val="13"/>
          <w:color w:val="auto"/>
        </w:rPr>
        <w:t>K, and amendments to those reports filed pursuant to Section 13(a) or 15(d) of the Securities Exchange Act. Also available through our Internet website under "Corporate Governance" in the Investor Relations section is our Code of Ethics for Senior Financial Officers.</w:t>
      </w:r>
    </w:p>
    <w:p>
      <w:pPr>
        <w:spacing w:after="0" w:line="158"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Reports to Security Holders.</w:t>
      </w:r>
    </w:p>
    <w:p>
      <w:pPr>
        <w:spacing w:after="0" w:line="183" w:lineRule="exact"/>
        <w:rPr>
          <w:sz w:val="20"/>
          <w:szCs w:val="20"/>
          <w:color w:val="auto"/>
        </w:rPr>
      </w:pPr>
    </w:p>
    <w:p>
      <w:pPr>
        <w:spacing w:after="0"/>
        <w:rPr>
          <w:sz w:val="20"/>
          <w:szCs w:val="20"/>
          <w:color w:val="auto"/>
        </w:rPr>
      </w:pPr>
      <w:r>
        <w:rPr>
          <w:rFonts w:ascii="Arial" w:cs="Arial" w:eastAsia="Arial" w:hAnsi="Arial"/>
          <w:sz w:val="14"/>
          <w:szCs w:val="14"/>
          <w:color w:val="auto"/>
        </w:rPr>
        <w:t>Not applicable.</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Enforceability of Civil Liabilities Against Foreign Persons.</w:t>
      </w:r>
    </w:p>
    <w:p>
      <w:pPr>
        <w:spacing w:after="0" w:line="183" w:lineRule="exact"/>
        <w:rPr>
          <w:sz w:val="20"/>
          <w:szCs w:val="20"/>
          <w:color w:val="auto"/>
        </w:rPr>
      </w:pPr>
    </w:p>
    <w:p>
      <w:pPr>
        <w:spacing w:after="0"/>
        <w:rPr>
          <w:sz w:val="20"/>
          <w:szCs w:val="20"/>
          <w:color w:val="auto"/>
        </w:rPr>
      </w:pPr>
      <w:r>
        <w:rPr>
          <w:rFonts w:ascii="Arial" w:cs="Arial" w:eastAsia="Arial" w:hAnsi="Arial"/>
          <w:sz w:val="14"/>
          <w:szCs w:val="14"/>
          <w:color w:val="auto"/>
        </w:rPr>
        <w:t>Not applicable.</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66675</wp:posOffset>
            </wp:positionV>
            <wp:extent cx="5779135" cy="203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79135" cy="20320"/>
                    </a:xfrm>
                    <a:prstGeom prst="rect">
                      <a:avLst/>
                    </a:prstGeom>
                    <a:noFill/>
                  </pic:spPr>
                </pic:pic>
              </a:graphicData>
            </a:graphic>
          </wp:anchor>
        </w:drawing>
      </w:r>
    </w:p>
    <w:p>
      <w:pPr>
        <w:sectPr>
          <w:pgSz w:w="11900" w:h="16838" w:orient="portrait"/>
          <w:cols w:equalWidth="0" w:num="1">
            <w:col w:w="9100"/>
          </w:cols>
          <w:pgMar w:left="1400" w:top="129" w:right="1399" w:bottom="1440" w:gutter="0" w:footer="0" w:header="0"/>
        </w:sectPr>
      </w:pPr>
    </w:p>
    <w:bookmarkStart w:id="5" w:name="page6"/>
    <w:bookmarkEnd w:id="5"/>
    <w:p>
      <w:pPr>
        <w:spacing w:after="0"/>
        <w:rPr>
          <w:sz w:val="20"/>
          <w:szCs w:val="20"/>
          <w:color w:val="auto"/>
        </w:rPr>
      </w:pPr>
      <w:r>
        <w:rPr>
          <w:rFonts w:ascii="Arial" w:cs="Arial" w:eastAsia="Arial" w:hAnsi="Arial"/>
          <w:sz w:val="14"/>
          <w:szCs w:val="14"/>
          <w:b w:val="1"/>
          <w:bCs w:val="1"/>
          <w:u w:val="single" w:color="auto"/>
          <w:color w:val="auto"/>
        </w:rPr>
        <w:t>Item 1A. Risk Factors.</w:t>
      </w:r>
    </w:p>
    <w:p>
      <w:pPr>
        <w:spacing w:after="0" w:line="183" w:lineRule="exact"/>
        <w:rPr>
          <w:sz w:val="20"/>
          <w:szCs w:val="20"/>
          <w:color w:val="auto"/>
        </w:rPr>
      </w:pPr>
    </w:p>
    <w:p>
      <w:pPr>
        <w:jc w:val="both"/>
        <w:spacing w:after="0" w:line="281" w:lineRule="auto"/>
        <w:rPr>
          <w:sz w:val="20"/>
          <w:szCs w:val="20"/>
          <w:color w:val="auto"/>
        </w:rPr>
      </w:pPr>
      <w:r>
        <w:rPr>
          <w:rFonts w:ascii="Arial" w:cs="Arial" w:eastAsia="Arial" w:hAnsi="Arial"/>
          <w:sz w:val="14"/>
          <w:szCs w:val="14"/>
          <w:b w:val="1"/>
          <w:bCs w:val="1"/>
          <w:i w:val="1"/>
          <w:iCs w:val="1"/>
          <w:color w:val="auto"/>
        </w:rPr>
        <w:t xml:space="preserve">We are subject to regional, national and global economic conditions. </w:t>
      </w:r>
      <w:r>
        <w:rPr>
          <w:rFonts w:ascii="Arial" w:cs="Arial" w:eastAsia="Arial" w:hAnsi="Arial"/>
          <w:sz w:val="14"/>
          <w:szCs w:val="14"/>
          <w:color w:val="auto"/>
        </w:rPr>
        <w:t>A decline in economic conditions throughout the United States could reduce demand for</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our products.</w:t>
      </w:r>
    </w:p>
    <w:p>
      <w:pPr>
        <w:spacing w:after="0" w:line="133" w:lineRule="exact"/>
        <w:rPr>
          <w:sz w:val="20"/>
          <w:szCs w:val="20"/>
          <w:color w:val="auto"/>
        </w:rPr>
      </w:pPr>
    </w:p>
    <w:p>
      <w:pPr>
        <w:jc w:val="both"/>
        <w:spacing w:after="0" w:line="267" w:lineRule="auto"/>
        <w:rPr>
          <w:sz w:val="20"/>
          <w:szCs w:val="20"/>
          <w:color w:val="auto"/>
        </w:rPr>
      </w:pPr>
      <w:r>
        <w:rPr>
          <w:rFonts w:ascii="Arial" w:cs="Arial" w:eastAsia="Arial" w:hAnsi="Arial"/>
          <w:sz w:val="14"/>
          <w:szCs w:val="14"/>
          <w:b w:val="1"/>
          <w:bCs w:val="1"/>
          <w:i w:val="1"/>
          <w:iCs w:val="1"/>
          <w:color w:val="auto"/>
        </w:rPr>
        <w:t xml:space="preserve">We may be impacted by a decline in the value of the U.S. dollar. </w:t>
      </w:r>
      <w:r>
        <w:rPr>
          <w:rFonts w:ascii="Arial" w:cs="Arial" w:eastAsia="Arial" w:hAnsi="Arial"/>
          <w:sz w:val="14"/>
          <w:szCs w:val="14"/>
          <w:color w:val="auto"/>
        </w:rPr>
        <w:t>We purchase a variety of raw materials and finished goods from sources around the world and</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export certain products. The impact of a change in U.S. dollar exchange rates would impact our import purchases and export sales, which totaled $190.8 million and $147.1 million, respectively, in 2018. In addition, many of our industrial customers export their products.</w:t>
      </w:r>
    </w:p>
    <w:p>
      <w:pPr>
        <w:spacing w:after="0" w:line="142" w:lineRule="exact"/>
        <w:rPr>
          <w:sz w:val="20"/>
          <w:szCs w:val="20"/>
          <w:color w:val="auto"/>
        </w:rPr>
      </w:pPr>
    </w:p>
    <w:p>
      <w:pPr>
        <w:jc w:val="both"/>
        <w:spacing w:after="0" w:line="171" w:lineRule="exact"/>
        <w:rPr>
          <w:sz w:val="20"/>
          <w:szCs w:val="20"/>
          <w:color w:val="auto"/>
        </w:rPr>
      </w:pPr>
      <w:r>
        <w:rPr>
          <w:rFonts w:ascii="Arial" w:cs="Arial" w:eastAsia="Arial" w:hAnsi="Arial"/>
          <w:sz w:val="13"/>
          <w:szCs w:val="13"/>
          <w:b w:val="1"/>
          <w:bCs w:val="1"/>
          <w:i w:val="1"/>
          <w:iCs w:val="1"/>
          <w:color w:val="auto"/>
        </w:rPr>
        <w:t>We are subject to fluctuations in the price of lumber</w:t>
      </w:r>
      <w:r>
        <w:rPr>
          <w:rFonts w:ascii="Arial" w:cs="Arial" w:eastAsia="Arial" w:hAnsi="Arial"/>
          <w:sz w:val="13"/>
          <w:szCs w:val="13"/>
          <w:color w:val="auto"/>
        </w:rPr>
        <w:t>. We experience significant fluctuations in the cost of commodity lumber products from primary producers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(the "Lumber Market"). A variety of factors over which we have no control, including government and environmental regulations, weather conditions, economic conditions, and natural disasters, impact the cost of lumber products and our selling prices. While we attempt to minimize our risk from severe price fluctuations, substantial, prolonged trends in lumber prices can affect our sales, cost of materials, and gross profits. Our products are generally priced to the customer based on a quoted, fixed selling price or "indexed" to the Lumber Market with a fixed dollar adder to cover conversion costs and profit. The impact on our profitability from changes in lumber prices is discussed in the "Historical Lumber Prices" and "Impact of the Lumber Market on Our Operating Results" captions of our Management’s Discussion and Analysis of Financial Condition and Results of Operations section under Item 7 of this Form 10</w:t>
      </w:r>
      <w:r>
        <w:rPr>
          <w:rFonts w:ascii="MS PGothic" w:cs="MS PGothic" w:eastAsia="MS PGothic" w:hAnsi="MS PGothic"/>
          <w:sz w:val="13"/>
          <w:szCs w:val="13"/>
          <w:color w:val="auto"/>
        </w:rPr>
        <w:t>‑</w:t>
      </w:r>
      <w:r>
        <w:rPr>
          <w:rFonts w:ascii="Arial" w:cs="Arial" w:eastAsia="Arial" w:hAnsi="Arial"/>
          <w:sz w:val="13"/>
          <w:szCs w:val="13"/>
          <w:color w:val="auto"/>
        </w:rPr>
        <w:t>K. Our lumber costs as a percentage of gross sales were 50.6%, 49.1%, and 48.4% in 2018, 2017, and 2016, respectively.</w:t>
      </w:r>
    </w:p>
    <w:p>
      <w:pPr>
        <w:spacing w:after="0" w:line="164" w:lineRule="exact"/>
        <w:rPr>
          <w:sz w:val="20"/>
          <w:szCs w:val="20"/>
          <w:color w:val="auto"/>
        </w:rPr>
      </w:pPr>
    </w:p>
    <w:p>
      <w:pPr>
        <w:jc w:val="both"/>
        <w:spacing w:after="0" w:line="267" w:lineRule="auto"/>
        <w:rPr>
          <w:sz w:val="20"/>
          <w:szCs w:val="20"/>
          <w:color w:val="auto"/>
        </w:rPr>
      </w:pPr>
      <w:r>
        <w:rPr>
          <w:rFonts w:ascii="Arial" w:cs="Arial" w:eastAsia="Arial" w:hAnsi="Arial"/>
          <w:sz w:val="14"/>
          <w:szCs w:val="14"/>
          <w:b w:val="1"/>
          <w:bCs w:val="1"/>
          <w:i w:val="1"/>
          <w:iCs w:val="1"/>
          <w:color w:val="auto"/>
        </w:rPr>
        <w:t xml:space="preserve">Our growth may be limited by the markets we serve, including our construction market which is highly cyclical. </w:t>
      </w:r>
      <w:r>
        <w:rPr>
          <w:rFonts w:ascii="Arial" w:cs="Arial" w:eastAsia="Arial" w:hAnsi="Arial"/>
          <w:sz w:val="14"/>
          <w:szCs w:val="14"/>
          <w:color w:val="auto"/>
        </w:rPr>
        <w:t>Our sales growth is dependent, in part, upon</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the growth of the markets we serve. If our markets do not achieve anticipated growth, or if we fail to maintain our market share, financial results could be impaired.</w:t>
      </w:r>
    </w:p>
    <w:p>
      <w:pPr>
        <w:spacing w:after="0" w:line="142" w:lineRule="exact"/>
        <w:rPr>
          <w:sz w:val="20"/>
          <w:szCs w:val="20"/>
          <w:color w:val="auto"/>
        </w:rPr>
      </w:pPr>
    </w:p>
    <w:p>
      <w:pPr>
        <w:jc w:val="both"/>
        <w:spacing w:after="0" w:line="281" w:lineRule="auto"/>
        <w:rPr>
          <w:sz w:val="20"/>
          <w:szCs w:val="20"/>
          <w:color w:val="auto"/>
        </w:rPr>
      </w:pPr>
      <w:r>
        <w:rPr>
          <w:rFonts w:ascii="Arial" w:cs="Arial" w:eastAsia="Arial" w:hAnsi="Arial"/>
          <w:sz w:val="14"/>
          <w:szCs w:val="14"/>
          <w:b w:val="1"/>
          <w:bCs w:val="1"/>
          <w:i w:val="1"/>
          <w:iCs w:val="1"/>
          <w:color w:val="auto"/>
        </w:rPr>
        <w:t>A significant portion of our sales are concentrated with one customer</w:t>
      </w:r>
      <w:r>
        <w:rPr>
          <w:rFonts w:ascii="Arial" w:cs="Arial" w:eastAsia="Arial" w:hAnsi="Arial"/>
          <w:sz w:val="14"/>
          <w:szCs w:val="14"/>
          <w:color w:val="auto"/>
        </w:rPr>
        <w:t>. Our sales to The Home Depot comprised 19% of our total sales in 2018 and 2017, and</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20% in 2016.</w:t>
      </w:r>
    </w:p>
    <w:p>
      <w:pPr>
        <w:spacing w:after="0" w:line="133" w:lineRule="exact"/>
        <w:rPr>
          <w:sz w:val="20"/>
          <w:szCs w:val="20"/>
          <w:color w:val="auto"/>
        </w:rPr>
      </w:pPr>
    </w:p>
    <w:p>
      <w:pPr>
        <w:jc w:val="both"/>
        <w:spacing w:after="0" w:line="297" w:lineRule="auto"/>
        <w:rPr>
          <w:sz w:val="20"/>
          <w:szCs w:val="20"/>
          <w:color w:val="auto"/>
        </w:rPr>
      </w:pPr>
      <w:r>
        <w:rPr>
          <w:rFonts w:ascii="Arial" w:cs="Arial" w:eastAsia="Arial" w:hAnsi="Arial"/>
          <w:sz w:val="13"/>
          <w:szCs w:val="13"/>
          <w:b w:val="1"/>
          <w:bCs w:val="1"/>
          <w:i w:val="1"/>
          <w:iCs w:val="1"/>
          <w:color w:val="auto"/>
        </w:rPr>
        <w:t xml:space="preserve">Economic and credit market conditions impact our ability to collect a greater percentage of our receivables. </w:t>
      </w:r>
      <w:r>
        <w:rPr>
          <w:rFonts w:ascii="Arial" w:cs="Arial" w:eastAsia="Arial" w:hAnsi="Arial"/>
          <w:sz w:val="13"/>
          <w:szCs w:val="13"/>
          <w:color w:val="auto"/>
        </w:rPr>
        <w:t>Economic and credit conditions may impact our</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bad debt expense. We continue to monitor our customers’ credit profiles carefully and make changes in our terms when necessary in response to this risk. Bad debt expense as a percentage of sales was 0.03%, 0.03%, and 0.06% in 2018, 2017, and 2016, respectively.</w:t>
      </w:r>
    </w:p>
    <w:p>
      <w:pPr>
        <w:spacing w:after="0" w:line="125" w:lineRule="exact"/>
        <w:rPr>
          <w:sz w:val="20"/>
          <w:szCs w:val="20"/>
          <w:color w:val="auto"/>
        </w:rPr>
      </w:pPr>
    </w:p>
    <w:p>
      <w:pPr>
        <w:jc w:val="both"/>
        <w:spacing w:after="0" w:line="267" w:lineRule="auto"/>
        <w:rPr>
          <w:sz w:val="20"/>
          <w:szCs w:val="20"/>
          <w:color w:val="auto"/>
        </w:rPr>
      </w:pPr>
      <w:r>
        <w:rPr>
          <w:rFonts w:ascii="Arial" w:cs="Arial" w:eastAsia="Arial" w:hAnsi="Arial"/>
          <w:sz w:val="14"/>
          <w:szCs w:val="14"/>
          <w:b w:val="1"/>
          <w:bCs w:val="1"/>
          <w:i w:val="1"/>
          <w:iCs w:val="1"/>
          <w:color w:val="auto"/>
        </w:rPr>
        <w:t xml:space="preserve">We may be impacted by vertical integration strategies. </w:t>
      </w:r>
      <w:r>
        <w:rPr>
          <w:rFonts w:ascii="Arial" w:cs="Arial" w:eastAsia="Arial" w:hAnsi="Arial"/>
          <w:sz w:val="14"/>
          <w:szCs w:val="14"/>
          <w:color w:val="auto"/>
        </w:rPr>
        <w:t>In certain markets and product lines, our customers or vendors could pursue vertical integration</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strategies that could have an adverse effect on our sales. We strive to add value and be a low-cost producer while maintaining competitive pricing in each of our markets to mitigate this risk.</w:t>
      </w:r>
    </w:p>
    <w:p>
      <w:pPr>
        <w:spacing w:after="0" w:line="142" w:lineRule="exact"/>
        <w:rPr>
          <w:sz w:val="20"/>
          <w:szCs w:val="20"/>
          <w:color w:val="auto"/>
        </w:rPr>
      </w:pPr>
    </w:p>
    <w:p>
      <w:pPr>
        <w:jc w:val="both"/>
        <w:spacing w:after="0" w:line="281" w:lineRule="auto"/>
        <w:rPr>
          <w:sz w:val="20"/>
          <w:szCs w:val="20"/>
          <w:color w:val="auto"/>
        </w:rPr>
      </w:pPr>
      <w:r>
        <w:rPr>
          <w:rFonts w:ascii="Arial" w:cs="Arial" w:eastAsia="Arial" w:hAnsi="Arial"/>
          <w:sz w:val="14"/>
          <w:szCs w:val="14"/>
          <w:b w:val="1"/>
          <w:bCs w:val="1"/>
          <w:i w:val="1"/>
          <w:iCs w:val="1"/>
          <w:color w:val="auto"/>
        </w:rPr>
        <w:t xml:space="preserve">We may be impacted by excess capacity among suppliers. </w:t>
      </w:r>
      <w:r>
        <w:rPr>
          <w:rFonts w:ascii="Arial" w:cs="Arial" w:eastAsia="Arial" w:hAnsi="Arial"/>
          <w:sz w:val="14"/>
          <w:szCs w:val="14"/>
          <w:color w:val="auto"/>
        </w:rPr>
        <w:t>There is excess capacity among suppliers of certain products in some of the markets we serve. Our</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selling prices and gross margins have been and are likely to continue to be impacted by this excess capacity.</w:t>
      </w:r>
    </w:p>
    <w:p>
      <w:pPr>
        <w:spacing w:after="0" w:line="133" w:lineRule="exact"/>
        <w:rPr>
          <w:sz w:val="20"/>
          <w:szCs w:val="20"/>
          <w:color w:val="auto"/>
        </w:rPr>
      </w:pPr>
    </w:p>
    <w:p>
      <w:pPr>
        <w:jc w:val="both"/>
        <w:spacing w:after="0" w:line="267" w:lineRule="auto"/>
        <w:rPr>
          <w:sz w:val="20"/>
          <w:szCs w:val="20"/>
          <w:color w:val="auto"/>
        </w:rPr>
      </w:pPr>
      <w:r>
        <w:rPr>
          <w:rFonts w:ascii="Arial" w:cs="Arial" w:eastAsia="Arial" w:hAnsi="Arial"/>
          <w:sz w:val="14"/>
          <w:szCs w:val="14"/>
          <w:b w:val="1"/>
          <w:bCs w:val="1"/>
          <w:i w:val="1"/>
          <w:iCs w:val="1"/>
          <w:color w:val="auto"/>
        </w:rPr>
        <w:t xml:space="preserve">Our growth may be limited by our ability to make successful acquisitions. </w:t>
      </w:r>
      <w:r>
        <w:rPr>
          <w:rFonts w:ascii="Arial" w:cs="Arial" w:eastAsia="Arial" w:hAnsi="Arial"/>
          <w:sz w:val="14"/>
          <w:szCs w:val="14"/>
          <w:color w:val="auto"/>
        </w:rPr>
        <w:t>A key component of our growth strategy is to complete business combinations.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Business combinations involve inherent risks, including assimilation and successfully managing growth. While we conduct extensive due diligence and have taken steps to ensure successful assimilation, factors beyond our control could influence the results of these acquisitions.</w:t>
      </w:r>
    </w:p>
    <w:p>
      <w:pPr>
        <w:spacing w:after="0" w:line="142" w:lineRule="exact"/>
        <w:rPr>
          <w:sz w:val="20"/>
          <w:szCs w:val="20"/>
          <w:color w:val="auto"/>
        </w:rPr>
      </w:pPr>
    </w:p>
    <w:p>
      <w:pPr>
        <w:jc w:val="both"/>
        <w:spacing w:after="0" w:line="285" w:lineRule="auto"/>
        <w:rPr>
          <w:sz w:val="20"/>
          <w:szCs w:val="20"/>
          <w:color w:val="auto"/>
        </w:rPr>
      </w:pPr>
      <w:r>
        <w:rPr>
          <w:rFonts w:ascii="Arial" w:cs="Arial" w:eastAsia="Arial" w:hAnsi="Arial"/>
          <w:sz w:val="13"/>
          <w:szCs w:val="13"/>
          <w:b w:val="1"/>
          <w:bCs w:val="1"/>
          <w:i w:val="1"/>
          <w:iCs w:val="1"/>
          <w:color w:val="auto"/>
        </w:rPr>
        <w:t xml:space="preserve">We may be adversely affected by the impact of environmental and safety regulations. </w:t>
      </w:r>
      <w:r>
        <w:rPr>
          <w:rFonts w:ascii="Arial" w:cs="Arial" w:eastAsia="Arial" w:hAnsi="Arial"/>
          <w:sz w:val="13"/>
          <w:szCs w:val="13"/>
          <w:color w:val="auto"/>
        </w:rPr>
        <w:t>We are subject to the requirements of federal, state, and local</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environmental and occupational health and safety laws and regulations. There can be no assurance that we are at all times in complete compliance with all of these requirements. We have made and will continue to make capital and other expenditures to comply with environmental regulations. If additional laws and regulations are enacted, which restrict our ability to manufacture and market our products, including our treated lumber products, it could adversely affect our sales and profits. Changes in the interpretation of existing laws could also adversely impact our financial results.</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66675</wp:posOffset>
            </wp:positionV>
            <wp:extent cx="5779135" cy="203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79135" cy="20320"/>
                    </a:xfrm>
                    <a:prstGeom prst="rect">
                      <a:avLst/>
                    </a:prstGeom>
                    <a:noFill/>
                  </pic:spPr>
                </pic:pic>
              </a:graphicData>
            </a:graphic>
          </wp:anchor>
        </w:drawing>
      </w:r>
    </w:p>
    <w:p>
      <w:pPr>
        <w:sectPr>
          <w:pgSz w:w="11900" w:h="16838" w:orient="portrait"/>
          <w:cols w:equalWidth="0" w:num="1">
            <w:col w:w="9100"/>
          </w:cols>
          <w:pgMar w:left="1400" w:top="125" w:right="1399" w:bottom="1440" w:gutter="0" w:footer="0" w:header="0"/>
        </w:sectPr>
      </w:pPr>
    </w:p>
    <w:bookmarkStart w:id="6" w:name="page7"/>
    <w:bookmarkEnd w:id="6"/>
    <w:p>
      <w:pPr>
        <w:jc w:val="both"/>
        <w:spacing w:after="0" w:line="267" w:lineRule="auto"/>
        <w:rPr>
          <w:sz w:val="20"/>
          <w:szCs w:val="20"/>
          <w:color w:val="auto"/>
        </w:rPr>
      </w:pPr>
      <w:r>
        <w:rPr>
          <w:rFonts w:ascii="Arial" w:cs="Arial" w:eastAsia="Arial" w:hAnsi="Arial"/>
          <w:sz w:val="14"/>
          <w:szCs w:val="14"/>
          <w:b w:val="1"/>
          <w:bCs w:val="1"/>
          <w:i w:val="1"/>
          <w:iCs w:val="1"/>
          <w:color w:val="auto"/>
        </w:rPr>
        <w:t>The current version of federal health care legislation may significantly increase our costs</w:t>
      </w:r>
      <w:r>
        <w:rPr>
          <w:rFonts w:ascii="Arial" w:cs="Arial" w:eastAsia="Arial" w:hAnsi="Arial"/>
          <w:sz w:val="14"/>
          <w:szCs w:val="14"/>
          <w:color w:val="auto"/>
        </w:rPr>
        <w:t>. The federal health care legislation enacted in 2010 and future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regulations called for under the legislation may have a significant cost implication for our company. Our health care costs totaled approximately $69.2 million, $58.9 million, and $52.7 million in 2018, 2017, and 2016, respectively.</w:t>
      </w:r>
    </w:p>
    <w:p>
      <w:pPr>
        <w:spacing w:after="0" w:line="142" w:lineRule="exact"/>
        <w:rPr>
          <w:sz w:val="20"/>
          <w:szCs w:val="20"/>
          <w:color w:val="auto"/>
        </w:rPr>
      </w:pPr>
    </w:p>
    <w:p>
      <w:pPr>
        <w:jc w:val="both"/>
        <w:spacing w:after="0" w:line="262" w:lineRule="auto"/>
        <w:rPr>
          <w:sz w:val="20"/>
          <w:szCs w:val="20"/>
          <w:color w:val="auto"/>
        </w:rPr>
      </w:pPr>
      <w:r>
        <w:rPr>
          <w:rFonts w:ascii="Arial" w:cs="Arial" w:eastAsia="Arial" w:hAnsi="Arial"/>
          <w:sz w:val="14"/>
          <w:szCs w:val="14"/>
          <w:b w:val="1"/>
          <w:bCs w:val="1"/>
          <w:i w:val="1"/>
          <w:iCs w:val="1"/>
          <w:color w:val="auto"/>
        </w:rPr>
        <w:t>Seasonality and weather conditions could adversely affect us</w:t>
      </w:r>
      <w:r>
        <w:rPr>
          <w:rFonts w:ascii="Arial" w:cs="Arial" w:eastAsia="Arial" w:hAnsi="Arial"/>
          <w:sz w:val="14"/>
          <w:szCs w:val="14"/>
          <w:color w:val="auto"/>
        </w:rPr>
        <w:t>. Some aspects of our business are seasonal in nature and results of operations vary from quarter</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to quarter. In addition, the majority of our products sold to the Retail and Construction markets are used or installed in outdoor construction applications; therefore, short-term sales volume, productivity and gross profits can be negatively affected by adverse weather conditions, particularly in our first and fourth quarters.</w:t>
      </w:r>
    </w:p>
    <w:p>
      <w:pPr>
        <w:spacing w:after="0" w:line="147" w:lineRule="exact"/>
        <w:rPr>
          <w:sz w:val="20"/>
          <w:szCs w:val="20"/>
          <w:color w:val="auto"/>
        </w:rPr>
      </w:pPr>
    </w:p>
    <w:p>
      <w:pPr>
        <w:jc w:val="both"/>
        <w:spacing w:after="0" w:line="297" w:lineRule="auto"/>
        <w:rPr>
          <w:sz w:val="20"/>
          <w:szCs w:val="20"/>
          <w:color w:val="auto"/>
        </w:rPr>
      </w:pPr>
      <w:r>
        <w:rPr>
          <w:rFonts w:ascii="Arial" w:cs="Arial" w:eastAsia="Arial" w:hAnsi="Arial"/>
          <w:sz w:val="13"/>
          <w:szCs w:val="13"/>
          <w:b w:val="1"/>
          <w:bCs w:val="1"/>
          <w:i w:val="1"/>
          <w:iCs w:val="1"/>
          <w:color w:val="auto"/>
        </w:rPr>
        <w:t xml:space="preserve">Inbound and outbound transportation costs represent a significant part of our cost structure. </w:t>
      </w:r>
      <w:r>
        <w:rPr>
          <w:rFonts w:ascii="Arial" w:cs="Arial" w:eastAsia="Arial" w:hAnsi="Arial"/>
          <w:sz w:val="13"/>
          <w:szCs w:val="13"/>
          <w:color w:val="auto"/>
        </w:rPr>
        <w:t>An increase in fuel and other operating expenses will</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significantly increase our costs. While we attempt to pass these costs along to our customers, there can be no assurance that they would agree to these price increases. Our total inbound and outbound transportation costs were approximately 9.3%, 9.0%, and 9.6% of sales in 2018, 2017, and 2016, respectively.</w:t>
      </w:r>
    </w:p>
    <w:p>
      <w:pPr>
        <w:spacing w:after="0" w:line="125" w:lineRule="exact"/>
        <w:rPr>
          <w:sz w:val="20"/>
          <w:szCs w:val="20"/>
          <w:color w:val="auto"/>
        </w:rPr>
      </w:pPr>
    </w:p>
    <w:p>
      <w:pPr>
        <w:jc w:val="both"/>
        <w:spacing w:after="0" w:line="262" w:lineRule="auto"/>
        <w:rPr>
          <w:sz w:val="20"/>
          <w:szCs w:val="20"/>
          <w:color w:val="auto"/>
        </w:rPr>
      </w:pPr>
      <w:r>
        <w:rPr>
          <w:rFonts w:ascii="Arial" w:cs="Arial" w:eastAsia="Arial" w:hAnsi="Arial"/>
          <w:sz w:val="14"/>
          <w:szCs w:val="14"/>
          <w:b w:val="1"/>
          <w:bCs w:val="1"/>
          <w:i w:val="1"/>
          <w:iCs w:val="1"/>
          <w:color w:val="auto"/>
        </w:rPr>
        <w:t xml:space="preserve">New alternatives may be developed to replace traditional treated wood products. </w:t>
      </w:r>
      <w:r>
        <w:rPr>
          <w:rFonts w:ascii="Arial" w:cs="Arial" w:eastAsia="Arial" w:hAnsi="Arial"/>
          <w:sz w:val="14"/>
          <w:szCs w:val="14"/>
          <w:color w:val="auto"/>
        </w:rPr>
        <w:t>The manufacturers of wood preservatives continue to develop new</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preservatives. While we believe treated products are reasonably priced relative to alternative products such as composites or vinyl, new alternatives may impact the sales of treated wood products. In addition, new preservatives could increase our cost of treating products in the future. See Footnote N “Segment Reporting” within the Notes to Consolidated Financial Statements for our sales by product category.</w:t>
      </w:r>
    </w:p>
    <w:p>
      <w:pPr>
        <w:spacing w:after="0" w:line="147" w:lineRule="exact"/>
        <w:rPr>
          <w:sz w:val="20"/>
          <w:szCs w:val="20"/>
          <w:color w:val="auto"/>
        </w:rPr>
      </w:pPr>
    </w:p>
    <w:p>
      <w:pPr>
        <w:jc w:val="both"/>
        <w:spacing w:after="0" w:line="262" w:lineRule="auto"/>
        <w:rPr>
          <w:sz w:val="20"/>
          <w:szCs w:val="20"/>
          <w:color w:val="auto"/>
        </w:rPr>
      </w:pPr>
      <w:r>
        <w:rPr>
          <w:rFonts w:ascii="Arial" w:cs="Arial" w:eastAsia="Arial" w:hAnsi="Arial"/>
          <w:sz w:val="14"/>
          <w:szCs w:val="14"/>
          <w:b w:val="1"/>
          <w:bCs w:val="1"/>
          <w:i w:val="1"/>
          <w:iCs w:val="1"/>
          <w:color w:val="auto"/>
        </w:rPr>
        <w:t xml:space="preserve">Cybersecurity breaches could interfere with operations. </w:t>
      </w:r>
      <w:r>
        <w:rPr>
          <w:rFonts w:ascii="Arial" w:cs="Arial" w:eastAsia="Arial" w:hAnsi="Arial"/>
          <w:sz w:val="14"/>
          <w:szCs w:val="14"/>
          <w:color w:val="auto"/>
        </w:rPr>
        <w:t>We rely upon information technology systems and network products and the secure operation of these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systems and products. Despite security measures, these systems and products may be vulnerable to physical damage, hackers, computer viruses, or breaches due to errors or malfeasance by employees, vendors, or customers. We have experienced such events in the past and, although past events were immaterial, future events may occur and may be material.</w:t>
      </w:r>
    </w:p>
    <w:p>
      <w:pPr>
        <w:spacing w:after="0" w:line="147" w:lineRule="exact"/>
        <w:rPr>
          <w:sz w:val="20"/>
          <w:szCs w:val="20"/>
          <w:color w:val="auto"/>
        </w:rPr>
      </w:pPr>
    </w:p>
    <w:p>
      <w:pPr>
        <w:jc w:val="both"/>
        <w:spacing w:after="0" w:line="280" w:lineRule="auto"/>
        <w:rPr>
          <w:sz w:val="20"/>
          <w:szCs w:val="20"/>
          <w:color w:val="auto"/>
        </w:rPr>
      </w:pPr>
      <w:r>
        <w:rPr>
          <w:rFonts w:ascii="Arial" w:cs="Arial" w:eastAsia="Arial" w:hAnsi="Arial"/>
          <w:sz w:val="13"/>
          <w:szCs w:val="13"/>
          <w:b w:val="1"/>
          <w:bCs w:val="1"/>
          <w:i w:val="1"/>
          <w:iCs w:val="1"/>
          <w:color w:val="auto"/>
        </w:rPr>
        <w:t xml:space="preserve">We may be impacted by new tariffs and duties on U.S. imports and foreign export sales. </w:t>
      </w:r>
      <w:r>
        <w:rPr>
          <w:rFonts w:ascii="Arial" w:cs="Arial" w:eastAsia="Arial" w:hAnsi="Arial"/>
          <w:sz w:val="13"/>
          <w:szCs w:val="13"/>
          <w:color w:val="auto"/>
        </w:rPr>
        <w:t>Instability of established free trade agreements may lead to raw</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material and finished goods price volatility. An increase in foreign tariffs on U.S. goods could curtail our export sales to other countries which was approximately $147.1 million in 2018. Increased tariffs and duties on U.S. imports will increase pricing by adding duty cost, where the duty is sustainable in light of overall unit price, or otherwise constrain supply by eliminating historical production sources by country or commodity type with unsustainable duties. Our purchases that are impacted by foreign tariffs were approximately $337.9 million in 2018. UFP’s U.S. import of Canadian Softwood Lumber was approximately $283.7 million in 2018, which is the primary imported commodity. In addition, there is a risk that U.S. tariffs on imports and countering tariffs on U.S. exports could trigger broader international trade conflicts that could adversely impact our business.</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Item 1B. Unresolved Staff Comments.</w:t>
      </w:r>
    </w:p>
    <w:p>
      <w:pPr>
        <w:spacing w:after="0" w:line="183" w:lineRule="exact"/>
        <w:rPr>
          <w:sz w:val="20"/>
          <w:szCs w:val="20"/>
          <w:color w:val="auto"/>
        </w:rPr>
      </w:pPr>
    </w:p>
    <w:p>
      <w:pPr>
        <w:spacing w:after="0"/>
        <w:rPr>
          <w:sz w:val="20"/>
          <w:szCs w:val="20"/>
          <w:color w:val="auto"/>
        </w:rPr>
      </w:pPr>
      <w:r>
        <w:rPr>
          <w:rFonts w:ascii="Arial" w:cs="Arial" w:eastAsia="Arial" w:hAnsi="Arial"/>
          <w:sz w:val="14"/>
          <w:szCs w:val="14"/>
          <w:color w:val="auto"/>
        </w:rPr>
        <w:t>Not applicable.</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Item 2. Properties.</w:t>
      </w:r>
    </w:p>
    <w:p>
      <w:pPr>
        <w:spacing w:after="0" w:line="183"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Our corporate headquarters building is located in suburban Grand Rapids, Michigan. We currently have approximately 178 facilities and parcels of land located throughout the United States, Canada, Mexico, Europe, Asia, and Australia. Depending upon function and location, these facilities typically utilize office, manufacturing, and indoor and outdoor storage space. Of these facilities, approximately 7 facilities are closed and are currently listed for sale or are being leased.</w:t>
      </w:r>
    </w:p>
    <w:p>
      <w:pPr>
        <w:spacing w:after="0" w:line="147"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We own all of our properties, free from any significant mortgage or other encumbrance, except for approximately 84 facilities and parcels of land which are leased. We believe all of these operating facilities are adequate in capacity and condition to service our existing markets.</w:t>
      </w: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66675</wp:posOffset>
            </wp:positionV>
            <wp:extent cx="5779135" cy="203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79135" cy="20320"/>
                    </a:xfrm>
                    <a:prstGeom prst="rect">
                      <a:avLst/>
                    </a:prstGeom>
                    <a:noFill/>
                  </pic:spPr>
                </pic:pic>
              </a:graphicData>
            </a:graphic>
          </wp:anchor>
        </w:drawing>
      </w:r>
    </w:p>
    <w:p>
      <w:pPr>
        <w:sectPr>
          <w:pgSz w:w="11900" w:h="16838" w:orient="portrait"/>
          <w:cols w:equalWidth="0" w:num="1">
            <w:col w:w="9100"/>
          </w:cols>
          <w:pgMar w:left="1400" w:top="129" w:right="1399" w:bottom="1440" w:gutter="0" w:footer="0" w:header="0"/>
        </w:sectPr>
      </w:pPr>
    </w:p>
    <w:bookmarkStart w:id="7" w:name="page8"/>
    <w:bookmarkEnd w:id="7"/>
    <w:p>
      <w:pPr>
        <w:spacing w:after="0"/>
        <w:rPr>
          <w:sz w:val="20"/>
          <w:szCs w:val="20"/>
          <w:color w:val="auto"/>
        </w:rPr>
      </w:pPr>
      <w:r>
        <w:rPr>
          <w:rFonts w:ascii="Arial" w:cs="Arial" w:eastAsia="Arial" w:hAnsi="Arial"/>
          <w:sz w:val="14"/>
          <w:szCs w:val="14"/>
          <w:b w:val="1"/>
          <w:bCs w:val="1"/>
          <w:u w:val="single" w:color="auto"/>
          <w:color w:val="auto"/>
        </w:rPr>
        <w:t>Item 3. Legal Proceedings.</w:t>
      </w:r>
    </w:p>
    <w:p>
      <w:pPr>
        <w:spacing w:after="0" w:line="183" w:lineRule="exact"/>
        <w:rPr>
          <w:sz w:val="20"/>
          <w:szCs w:val="20"/>
          <w:color w:val="auto"/>
        </w:rPr>
      </w:pPr>
    </w:p>
    <w:p>
      <w:pPr>
        <w:spacing w:after="0" w:line="175" w:lineRule="exact"/>
        <w:rPr>
          <w:sz w:val="20"/>
          <w:szCs w:val="20"/>
          <w:color w:val="auto"/>
        </w:rPr>
      </w:pPr>
      <w:r>
        <w:rPr>
          <w:rFonts w:ascii="Arial" w:cs="Arial" w:eastAsia="Arial" w:hAnsi="Arial"/>
          <w:sz w:val="14"/>
          <w:szCs w:val="14"/>
          <w:color w:val="auto"/>
        </w:rPr>
        <w:t>Information regarding our legal proceedings is set forth in Note M of our Consolidated Financial Statements which are presented under Item 8 of this Form 10</w:t>
      </w:r>
      <w:r>
        <w:rPr>
          <w:rFonts w:ascii="MS PGothic" w:cs="MS PGothic" w:eastAsia="MS PGothic" w:hAnsi="MS PGothic"/>
          <w:sz w:val="14"/>
          <w:szCs w:val="14"/>
          <w:color w:val="auto"/>
        </w:rPr>
        <w:t>‑</w:t>
      </w:r>
      <w:r>
        <w:rPr>
          <w:rFonts w:ascii="Arial" w:cs="Arial" w:eastAsia="Arial" w:hAnsi="Arial"/>
          <w:sz w:val="14"/>
          <w:szCs w:val="14"/>
          <w:color w:val="auto"/>
        </w:rPr>
        <w:t>K and are incorporated herein by reference.</w:t>
      </w:r>
    </w:p>
    <w:p>
      <w:pPr>
        <w:spacing w:after="0" w:line="157"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Item 4. Mine Safety Disclosures.</w:t>
      </w:r>
    </w:p>
    <w:p>
      <w:pPr>
        <w:spacing w:after="0" w:line="183" w:lineRule="exact"/>
        <w:rPr>
          <w:sz w:val="20"/>
          <w:szCs w:val="20"/>
          <w:color w:val="auto"/>
        </w:rPr>
      </w:pPr>
    </w:p>
    <w:p>
      <w:pPr>
        <w:spacing w:after="0"/>
        <w:rPr>
          <w:sz w:val="20"/>
          <w:szCs w:val="20"/>
          <w:color w:val="auto"/>
        </w:rPr>
      </w:pPr>
      <w:r>
        <w:rPr>
          <w:rFonts w:ascii="Arial" w:cs="Arial" w:eastAsia="Arial" w:hAnsi="Arial"/>
          <w:sz w:val="14"/>
          <w:szCs w:val="14"/>
          <w:color w:val="auto"/>
        </w:rPr>
        <w:t>Not applicable.</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Additional Item: Executive Officers of the Registrant.</w:t>
      </w:r>
    </w:p>
    <w:p>
      <w:pPr>
        <w:spacing w:after="0" w:line="183" w:lineRule="exact"/>
        <w:rPr>
          <w:sz w:val="20"/>
          <w:szCs w:val="20"/>
          <w:color w:val="auto"/>
        </w:rPr>
      </w:pPr>
    </w:p>
    <w:p>
      <w:pPr>
        <w:spacing w:after="0" w:line="281" w:lineRule="auto"/>
        <w:rPr>
          <w:sz w:val="20"/>
          <w:szCs w:val="20"/>
          <w:color w:val="auto"/>
        </w:rPr>
      </w:pPr>
      <w:r>
        <w:rPr>
          <w:rFonts w:ascii="Arial" w:cs="Arial" w:eastAsia="Arial" w:hAnsi="Arial"/>
          <w:sz w:val="14"/>
          <w:szCs w:val="14"/>
          <w:color w:val="auto"/>
        </w:rPr>
        <w:t>The following table lists the names, ages, and positions of our executive officers as of February 1, 2019. Executive officers are elected annually by the Board of Directors at the first meeting of the Board following the annual meeting of shareholders.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540" w:type="dxa"/>
            <w:vAlign w:val="bottom"/>
            <w:gridSpan w:val="2"/>
          </w:tcPr>
          <w:p>
            <w:pPr>
              <w:ind w:left="1000"/>
              <w:spacing w:after="0"/>
              <w:rPr>
                <w:sz w:val="20"/>
                <w:szCs w:val="20"/>
                <w:color w:val="auto"/>
              </w:rPr>
            </w:pPr>
            <w:r>
              <w:rPr>
                <w:rFonts w:ascii="Arial" w:cs="Arial" w:eastAsia="Arial" w:hAnsi="Arial"/>
                <w:sz w:val="14"/>
                <w:szCs w:val="14"/>
                <w:b w:val="1"/>
                <w:bCs w:val="1"/>
                <w:color w:val="auto"/>
              </w:rPr>
              <w:t>Name</w:t>
            </w: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Age</w:t>
            </w:r>
          </w:p>
        </w:tc>
        <w:tc>
          <w:tcPr>
            <w:tcW w:w="5700" w:type="dxa"/>
            <w:vAlign w:val="bottom"/>
          </w:tcPr>
          <w:p>
            <w:pPr>
              <w:ind w:left="2600"/>
              <w:spacing w:after="0"/>
              <w:rPr>
                <w:sz w:val="20"/>
                <w:szCs w:val="20"/>
                <w:color w:val="auto"/>
              </w:rPr>
            </w:pPr>
            <w:r>
              <w:rPr>
                <w:rFonts w:ascii="Arial" w:cs="Arial" w:eastAsia="Arial" w:hAnsi="Arial"/>
                <w:sz w:val="14"/>
                <w:szCs w:val="14"/>
                <w:b w:val="1"/>
                <w:bCs w:val="1"/>
                <w:color w:val="auto"/>
              </w:rPr>
              <w:t>Position</w:t>
            </w:r>
          </w:p>
        </w:tc>
      </w:tr>
      <w:tr>
        <w:trPr>
          <w:trHeight w:val="170"/>
        </w:trPr>
        <w:tc>
          <w:tcPr>
            <w:tcW w:w="2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Matthew J. Missad</w:t>
            </w:r>
          </w:p>
        </w:tc>
        <w:tc>
          <w:tcPr>
            <w:tcW w:w="180" w:type="dxa"/>
            <w:vAlign w:val="bottom"/>
            <w:tcBorders>
              <w:top w:val="single" w:sz="8" w:color="CCEEFF"/>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89"/>
              </w:rPr>
              <w:t>58</w:t>
            </w:r>
          </w:p>
        </w:tc>
        <w:tc>
          <w:tcPr>
            <w:tcW w:w="160" w:type="dxa"/>
            <w:vAlign w:val="bottom"/>
            <w:tcBorders>
              <w:top w:val="single" w:sz="8" w:color="CCEEFF"/>
            </w:tcBorders>
            <w:shd w:val="clear" w:color="auto" w:fill="CCEEFF"/>
          </w:tcPr>
          <w:p>
            <w:pPr>
              <w:spacing w:after="0"/>
              <w:rPr>
                <w:sz w:val="14"/>
                <w:szCs w:val="14"/>
                <w:color w:val="auto"/>
              </w:rPr>
            </w:pPr>
          </w:p>
        </w:tc>
        <w:tc>
          <w:tcPr>
            <w:tcW w:w="5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Chief Executive Officer</w:t>
            </w:r>
          </w:p>
        </w:tc>
      </w:tr>
      <w:tr>
        <w:trPr>
          <w:trHeight w:val="170"/>
        </w:trPr>
        <w:tc>
          <w:tcPr>
            <w:tcW w:w="2540" w:type="dxa"/>
            <w:vAlign w:val="bottom"/>
            <w:gridSpan w:val="2"/>
          </w:tcPr>
          <w:p>
            <w:pPr>
              <w:spacing w:after="0"/>
              <w:rPr>
                <w:sz w:val="20"/>
                <w:szCs w:val="20"/>
                <w:color w:val="auto"/>
              </w:rPr>
            </w:pPr>
            <w:r>
              <w:rPr>
                <w:rFonts w:ascii="Arial" w:cs="Arial" w:eastAsia="Arial" w:hAnsi="Arial"/>
                <w:sz w:val="14"/>
                <w:szCs w:val="14"/>
                <w:color w:val="auto"/>
              </w:rPr>
              <w:t>Patrick M. Webster</w:t>
            </w:r>
          </w:p>
        </w:tc>
        <w:tc>
          <w:tcPr>
            <w:tcW w:w="700" w:type="dxa"/>
            <w:vAlign w:val="bottom"/>
          </w:tcPr>
          <w:p>
            <w:pPr>
              <w:jc w:val="center"/>
              <w:spacing w:after="0"/>
              <w:rPr>
                <w:sz w:val="20"/>
                <w:szCs w:val="20"/>
                <w:color w:val="auto"/>
              </w:rPr>
            </w:pPr>
            <w:r>
              <w:rPr>
                <w:rFonts w:ascii="Arial" w:cs="Arial" w:eastAsia="Arial" w:hAnsi="Arial"/>
                <w:sz w:val="14"/>
                <w:szCs w:val="14"/>
                <w:color w:val="auto"/>
                <w:w w:val="89"/>
              </w:rPr>
              <w:t>59</w:t>
            </w:r>
          </w:p>
        </w:tc>
        <w:tc>
          <w:tcPr>
            <w:tcW w:w="160" w:type="dxa"/>
            <w:vAlign w:val="bottom"/>
          </w:tcPr>
          <w:p>
            <w:pPr>
              <w:spacing w:after="0"/>
              <w:rPr>
                <w:sz w:val="14"/>
                <w:szCs w:val="14"/>
                <w:color w:val="auto"/>
              </w:rPr>
            </w:pPr>
          </w:p>
        </w:tc>
        <w:tc>
          <w:tcPr>
            <w:tcW w:w="5700" w:type="dxa"/>
            <w:vAlign w:val="bottom"/>
          </w:tcPr>
          <w:p>
            <w:pPr>
              <w:spacing w:after="0"/>
              <w:rPr>
                <w:sz w:val="20"/>
                <w:szCs w:val="20"/>
                <w:color w:val="auto"/>
              </w:rPr>
            </w:pPr>
            <w:r>
              <w:rPr>
                <w:rFonts w:ascii="Arial" w:cs="Arial" w:eastAsia="Arial" w:hAnsi="Arial"/>
                <w:sz w:val="14"/>
                <w:szCs w:val="14"/>
                <w:color w:val="auto"/>
              </w:rPr>
              <w:t>President and Chief Operating Officer</w:t>
            </w:r>
          </w:p>
        </w:tc>
      </w:tr>
      <w:tr>
        <w:trPr>
          <w:trHeight w:val="170"/>
        </w:trPr>
        <w:tc>
          <w:tcPr>
            <w:tcW w:w="25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Michael R. Cole</w:t>
            </w:r>
          </w:p>
        </w:tc>
        <w:tc>
          <w:tcPr>
            <w:tcW w:w="7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52</w:t>
            </w:r>
          </w:p>
        </w:tc>
        <w:tc>
          <w:tcPr>
            <w:tcW w:w="160" w:type="dxa"/>
            <w:vAlign w:val="bottom"/>
            <w:shd w:val="clear" w:color="auto" w:fill="CCEEFF"/>
          </w:tcPr>
          <w:p>
            <w:pPr>
              <w:spacing w:after="0"/>
              <w:rPr>
                <w:sz w:val="14"/>
                <w:szCs w:val="14"/>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4"/>
                <w:szCs w:val="14"/>
                <w:color w:val="auto"/>
              </w:rPr>
              <w:t>Chief Financial Officer and Treasurer</w:t>
            </w:r>
          </w:p>
        </w:tc>
      </w:tr>
      <w:tr>
        <w:trPr>
          <w:trHeight w:val="170"/>
        </w:trPr>
        <w:tc>
          <w:tcPr>
            <w:tcW w:w="2540" w:type="dxa"/>
            <w:vAlign w:val="bottom"/>
            <w:gridSpan w:val="2"/>
          </w:tcPr>
          <w:p>
            <w:pPr>
              <w:spacing w:after="0"/>
              <w:rPr>
                <w:sz w:val="20"/>
                <w:szCs w:val="20"/>
                <w:color w:val="auto"/>
              </w:rPr>
            </w:pPr>
            <w:r>
              <w:rPr>
                <w:rFonts w:ascii="Arial" w:cs="Arial" w:eastAsia="Arial" w:hAnsi="Arial"/>
                <w:sz w:val="14"/>
                <w:szCs w:val="14"/>
                <w:color w:val="auto"/>
              </w:rPr>
              <w:t>Allen T. Peters</w:t>
            </w:r>
          </w:p>
        </w:tc>
        <w:tc>
          <w:tcPr>
            <w:tcW w:w="700" w:type="dxa"/>
            <w:vAlign w:val="bottom"/>
          </w:tcPr>
          <w:p>
            <w:pPr>
              <w:jc w:val="center"/>
              <w:spacing w:after="0"/>
              <w:rPr>
                <w:sz w:val="20"/>
                <w:szCs w:val="20"/>
                <w:color w:val="auto"/>
              </w:rPr>
            </w:pPr>
            <w:r>
              <w:rPr>
                <w:rFonts w:ascii="Arial" w:cs="Arial" w:eastAsia="Arial" w:hAnsi="Arial"/>
                <w:sz w:val="14"/>
                <w:szCs w:val="14"/>
                <w:color w:val="auto"/>
                <w:w w:val="89"/>
              </w:rPr>
              <w:t>51</w:t>
            </w:r>
          </w:p>
        </w:tc>
        <w:tc>
          <w:tcPr>
            <w:tcW w:w="160" w:type="dxa"/>
            <w:vAlign w:val="bottom"/>
          </w:tcPr>
          <w:p>
            <w:pPr>
              <w:spacing w:after="0"/>
              <w:rPr>
                <w:sz w:val="14"/>
                <w:szCs w:val="14"/>
                <w:color w:val="auto"/>
              </w:rPr>
            </w:pPr>
          </w:p>
        </w:tc>
        <w:tc>
          <w:tcPr>
            <w:tcW w:w="5700" w:type="dxa"/>
            <w:vAlign w:val="bottom"/>
          </w:tcPr>
          <w:p>
            <w:pPr>
              <w:spacing w:after="0"/>
              <w:rPr>
                <w:sz w:val="20"/>
                <w:szCs w:val="20"/>
                <w:color w:val="auto"/>
              </w:rPr>
            </w:pPr>
            <w:r>
              <w:rPr>
                <w:rFonts w:ascii="Arial" w:cs="Arial" w:eastAsia="Arial" w:hAnsi="Arial"/>
                <w:sz w:val="14"/>
                <w:szCs w:val="14"/>
                <w:color w:val="auto"/>
              </w:rPr>
              <w:t>President, UFP Western Division</w:t>
            </w:r>
          </w:p>
        </w:tc>
      </w:tr>
      <w:tr>
        <w:trPr>
          <w:trHeight w:val="170"/>
        </w:trPr>
        <w:tc>
          <w:tcPr>
            <w:tcW w:w="25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Patrick Benton</w:t>
            </w:r>
          </w:p>
        </w:tc>
        <w:tc>
          <w:tcPr>
            <w:tcW w:w="7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49</w:t>
            </w:r>
          </w:p>
        </w:tc>
        <w:tc>
          <w:tcPr>
            <w:tcW w:w="160" w:type="dxa"/>
            <w:vAlign w:val="bottom"/>
            <w:shd w:val="clear" w:color="auto" w:fill="CCEEFF"/>
          </w:tcPr>
          <w:p>
            <w:pPr>
              <w:spacing w:after="0"/>
              <w:rPr>
                <w:sz w:val="14"/>
                <w:szCs w:val="14"/>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4"/>
                <w:szCs w:val="14"/>
                <w:color w:val="auto"/>
              </w:rPr>
              <w:t>President, UFP Northern Division</w:t>
            </w:r>
          </w:p>
        </w:tc>
      </w:tr>
      <w:tr>
        <w:trPr>
          <w:trHeight w:val="170"/>
        </w:trPr>
        <w:tc>
          <w:tcPr>
            <w:tcW w:w="2540" w:type="dxa"/>
            <w:vAlign w:val="bottom"/>
            <w:gridSpan w:val="2"/>
          </w:tcPr>
          <w:p>
            <w:pPr>
              <w:spacing w:after="0"/>
              <w:rPr>
                <w:sz w:val="20"/>
                <w:szCs w:val="20"/>
                <w:color w:val="auto"/>
              </w:rPr>
            </w:pPr>
            <w:r>
              <w:rPr>
                <w:rFonts w:ascii="Arial" w:cs="Arial" w:eastAsia="Arial" w:hAnsi="Arial"/>
                <w:sz w:val="14"/>
                <w:szCs w:val="14"/>
                <w:color w:val="auto"/>
              </w:rPr>
              <w:t>Jonathan West</w:t>
            </w:r>
          </w:p>
        </w:tc>
        <w:tc>
          <w:tcPr>
            <w:tcW w:w="700" w:type="dxa"/>
            <w:vAlign w:val="bottom"/>
          </w:tcPr>
          <w:p>
            <w:pPr>
              <w:jc w:val="center"/>
              <w:spacing w:after="0"/>
              <w:rPr>
                <w:sz w:val="20"/>
                <w:szCs w:val="20"/>
                <w:color w:val="auto"/>
              </w:rPr>
            </w:pPr>
            <w:r>
              <w:rPr>
                <w:rFonts w:ascii="Arial" w:cs="Arial" w:eastAsia="Arial" w:hAnsi="Arial"/>
                <w:sz w:val="14"/>
                <w:szCs w:val="14"/>
                <w:color w:val="auto"/>
                <w:w w:val="89"/>
              </w:rPr>
              <w:t>48</w:t>
            </w:r>
          </w:p>
        </w:tc>
        <w:tc>
          <w:tcPr>
            <w:tcW w:w="160" w:type="dxa"/>
            <w:vAlign w:val="bottom"/>
          </w:tcPr>
          <w:p>
            <w:pPr>
              <w:spacing w:after="0"/>
              <w:rPr>
                <w:sz w:val="14"/>
                <w:szCs w:val="14"/>
                <w:color w:val="auto"/>
              </w:rPr>
            </w:pPr>
          </w:p>
        </w:tc>
        <w:tc>
          <w:tcPr>
            <w:tcW w:w="5700" w:type="dxa"/>
            <w:vAlign w:val="bottom"/>
          </w:tcPr>
          <w:p>
            <w:pPr>
              <w:spacing w:after="0"/>
              <w:rPr>
                <w:sz w:val="20"/>
                <w:szCs w:val="20"/>
                <w:color w:val="auto"/>
              </w:rPr>
            </w:pPr>
            <w:r>
              <w:rPr>
                <w:rFonts w:ascii="Arial" w:cs="Arial" w:eastAsia="Arial" w:hAnsi="Arial"/>
                <w:sz w:val="14"/>
                <w:szCs w:val="14"/>
                <w:color w:val="auto"/>
              </w:rPr>
              <w:t>President, UFP Southern Division</w:t>
            </w:r>
          </w:p>
        </w:tc>
      </w:tr>
      <w:tr>
        <w:trPr>
          <w:trHeight w:val="170"/>
        </w:trPr>
        <w:tc>
          <w:tcPr>
            <w:tcW w:w="25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Robert D. Coleman</w:t>
            </w:r>
          </w:p>
        </w:tc>
        <w:tc>
          <w:tcPr>
            <w:tcW w:w="7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64</w:t>
            </w:r>
          </w:p>
        </w:tc>
        <w:tc>
          <w:tcPr>
            <w:tcW w:w="160" w:type="dxa"/>
            <w:vAlign w:val="bottom"/>
            <w:shd w:val="clear" w:color="auto" w:fill="CCEEFF"/>
          </w:tcPr>
          <w:p>
            <w:pPr>
              <w:spacing w:after="0"/>
              <w:rPr>
                <w:sz w:val="14"/>
                <w:szCs w:val="14"/>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4"/>
                <w:szCs w:val="14"/>
                <w:color w:val="auto"/>
              </w:rPr>
              <w:t>Executive Vice President of Manufacturing</w:t>
            </w:r>
          </w:p>
        </w:tc>
      </w:tr>
      <w:tr>
        <w:trPr>
          <w:trHeight w:val="170"/>
        </w:trPr>
        <w:tc>
          <w:tcPr>
            <w:tcW w:w="2540" w:type="dxa"/>
            <w:vAlign w:val="bottom"/>
            <w:gridSpan w:val="2"/>
          </w:tcPr>
          <w:p>
            <w:pPr>
              <w:spacing w:after="0"/>
              <w:rPr>
                <w:sz w:val="20"/>
                <w:szCs w:val="20"/>
                <w:color w:val="auto"/>
              </w:rPr>
            </w:pPr>
            <w:r>
              <w:rPr>
                <w:rFonts w:ascii="Arial" w:cs="Arial" w:eastAsia="Arial" w:hAnsi="Arial"/>
                <w:sz w:val="14"/>
                <w:szCs w:val="14"/>
                <w:color w:val="auto"/>
              </w:rPr>
              <w:t>C. Scott Greene</w:t>
            </w:r>
          </w:p>
        </w:tc>
        <w:tc>
          <w:tcPr>
            <w:tcW w:w="700" w:type="dxa"/>
            <w:vAlign w:val="bottom"/>
          </w:tcPr>
          <w:p>
            <w:pPr>
              <w:jc w:val="center"/>
              <w:spacing w:after="0"/>
              <w:rPr>
                <w:sz w:val="20"/>
                <w:szCs w:val="20"/>
                <w:color w:val="auto"/>
              </w:rPr>
            </w:pPr>
            <w:r>
              <w:rPr>
                <w:rFonts w:ascii="Arial" w:cs="Arial" w:eastAsia="Arial" w:hAnsi="Arial"/>
                <w:sz w:val="14"/>
                <w:szCs w:val="14"/>
                <w:color w:val="auto"/>
                <w:w w:val="89"/>
              </w:rPr>
              <w:t>62</w:t>
            </w:r>
          </w:p>
        </w:tc>
        <w:tc>
          <w:tcPr>
            <w:tcW w:w="160" w:type="dxa"/>
            <w:vAlign w:val="bottom"/>
          </w:tcPr>
          <w:p>
            <w:pPr>
              <w:spacing w:after="0"/>
              <w:rPr>
                <w:sz w:val="14"/>
                <w:szCs w:val="14"/>
                <w:color w:val="auto"/>
              </w:rPr>
            </w:pPr>
          </w:p>
        </w:tc>
        <w:tc>
          <w:tcPr>
            <w:tcW w:w="5700" w:type="dxa"/>
            <w:vAlign w:val="bottom"/>
          </w:tcPr>
          <w:p>
            <w:pPr>
              <w:spacing w:after="0"/>
              <w:rPr>
                <w:sz w:val="20"/>
                <w:szCs w:val="20"/>
                <w:color w:val="auto"/>
              </w:rPr>
            </w:pPr>
            <w:r>
              <w:rPr>
                <w:rFonts w:ascii="Arial" w:cs="Arial" w:eastAsia="Arial" w:hAnsi="Arial"/>
                <w:sz w:val="14"/>
                <w:szCs w:val="14"/>
                <w:color w:val="auto"/>
              </w:rPr>
              <w:t>Executive Vice President of Strategy &amp; Development</w:t>
            </w:r>
          </w:p>
        </w:tc>
      </w:tr>
      <w:tr>
        <w:trPr>
          <w:trHeight w:val="170"/>
        </w:trPr>
        <w:tc>
          <w:tcPr>
            <w:tcW w:w="25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Donald L. James</w:t>
            </w:r>
          </w:p>
        </w:tc>
        <w:tc>
          <w:tcPr>
            <w:tcW w:w="7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59</w:t>
            </w:r>
          </w:p>
        </w:tc>
        <w:tc>
          <w:tcPr>
            <w:tcW w:w="160" w:type="dxa"/>
            <w:vAlign w:val="bottom"/>
            <w:shd w:val="clear" w:color="auto" w:fill="CCEEFF"/>
          </w:tcPr>
          <w:p>
            <w:pPr>
              <w:spacing w:after="0"/>
              <w:rPr>
                <w:sz w:val="14"/>
                <w:szCs w:val="14"/>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4"/>
                <w:szCs w:val="14"/>
                <w:color w:val="auto"/>
              </w:rPr>
              <w:t>Executive Vice President of National Sales</w:t>
            </w:r>
          </w:p>
        </w:tc>
      </w:tr>
      <w:tr>
        <w:trPr>
          <w:trHeight w:val="170"/>
        </w:trPr>
        <w:tc>
          <w:tcPr>
            <w:tcW w:w="2540" w:type="dxa"/>
            <w:vAlign w:val="bottom"/>
            <w:gridSpan w:val="2"/>
          </w:tcPr>
          <w:p>
            <w:pPr>
              <w:spacing w:after="0"/>
              <w:rPr>
                <w:sz w:val="20"/>
                <w:szCs w:val="20"/>
                <w:color w:val="auto"/>
              </w:rPr>
            </w:pPr>
            <w:r>
              <w:rPr>
                <w:rFonts w:ascii="Arial" w:cs="Arial" w:eastAsia="Arial" w:hAnsi="Arial"/>
                <w:sz w:val="14"/>
                <w:szCs w:val="14"/>
                <w:color w:val="auto"/>
              </w:rPr>
              <w:t>Michael F. Mordell</w:t>
            </w:r>
          </w:p>
        </w:tc>
        <w:tc>
          <w:tcPr>
            <w:tcW w:w="700" w:type="dxa"/>
            <w:vAlign w:val="bottom"/>
          </w:tcPr>
          <w:p>
            <w:pPr>
              <w:jc w:val="center"/>
              <w:spacing w:after="0"/>
              <w:rPr>
                <w:sz w:val="20"/>
                <w:szCs w:val="20"/>
                <w:color w:val="auto"/>
              </w:rPr>
            </w:pPr>
            <w:r>
              <w:rPr>
                <w:rFonts w:ascii="Arial" w:cs="Arial" w:eastAsia="Arial" w:hAnsi="Arial"/>
                <w:sz w:val="14"/>
                <w:szCs w:val="14"/>
                <w:color w:val="auto"/>
                <w:w w:val="89"/>
              </w:rPr>
              <w:t>61</w:t>
            </w:r>
          </w:p>
        </w:tc>
        <w:tc>
          <w:tcPr>
            <w:tcW w:w="160" w:type="dxa"/>
            <w:vAlign w:val="bottom"/>
          </w:tcPr>
          <w:p>
            <w:pPr>
              <w:spacing w:after="0"/>
              <w:rPr>
                <w:sz w:val="14"/>
                <w:szCs w:val="14"/>
                <w:color w:val="auto"/>
              </w:rPr>
            </w:pPr>
          </w:p>
        </w:tc>
        <w:tc>
          <w:tcPr>
            <w:tcW w:w="5700" w:type="dxa"/>
            <w:vAlign w:val="bottom"/>
          </w:tcPr>
          <w:p>
            <w:pPr>
              <w:spacing w:after="0"/>
              <w:rPr>
                <w:sz w:val="20"/>
                <w:szCs w:val="20"/>
                <w:color w:val="auto"/>
              </w:rPr>
            </w:pPr>
            <w:r>
              <w:rPr>
                <w:rFonts w:ascii="Arial" w:cs="Arial" w:eastAsia="Arial" w:hAnsi="Arial"/>
                <w:sz w:val="14"/>
                <w:szCs w:val="14"/>
                <w:color w:val="auto"/>
              </w:rPr>
              <w:t>Executive Vice President of International Operations.</w:t>
            </w:r>
          </w:p>
        </w:tc>
      </w:tr>
      <w:tr>
        <w:trPr>
          <w:trHeight w:val="170"/>
        </w:trPr>
        <w:tc>
          <w:tcPr>
            <w:tcW w:w="25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Chad C. Uhlig Eastin</w:t>
            </w:r>
          </w:p>
        </w:tc>
        <w:tc>
          <w:tcPr>
            <w:tcW w:w="7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47</w:t>
            </w:r>
          </w:p>
        </w:tc>
        <w:tc>
          <w:tcPr>
            <w:tcW w:w="160" w:type="dxa"/>
            <w:vAlign w:val="bottom"/>
            <w:shd w:val="clear" w:color="auto" w:fill="CCEEFF"/>
          </w:tcPr>
          <w:p>
            <w:pPr>
              <w:spacing w:after="0"/>
              <w:rPr>
                <w:sz w:val="14"/>
                <w:szCs w:val="14"/>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4"/>
                <w:szCs w:val="14"/>
                <w:color w:val="auto"/>
              </w:rPr>
              <w:t>Executive Vice President of Purchasing</w:t>
            </w:r>
          </w:p>
        </w:tc>
      </w:tr>
    </w:tbl>
    <w:p>
      <w:pPr>
        <w:spacing w:after="0" w:line="329" w:lineRule="exact"/>
        <w:rPr>
          <w:sz w:val="20"/>
          <w:szCs w:val="20"/>
          <w:color w:val="auto"/>
        </w:rPr>
      </w:pPr>
    </w:p>
    <w:p>
      <w:pPr>
        <w:jc w:val="both"/>
        <w:spacing w:after="0" w:line="281" w:lineRule="auto"/>
        <w:rPr>
          <w:sz w:val="20"/>
          <w:szCs w:val="20"/>
          <w:color w:val="auto"/>
        </w:rPr>
      </w:pPr>
      <w:r>
        <w:rPr>
          <w:rFonts w:ascii="Arial" w:cs="Arial" w:eastAsia="Arial" w:hAnsi="Arial"/>
          <w:sz w:val="14"/>
          <w:szCs w:val="14"/>
          <w:i w:val="1"/>
          <w:iCs w:val="1"/>
          <w:color w:val="auto"/>
        </w:rPr>
        <w:t xml:space="preserve">Matthew J. Missad </w:t>
      </w:r>
      <w:r>
        <w:rPr>
          <w:rFonts w:ascii="Arial" w:cs="Arial" w:eastAsia="Arial" w:hAnsi="Arial"/>
          <w:sz w:val="14"/>
          <w:szCs w:val="14"/>
          <w:color w:val="auto"/>
        </w:rPr>
        <w:t>joined us in 1985. In February 1996, Mr. Missad was promoted to Executive Vice President of the Company. On July 13, 2011, Mr. Missad</w:t>
      </w:r>
      <w:r>
        <w:rPr>
          <w:rFonts w:ascii="Arial" w:cs="Arial" w:eastAsia="Arial" w:hAnsi="Arial"/>
          <w:sz w:val="14"/>
          <w:szCs w:val="14"/>
          <w:i w:val="1"/>
          <w:iCs w:val="1"/>
          <w:color w:val="auto"/>
        </w:rPr>
        <w:t xml:space="preserve"> </w:t>
      </w:r>
      <w:r>
        <w:rPr>
          <w:rFonts w:ascii="Arial" w:cs="Arial" w:eastAsia="Arial" w:hAnsi="Arial"/>
          <w:sz w:val="14"/>
          <w:szCs w:val="14"/>
          <w:color w:val="auto"/>
        </w:rPr>
        <w:t>became Chief Executive Officer of the Company.</w:t>
      </w:r>
    </w:p>
    <w:p>
      <w:pPr>
        <w:spacing w:after="0" w:line="133" w:lineRule="exact"/>
        <w:rPr>
          <w:sz w:val="20"/>
          <w:szCs w:val="20"/>
          <w:color w:val="auto"/>
        </w:rPr>
      </w:pPr>
    </w:p>
    <w:p>
      <w:pPr>
        <w:jc w:val="both"/>
        <w:spacing w:after="0" w:line="281" w:lineRule="auto"/>
        <w:rPr>
          <w:sz w:val="20"/>
          <w:szCs w:val="20"/>
          <w:color w:val="auto"/>
        </w:rPr>
      </w:pPr>
      <w:r>
        <w:rPr>
          <w:rFonts w:ascii="Arial" w:cs="Arial" w:eastAsia="Arial" w:hAnsi="Arial"/>
          <w:sz w:val="14"/>
          <w:szCs w:val="14"/>
          <w:i w:val="1"/>
          <w:iCs w:val="1"/>
          <w:color w:val="auto"/>
        </w:rPr>
        <w:t xml:space="preserve">Patrick M. Webster </w:t>
      </w:r>
      <w:r>
        <w:rPr>
          <w:rFonts w:ascii="Arial" w:cs="Arial" w:eastAsia="Arial" w:hAnsi="Arial"/>
          <w:sz w:val="14"/>
          <w:szCs w:val="14"/>
          <w:color w:val="auto"/>
        </w:rPr>
        <w:t>joined us in 1985. Mr. Webster became Vice President of the Far West Region in 1999, on July 1, 2007, he became President of UFP</w:t>
      </w:r>
      <w:r>
        <w:rPr>
          <w:rFonts w:ascii="Arial" w:cs="Arial" w:eastAsia="Arial" w:hAnsi="Arial"/>
          <w:sz w:val="14"/>
          <w:szCs w:val="14"/>
          <w:i w:val="1"/>
          <w:iCs w:val="1"/>
          <w:color w:val="auto"/>
        </w:rPr>
        <w:t xml:space="preserve"> </w:t>
      </w:r>
      <w:r>
        <w:rPr>
          <w:rFonts w:ascii="Arial" w:cs="Arial" w:eastAsia="Arial" w:hAnsi="Arial"/>
          <w:sz w:val="14"/>
          <w:szCs w:val="14"/>
          <w:color w:val="auto"/>
        </w:rPr>
        <w:t>Western Division, Inc., and on January 1, 2009 became President and Chief Operating Officer of the Company.</w:t>
      </w:r>
    </w:p>
    <w:p>
      <w:pPr>
        <w:spacing w:after="0" w:line="133" w:lineRule="exact"/>
        <w:rPr>
          <w:sz w:val="20"/>
          <w:szCs w:val="20"/>
          <w:color w:val="auto"/>
        </w:rPr>
      </w:pPr>
    </w:p>
    <w:p>
      <w:pPr>
        <w:jc w:val="both"/>
        <w:spacing w:after="0" w:line="281" w:lineRule="auto"/>
        <w:rPr>
          <w:sz w:val="20"/>
          <w:szCs w:val="20"/>
          <w:color w:val="auto"/>
        </w:rPr>
      </w:pPr>
      <w:r>
        <w:rPr>
          <w:rFonts w:ascii="Arial" w:cs="Arial" w:eastAsia="Arial" w:hAnsi="Arial"/>
          <w:sz w:val="14"/>
          <w:szCs w:val="14"/>
          <w:i w:val="1"/>
          <w:iCs w:val="1"/>
          <w:color w:val="auto"/>
        </w:rPr>
        <w:t>Michael R. Cole</w:t>
      </w:r>
      <w:r>
        <w:rPr>
          <w:rFonts w:ascii="Arial" w:cs="Arial" w:eastAsia="Arial" w:hAnsi="Arial"/>
          <w:sz w:val="14"/>
          <w:szCs w:val="14"/>
          <w:color w:val="auto"/>
        </w:rPr>
        <w:t>, CPA, CMA, joined us in 1993. In December 1999, he was promoted to Vice President of Finance. On July 19, 2000, Mr. Cole became Chief</w:t>
      </w:r>
      <w:r>
        <w:rPr>
          <w:rFonts w:ascii="Arial" w:cs="Arial" w:eastAsia="Arial" w:hAnsi="Arial"/>
          <w:sz w:val="14"/>
          <w:szCs w:val="14"/>
          <w:i w:val="1"/>
          <w:iCs w:val="1"/>
          <w:color w:val="auto"/>
        </w:rPr>
        <w:t xml:space="preserve"> </w:t>
      </w:r>
      <w:r>
        <w:rPr>
          <w:rFonts w:ascii="Arial" w:cs="Arial" w:eastAsia="Arial" w:hAnsi="Arial"/>
          <w:sz w:val="14"/>
          <w:szCs w:val="14"/>
          <w:color w:val="auto"/>
        </w:rPr>
        <w:t>Financial Officer of the Company.</w:t>
      </w:r>
    </w:p>
    <w:p>
      <w:pPr>
        <w:spacing w:after="0" w:line="133" w:lineRule="exact"/>
        <w:rPr>
          <w:sz w:val="20"/>
          <w:szCs w:val="20"/>
          <w:color w:val="auto"/>
        </w:rPr>
      </w:pPr>
    </w:p>
    <w:p>
      <w:pPr>
        <w:jc w:val="both"/>
        <w:spacing w:after="0" w:line="281" w:lineRule="auto"/>
        <w:rPr>
          <w:sz w:val="20"/>
          <w:szCs w:val="20"/>
          <w:color w:val="auto"/>
        </w:rPr>
      </w:pPr>
      <w:r>
        <w:rPr>
          <w:rFonts w:ascii="Arial" w:cs="Arial" w:eastAsia="Arial" w:hAnsi="Arial"/>
          <w:sz w:val="14"/>
          <w:szCs w:val="14"/>
          <w:i w:val="1"/>
          <w:iCs w:val="1"/>
          <w:color w:val="auto"/>
        </w:rPr>
        <w:t xml:space="preserve">Allen T. Peters </w:t>
      </w:r>
      <w:r>
        <w:rPr>
          <w:rFonts w:ascii="Arial" w:cs="Arial" w:eastAsia="Arial" w:hAnsi="Arial"/>
          <w:sz w:val="14"/>
          <w:szCs w:val="14"/>
          <w:color w:val="auto"/>
        </w:rPr>
        <w:t>joined us in 1997. In 2004 he became the General Manager of Operations of our plant in Harrisonville, MO and in 2007 became Regional Vice</w:t>
      </w:r>
      <w:r>
        <w:rPr>
          <w:rFonts w:ascii="Arial" w:cs="Arial" w:eastAsia="Arial" w:hAnsi="Arial"/>
          <w:sz w:val="14"/>
          <w:szCs w:val="14"/>
          <w:i w:val="1"/>
          <w:iCs w:val="1"/>
          <w:color w:val="auto"/>
        </w:rPr>
        <w:t xml:space="preserve"> </w:t>
      </w:r>
      <w:r>
        <w:rPr>
          <w:rFonts w:ascii="Arial" w:cs="Arial" w:eastAsia="Arial" w:hAnsi="Arial"/>
          <w:sz w:val="14"/>
          <w:szCs w:val="14"/>
          <w:color w:val="auto"/>
        </w:rPr>
        <w:t>President of our Gulf Region. On January 1, 2011, Mr. Peters became President of UFP Western Division, Inc.</w:t>
      </w:r>
    </w:p>
    <w:p>
      <w:pPr>
        <w:spacing w:after="0" w:line="133" w:lineRule="exact"/>
        <w:rPr>
          <w:sz w:val="20"/>
          <w:szCs w:val="20"/>
          <w:color w:val="auto"/>
        </w:rPr>
      </w:pPr>
    </w:p>
    <w:p>
      <w:pPr>
        <w:jc w:val="both"/>
        <w:spacing w:after="0" w:line="281" w:lineRule="auto"/>
        <w:rPr>
          <w:sz w:val="20"/>
          <w:szCs w:val="20"/>
          <w:color w:val="auto"/>
        </w:rPr>
      </w:pPr>
      <w:r>
        <w:rPr>
          <w:rFonts w:ascii="Arial" w:cs="Arial" w:eastAsia="Arial" w:hAnsi="Arial"/>
          <w:sz w:val="14"/>
          <w:szCs w:val="14"/>
          <w:i w:val="1"/>
          <w:iCs w:val="1"/>
          <w:color w:val="auto"/>
        </w:rPr>
        <w:t xml:space="preserve">Patrick M. Benton </w:t>
      </w:r>
      <w:r>
        <w:rPr>
          <w:rFonts w:ascii="Arial" w:cs="Arial" w:eastAsia="Arial" w:hAnsi="Arial"/>
          <w:sz w:val="14"/>
          <w:szCs w:val="14"/>
          <w:color w:val="auto"/>
        </w:rPr>
        <w:t>joined us in 1993. In 2008 he became Operations Vice President of the South Texas Region, and on July 1, 2014, he became Executive Vice</w:t>
      </w:r>
      <w:r>
        <w:rPr>
          <w:rFonts w:ascii="Arial" w:cs="Arial" w:eastAsia="Arial" w:hAnsi="Arial"/>
          <w:sz w:val="14"/>
          <w:szCs w:val="14"/>
          <w:i w:val="1"/>
          <w:iCs w:val="1"/>
          <w:color w:val="auto"/>
        </w:rPr>
        <w:t xml:space="preserve"> </w:t>
      </w:r>
      <w:r>
        <w:rPr>
          <w:rFonts w:ascii="Arial" w:cs="Arial" w:eastAsia="Arial" w:hAnsi="Arial"/>
          <w:sz w:val="14"/>
          <w:szCs w:val="14"/>
          <w:color w:val="auto"/>
        </w:rPr>
        <w:t>President of UFP Eastern Division – North. On February 1, 2017, Mr. Benton became President of the UFP Northern Division.</w:t>
      </w:r>
    </w:p>
    <w:p>
      <w:pPr>
        <w:spacing w:after="0" w:line="133" w:lineRule="exact"/>
        <w:rPr>
          <w:sz w:val="20"/>
          <w:szCs w:val="20"/>
          <w:color w:val="auto"/>
        </w:rPr>
      </w:pPr>
    </w:p>
    <w:p>
      <w:pPr>
        <w:jc w:val="both"/>
        <w:spacing w:after="0" w:line="281" w:lineRule="auto"/>
        <w:rPr>
          <w:sz w:val="20"/>
          <w:szCs w:val="20"/>
          <w:color w:val="auto"/>
        </w:rPr>
      </w:pPr>
      <w:r>
        <w:rPr>
          <w:rFonts w:ascii="Arial" w:cs="Arial" w:eastAsia="Arial" w:hAnsi="Arial"/>
          <w:sz w:val="14"/>
          <w:szCs w:val="14"/>
          <w:i w:val="1"/>
          <w:iCs w:val="1"/>
          <w:color w:val="auto"/>
        </w:rPr>
        <w:t xml:space="preserve">Jonathan E. West </w:t>
      </w:r>
      <w:r>
        <w:rPr>
          <w:rFonts w:ascii="Arial" w:cs="Arial" w:eastAsia="Arial" w:hAnsi="Arial"/>
          <w:sz w:val="14"/>
          <w:szCs w:val="14"/>
          <w:color w:val="auto"/>
        </w:rPr>
        <w:t>joined us in 1994. In 2007 he became Regional Vice President of the Southeast Region, and on July 1, 2014, he became Executive Vice</w:t>
      </w:r>
      <w:r>
        <w:rPr>
          <w:rFonts w:ascii="Arial" w:cs="Arial" w:eastAsia="Arial" w:hAnsi="Arial"/>
          <w:sz w:val="14"/>
          <w:szCs w:val="14"/>
          <w:i w:val="1"/>
          <w:iCs w:val="1"/>
          <w:color w:val="auto"/>
        </w:rPr>
        <w:t xml:space="preserve"> </w:t>
      </w:r>
      <w:r>
        <w:rPr>
          <w:rFonts w:ascii="Arial" w:cs="Arial" w:eastAsia="Arial" w:hAnsi="Arial"/>
          <w:sz w:val="14"/>
          <w:szCs w:val="14"/>
          <w:color w:val="auto"/>
        </w:rPr>
        <w:t>President of UFP Eastern Division – South. On February 1, 2017, Mr. West became President of the UFP Southern Division.</w:t>
      </w:r>
    </w:p>
    <w:p>
      <w:pPr>
        <w:spacing w:after="0" w:line="133"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Robert D. Coleman</w:t>
      </w:r>
      <w:r>
        <w:rPr>
          <w:rFonts w:ascii="Arial" w:cs="Arial" w:eastAsia="Arial" w:hAnsi="Arial"/>
          <w:sz w:val="13"/>
          <w:szCs w:val="13"/>
          <w:color w:val="auto"/>
        </w:rPr>
        <w:t>, joined us in 1979. On January 1, 1999, Mr. Coleman was named the Executive Vice President of Manufacturing of the Company.</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66675</wp:posOffset>
            </wp:positionV>
            <wp:extent cx="5779135" cy="203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79135" cy="20320"/>
                    </a:xfrm>
                    <a:prstGeom prst="rect">
                      <a:avLst/>
                    </a:prstGeom>
                    <a:noFill/>
                  </pic:spPr>
                </pic:pic>
              </a:graphicData>
            </a:graphic>
          </wp:anchor>
        </w:drawing>
      </w:r>
    </w:p>
    <w:p>
      <w:pPr>
        <w:sectPr>
          <w:pgSz w:w="11900" w:h="16838" w:orient="portrait"/>
          <w:cols w:equalWidth="0" w:num="1">
            <w:col w:w="9100"/>
          </w:cols>
          <w:pgMar w:left="1400" w:top="125" w:right="1399" w:bottom="1440" w:gutter="0" w:footer="0" w:header="0"/>
        </w:sectPr>
      </w:pPr>
    </w:p>
    <w:bookmarkStart w:id="8" w:name="page9"/>
    <w:bookmarkEnd w:id="8"/>
    <w:p>
      <w:pPr>
        <w:jc w:val="both"/>
        <w:spacing w:after="0" w:line="267" w:lineRule="auto"/>
        <w:rPr>
          <w:sz w:val="20"/>
          <w:szCs w:val="20"/>
          <w:color w:val="auto"/>
        </w:rPr>
      </w:pPr>
      <w:r>
        <w:rPr>
          <w:rFonts w:ascii="Arial" w:cs="Arial" w:eastAsia="Arial" w:hAnsi="Arial"/>
          <w:sz w:val="14"/>
          <w:szCs w:val="14"/>
          <w:i w:val="1"/>
          <w:iCs w:val="1"/>
          <w:color w:val="auto"/>
        </w:rPr>
        <w:t xml:space="preserve">C. Scott Greene </w:t>
      </w:r>
      <w:r>
        <w:rPr>
          <w:rFonts w:ascii="Arial" w:cs="Arial" w:eastAsia="Arial" w:hAnsi="Arial"/>
          <w:sz w:val="14"/>
          <w:szCs w:val="14"/>
          <w:color w:val="auto"/>
        </w:rPr>
        <w:t>joined us in 1991. In 2000, Mr. Greene became President of UFP Eastern Division, Inc. On October 1, 2011, Mr. Greene became Executive</w:t>
      </w:r>
      <w:r>
        <w:rPr>
          <w:rFonts w:ascii="Arial" w:cs="Arial" w:eastAsia="Arial" w:hAnsi="Arial"/>
          <w:sz w:val="14"/>
          <w:szCs w:val="14"/>
          <w:i w:val="1"/>
          <w:iCs w:val="1"/>
          <w:color w:val="auto"/>
        </w:rPr>
        <w:t xml:space="preserve"> </w:t>
      </w:r>
      <w:r>
        <w:rPr>
          <w:rFonts w:ascii="Arial" w:cs="Arial" w:eastAsia="Arial" w:hAnsi="Arial"/>
          <w:sz w:val="14"/>
          <w:szCs w:val="14"/>
          <w:color w:val="auto"/>
        </w:rPr>
        <w:t>Vice President of New Business Development and on October 14, 2013, he became Executive Vice President of Marketing. In 2018, Mr. Greene became Executive Vice President of Strategy &amp; Development.</w:t>
      </w:r>
    </w:p>
    <w:p>
      <w:pPr>
        <w:spacing w:after="0" w:line="142" w:lineRule="exact"/>
        <w:rPr>
          <w:sz w:val="20"/>
          <w:szCs w:val="20"/>
          <w:color w:val="auto"/>
        </w:rPr>
      </w:pPr>
    </w:p>
    <w:p>
      <w:pPr>
        <w:jc w:val="both"/>
        <w:spacing w:after="0" w:line="281" w:lineRule="auto"/>
        <w:rPr>
          <w:sz w:val="20"/>
          <w:szCs w:val="20"/>
          <w:color w:val="auto"/>
        </w:rPr>
      </w:pPr>
      <w:r>
        <w:rPr>
          <w:rFonts w:ascii="Arial" w:cs="Arial" w:eastAsia="Arial" w:hAnsi="Arial"/>
          <w:sz w:val="14"/>
          <w:szCs w:val="14"/>
          <w:i w:val="1"/>
          <w:iCs w:val="1"/>
          <w:color w:val="auto"/>
        </w:rPr>
        <w:t xml:space="preserve">Donald L. James </w:t>
      </w:r>
      <w:r>
        <w:rPr>
          <w:rFonts w:ascii="Arial" w:cs="Arial" w:eastAsia="Arial" w:hAnsi="Arial"/>
          <w:sz w:val="14"/>
          <w:szCs w:val="14"/>
          <w:color w:val="auto"/>
        </w:rPr>
        <w:t>joined us in 1998. On October 1, 2011, Mr. James became Executive Vice President of National Sales. Before this, he was Regional Vice</w:t>
      </w:r>
      <w:r>
        <w:rPr>
          <w:rFonts w:ascii="Arial" w:cs="Arial" w:eastAsia="Arial" w:hAnsi="Arial"/>
          <w:sz w:val="14"/>
          <w:szCs w:val="14"/>
          <w:i w:val="1"/>
          <w:iCs w:val="1"/>
          <w:color w:val="auto"/>
        </w:rPr>
        <w:t xml:space="preserve"> </w:t>
      </w:r>
      <w:r>
        <w:rPr>
          <w:rFonts w:ascii="Arial" w:cs="Arial" w:eastAsia="Arial" w:hAnsi="Arial"/>
          <w:sz w:val="14"/>
          <w:szCs w:val="14"/>
          <w:color w:val="auto"/>
        </w:rPr>
        <w:t>President of operations in UFP Eastern Division, Inc.</w:t>
      </w:r>
    </w:p>
    <w:p>
      <w:pPr>
        <w:spacing w:after="0" w:line="133" w:lineRule="exact"/>
        <w:rPr>
          <w:sz w:val="20"/>
          <w:szCs w:val="20"/>
          <w:color w:val="auto"/>
        </w:rPr>
      </w:pPr>
    </w:p>
    <w:p>
      <w:pPr>
        <w:jc w:val="both"/>
        <w:spacing w:after="0" w:line="267" w:lineRule="auto"/>
        <w:rPr>
          <w:sz w:val="20"/>
          <w:szCs w:val="20"/>
          <w:color w:val="auto"/>
        </w:rPr>
      </w:pPr>
      <w:r>
        <w:rPr>
          <w:rFonts w:ascii="Arial" w:cs="Arial" w:eastAsia="Arial" w:hAnsi="Arial"/>
          <w:sz w:val="14"/>
          <w:szCs w:val="14"/>
          <w:i w:val="1"/>
          <w:iCs w:val="1"/>
          <w:color w:val="auto"/>
        </w:rPr>
        <w:t xml:space="preserve">Michael F. Mordell </w:t>
      </w:r>
      <w:r>
        <w:rPr>
          <w:rFonts w:ascii="Arial" w:cs="Arial" w:eastAsia="Arial" w:hAnsi="Arial"/>
          <w:sz w:val="14"/>
          <w:szCs w:val="14"/>
          <w:color w:val="auto"/>
        </w:rPr>
        <w:t>joined us in 1993. In 1999 he became Executive Vice President of Purchasing of Universal Forest Products Western Division, Inc. In</w:t>
      </w:r>
      <w:r>
        <w:rPr>
          <w:rFonts w:ascii="Arial" w:cs="Arial" w:eastAsia="Arial" w:hAnsi="Arial"/>
          <w:sz w:val="14"/>
          <w:szCs w:val="14"/>
          <w:i w:val="1"/>
          <w:iCs w:val="1"/>
          <w:color w:val="auto"/>
        </w:rPr>
        <w:t xml:space="preserve"> </w:t>
      </w:r>
      <w:r>
        <w:rPr>
          <w:rFonts w:ascii="Arial" w:cs="Arial" w:eastAsia="Arial" w:hAnsi="Arial"/>
          <w:sz w:val="14"/>
          <w:szCs w:val="14"/>
          <w:color w:val="auto"/>
        </w:rPr>
        <w:t>November 2007, he became General Manager of Operations for our facility in Lafayette, CO, and on January 1, 2010, Mr. Mordell became Executive Vice President of Purchasing. On October 1, 2016, he became Executive Vice President of International Operations.</w:t>
      </w:r>
    </w:p>
    <w:p>
      <w:pPr>
        <w:spacing w:after="0" w:line="142" w:lineRule="exact"/>
        <w:rPr>
          <w:sz w:val="20"/>
          <w:szCs w:val="20"/>
          <w:color w:val="auto"/>
        </w:rPr>
      </w:pPr>
    </w:p>
    <w:p>
      <w:pPr>
        <w:jc w:val="both"/>
        <w:spacing w:after="0" w:line="267" w:lineRule="auto"/>
        <w:rPr>
          <w:sz w:val="20"/>
          <w:szCs w:val="20"/>
          <w:color w:val="auto"/>
        </w:rPr>
      </w:pPr>
      <w:r>
        <w:rPr>
          <w:rFonts w:ascii="Arial" w:cs="Arial" w:eastAsia="Arial" w:hAnsi="Arial"/>
          <w:sz w:val="14"/>
          <w:szCs w:val="14"/>
          <w:i w:val="1"/>
          <w:iCs w:val="1"/>
          <w:color w:val="auto"/>
        </w:rPr>
        <w:t xml:space="preserve">Chad C. Uhlig Eastin </w:t>
      </w:r>
      <w:r>
        <w:rPr>
          <w:rFonts w:ascii="Arial" w:cs="Arial" w:eastAsia="Arial" w:hAnsi="Arial"/>
          <w:sz w:val="14"/>
          <w:szCs w:val="14"/>
          <w:color w:val="auto"/>
        </w:rPr>
        <w:t>joined us in 1998. In 2007, he became General Manager of Operations of our plant in Chandler, AZ, and in 2014 he became Operations</w:t>
      </w:r>
      <w:r>
        <w:rPr>
          <w:rFonts w:ascii="Arial" w:cs="Arial" w:eastAsia="Arial" w:hAnsi="Arial"/>
          <w:sz w:val="14"/>
          <w:szCs w:val="14"/>
          <w:i w:val="1"/>
          <w:iCs w:val="1"/>
          <w:color w:val="auto"/>
        </w:rPr>
        <w:t xml:space="preserve"> </w:t>
      </w:r>
      <w:r>
        <w:rPr>
          <w:rFonts w:ascii="Arial" w:cs="Arial" w:eastAsia="Arial" w:hAnsi="Arial"/>
          <w:sz w:val="14"/>
          <w:szCs w:val="14"/>
          <w:color w:val="auto"/>
        </w:rPr>
        <w:t>Vice President of our Mountain West Region, and became Regional Vice President of that region in 2015. On October 1, 2016, Mr. Eastin became the Executive Vice President of Purchasing for the Company.</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PART II</w:t>
      </w:r>
    </w:p>
    <w:p>
      <w:pPr>
        <w:spacing w:after="0" w:line="183" w:lineRule="exact"/>
        <w:rPr>
          <w:sz w:val="20"/>
          <w:szCs w:val="20"/>
          <w:color w:val="auto"/>
        </w:rPr>
      </w:pPr>
    </w:p>
    <w:p>
      <w:pPr>
        <w:jc w:val="both"/>
        <w:spacing w:after="0" w:line="175" w:lineRule="exact"/>
        <w:rPr>
          <w:sz w:val="20"/>
          <w:szCs w:val="20"/>
          <w:color w:val="auto"/>
        </w:rPr>
      </w:pPr>
      <w:r>
        <w:rPr>
          <w:rFonts w:ascii="Arial" w:cs="Arial" w:eastAsia="Arial" w:hAnsi="Arial"/>
          <w:sz w:val="13"/>
          <w:szCs w:val="13"/>
          <w:color w:val="auto"/>
        </w:rPr>
        <w:t>The following information items in this Part II, which are contained in the 2018 Annual Report, are specifically incorporated by reference into this Form 10</w:t>
      </w:r>
      <w:r>
        <w:rPr>
          <w:rFonts w:ascii="MS PGothic" w:cs="MS PGothic" w:eastAsia="MS PGothic" w:hAnsi="MS PGothic"/>
          <w:sz w:val="13"/>
          <w:szCs w:val="13"/>
          <w:color w:val="auto"/>
        </w:rPr>
        <w:t>‑</w:t>
      </w:r>
      <w:r>
        <w:rPr>
          <w:rFonts w:ascii="Arial" w:cs="Arial" w:eastAsia="Arial" w:hAnsi="Arial"/>
          <w:sz w:val="13"/>
          <w:szCs w:val="13"/>
          <w:color w:val="auto"/>
        </w:rPr>
        <w:t>K Report. These portions of the 2018 Annual Report that are specifically incorporated by reference are filed as Exhibit 13 with this Form 10</w:t>
      </w:r>
      <w:r>
        <w:rPr>
          <w:rFonts w:ascii="MS PGothic" w:cs="MS PGothic" w:eastAsia="MS PGothic" w:hAnsi="MS PGothic"/>
          <w:sz w:val="13"/>
          <w:szCs w:val="13"/>
          <w:color w:val="auto"/>
        </w:rPr>
        <w:t>‑</w:t>
      </w:r>
      <w:r>
        <w:rPr>
          <w:rFonts w:ascii="Arial" w:cs="Arial" w:eastAsia="Arial" w:hAnsi="Arial"/>
          <w:sz w:val="13"/>
          <w:szCs w:val="13"/>
          <w:color w:val="auto"/>
        </w:rPr>
        <w:t>K Report.</w:t>
      </w:r>
    </w:p>
    <w:p>
      <w:pPr>
        <w:spacing w:after="0" w:line="157"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Item 5. Market for Registrant’s Common Equity, Related Shareholder Matters and Issuer Purchases of Equity Securities.</w:t>
      </w:r>
    </w:p>
    <w:p>
      <w:pPr>
        <w:spacing w:after="0" w:line="183" w:lineRule="exact"/>
        <w:rPr>
          <w:sz w:val="20"/>
          <w:szCs w:val="20"/>
          <w:color w:val="auto"/>
        </w:rPr>
      </w:pPr>
    </w:p>
    <w:p>
      <w:pPr>
        <w:ind w:left="260" w:right="20" w:hanging="256"/>
        <w:spacing w:after="0" w:line="281" w:lineRule="auto"/>
        <w:tabs>
          <w:tab w:leader="none" w:pos="26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information relating to market, holders and dividends is incorporated by reference from the 2018 Annual Report under the caption “Stock Performance Graph.”</w:t>
      </w:r>
    </w:p>
    <w:p>
      <w:pPr>
        <w:spacing w:after="0" w:line="132" w:lineRule="exact"/>
        <w:rPr>
          <w:rFonts w:ascii="Arial" w:cs="Arial" w:eastAsia="Arial" w:hAnsi="Arial"/>
          <w:sz w:val="14"/>
          <w:szCs w:val="14"/>
          <w:color w:val="auto"/>
        </w:rPr>
      </w:pPr>
    </w:p>
    <w:p>
      <w:pPr>
        <w:ind w:left="260"/>
        <w:spacing w:after="0"/>
        <w:rPr>
          <w:rFonts w:ascii="Arial" w:cs="Arial" w:eastAsia="Arial" w:hAnsi="Arial"/>
          <w:sz w:val="14"/>
          <w:szCs w:val="14"/>
          <w:color w:val="auto"/>
        </w:rPr>
      </w:pPr>
      <w:r>
        <w:rPr>
          <w:rFonts w:ascii="Arial" w:cs="Arial" w:eastAsia="Arial" w:hAnsi="Arial"/>
          <w:sz w:val="14"/>
          <w:szCs w:val="14"/>
          <w:color w:val="auto"/>
        </w:rPr>
        <w:t>There were no sales of unregistered securities during the last three years.</w:t>
      </w:r>
    </w:p>
    <w:p>
      <w:pPr>
        <w:spacing w:after="0" w:line="178" w:lineRule="exact"/>
        <w:rPr>
          <w:rFonts w:ascii="Arial" w:cs="Arial" w:eastAsia="Arial" w:hAnsi="Arial"/>
          <w:sz w:val="14"/>
          <w:szCs w:val="14"/>
          <w:color w:val="auto"/>
        </w:rPr>
      </w:pPr>
    </w:p>
    <w:p>
      <w:pPr>
        <w:ind w:left="260" w:hanging="256"/>
        <w:spacing w:after="0"/>
        <w:tabs>
          <w:tab w:leader="none" w:pos="260" w:val="left"/>
        </w:tabs>
        <w:numPr>
          <w:ilvl w:val="0"/>
          <w:numId w:val="4"/>
        </w:numPr>
        <w:rPr>
          <w:rFonts w:ascii="Arial" w:cs="Arial" w:eastAsia="Arial" w:hAnsi="Arial"/>
          <w:sz w:val="14"/>
          <w:szCs w:val="14"/>
          <w:color w:val="auto"/>
        </w:rPr>
      </w:pPr>
      <w:r>
        <w:rPr>
          <w:rFonts w:ascii="Arial" w:cs="Arial" w:eastAsia="Arial" w:hAnsi="Arial"/>
          <w:sz w:val="14"/>
          <w:szCs w:val="14"/>
          <w:color w:val="auto"/>
        </w:rPr>
        <w:t>Not applicable.</w:t>
      </w:r>
    </w:p>
    <w:p>
      <w:pPr>
        <w:spacing w:after="0" w:line="178" w:lineRule="exact"/>
        <w:rPr>
          <w:rFonts w:ascii="Arial" w:cs="Arial" w:eastAsia="Arial" w:hAnsi="Arial"/>
          <w:sz w:val="14"/>
          <w:szCs w:val="14"/>
          <w:color w:val="auto"/>
        </w:rPr>
      </w:pPr>
    </w:p>
    <w:p>
      <w:pPr>
        <w:ind w:left="260" w:hanging="256"/>
        <w:spacing w:after="0"/>
        <w:tabs>
          <w:tab w:leader="none" w:pos="260" w:val="left"/>
        </w:tabs>
        <w:numPr>
          <w:ilvl w:val="0"/>
          <w:numId w:val="4"/>
        </w:numPr>
        <w:rPr>
          <w:rFonts w:ascii="Arial" w:cs="Arial" w:eastAsia="Arial" w:hAnsi="Arial"/>
          <w:sz w:val="14"/>
          <w:szCs w:val="14"/>
          <w:color w:val="auto"/>
        </w:rPr>
      </w:pPr>
      <w:r>
        <w:rPr>
          <w:rFonts w:ascii="Arial" w:cs="Arial" w:eastAsia="Arial" w:hAnsi="Arial"/>
          <w:sz w:val="14"/>
          <w:szCs w:val="14"/>
          <w:color w:val="auto"/>
        </w:rPr>
        <w:t>Issuer purchases of equity securities during the fourth quarter.</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6140" w:type="dxa"/>
            <w:vAlign w:val="bottom"/>
            <w:gridSpan w:val="3"/>
          </w:tcPr>
          <w:p>
            <w:pPr>
              <w:spacing w:after="0"/>
              <w:rPr>
                <w:sz w:val="20"/>
                <w:szCs w:val="20"/>
                <w:color w:val="auto"/>
              </w:rPr>
            </w:pPr>
            <w:r>
              <w:rPr>
                <w:rFonts w:ascii="Arial" w:cs="Arial" w:eastAsia="Arial" w:hAnsi="Arial"/>
                <w:sz w:val="11"/>
                <w:szCs w:val="11"/>
                <w:b w:val="1"/>
                <w:bCs w:val="1"/>
                <w:color w:val="auto"/>
              </w:rPr>
              <w:t>Fiscal Month</w:t>
            </w:r>
          </w:p>
        </w:tc>
        <w:tc>
          <w:tcPr>
            <w:tcW w:w="780" w:type="dxa"/>
            <w:vAlign w:val="bottom"/>
            <w:gridSpan w:val="2"/>
          </w:tcPr>
          <w:p>
            <w:pPr>
              <w:ind w:left="220"/>
              <w:spacing w:after="0"/>
              <w:rPr>
                <w:sz w:val="20"/>
                <w:szCs w:val="20"/>
                <w:color w:val="auto"/>
              </w:rPr>
            </w:pPr>
            <w:r>
              <w:rPr>
                <w:rFonts w:ascii="Arial" w:cs="Arial" w:eastAsia="Arial" w:hAnsi="Arial"/>
                <w:sz w:val="11"/>
                <w:szCs w:val="11"/>
                <w:b w:val="1"/>
                <w:bCs w:val="1"/>
                <w:color w:val="auto"/>
              </w:rPr>
              <w:t>(a)</w:t>
            </w:r>
          </w:p>
        </w:tc>
        <w:tc>
          <w:tcPr>
            <w:tcW w:w="780" w:type="dxa"/>
            <w:vAlign w:val="bottom"/>
            <w:gridSpan w:val="2"/>
          </w:tcPr>
          <w:p>
            <w:pPr>
              <w:ind w:left="240"/>
              <w:spacing w:after="0"/>
              <w:rPr>
                <w:sz w:val="20"/>
                <w:szCs w:val="20"/>
                <w:color w:val="auto"/>
              </w:rPr>
            </w:pPr>
            <w:r>
              <w:rPr>
                <w:rFonts w:ascii="Arial" w:cs="Arial" w:eastAsia="Arial" w:hAnsi="Arial"/>
                <w:sz w:val="11"/>
                <w:szCs w:val="11"/>
                <w:b w:val="1"/>
                <w:bCs w:val="1"/>
                <w:color w:val="auto"/>
              </w:rPr>
              <w:t>(b)</w:t>
            </w:r>
          </w:p>
        </w:tc>
        <w:tc>
          <w:tcPr>
            <w:tcW w:w="780" w:type="dxa"/>
            <w:vAlign w:val="bottom"/>
            <w:gridSpan w:val="2"/>
          </w:tcPr>
          <w:p>
            <w:pPr>
              <w:ind w:left="240"/>
              <w:spacing w:after="0"/>
              <w:rPr>
                <w:sz w:val="20"/>
                <w:szCs w:val="20"/>
                <w:color w:val="auto"/>
              </w:rPr>
            </w:pPr>
            <w:r>
              <w:rPr>
                <w:rFonts w:ascii="Arial" w:cs="Arial" w:eastAsia="Arial" w:hAnsi="Arial"/>
                <w:sz w:val="11"/>
                <w:szCs w:val="11"/>
                <w:b w:val="1"/>
                <w:bCs w:val="1"/>
                <w:color w:val="auto"/>
              </w:rPr>
              <w:t>(c)</w:t>
            </w:r>
          </w:p>
        </w:tc>
        <w:tc>
          <w:tcPr>
            <w:tcW w:w="620" w:type="dxa"/>
            <w:vAlign w:val="bottom"/>
          </w:tcPr>
          <w:p>
            <w:pPr>
              <w:jc w:val="center"/>
              <w:spacing w:after="0"/>
              <w:rPr>
                <w:sz w:val="20"/>
                <w:szCs w:val="20"/>
                <w:color w:val="auto"/>
              </w:rPr>
            </w:pPr>
            <w:r>
              <w:rPr>
                <w:rFonts w:ascii="Arial" w:cs="Arial" w:eastAsia="Arial" w:hAnsi="Arial"/>
                <w:sz w:val="11"/>
                <w:szCs w:val="11"/>
                <w:b w:val="1"/>
                <w:bCs w:val="1"/>
                <w:color w:val="auto"/>
                <w:w w:val="99"/>
              </w:rPr>
              <w:t>(d)</w:t>
            </w:r>
          </w:p>
        </w:tc>
      </w:tr>
      <w:tr>
        <w:trPr>
          <w:trHeight w:val="161"/>
        </w:trPr>
        <w:tc>
          <w:tcPr>
            <w:tcW w:w="59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4"/>
                <w:szCs w:val="14"/>
                <w:color w:val="auto"/>
              </w:rPr>
              <w:t>September 30 - November 3, 2018</w:t>
            </w:r>
          </w:p>
        </w:tc>
        <w:tc>
          <w:tcPr>
            <w:tcW w:w="200" w:type="dxa"/>
            <w:vAlign w:val="bottom"/>
            <w:tcBorders>
              <w:top w:val="single" w:sz="8" w:color="CCEEFF"/>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410,000</w:t>
            </w:r>
          </w:p>
        </w:tc>
        <w:tc>
          <w:tcPr>
            <w:tcW w:w="180" w:type="dxa"/>
            <w:vAlign w:val="bottom"/>
            <w:tcBorders>
              <w:top w:val="single" w:sz="8" w:color="CCEEFF"/>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ind w:left="240"/>
              <w:spacing w:after="0"/>
              <w:rPr>
                <w:sz w:val="20"/>
                <w:szCs w:val="20"/>
                <w:color w:val="auto"/>
              </w:rPr>
            </w:pPr>
            <w:r>
              <w:rPr>
                <w:rFonts w:ascii="Arial" w:cs="Arial" w:eastAsia="Arial" w:hAnsi="Arial"/>
                <w:sz w:val="14"/>
                <w:szCs w:val="14"/>
                <w:color w:val="auto"/>
                <w:w w:val="96"/>
              </w:rPr>
              <w:t>28.78</w:t>
            </w:r>
          </w:p>
        </w:tc>
        <w:tc>
          <w:tcPr>
            <w:tcW w:w="180" w:type="dxa"/>
            <w:vAlign w:val="bottom"/>
            <w:tcBorders>
              <w:top w:val="single" w:sz="8" w:color="CCEEFF"/>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410,000</w:t>
            </w:r>
          </w:p>
        </w:tc>
        <w:tc>
          <w:tcPr>
            <w:tcW w:w="18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3"/>
              </w:rPr>
              <w:t>2,254,539</w:t>
            </w:r>
          </w:p>
        </w:tc>
      </w:tr>
      <w:tr>
        <w:trPr>
          <w:trHeight w:val="170"/>
        </w:trPr>
        <w:tc>
          <w:tcPr>
            <w:tcW w:w="6140" w:type="dxa"/>
            <w:vAlign w:val="bottom"/>
            <w:gridSpan w:val="3"/>
          </w:tcPr>
          <w:p>
            <w:pPr>
              <w:spacing w:after="0"/>
              <w:rPr>
                <w:sz w:val="20"/>
                <w:szCs w:val="20"/>
                <w:color w:val="auto"/>
              </w:rPr>
            </w:pPr>
            <w:r>
              <w:rPr>
                <w:rFonts w:ascii="Arial" w:cs="Arial" w:eastAsia="Arial" w:hAnsi="Arial"/>
                <w:sz w:val="14"/>
                <w:szCs w:val="14"/>
                <w:color w:val="auto"/>
              </w:rPr>
              <w:t>November 4 - December 1, 2018</w:t>
            </w:r>
          </w:p>
        </w:tc>
        <w:tc>
          <w:tcPr>
            <w:tcW w:w="600" w:type="dxa"/>
            <w:vAlign w:val="bottom"/>
          </w:tcPr>
          <w:p>
            <w:pPr>
              <w:jc w:val="right"/>
              <w:spacing w:after="0"/>
              <w:rPr>
                <w:sz w:val="20"/>
                <w:szCs w:val="20"/>
                <w:color w:val="auto"/>
              </w:rPr>
            </w:pPr>
            <w:r>
              <w:rPr>
                <w:rFonts w:ascii="Arial" w:cs="Arial" w:eastAsia="Arial" w:hAnsi="Arial"/>
                <w:sz w:val="14"/>
                <w:szCs w:val="14"/>
                <w:color w:val="auto"/>
              </w:rPr>
              <w:t>244,185</w:t>
            </w:r>
          </w:p>
        </w:tc>
        <w:tc>
          <w:tcPr>
            <w:tcW w:w="180" w:type="dxa"/>
            <w:vAlign w:val="bottom"/>
          </w:tcPr>
          <w:p>
            <w:pPr>
              <w:spacing w:after="0"/>
              <w:rPr>
                <w:sz w:val="14"/>
                <w:szCs w:val="14"/>
                <w:color w:val="auto"/>
              </w:rPr>
            </w:pPr>
          </w:p>
        </w:tc>
        <w:tc>
          <w:tcPr>
            <w:tcW w:w="600" w:type="dxa"/>
            <w:vAlign w:val="bottom"/>
          </w:tcPr>
          <w:p>
            <w:pPr>
              <w:ind w:left="240"/>
              <w:spacing w:after="0"/>
              <w:rPr>
                <w:sz w:val="20"/>
                <w:szCs w:val="20"/>
                <w:color w:val="auto"/>
              </w:rPr>
            </w:pPr>
            <w:r>
              <w:rPr>
                <w:rFonts w:ascii="Arial" w:cs="Arial" w:eastAsia="Arial" w:hAnsi="Arial"/>
                <w:sz w:val="14"/>
                <w:szCs w:val="14"/>
                <w:color w:val="auto"/>
                <w:w w:val="96"/>
              </w:rPr>
              <w:t>28.54</w:t>
            </w:r>
          </w:p>
        </w:tc>
        <w:tc>
          <w:tcPr>
            <w:tcW w:w="1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244,185</w:t>
            </w:r>
          </w:p>
        </w:tc>
        <w:tc>
          <w:tcPr>
            <w:tcW w:w="18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color w:val="auto"/>
                <w:w w:val="93"/>
              </w:rPr>
              <w:t>2,010,354</w:t>
            </w:r>
          </w:p>
        </w:tc>
      </w:tr>
      <w:tr>
        <w:trPr>
          <w:trHeight w:val="170"/>
        </w:trPr>
        <w:tc>
          <w:tcPr>
            <w:tcW w:w="614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December 2 - 29, 2018</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150,000</w:t>
            </w: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ind w:left="240"/>
              <w:spacing w:after="0"/>
              <w:rPr>
                <w:sz w:val="20"/>
                <w:szCs w:val="20"/>
                <w:color w:val="auto"/>
              </w:rPr>
            </w:pPr>
            <w:r>
              <w:rPr>
                <w:rFonts w:ascii="Arial" w:cs="Arial" w:eastAsia="Arial" w:hAnsi="Arial"/>
                <w:sz w:val="14"/>
                <w:szCs w:val="14"/>
                <w:color w:val="auto"/>
                <w:w w:val="96"/>
              </w:rPr>
              <w:t>26.77</w:t>
            </w: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150,000</w:t>
            </w: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1,860,354</w:t>
            </w:r>
          </w:p>
        </w:tc>
      </w:tr>
      <w:tr>
        <w:trPr>
          <w:trHeight w:val="85"/>
        </w:trPr>
        <w:tc>
          <w:tcPr>
            <w:tcW w:w="2280" w:type="dxa"/>
            <w:vAlign w:val="bottom"/>
            <w:tcBorders>
              <w:bottom w:val="single" w:sz="8" w:color="auto"/>
            </w:tcBorders>
          </w:tcPr>
          <w:p>
            <w:pPr>
              <w:spacing w:after="0"/>
              <w:rPr>
                <w:sz w:val="7"/>
                <w:szCs w:val="7"/>
                <w:color w:val="auto"/>
              </w:rPr>
            </w:pPr>
          </w:p>
        </w:tc>
        <w:tc>
          <w:tcPr>
            <w:tcW w:w="366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spacing w:after="0"/>
              <w:rPr>
                <w:sz w:val="7"/>
                <w:szCs w:val="7"/>
                <w:color w:val="auto"/>
              </w:rPr>
            </w:pPr>
          </w:p>
        </w:tc>
      </w:tr>
    </w:tbl>
    <w:p>
      <w:pPr>
        <w:spacing w:after="0" w:line="74" w:lineRule="exact"/>
        <w:rPr>
          <w:sz w:val="20"/>
          <w:szCs w:val="20"/>
          <w:color w:val="auto"/>
        </w:rPr>
      </w:pPr>
    </w:p>
    <w:p>
      <w:pPr>
        <w:ind w:left="260" w:hanging="256"/>
        <w:spacing w:after="0"/>
        <w:tabs>
          <w:tab w:leader="none" w:pos="260" w:val="left"/>
        </w:tabs>
        <w:numPr>
          <w:ilvl w:val="0"/>
          <w:numId w:val="5"/>
        </w:numPr>
        <w:rPr>
          <w:rFonts w:ascii="Arial" w:cs="Arial" w:eastAsia="Arial" w:hAnsi="Arial"/>
          <w:sz w:val="14"/>
          <w:szCs w:val="14"/>
          <w:color w:val="auto"/>
        </w:rPr>
      </w:pPr>
      <w:r>
        <w:rPr>
          <w:rFonts w:ascii="Arial" w:cs="Arial" w:eastAsia="Arial" w:hAnsi="Arial"/>
          <w:sz w:val="14"/>
          <w:szCs w:val="14"/>
          <w:color w:val="auto"/>
        </w:rPr>
        <w:t>Total number of shares purchased.</w:t>
      </w:r>
    </w:p>
    <w:p>
      <w:pPr>
        <w:spacing w:after="0" w:line="19" w:lineRule="exact"/>
        <w:rPr>
          <w:rFonts w:ascii="Arial" w:cs="Arial" w:eastAsia="Arial" w:hAnsi="Arial"/>
          <w:sz w:val="14"/>
          <w:szCs w:val="14"/>
          <w:color w:val="auto"/>
        </w:rPr>
      </w:pPr>
    </w:p>
    <w:p>
      <w:pPr>
        <w:ind w:left="260" w:hanging="256"/>
        <w:spacing w:after="0"/>
        <w:tabs>
          <w:tab w:leader="none" w:pos="260" w:val="left"/>
        </w:tabs>
        <w:numPr>
          <w:ilvl w:val="0"/>
          <w:numId w:val="5"/>
        </w:numPr>
        <w:rPr>
          <w:rFonts w:ascii="Arial" w:cs="Arial" w:eastAsia="Arial" w:hAnsi="Arial"/>
          <w:sz w:val="14"/>
          <w:szCs w:val="14"/>
          <w:color w:val="auto"/>
        </w:rPr>
      </w:pPr>
      <w:r>
        <w:rPr>
          <w:rFonts w:ascii="Arial" w:cs="Arial" w:eastAsia="Arial" w:hAnsi="Arial"/>
          <w:sz w:val="14"/>
          <w:szCs w:val="14"/>
          <w:color w:val="auto"/>
        </w:rPr>
        <w:t>Average price paid per share.</w:t>
      </w:r>
    </w:p>
    <w:p>
      <w:pPr>
        <w:spacing w:after="0" w:line="8" w:lineRule="exact"/>
        <w:rPr>
          <w:rFonts w:ascii="Arial" w:cs="Arial" w:eastAsia="Arial" w:hAnsi="Arial"/>
          <w:sz w:val="14"/>
          <w:szCs w:val="14"/>
          <w:color w:val="auto"/>
        </w:rPr>
      </w:pPr>
    </w:p>
    <w:p>
      <w:pPr>
        <w:ind w:left="260" w:hanging="256"/>
        <w:spacing w:after="0"/>
        <w:tabs>
          <w:tab w:leader="none" w:pos="260" w:val="left"/>
        </w:tabs>
        <w:numPr>
          <w:ilvl w:val="0"/>
          <w:numId w:val="5"/>
        </w:numPr>
        <w:rPr>
          <w:rFonts w:ascii="Arial" w:cs="Arial" w:eastAsia="Arial" w:hAnsi="Arial"/>
          <w:sz w:val="14"/>
          <w:szCs w:val="14"/>
          <w:color w:val="auto"/>
        </w:rPr>
      </w:pPr>
      <w:r>
        <w:rPr>
          <w:rFonts w:ascii="Arial" w:cs="Arial" w:eastAsia="Arial" w:hAnsi="Arial"/>
          <w:sz w:val="14"/>
          <w:szCs w:val="14"/>
          <w:color w:val="auto"/>
        </w:rPr>
        <w:t>Total number of shares purchased as part of publicly announced plans or programs.</w:t>
      </w:r>
    </w:p>
    <w:p>
      <w:pPr>
        <w:spacing w:after="0" w:line="8" w:lineRule="exact"/>
        <w:rPr>
          <w:rFonts w:ascii="Arial" w:cs="Arial" w:eastAsia="Arial" w:hAnsi="Arial"/>
          <w:sz w:val="14"/>
          <w:szCs w:val="14"/>
          <w:color w:val="auto"/>
        </w:rPr>
      </w:pPr>
    </w:p>
    <w:p>
      <w:pPr>
        <w:ind w:left="260" w:hanging="256"/>
        <w:spacing w:after="0"/>
        <w:tabs>
          <w:tab w:leader="none" w:pos="260" w:val="left"/>
        </w:tabs>
        <w:numPr>
          <w:ilvl w:val="0"/>
          <w:numId w:val="5"/>
        </w:numPr>
        <w:rPr>
          <w:rFonts w:ascii="Arial" w:cs="Arial" w:eastAsia="Arial" w:hAnsi="Arial"/>
          <w:sz w:val="14"/>
          <w:szCs w:val="14"/>
          <w:color w:val="auto"/>
        </w:rPr>
      </w:pPr>
      <w:r>
        <w:rPr>
          <w:rFonts w:ascii="Arial" w:cs="Arial" w:eastAsia="Arial" w:hAnsi="Arial"/>
          <w:sz w:val="14"/>
          <w:szCs w:val="14"/>
          <w:color w:val="auto"/>
        </w:rPr>
        <w:t>Maximum number of shares that may yet be purchased under the plans or programs.</w:t>
      </w:r>
    </w:p>
    <w:p>
      <w:pPr>
        <w:spacing w:after="0" w:line="169" w:lineRule="exact"/>
        <w:rPr>
          <w:sz w:val="20"/>
          <w:szCs w:val="20"/>
          <w:color w:val="auto"/>
        </w:rPr>
      </w:pPr>
    </w:p>
    <w:p>
      <w:pPr>
        <w:jc w:val="both"/>
        <w:spacing w:after="0" w:line="297" w:lineRule="auto"/>
        <w:rPr>
          <w:sz w:val="20"/>
          <w:szCs w:val="20"/>
          <w:color w:val="auto"/>
        </w:rPr>
      </w:pPr>
      <w:r>
        <w:rPr>
          <w:rFonts w:ascii="Arial" w:cs="Arial" w:eastAsia="Arial" w:hAnsi="Arial"/>
          <w:sz w:val="13"/>
          <w:szCs w:val="13"/>
          <w:color w:val="auto"/>
        </w:rPr>
        <w:t>On November 14, 2001 the Board of Directors approved a share repurchase program (which succeeded a previous program) allowing us to repurchase up to 2.5 million shares of our common stock. On October 14, 2010, our Board authorized an additional 2 million shares to be repurchased under our share repurchase program. The total number of remaining shares that may be repurchased under the program is approximately 1.9 million.</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66675</wp:posOffset>
            </wp:positionV>
            <wp:extent cx="5779135" cy="203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79135" cy="20320"/>
                    </a:xfrm>
                    <a:prstGeom prst="rect">
                      <a:avLst/>
                    </a:prstGeom>
                    <a:noFill/>
                  </pic:spPr>
                </pic:pic>
              </a:graphicData>
            </a:graphic>
          </wp:anchor>
        </w:drawing>
      </w:r>
    </w:p>
    <w:p>
      <w:pPr>
        <w:sectPr>
          <w:pgSz w:w="11900" w:h="16838" w:orient="portrait"/>
          <w:cols w:equalWidth="0" w:num="1">
            <w:col w:w="9100"/>
          </w:cols>
          <w:pgMar w:left="1400" w:top="129" w:right="1399" w:bottom="1440" w:gutter="0" w:footer="0" w:header="0"/>
        </w:sectPr>
      </w:pPr>
    </w:p>
    <w:bookmarkStart w:id="9" w:name="page10"/>
    <w:bookmarkEnd w:id="9"/>
    <w:p>
      <w:pPr>
        <w:spacing w:after="0"/>
        <w:rPr>
          <w:sz w:val="20"/>
          <w:szCs w:val="20"/>
          <w:color w:val="auto"/>
        </w:rPr>
      </w:pPr>
      <w:r>
        <w:rPr>
          <w:rFonts w:ascii="Arial" w:cs="Arial" w:eastAsia="Arial" w:hAnsi="Arial"/>
          <w:sz w:val="14"/>
          <w:szCs w:val="14"/>
          <w:b w:val="1"/>
          <w:bCs w:val="1"/>
          <w:u w:val="single" w:color="auto"/>
          <w:color w:val="auto"/>
        </w:rPr>
        <w:t>Item 6. Selected Financial Data.</w:t>
      </w:r>
    </w:p>
    <w:p>
      <w:pPr>
        <w:spacing w:after="0" w:line="183" w:lineRule="exact"/>
        <w:rPr>
          <w:sz w:val="20"/>
          <w:szCs w:val="20"/>
          <w:color w:val="auto"/>
        </w:rPr>
      </w:pPr>
    </w:p>
    <w:p>
      <w:pPr>
        <w:spacing w:after="0"/>
        <w:rPr>
          <w:sz w:val="20"/>
          <w:szCs w:val="20"/>
          <w:color w:val="auto"/>
        </w:rPr>
      </w:pPr>
      <w:r>
        <w:rPr>
          <w:rFonts w:ascii="Arial" w:cs="Arial" w:eastAsia="Arial" w:hAnsi="Arial"/>
          <w:sz w:val="14"/>
          <w:szCs w:val="14"/>
          <w:color w:val="auto"/>
        </w:rPr>
        <w:t>The information required by this Item is incorporated by reference from the 2018 Annual Report under the caption "Selected Financial Data."</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Item 7. Management’s Discussion and Analysis of Financial Condition and Results of Operations.</w:t>
      </w:r>
    </w:p>
    <w:p>
      <w:pPr>
        <w:spacing w:after="0" w:line="183"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The information required by this item is incorporated by reference from the 2018 Annual Report under the caption "Management’s Discussion and Analysis of Financial Condition and Results of Operations."</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Item 7A. Quantitative and Qualitative Disclosures about Market Risk.</w:t>
      </w:r>
    </w:p>
    <w:p>
      <w:pPr>
        <w:spacing w:after="0" w:line="183"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We are exposed to market risks related to fluctuations in interest rates on our variable rate debt, which consists of a revolving credit facility and industrial development revenue bonds. We do not currently use interest rate swaps, futures contracts or options on futures, or other types of derivative financial instruments to mitigate this risk.</w:t>
      </w:r>
    </w:p>
    <w:p>
      <w:pPr>
        <w:spacing w:after="0" w:line="142"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For fixed rate debt, changes in interest rates generally affect the fair market value, but not earnings or cash flows. Conversely, for variable rate debt, changes in interest rates generally do not influence fair market value, but do affect future earnings and cash flows. We do not have an obligation to prepay fixed rate debt prior to maturity, and as a result, interest rate risk and changes in fair market value should not have a significant impact on such debt until we would be required to refinance it.</w:t>
      </w:r>
    </w:p>
    <w:p>
      <w:pPr>
        <w:spacing w:after="0" w:line="147" w:lineRule="exact"/>
        <w:rPr>
          <w:sz w:val="20"/>
          <w:szCs w:val="20"/>
          <w:color w:val="auto"/>
        </w:rPr>
      </w:pPr>
    </w:p>
    <w:p>
      <w:pPr>
        <w:jc w:val="both"/>
        <w:spacing w:after="0" w:line="297" w:lineRule="auto"/>
        <w:rPr>
          <w:sz w:val="20"/>
          <w:szCs w:val="20"/>
          <w:color w:val="auto"/>
        </w:rPr>
      </w:pPr>
      <w:r>
        <w:rPr>
          <w:rFonts w:ascii="Arial" w:cs="Arial" w:eastAsia="Arial" w:hAnsi="Arial"/>
          <w:sz w:val="13"/>
          <w:szCs w:val="13"/>
          <w:color w:val="auto"/>
        </w:rPr>
        <w:t>On December 29, 2018, the estimated fair value of our long-term debt, including the current portion, was $203.1 million. The estimated fair value is based on rates anticipated to be available to us for debt with similar terms and maturities. The estimated fair value of notes payable included in current liabilities and the revolving credit facility approximated the carrying values as these debt instruments have interest rates that fluctuate with current market conditions.</w:t>
      </w: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color w:val="auto"/>
        </w:rPr>
        <w:t>Expected cash flows over the next five years related to debt instruments are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3300" w:type="dxa"/>
            <w:vAlign w:val="bottom"/>
          </w:tcPr>
          <w:p>
            <w:pPr>
              <w:spacing w:after="0"/>
              <w:rPr>
                <w:sz w:val="20"/>
                <w:szCs w:val="20"/>
                <w:color w:val="auto"/>
              </w:rPr>
            </w:pPr>
            <w:r>
              <w:rPr>
                <w:rFonts w:ascii="Arial" w:cs="Arial" w:eastAsia="Arial" w:hAnsi="Arial"/>
                <w:sz w:val="11"/>
                <w:szCs w:val="11"/>
                <w:b w:val="1"/>
                <w:bCs w:val="1"/>
                <w:color w:val="auto"/>
              </w:rPr>
              <w:t>($US equivalent, in thousands)</w:t>
            </w:r>
          </w:p>
        </w:tc>
        <w:tc>
          <w:tcPr>
            <w:tcW w:w="140" w:type="dxa"/>
            <w:vAlign w:val="bottom"/>
          </w:tcPr>
          <w:p>
            <w:pPr>
              <w:spacing w:after="0"/>
              <w:rPr>
                <w:sz w:val="11"/>
                <w:szCs w:val="11"/>
                <w:color w:val="auto"/>
              </w:rPr>
            </w:pPr>
          </w:p>
        </w:tc>
        <w:tc>
          <w:tcPr>
            <w:tcW w:w="540" w:type="dxa"/>
            <w:vAlign w:val="bottom"/>
          </w:tcPr>
          <w:p>
            <w:pPr>
              <w:jc w:val="right"/>
              <w:ind w:right="183"/>
              <w:spacing w:after="0"/>
              <w:rPr>
                <w:sz w:val="20"/>
                <w:szCs w:val="20"/>
                <w:color w:val="auto"/>
              </w:rPr>
            </w:pPr>
            <w:r>
              <w:rPr>
                <w:rFonts w:ascii="Arial" w:cs="Arial" w:eastAsia="Arial" w:hAnsi="Arial"/>
                <w:sz w:val="11"/>
                <w:szCs w:val="11"/>
                <w:b w:val="1"/>
                <w:bCs w:val="1"/>
                <w:color w:val="auto"/>
              </w:rPr>
              <w:t>2019</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ind w:right="183"/>
              <w:spacing w:after="0"/>
              <w:rPr>
                <w:sz w:val="20"/>
                <w:szCs w:val="20"/>
                <w:color w:val="auto"/>
              </w:rPr>
            </w:pPr>
            <w:r>
              <w:rPr>
                <w:rFonts w:ascii="Arial" w:cs="Arial" w:eastAsia="Arial" w:hAnsi="Arial"/>
                <w:sz w:val="11"/>
                <w:szCs w:val="11"/>
                <w:b w:val="1"/>
                <w:bCs w:val="1"/>
                <w:color w:val="auto"/>
              </w:rPr>
              <w:t>2020</w:t>
            </w:r>
          </w:p>
        </w:tc>
        <w:tc>
          <w:tcPr>
            <w:tcW w:w="16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b w:val="1"/>
                <w:bCs w:val="1"/>
                <w:color w:val="auto"/>
              </w:rPr>
              <w:t>2021</w:t>
            </w: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jc w:val="right"/>
              <w:ind w:right="183"/>
              <w:spacing w:after="0"/>
              <w:rPr>
                <w:sz w:val="20"/>
                <w:szCs w:val="20"/>
                <w:color w:val="auto"/>
              </w:rPr>
            </w:pPr>
            <w:r>
              <w:rPr>
                <w:rFonts w:ascii="Arial" w:cs="Arial" w:eastAsia="Arial" w:hAnsi="Arial"/>
                <w:sz w:val="11"/>
                <w:szCs w:val="11"/>
                <w:b w:val="1"/>
                <w:bCs w:val="1"/>
                <w:color w:val="auto"/>
              </w:rPr>
              <w:t>2022</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ind w:right="163"/>
              <w:spacing w:after="0"/>
              <w:rPr>
                <w:sz w:val="20"/>
                <w:szCs w:val="20"/>
                <w:color w:val="auto"/>
              </w:rPr>
            </w:pPr>
            <w:r>
              <w:rPr>
                <w:rFonts w:ascii="Arial" w:cs="Arial" w:eastAsia="Arial" w:hAnsi="Arial"/>
                <w:sz w:val="11"/>
                <w:szCs w:val="11"/>
                <w:b w:val="1"/>
                <w:bCs w:val="1"/>
                <w:color w:val="auto"/>
              </w:rPr>
              <w:t>2023</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Thereafter</w:t>
            </w:r>
          </w:p>
        </w:tc>
        <w:tc>
          <w:tcPr>
            <w:tcW w:w="140" w:type="dxa"/>
            <w:vAlign w:val="bottom"/>
          </w:tcPr>
          <w:p>
            <w:pPr>
              <w:spacing w:after="0"/>
              <w:rPr>
                <w:sz w:val="11"/>
                <w:szCs w:val="11"/>
                <w:color w:val="auto"/>
              </w:rPr>
            </w:pPr>
          </w:p>
        </w:tc>
        <w:tc>
          <w:tcPr>
            <w:tcW w:w="580" w:type="dxa"/>
            <w:vAlign w:val="bottom"/>
          </w:tcPr>
          <w:p>
            <w:pPr>
              <w:jc w:val="right"/>
              <w:ind w:right="183"/>
              <w:spacing w:after="0"/>
              <w:rPr>
                <w:sz w:val="20"/>
                <w:szCs w:val="20"/>
                <w:color w:val="auto"/>
              </w:rPr>
            </w:pPr>
            <w:r>
              <w:rPr>
                <w:rFonts w:ascii="Arial" w:cs="Arial" w:eastAsia="Arial" w:hAnsi="Arial"/>
                <w:sz w:val="11"/>
                <w:szCs w:val="11"/>
                <w:b w:val="1"/>
                <w:bCs w:val="1"/>
                <w:color w:val="auto"/>
              </w:rPr>
              <w:t>Total</w:t>
            </w:r>
          </w:p>
        </w:tc>
      </w:tr>
      <w:tr>
        <w:trPr>
          <w:trHeight w:val="117"/>
        </w:trPr>
        <w:tc>
          <w:tcPr>
            <w:tcW w:w="3300" w:type="dxa"/>
            <w:vAlign w:val="bottom"/>
            <w:tcBorders>
              <w:top w:val="single" w:sz="8" w:color="CCEEFF"/>
            </w:tcBorders>
            <w:shd w:val="clear" w:color="auto" w:fill="CCEEFF"/>
          </w:tcPr>
          <w:p>
            <w:pPr>
              <w:spacing w:after="0" w:line="117" w:lineRule="exact"/>
              <w:rPr>
                <w:sz w:val="20"/>
                <w:szCs w:val="20"/>
                <w:color w:val="auto"/>
              </w:rPr>
            </w:pPr>
            <w:r>
              <w:rPr>
                <w:rFonts w:ascii="Arial" w:cs="Arial" w:eastAsia="Arial" w:hAnsi="Arial"/>
                <w:sz w:val="11"/>
                <w:szCs w:val="11"/>
                <w:color w:val="auto"/>
              </w:rPr>
              <w:t>Long-term Debt:</w:t>
            </w:r>
          </w:p>
        </w:tc>
        <w:tc>
          <w:tcPr>
            <w:tcW w:w="140" w:type="dxa"/>
            <w:vAlign w:val="bottom"/>
            <w:tcBorders>
              <w:top w:val="single" w:sz="8" w:color="auto"/>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r>
      <w:tr>
        <w:trPr>
          <w:trHeight w:val="117"/>
        </w:trPr>
        <w:tc>
          <w:tcPr>
            <w:tcW w:w="3300" w:type="dxa"/>
            <w:vAlign w:val="bottom"/>
          </w:tcPr>
          <w:p>
            <w:pPr>
              <w:spacing w:after="0" w:line="117" w:lineRule="exact"/>
              <w:rPr>
                <w:sz w:val="20"/>
                <w:szCs w:val="20"/>
                <w:color w:val="auto"/>
              </w:rPr>
            </w:pPr>
            <w:r>
              <w:rPr>
                <w:rFonts w:ascii="Arial" w:cs="Arial" w:eastAsia="Arial" w:hAnsi="Arial"/>
                <w:sz w:val="11"/>
                <w:szCs w:val="11"/>
                <w:color w:val="auto"/>
              </w:rPr>
              <w:t>Fixed Rate ($US)</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line="117" w:lineRule="exact"/>
              <w:rPr>
                <w:sz w:val="20"/>
                <w:szCs w:val="20"/>
                <w:color w:val="auto"/>
              </w:rPr>
            </w:pPr>
            <w:r>
              <w:rPr>
                <w:rFonts w:ascii="Arial" w:cs="Arial" w:eastAsia="Arial" w:hAnsi="Arial"/>
                <w:sz w:val="11"/>
                <w:szCs w:val="11"/>
                <w:color w:val="auto"/>
              </w:rPr>
              <w:t>81</w:t>
            </w:r>
          </w:p>
        </w:tc>
        <w:tc>
          <w:tcPr>
            <w:tcW w:w="160" w:type="dxa"/>
            <w:vAlign w:val="bottom"/>
          </w:tcPr>
          <w:p>
            <w:pPr>
              <w:spacing w:after="0"/>
              <w:rPr>
                <w:sz w:val="10"/>
                <w:szCs w:val="10"/>
                <w:color w:val="auto"/>
              </w:rPr>
            </w:pP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line="117" w:lineRule="exact"/>
              <w:rPr>
                <w:sz w:val="20"/>
                <w:szCs w:val="20"/>
                <w:color w:val="auto"/>
              </w:rPr>
            </w:pPr>
            <w:r>
              <w:rPr>
                <w:rFonts w:ascii="Arial" w:cs="Arial" w:eastAsia="Arial" w:hAnsi="Arial"/>
                <w:sz w:val="11"/>
                <w:szCs w:val="11"/>
                <w:color w:val="auto"/>
              </w:rPr>
              <w:t>81</w:t>
            </w:r>
          </w:p>
        </w:tc>
        <w:tc>
          <w:tcPr>
            <w:tcW w:w="160" w:type="dxa"/>
            <w:vAlign w:val="bottom"/>
          </w:tcPr>
          <w:p>
            <w:pPr>
              <w:spacing w:after="0"/>
              <w:rPr>
                <w:sz w:val="10"/>
                <w:szCs w:val="10"/>
                <w:color w:val="auto"/>
              </w:rPr>
            </w:pPr>
          </w:p>
        </w:tc>
        <w:tc>
          <w:tcPr>
            <w:tcW w:w="500" w:type="dxa"/>
            <w:vAlign w:val="bottom"/>
          </w:tcPr>
          <w:p>
            <w:pPr>
              <w:jc w:val="right"/>
              <w:ind w:right="387"/>
              <w:spacing w:after="0"/>
              <w:rPr>
                <w:sz w:val="20"/>
                <w:szCs w:val="20"/>
                <w:color w:val="auto"/>
              </w:rPr>
            </w:pPr>
            <w:r>
              <w:rPr>
                <w:rFonts w:ascii="Arial" w:cs="Arial" w:eastAsia="Arial" w:hAnsi="Arial"/>
                <w:sz w:val="10"/>
                <w:szCs w:val="10"/>
                <w:color w:val="auto"/>
                <w:w w:val="71"/>
              </w:rPr>
              <w:t>$</w:t>
            </w:r>
          </w:p>
        </w:tc>
        <w:tc>
          <w:tcPr>
            <w:tcW w:w="340" w:type="dxa"/>
            <w:vAlign w:val="bottom"/>
            <w:gridSpan w:val="2"/>
          </w:tcPr>
          <w:p>
            <w:pPr>
              <w:ind w:left="20"/>
              <w:spacing w:after="0" w:line="117" w:lineRule="exact"/>
              <w:rPr>
                <w:sz w:val="20"/>
                <w:szCs w:val="20"/>
                <w:color w:val="auto"/>
              </w:rPr>
            </w:pPr>
            <w:r>
              <w:rPr>
                <w:rFonts w:ascii="Arial" w:cs="Arial" w:eastAsia="Arial" w:hAnsi="Arial"/>
                <w:sz w:val="11"/>
                <w:szCs w:val="11"/>
                <w:color w:val="auto"/>
              </w:rPr>
              <w:t>—</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line="117" w:lineRule="exact"/>
              <w:rPr>
                <w:sz w:val="20"/>
                <w:szCs w:val="20"/>
                <w:color w:val="auto"/>
              </w:rPr>
            </w:pPr>
            <w:r>
              <w:rPr>
                <w:rFonts w:ascii="Arial" w:cs="Arial" w:eastAsia="Arial" w:hAnsi="Arial"/>
                <w:sz w:val="11"/>
                <w:szCs w:val="11"/>
                <w:color w:val="auto"/>
              </w:rPr>
              <w:t>34,975</w:t>
            </w:r>
          </w:p>
        </w:tc>
        <w:tc>
          <w:tcPr>
            <w:tcW w:w="160" w:type="dxa"/>
            <w:vAlign w:val="bottom"/>
          </w:tcPr>
          <w:p>
            <w:pPr>
              <w:spacing w:after="0"/>
              <w:rPr>
                <w:sz w:val="10"/>
                <w:szCs w:val="10"/>
                <w:color w:val="auto"/>
              </w:rPr>
            </w:pPr>
          </w:p>
        </w:tc>
        <w:tc>
          <w:tcPr>
            <w:tcW w:w="140" w:type="dxa"/>
            <w:vAlign w:val="bottom"/>
          </w:tcPr>
          <w:p>
            <w:pPr>
              <w:jc w:val="right"/>
              <w:ind w:right="77"/>
              <w:spacing w:after="0"/>
              <w:rPr>
                <w:sz w:val="20"/>
                <w:szCs w:val="20"/>
                <w:color w:val="auto"/>
              </w:rPr>
            </w:pPr>
            <w:r>
              <w:rPr>
                <w:rFonts w:ascii="Arial" w:cs="Arial" w:eastAsia="Arial" w:hAnsi="Arial"/>
                <w:sz w:val="5"/>
                <w:szCs w:val="5"/>
                <w:color w:val="auto"/>
                <w:w w:val="70"/>
              </w:rPr>
              <w:t>$</w:t>
            </w:r>
          </w:p>
        </w:tc>
        <w:tc>
          <w:tcPr>
            <w:tcW w:w="700" w:type="dxa"/>
            <w:vAlign w:val="bottom"/>
            <w:gridSpan w:val="2"/>
          </w:tcPr>
          <w:p>
            <w:pPr>
              <w:jc w:val="right"/>
              <w:ind w:right="200"/>
              <w:spacing w:after="0" w:line="117" w:lineRule="exact"/>
              <w:rPr>
                <w:sz w:val="20"/>
                <w:szCs w:val="20"/>
                <w:color w:val="auto"/>
              </w:rPr>
            </w:pPr>
            <w:r>
              <w:rPr>
                <w:rFonts w:ascii="Arial" w:cs="Arial" w:eastAsia="Arial" w:hAnsi="Arial"/>
                <w:sz w:val="11"/>
                <w:szCs w:val="11"/>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line="117" w:lineRule="exact"/>
              <w:rPr>
                <w:sz w:val="20"/>
                <w:szCs w:val="20"/>
                <w:color w:val="auto"/>
              </w:rPr>
            </w:pPr>
            <w:r>
              <w:rPr>
                <w:rFonts w:ascii="Arial" w:cs="Arial" w:eastAsia="Arial" w:hAnsi="Arial"/>
                <w:sz w:val="11"/>
                <w:szCs w:val="11"/>
                <w:color w:val="auto"/>
              </w:rPr>
              <w:t>114,951</w:t>
            </w:r>
          </w:p>
        </w:tc>
        <w:tc>
          <w:tcPr>
            <w:tcW w:w="160" w:type="dxa"/>
            <w:vAlign w:val="bottom"/>
          </w:tcPr>
          <w:p>
            <w:pPr>
              <w:spacing w:after="0"/>
              <w:rPr>
                <w:sz w:val="10"/>
                <w:szCs w:val="10"/>
                <w:color w:val="auto"/>
              </w:rPr>
            </w:pP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spacing w:after="0" w:line="117" w:lineRule="exact"/>
              <w:rPr>
                <w:sz w:val="20"/>
                <w:szCs w:val="20"/>
                <w:color w:val="auto"/>
              </w:rPr>
            </w:pPr>
            <w:r>
              <w:rPr>
                <w:rFonts w:ascii="Arial" w:cs="Arial" w:eastAsia="Arial" w:hAnsi="Arial"/>
                <w:sz w:val="11"/>
                <w:szCs w:val="11"/>
                <w:color w:val="auto"/>
              </w:rPr>
              <w:t>150,088</w:t>
            </w:r>
          </w:p>
        </w:tc>
      </w:tr>
      <w:tr>
        <w:trPr>
          <w:trHeight w:val="117"/>
        </w:trPr>
        <w:tc>
          <w:tcPr>
            <w:tcW w:w="3300" w:type="dxa"/>
            <w:vAlign w:val="bottom"/>
            <w:shd w:val="clear" w:color="auto" w:fill="CCEEFF"/>
          </w:tcPr>
          <w:p>
            <w:pPr>
              <w:ind w:left="80"/>
              <w:spacing w:after="0" w:line="117" w:lineRule="exact"/>
              <w:rPr>
                <w:sz w:val="20"/>
                <w:szCs w:val="20"/>
                <w:color w:val="auto"/>
              </w:rPr>
            </w:pPr>
            <w:r>
              <w:rPr>
                <w:rFonts w:ascii="Arial" w:cs="Arial" w:eastAsia="Arial" w:hAnsi="Arial"/>
                <w:sz w:val="11"/>
                <w:szCs w:val="11"/>
                <w:color w:val="auto"/>
              </w:rPr>
              <w:t>Average interest rate</w:t>
            </w: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17" w:lineRule="exact"/>
              <w:rPr>
                <w:sz w:val="20"/>
                <w:szCs w:val="20"/>
                <w:color w:val="auto"/>
              </w:rPr>
            </w:pPr>
            <w:r>
              <w:rPr>
                <w:rFonts w:ascii="Arial" w:cs="Arial" w:eastAsia="Arial" w:hAnsi="Arial"/>
                <w:sz w:val="11"/>
                <w:szCs w:val="11"/>
                <w:color w:val="auto"/>
              </w:rPr>
              <w:t>5.00%</w:t>
            </w: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17" w:lineRule="exact"/>
              <w:rPr>
                <w:sz w:val="20"/>
                <w:szCs w:val="20"/>
                <w:color w:val="auto"/>
              </w:rPr>
            </w:pPr>
            <w:r>
              <w:rPr>
                <w:rFonts w:ascii="Arial" w:cs="Arial" w:eastAsia="Arial" w:hAnsi="Arial"/>
                <w:sz w:val="11"/>
                <w:szCs w:val="11"/>
                <w:color w:val="auto"/>
              </w:rPr>
              <w:t>5.01%</w:t>
            </w: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340" w:type="dxa"/>
            <w:vAlign w:val="bottom"/>
            <w:gridSpan w:val="2"/>
            <w:shd w:val="clear" w:color="auto" w:fill="CCEEFF"/>
          </w:tcPr>
          <w:p>
            <w:pPr>
              <w:ind w:left="20"/>
              <w:spacing w:after="0" w:line="117" w:lineRule="exact"/>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17" w:lineRule="exact"/>
              <w:rPr>
                <w:sz w:val="20"/>
                <w:szCs w:val="20"/>
                <w:color w:val="auto"/>
              </w:rPr>
            </w:pPr>
            <w:r>
              <w:rPr>
                <w:rFonts w:ascii="Arial" w:cs="Arial" w:eastAsia="Arial" w:hAnsi="Arial"/>
                <w:sz w:val="11"/>
                <w:szCs w:val="11"/>
                <w:color w:val="auto"/>
              </w:rPr>
              <w:t>3.89%</w:t>
            </w: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200"/>
              <w:spacing w:after="0" w:line="117"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17" w:lineRule="exact"/>
              <w:rPr>
                <w:sz w:val="20"/>
                <w:szCs w:val="20"/>
                <w:color w:val="auto"/>
              </w:rPr>
            </w:pPr>
            <w:r>
              <w:rPr>
                <w:rFonts w:ascii="Arial" w:cs="Arial" w:eastAsia="Arial" w:hAnsi="Arial"/>
                <w:sz w:val="11"/>
                <w:szCs w:val="11"/>
                <w:color w:val="auto"/>
              </w:rPr>
              <w:t>3.98%</w:t>
            </w: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r>
      <w:tr>
        <w:trPr>
          <w:trHeight w:val="117"/>
        </w:trPr>
        <w:tc>
          <w:tcPr>
            <w:tcW w:w="3300" w:type="dxa"/>
            <w:vAlign w:val="bottom"/>
          </w:tcPr>
          <w:p>
            <w:pPr>
              <w:spacing w:after="0" w:line="117" w:lineRule="exact"/>
              <w:rPr>
                <w:sz w:val="20"/>
                <w:szCs w:val="20"/>
                <w:color w:val="auto"/>
              </w:rPr>
            </w:pPr>
            <w:r>
              <w:rPr>
                <w:rFonts w:ascii="Arial" w:cs="Arial" w:eastAsia="Arial" w:hAnsi="Arial"/>
                <w:sz w:val="11"/>
                <w:szCs w:val="11"/>
                <w:color w:val="auto"/>
              </w:rPr>
              <w:t>Variable Rate ($US)</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200"/>
              <w:spacing w:after="0" w:line="117" w:lineRule="exact"/>
              <w:rPr>
                <w:sz w:val="20"/>
                <w:szCs w:val="20"/>
                <w:color w:val="auto"/>
              </w:rPr>
            </w:pPr>
            <w:r>
              <w:rPr>
                <w:rFonts w:ascii="Arial" w:cs="Arial" w:eastAsia="Arial" w:hAnsi="Arial"/>
                <w:sz w:val="11"/>
                <w:szCs w:val="11"/>
                <w:color w:val="auto"/>
              </w:rPr>
              <w:t>—</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line="117" w:lineRule="exact"/>
              <w:rPr>
                <w:sz w:val="20"/>
                <w:szCs w:val="20"/>
                <w:color w:val="auto"/>
              </w:rPr>
            </w:pPr>
            <w:r>
              <w:rPr>
                <w:rFonts w:ascii="Arial" w:cs="Arial" w:eastAsia="Arial" w:hAnsi="Arial"/>
                <w:sz w:val="11"/>
                <w:szCs w:val="11"/>
                <w:color w:val="auto"/>
              </w:rPr>
              <w:t>2,700</w:t>
            </w:r>
          </w:p>
        </w:tc>
        <w:tc>
          <w:tcPr>
            <w:tcW w:w="160" w:type="dxa"/>
            <w:vAlign w:val="bottom"/>
          </w:tcPr>
          <w:p>
            <w:pPr>
              <w:spacing w:after="0"/>
              <w:rPr>
                <w:sz w:val="10"/>
                <w:szCs w:val="10"/>
                <w:color w:val="auto"/>
              </w:rPr>
            </w:pPr>
          </w:p>
        </w:tc>
        <w:tc>
          <w:tcPr>
            <w:tcW w:w="500" w:type="dxa"/>
            <w:vAlign w:val="bottom"/>
          </w:tcPr>
          <w:p>
            <w:pPr>
              <w:jc w:val="right"/>
              <w:ind w:right="387"/>
              <w:spacing w:after="0"/>
              <w:rPr>
                <w:sz w:val="20"/>
                <w:szCs w:val="20"/>
                <w:color w:val="auto"/>
              </w:rPr>
            </w:pPr>
            <w:r>
              <w:rPr>
                <w:rFonts w:ascii="Arial" w:cs="Arial" w:eastAsia="Arial" w:hAnsi="Arial"/>
                <w:sz w:val="10"/>
                <w:szCs w:val="10"/>
                <w:color w:val="auto"/>
                <w:w w:val="71"/>
              </w:rPr>
              <w:t>$</w:t>
            </w:r>
          </w:p>
        </w:tc>
        <w:tc>
          <w:tcPr>
            <w:tcW w:w="340" w:type="dxa"/>
            <w:vAlign w:val="bottom"/>
            <w:gridSpan w:val="2"/>
          </w:tcPr>
          <w:p>
            <w:pPr>
              <w:ind w:left="20"/>
              <w:spacing w:after="0" w:line="117" w:lineRule="exact"/>
              <w:rPr>
                <w:sz w:val="20"/>
                <w:szCs w:val="20"/>
                <w:color w:val="auto"/>
              </w:rPr>
            </w:pPr>
            <w:r>
              <w:rPr>
                <w:rFonts w:ascii="Arial" w:cs="Arial" w:eastAsia="Arial" w:hAnsi="Arial"/>
                <w:sz w:val="11"/>
                <w:szCs w:val="11"/>
                <w:color w:val="auto"/>
              </w:rPr>
              <w:t>—</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line="117" w:lineRule="exact"/>
              <w:rPr>
                <w:sz w:val="20"/>
                <w:szCs w:val="20"/>
                <w:color w:val="auto"/>
              </w:rPr>
            </w:pPr>
            <w:r>
              <w:rPr>
                <w:rFonts w:ascii="Arial" w:cs="Arial" w:eastAsia="Arial" w:hAnsi="Arial"/>
                <w:sz w:val="11"/>
                <w:szCs w:val="11"/>
                <w:color w:val="auto"/>
              </w:rPr>
              <w:t>3,700</w:t>
            </w:r>
          </w:p>
        </w:tc>
        <w:tc>
          <w:tcPr>
            <w:tcW w:w="160" w:type="dxa"/>
            <w:vAlign w:val="bottom"/>
          </w:tcPr>
          <w:p>
            <w:pPr>
              <w:spacing w:after="0"/>
              <w:rPr>
                <w:sz w:val="10"/>
                <w:szCs w:val="10"/>
                <w:color w:val="auto"/>
              </w:rPr>
            </w:pPr>
          </w:p>
        </w:tc>
        <w:tc>
          <w:tcPr>
            <w:tcW w:w="140" w:type="dxa"/>
            <w:vAlign w:val="bottom"/>
          </w:tcPr>
          <w:p>
            <w:pPr>
              <w:jc w:val="right"/>
              <w:ind w:right="77"/>
              <w:spacing w:after="0"/>
              <w:rPr>
                <w:sz w:val="20"/>
                <w:szCs w:val="20"/>
                <w:color w:val="auto"/>
              </w:rPr>
            </w:pPr>
            <w:r>
              <w:rPr>
                <w:rFonts w:ascii="Arial" w:cs="Arial" w:eastAsia="Arial" w:hAnsi="Arial"/>
                <w:sz w:val="5"/>
                <w:szCs w:val="5"/>
                <w:color w:val="auto"/>
                <w:w w:val="70"/>
              </w:rPr>
              <w:t>$</w:t>
            </w:r>
          </w:p>
        </w:tc>
        <w:tc>
          <w:tcPr>
            <w:tcW w:w="540" w:type="dxa"/>
            <w:vAlign w:val="bottom"/>
          </w:tcPr>
          <w:p>
            <w:pPr>
              <w:jc w:val="right"/>
              <w:spacing w:after="0" w:line="117" w:lineRule="exact"/>
              <w:rPr>
                <w:sz w:val="20"/>
                <w:szCs w:val="20"/>
                <w:color w:val="auto"/>
              </w:rPr>
            </w:pPr>
            <w:r>
              <w:rPr>
                <w:rFonts w:ascii="Arial" w:cs="Arial" w:eastAsia="Arial" w:hAnsi="Arial"/>
                <w:sz w:val="11"/>
                <w:szCs w:val="11"/>
                <w:color w:val="auto"/>
              </w:rPr>
              <w:t>42,490</w:t>
            </w:r>
          </w:p>
        </w:tc>
        <w:tc>
          <w:tcPr>
            <w:tcW w:w="160" w:type="dxa"/>
            <w:vAlign w:val="bottom"/>
          </w:tcPr>
          <w:p>
            <w:pPr>
              <w:spacing w:after="0"/>
              <w:rPr>
                <w:sz w:val="10"/>
                <w:szCs w:val="10"/>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line="117" w:lineRule="exact"/>
              <w:rPr>
                <w:sz w:val="20"/>
                <w:szCs w:val="20"/>
                <w:color w:val="auto"/>
              </w:rPr>
            </w:pPr>
            <w:r>
              <w:rPr>
                <w:rFonts w:ascii="Arial" w:cs="Arial" w:eastAsia="Arial" w:hAnsi="Arial"/>
                <w:sz w:val="11"/>
                <w:szCs w:val="11"/>
                <w:color w:val="auto"/>
              </w:rPr>
              <w:t>3,300</w:t>
            </w:r>
          </w:p>
        </w:tc>
        <w:tc>
          <w:tcPr>
            <w:tcW w:w="160" w:type="dxa"/>
            <w:vAlign w:val="bottom"/>
          </w:tcPr>
          <w:p>
            <w:pPr>
              <w:spacing w:after="0"/>
              <w:rPr>
                <w:sz w:val="10"/>
                <w:szCs w:val="10"/>
                <w:color w:val="auto"/>
              </w:rPr>
            </w:pP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spacing w:after="0" w:line="117" w:lineRule="exact"/>
              <w:rPr>
                <w:sz w:val="20"/>
                <w:szCs w:val="20"/>
                <w:color w:val="auto"/>
              </w:rPr>
            </w:pPr>
            <w:r>
              <w:rPr>
                <w:rFonts w:ascii="Arial" w:cs="Arial" w:eastAsia="Arial" w:hAnsi="Arial"/>
                <w:sz w:val="11"/>
                <w:szCs w:val="11"/>
                <w:color w:val="auto"/>
              </w:rPr>
              <w:t>52,190</w:t>
            </w:r>
          </w:p>
        </w:tc>
      </w:tr>
      <w:tr>
        <w:trPr>
          <w:trHeight w:val="127"/>
        </w:trPr>
        <w:tc>
          <w:tcPr>
            <w:tcW w:w="3300" w:type="dxa"/>
            <w:vAlign w:val="bottom"/>
            <w:shd w:val="clear" w:color="auto" w:fill="CCEEFF"/>
          </w:tcPr>
          <w:p>
            <w:pPr>
              <w:ind w:left="80"/>
              <w:spacing w:after="0"/>
              <w:rPr>
                <w:sz w:val="20"/>
                <w:szCs w:val="20"/>
                <w:color w:val="auto"/>
              </w:rPr>
            </w:pPr>
            <w:r>
              <w:rPr>
                <w:rFonts w:ascii="Arial" w:cs="Arial" w:eastAsia="Arial" w:hAnsi="Arial"/>
                <w:sz w:val="11"/>
                <w:szCs w:val="11"/>
                <w:color w:val="auto"/>
              </w:rPr>
              <w:t xml:space="preserve">Average interest rate </w:t>
            </w:r>
            <w:r>
              <w:rPr>
                <w:rFonts w:ascii="Arial" w:cs="Arial" w:eastAsia="Arial" w:hAnsi="Arial"/>
                <w:sz w:val="11"/>
                <w:szCs w:val="11"/>
                <w:color w:val="auto"/>
                <w:vertAlign w:val="superscript"/>
              </w:rPr>
              <w:t>(1)</w:t>
            </w:r>
          </w:p>
        </w:tc>
        <w:tc>
          <w:tcPr>
            <w:tcW w:w="14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1.63%</w:t>
            </w:r>
          </w:p>
        </w:tc>
        <w:tc>
          <w:tcPr>
            <w:tcW w:w="1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34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1.62%</w:t>
            </w: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3.36%</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1.57%</w:t>
            </w: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-6350</wp:posOffset>
            </wp:positionV>
            <wp:extent cx="1989455" cy="133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989455" cy="13335"/>
                    </a:xfrm>
                    <a:prstGeom prst="rect">
                      <a:avLst/>
                    </a:prstGeom>
                    <a:noFill/>
                  </pic:spPr>
                </pic:pic>
              </a:graphicData>
            </a:graphic>
          </wp:anchor>
        </w:drawing>
      </w:r>
    </w:p>
    <w:p>
      <w:pPr>
        <w:spacing w:after="0"/>
        <w:rPr>
          <w:sz w:val="20"/>
          <w:szCs w:val="20"/>
          <w:color w:val="auto"/>
        </w:rPr>
      </w:pPr>
      <w:r>
        <w:rPr>
          <w:rFonts w:ascii="Arial" w:cs="Arial" w:eastAsia="Arial" w:hAnsi="Arial"/>
          <w:sz w:val="11"/>
          <w:szCs w:val="11"/>
          <w:color w:val="auto"/>
        </w:rPr>
        <w:t>(1) Average of rates at December 29, 2018</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Item 8. Financial Statements and Supplementary Data.</w:t>
      </w:r>
    </w:p>
    <w:p>
      <w:pPr>
        <w:spacing w:after="0" w:line="183" w:lineRule="exact"/>
        <w:rPr>
          <w:sz w:val="20"/>
          <w:szCs w:val="20"/>
          <w:color w:val="auto"/>
        </w:rPr>
      </w:pPr>
    </w:p>
    <w:p>
      <w:pPr>
        <w:spacing w:after="0"/>
        <w:rPr>
          <w:sz w:val="20"/>
          <w:szCs w:val="20"/>
          <w:color w:val="auto"/>
        </w:rPr>
      </w:pPr>
      <w:r>
        <w:rPr>
          <w:rFonts w:ascii="Arial" w:cs="Arial" w:eastAsia="Arial" w:hAnsi="Arial"/>
          <w:sz w:val="14"/>
          <w:szCs w:val="14"/>
          <w:color w:val="auto"/>
        </w:rPr>
        <w:t>The information required by this Item is incorporated by reference from the 2018 Annual Report under the following captions:</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color w:val="auto"/>
        </w:rPr>
        <w:t>"Management’s Annual Report on Internal Control Over Financial Reporting"</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"Report of Independent Registered Public Accounting Firm"</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"Report of Independent Registered Public Accounting Firm"</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"Consolidated Balance Sheets"</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"Consolidated Statements of Earnings and Comprehensive Income"</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"Consolidated Statements of Shareholders’ Equity"</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"Consolidated Statements of Cash Flows"</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"Notes to Consolidated Financial Statements"</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66675</wp:posOffset>
            </wp:positionV>
            <wp:extent cx="5779135" cy="203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79135" cy="20320"/>
                    </a:xfrm>
                    <a:prstGeom prst="rect">
                      <a:avLst/>
                    </a:prstGeom>
                    <a:noFill/>
                  </pic:spPr>
                </pic:pic>
              </a:graphicData>
            </a:graphic>
          </wp:anchor>
        </w:drawing>
      </w:r>
    </w:p>
    <w:p>
      <w:pPr>
        <w:sectPr>
          <w:pgSz w:w="11900" w:h="16838" w:orient="portrait"/>
          <w:cols w:equalWidth="0" w:num="1">
            <w:col w:w="9100"/>
          </w:cols>
          <w:pgMar w:left="1400" w:top="125" w:right="1399" w:bottom="1440" w:gutter="0" w:footer="0" w:header="0"/>
        </w:sectPr>
      </w:pPr>
    </w:p>
    <w:bookmarkStart w:id="10" w:name="page11"/>
    <w:bookmarkEnd w:id="10"/>
    <w:p>
      <w:pPr>
        <w:spacing w:after="0"/>
        <w:rPr>
          <w:sz w:val="20"/>
          <w:szCs w:val="20"/>
          <w:color w:val="auto"/>
        </w:rPr>
      </w:pPr>
      <w:r>
        <w:rPr>
          <w:rFonts w:ascii="Arial" w:cs="Arial" w:eastAsia="Arial" w:hAnsi="Arial"/>
          <w:sz w:val="14"/>
          <w:szCs w:val="14"/>
          <w:b w:val="1"/>
          <w:bCs w:val="1"/>
          <w:u w:val="single" w:color="auto"/>
          <w:color w:val="auto"/>
        </w:rPr>
        <w:t>Item 9. Changes in and Disagreements with Accountants on Accounting and Financial Disclosure.</w:t>
      </w:r>
    </w:p>
    <w:p>
      <w:pPr>
        <w:spacing w:after="0" w:line="183" w:lineRule="exact"/>
        <w:rPr>
          <w:sz w:val="20"/>
          <w:szCs w:val="20"/>
          <w:color w:val="auto"/>
        </w:rPr>
      </w:pPr>
    </w:p>
    <w:p>
      <w:pPr>
        <w:spacing w:after="0"/>
        <w:rPr>
          <w:sz w:val="20"/>
          <w:szCs w:val="20"/>
          <w:color w:val="auto"/>
        </w:rPr>
      </w:pPr>
      <w:r>
        <w:rPr>
          <w:rFonts w:ascii="Arial" w:cs="Arial" w:eastAsia="Arial" w:hAnsi="Arial"/>
          <w:sz w:val="14"/>
          <w:szCs w:val="14"/>
          <w:color w:val="auto"/>
        </w:rPr>
        <w:t>None.</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Item 9A. Controls and Procedures.</w:t>
      </w:r>
    </w:p>
    <w:p>
      <w:pPr>
        <w:spacing w:after="0" w:line="183" w:lineRule="exact"/>
        <w:rPr>
          <w:sz w:val="20"/>
          <w:szCs w:val="20"/>
          <w:color w:val="auto"/>
        </w:rPr>
      </w:pPr>
    </w:p>
    <w:p>
      <w:pPr>
        <w:jc w:val="both"/>
        <w:ind w:left="520" w:hanging="516"/>
        <w:spacing w:after="0" w:line="297" w:lineRule="auto"/>
        <w:tabs>
          <w:tab w:leader="none" w:pos="520" w:val="left"/>
        </w:tabs>
        <w:numPr>
          <w:ilvl w:val="0"/>
          <w:numId w:val="6"/>
        </w:numPr>
        <w:rPr>
          <w:rFonts w:ascii="Arial" w:cs="Arial" w:eastAsia="Arial" w:hAnsi="Arial"/>
          <w:sz w:val="13"/>
          <w:szCs w:val="13"/>
          <w:color w:val="auto"/>
        </w:rPr>
      </w:pPr>
      <w:r>
        <w:rPr>
          <w:rFonts w:ascii="Arial" w:cs="Arial" w:eastAsia="Arial" w:hAnsi="Arial"/>
          <w:sz w:val="13"/>
          <w:szCs w:val="13"/>
          <w:u w:val="single" w:color="auto"/>
          <w:color w:val="auto"/>
        </w:rPr>
        <w:t>Evaluation of Disclosure Controls and Procedures</w:t>
      </w:r>
      <w:r>
        <w:rPr>
          <w:rFonts w:ascii="Arial" w:cs="Arial" w:eastAsia="Arial" w:hAnsi="Arial"/>
          <w:sz w:val="13"/>
          <w:szCs w:val="13"/>
          <w:color w:val="auto"/>
        </w:rPr>
        <w:t>. With the participation of management, our chief executive officer and chief financial officer, after evaluating the effectiveness of our disclosure controls and procedures (as defined in Exchange Act Rules 13a - 15e and 15d - 15e) as of the year ended December 29, 2018 (the "Evaluation Date"), have concluded that, as of such date, our disclosure controls and procedures were effective.</w:t>
      </w:r>
    </w:p>
    <w:p>
      <w:pPr>
        <w:spacing w:after="0" w:line="124" w:lineRule="exact"/>
        <w:rPr>
          <w:rFonts w:ascii="Arial" w:cs="Arial" w:eastAsia="Arial" w:hAnsi="Arial"/>
          <w:sz w:val="13"/>
          <w:szCs w:val="13"/>
          <w:color w:val="auto"/>
        </w:rPr>
      </w:pPr>
    </w:p>
    <w:p>
      <w:pPr>
        <w:jc w:val="both"/>
        <w:ind w:left="520" w:hanging="516"/>
        <w:spacing w:after="0" w:line="260" w:lineRule="auto"/>
        <w:tabs>
          <w:tab w:leader="none" w:pos="520" w:val="left"/>
        </w:tabs>
        <w:numPr>
          <w:ilvl w:val="0"/>
          <w:numId w:val="6"/>
        </w:numPr>
        <w:rPr>
          <w:rFonts w:ascii="Arial" w:cs="Arial" w:eastAsia="Arial" w:hAnsi="Arial"/>
          <w:sz w:val="14"/>
          <w:szCs w:val="14"/>
          <w:color w:val="auto"/>
        </w:rPr>
      </w:pPr>
      <w:r>
        <w:rPr>
          <w:rFonts w:ascii="Arial" w:cs="Arial" w:eastAsia="Arial" w:hAnsi="Arial"/>
          <w:sz w:val="14"/>
          <w:szCs w:val="14"/>
          <w:u w:val="single" w:color="auto"/>
          <w:color w:val="auto"/>
        </w:rPr>
        <w:t>Management’s Annual Report on Internal Control Over Financial Reporting</w:t>
      </w:r>
      <w:r>
        <w:rPr>
          <w:rFonts w:ascii="Arial" w:cs="Arial" w:eastAsia="Arial" w:hAnsi="Arial"/>
          <w:sz w:val="14"/>
          <w:szCs w:val="14"/>
          <w:color w:val="auto"/>
        </w:rPr>
        <w:t>. Management’s Annual Report on Internal Control Over Financial Reporting is included in the 2018 Annual Report under the caption “Management’s Annual Report on Internal Control Over Financial Reporting” and is incorporated herein by reference. Our independent registered public accounting firm’s attestation Report on our internal control over financial reporting is also included in the 2018 Annual Report in the caption “Report of Independent Registered Public Accounting Firm On Internal Control over Financial Reporting” and is incorporated herein by reference.</w:t>
      </w:r>
    </w:p>
    <w:p>
      <w:pPr>
        <w:spacing w:after="0" w:line="147" w:lineRule="exact"/>
        <w:rPr>
          <w:rFonts w:ascii="Arial" w:cs="Arial" w:eastAsia="Arial" w:hAnsi="Arial"/>
          <w:sz w:val="14"/>
          <w:szCs w:val="14"/>
          <w:color w:val="auto"/>
        </w:rPr>
      </w:pPr>
    </w:p>
    <w:p>
      <w:pPr>
        <w:ind w:left="520" w:right="20" w:hanging="516"/>
        <w:spacing w:after="0" w:line="281" w:lineRule="auto"/>
        <w:tabs>
          <w:tab w:leader="none" w:pos="520" w:val="left"/>
        </w:tabs>
        <w:numPr>
          <w:ilvl w:val="0"/>
          <w:numId w:val="6"/>
        </w:numPr>
        <w:rPr>
          <w:rFonts w:ascii="Arial" w:cs="Arial" w:eastAsia="Arial" w:hAnsi="Arial"/>
          <w:sz w:val="14"/>
          <w:szCs w:val="14"/>
          <w:color w:val="auto"/>
        </w:rPr>
      </w:pPr>
      <w:r>
        <w:rPr>
          <w:rFonts w:ascii="Arial" w:cs="Arial" w:eastAsia="Arial" w:hAnsi="Arial"/>
          <w:sz w:val="14"/>
          <w:szCs w:val="14"/>
          <w:u w:val="single" w:color="auto"/>
          <w:color w:val="auto"/>
        </w:rPr>
        <w:t>Changes in Internal Controls</w:t>
      </w:r>
      <w:r>
        <w:rPr>
          <w:rFonts w:ascii="Arial" w:cs="Arial" w:eastAsia="Arial" w:hAnsi="Arial"/>
          <w:sz w:val="14"/>
          <w:szCs w:val="14"/>
          <w:color w:val="auto"/>
        </w:rPr>
        <w:t>. During the fourth quarter ended December 29, 2018, there were no changes in our internal control over financial reporting that materially affected, or is reasonably likely to materially affect, our internal control over financial reporting.</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Item 9B. Other Information.</w:t>
      </w:r>
    </w:p>
    <w:p>
      <w:pPr>
        <w:spacing w:after="0" w:line="183" w:lineRule="exact"/>
        <w:rPr>
          <w:sz w:val="20"/>
          <w:szCs w:val="20"/>
          <w:color w:val="auto"/>
        </w:rPr>
      </w:pPr>
    </w:p>
    <w:p>
      <w:pPr>
        <w:spacing w:after="0"/>
        <w:rPr>
          <w:sz w:val="20"/>
          <w:szCs w:val="20"/>
          <w:color w:val="auto"/>
        </w:rPr>
      </w:pPr>
      <w:r>
        <w:rPr>
          <w:rFonts w:ascii="Arial" w:cs="Arial" w:eastAsia="Arial" w:hAnsi="Arial"/>
          <w:sz w:val="14"/>
          <w:szCs w:val="14"/>
          <w:color w:val="auto"/>
        </w:rPr>
        <w:t>Not applicable.</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PART III</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Item 10. Directors, Executive Officers and Corporate Governance.</w:t>
      </w:r>
    </w:p>
    <w:p>
      <w:pPr>
        <w:spacing w:after="0" w:line="183"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Information relating to our directors, compliance with Section 16(a) of the Securities and Exchange Act of 1934 and various corporate governance matters is incorporated by reference from our definitive Proxy Statement for the year ended December 29, 2018 for the 2018 Annual Meeting of Shareholders, as filed with the Commission ("2019 Proxy Statement"), under the captions "Election of Directors," "Corporate Governance and Board Matters," and "Section 16(a) Beneficial Ownership Reporting Compliance." Information relating to executive officers is included in this report in the last Section of Part I under the caption "Additional Item: Executive Officers of the Registrant." Information relating to our code of ethics is included in this report in Part I, Item 1 under the caption “Available Information”.</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Item 11. Executive Compensation.</w:t>
      </w:r>
    </w:p>
    <w:p>
      <w:pPr>
        <w:spacing w:after="0" w:line="183" w:lineRule="exact"/>
        <w:rPr>
          <w:sz w:val="20"/>
          <w:szCs w:val="20"/>
          <w:color w:val="auto"/>
        </w:rPr>
      </w:pPr>
    </w:p>
    <w:p>
      <w:pPr>
        <w:jc w:val="both"/>
        <w:spacing w:after="0" w:line="297" w:lineRule="auto"/>
        <w:rPr>
          <w:sz w:val="20"/>
          <w:szCs w:val="20"/>
          <w:color w:val="auto"/>
        </w:rPr>
      </w:pPr>
      <w:r>
        <w:rPr>
          <w:rFonts w:ascii="Arial" w:cs="Arial" w:eastAsia="Arial" w:hAnsi="Arial"/>
          <w:sz w:val="13"/>
          <w:szCs w:val="13"/>
          <w:color w:val="auto"/>
        </w:rPr>
        <w:t>Information relating to director and executive compensation is incorporated by reference from the 2019 Proxy Statement under the caption "Executive Compensation." The "Personnel and Compensation Committee Report" included in the 2019 Proxy Statement is incorporated by reference for the purpose of being furnished herein and is not and shall not be deemed to be filed under the Securities Exchange Act of 1934, as amended.</w:t>
      </w:r>
    </w:p>
    <w:p>
      <w:pPr>
        <w:spacing w:after="0" w:line="121"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Item 12. Security Ownership of Certain Beneficial Owners and Management and Related Shareholder Matters.</w:t>
      </w:r>
    </w:p>
    <w:p>
      <w:pPr>
        <w:spacing w:after="0" w:line="183"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Information relating to security ownership of certain beneficial owners and management is incorporated by reference from our 2019 Proxy Statement under the captions "Ownership of Common Stock" and "Securities Ownership of Management."</w:t>
      </w: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66675</wp:posOffset>
            </wp:positionV>
            <wp:extent cx="5779135" cy="203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79135" cy="20320"/>
                    </a:xfrm>
                    <a:prstGeom prst="rect">
                      <a:avLst/>
                    </a:prstGeom>
                    <a:noFill/>
                  </pic:spPr>
                </pic:pic>
              </a:graphicData>
            </a:graphic>
          </wp:anchor>
        </w:drawing>
      </w:r>
    </w:p>
    <w:p>
      <w:pPr>
        <w:sectPr>
          <w:pgSz w:w="11900" w:h="16838" w:orient="portrait"/>
          <w:cols w:equalWidth="0" w:num="1">
            <w:col w:w="9100"/>
          </w:cols>
          <w:pgMar w:left="1400" w:top="125" w:right="1399" w:bottom="1440" w:gutter="0" w:footer="0" w:header="0"/>
        </w:sectPr>
      </w:pPr>
    </w:p>
    <w:bookmarkStart w:id="11" w:name="page12"/>
    <w:bookmarkEnd w:id="11"/>
    <w:p>
      <w:pPr>
        <w:spacing w:after="0"/>
        <w:rPr>
          <w:sz w:val="20"/>
          <w:szCs w:val="20"/>
          <w:color w:val="auto"/>
        </w:rPr>
      </w:pPr>
      <w:r>
        <w:rPr>
          <w:rFonts w:ascii="Arial" w:cs="Arial" w:eastAsia="Arial" w:hAnsi="Arial"/>
          <w:sz w:val="14"/>
          <w:szCs w:val="14"/>
          <w:color w:val="auto"/>
        </w:rPr>
        <w:t>Information relating to securities authorized for issuance under equity compensation plans as of December 29, 2018, is as follows: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60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80" w:type="dxa"/>
            <w:vAlign w:val="bottom"/>
          </w:tcPr>
          <w:p>
            <w:pPr>
              <w:jc w:val="center"/>
              <w:spacing w:after="0"/>
              <w:rPr>
                <w:sz w:val="20"/>
                <w:szCs w:val="20"/>
                <w:color w:val="auto"/>
              </w:rPr>
            </w:pPr>
            <w:r>
              <w:rPr>
                <w:rFonts w:ascii="Arial" w:cs="Arial" w:eastAsia="Arial" w:hAnsi="Arial"/>
                <w:sz w:val="11"/>
                <w:szCs w:val="11"/>
                <w:b w:val="1"/>
                <w:bCs w:val="1"/>
                <w:color w:val="auto"/>
                <w:w w:val="91"/>
              </w:rPr>
              <w:t>Number of shares</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60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80" w:type="dxa"/>
            <w:vAlign w:val="bottom"/>
          </w:tcPr>
          <w:p>
            <w:pPr>
              <w:jc w:val="center"/>
              <w:spacing w:after="0" w:line="117" w:lineRule="exact"/>
              <w:rPr>
                <w:sz w:val="20"/>
                <w:szCs w:val="20"/>
                <w:color w:val="auto"/>
              </w:rPr>
            </w:pPr>
            <w:r>
              <w:rPr>
                <w:rFonts w:ascii="Arial" w:cs="Arial" w:eastAsia="Arial" w:hAnsi="Arial"/>
                <w:sz w:val="11"/>
                <w:szCs w:val="11"/>
                <w:b w:val="1"/>
                <w:bCs w:val="1"/>
                <w:color w:val="auto"/>
                <w:w w:val="95"/>
              </w:rPr>
              <w:t>remaining</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60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80" w:type="dxa"/>
            <w:vAlign w:val="bottom"/>
          </w:tcPr>
          <w:p>
            <w:pPr>
              <w:jc w:val="center"/>
              <w:spacing w:after="0" w:line="117" w:lineRule="exact"/>
              <w:rPr>
                <w:sz w:val="20"/>
                <w:szCs w:val="20"/>
                <w:color w:val="auto"/>
              </w:rPr>
            </w:pPr>
            <w:r>
              <w:rPr>
                <w:rFonts w:ascii="Arial" w:cs="Arial" w:eastAsia="Arial" w:hAnsi="Arial"/>
                <w:sz w:val="11"/>
                <w:szCs w:val="11"/>
                <w:b w:val="1"/>
                <w:bCs w:val="1"/>
                <w:color w:val="auto"/>
                <w:w w:val="93"/>
              </w:rPr>
              <w:t>available for</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6020" w:type="dxa"/>
            <w:vAlign w:val="bottom"/>
          </w:tcPr>
          <w:p>
            <w:pPr>
              <w:spacing w:after="0"/>
              <w:rPr>
                <w:sz w:val="10"/>
                <w:szCs w:val="10"/>
                <w:color w:val="auto"/>
              </w:rPr>
            </w:pPr>
          </w:p>
        </w:tc>
        <w:tc>
          <w:tcPr>
            <w:tcW w:w="920" w:type="dxa"/>
            <w:vAlign w:val="bottom"/>
            <w:gridSpan w:val="2"/>
            <w:vMerge w:val="restart"/>
          </w:tcPr>
          <w:p>
            <w:pPr>
              <w:jc w:val="center"/>
              <w:ind w:right="200"/>
              <w:spacing w:after="0"/>
              <w:rPr>
                <w:sz w:val="20"/>
                <w:szCs w:val="20"/>
                <w:color w:val="auto"/>
              </w:rPr>
            </w:pPr>
            <w:r>
              <w:rPr>
                <w:rFonts w:ascii="Arial" w:cs="Arial" w:eastAsia="Arial" w:hAnsi="Arial"/>
                <w:sz w:val="11"/>
                <w:szCs w:val="11"/>
                <w:b w:val="1"/>
                <w:bCs w:val="1"/>
                <w:color w:val="auto"/>
                <w:w w:val="94"/>
              </w:rPr>
              <w:t>Number of</w:t>
            </w:r>
          </w:p>
        </w:tc>
        <w:tc>
          <w:tcPr>
            <w:tcW w:w="100" w:type="dxa"/>
            <w:vAlign w:val="bottom"/>
          </w:tcPr>
          <w:p>
            <w:pPr>
              <w:spacing w:after="0"/>
              <w:rPr>
                <w:sz w:val="10"/>
                <w:szCs w:val="10"/>
                <w:color w:val="auto"/>
              </w:rPr>
            </w:pPr>
          </w:p>
        </w:tc>
        <w:tc>
          <w:tcPr>
            <w:tcW w:w="860" w:type="dxa"/>
            <w:vAlign w:val="bottom"/>
            <w:gridSpan w:val="2"/>
            <w:vMerge w:val="restart"/>
          </w:tcPr>
          <w:p>
            <w:pPr>
              <w:jc w:val="center"/>
              <w:ind w:right="280"/>
              <w:spacing w:after="0"/>
              <w:rPr>
                <w:sz w:val="20"/>
                <w:szCs w:val="20"/>
                <w:color w:val="auto"/>
              </w:rPr>
            </w:pPr>
            <w:r>
              <w:rPr>
                <w:rFonts w:ascii="Arial" w:cs="Arial" w:eastAsia="Arial" w:hAnsi="Arial"/>
                <w:sz w:val="11"/>
                <w:szCs w:val="11"/>
                <w:b w:val="1"/>
                <w:bCs w:val="1"/>
                <w:color w:val="auto"/>
                <w:w w:val="92"/>
              </w:rPr>
              <w:t>Weighted</w:t>
            </w:r>
          </w:p>
        </w:tc>
        <w:tc>
          <w:tcPr>
            <w:tcW w:w="1180" w:type="dxa"/>
            <w:vAlign w:val="bottom"/>
          </w:tcPr>
          <w:p>
            <w:pPr>
              <w:jc w:val="center"/>
              <w:spacing w:after="0" w:line="117" w:lineRule="exact"/>
              <w:rPr>
                <w:sz w:val="20"/>
                <w:szCs w:val="20"/>
                <w:color w:val="auto"/>
              </w:rPr>
            </w:pPr>
            <w:r>
              <w:rPr>
                <w:rFonts w:ascii="Arial" w:cs="Arial" w:eastAsia="Arial" w:hAnsi="Arial"/>
                <w:sz w:val="11"/>
                <w:szCs w:val="11"/>
                <w:b w:val="1"/>
                <w:bCs w:val="1"/>
                <w:color w:val="auto"/>
                <w:w w:val="96"/>
              </w:rPr>
              <w:t>future</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602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1180" w:type="dxa"/>
            <w:vAlign w:val="bottom"/>
          </w:tcPr>
          <w:p>
            <w:pPr>
              <w:jc w:val="center"/>
              <w:spacing w:after="0" w:line="117" w:lineRule="exact"/>
              <w:rPr>
                <w:sz w:val="20"/>
                <w:szCs w:val="20"/>
                <w:color w:val="auto"/>
              </w:rPr>
            </w:pPr>
            <w:r>
              <w:rPr>
                <w:rFonts w:ascii="Arial" w:cs="Arial" w:eastAsia="Arial" w:hAnsi="Arial"/>
                <w:sz w:val="11"/>
                <w:szCs w:val="11"/>
                <w:b w:val="1"/>
                <w:bCs w:val="1"/>
                <w:color w:val="auto"/>
                <w:w w:val="89"/>
              </w:rPr>
              <w:t>issuance under</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6020" w:type="dxa"/>
            <w:vAlign w:val="bottom"/>
          </w:tcPr>
          <w:p>
            <w:pPr>
              <w:spacing w:after="0"/>
              <w:rPr>
                <w:sz w:val="10"/>
                <w:szCs w:val="10"/>
                <w:color w:val="auto"/>
              </w:rPr>
            </w:pPr>
          </w:p>
        </w:tc>
        <w:tc>
          <w:tcPr>
            <w:tcW w:w="920" w:type="dxa"/>
            <w:vAlign w:val="bottom"/>
            <w:gridSpan w:val="2"/>
          </w:tcPr>
          <w:p>
            <w:pPr>
              <w:jc w:val="center"/>
              <w:ind w:right="180"/>
              <w:spacing w:after="0" w:line="117" w:lineRule="exact"/>
              <w:rPr>
                <w:sz w:val="20"/>
                <w:szCs w:val="20"/>
                <w:color w:val="auto"/>
              </w:rPr>
            </w:pPr>
            <w:r>
              <w:rPr>
                <w:rFonts w:ascii="Arial" w:cs="Arial" w:eastAsia="Arial" w:hAnsi="Arial"/>
                <w:sz w:val="11"/>
                <w:szCs w:val="11"/>
                <w:b w:val="1"/>
                <w:bCs w:val="1"/>
                <w:color w:val="auto"/>
                <w:w w:val="89"/>
              </w:rPr>
              <w:t>shares to be</w:t>
            </w:r>
          </w:p>
        </w:tc>
        <w:tc>
          <w:tcPr>
            <w:tcW w:w="100" w:type="dxa"/>
            <w:vAlign w:val="bottom"/>
          </w:tcPr>
          <w:p>
            <w:pPr>
              <w:spacing w:after="0"/>
              <w:rPr>
                <w:sz w:val="10"/>
                <w:szCs w:val="10"/>
                <w:color w:val="auto"/>
              </w:rPr>
            </w:pPr>
          </w:p>
        </w:tc>
        <w:tc>
          <w:tcPr>
            <w:tcW w:w="860" w:type="dxa"/>
            <w:vAlign w:val="bottom"/>
            <w:gridSpan w:val="2"/>
          </w:tcPr>
          <w:p>
            <w:pPr>
              <w:jc w:val="center"/>
              <w:ind w:right="280"/>
              <w:spacing w:after="0" w:line="117" w:lineRule="exact"/>
              <w:rPr>
                <w:sz w:val="20"/>
                <w:szCs w:val="20"/>
                <w:color w:val="auto"/>
              </w:rPr>
            </w:pPr>
            <w:r>
              <w:rPr>
                <w:rFonts w:ascii="Arial" w:cs="Arial" w:eastAsia="Arial" w:hAnsi="Arial"/>
                <w:sz w:val="11"/>
                <w:szCs w:val="11"/>
                <w:b w:val="1"/>
                <w:bCs w:val="1"/>
                <w:color w:val="auto"/>
                <w:w w:val="91"/>
              </w:rPr>
              <w:t>average</w:t>
            </w:r>
          </w:p>
        </w:tc>
        <w:tc>
          <w:tcPr>
            <w:tcW w:w="1180" w:type="dxa"/>
            <w:vAlign w:val="bottom"/>
          </w:tcPr>
          <w:p>
            <w:pPr>
              <w:jc w:val="center"/>
              <w:spacing w:after="0" w:line="117" w:lineRule="exact"/>
              <w:rPr>
                <w:sz w:val="20"/>
                <w:szCs w:val="20"/>
                <w:color w:val="auto"/>
              </w:rPr>
            </w:pPr>
            <w:r>
              <w:rPr>
                <w:rFonts w:ascii="Arial" w:cs="Arial" w:eastAsia="Arial" w:hAnsi="Arial"/>
                <w:sz w:val="11"/>
                <w:szCs w:val="11"/>
                <w:b w:val="1"/>
                <w:bCs w:val="1"/>
                <w:color w:val="auto"/>
                <w:w w:val="92"/>
              </w:rPr>
              <w:t>equity</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6020" w:type="dxa"/>
            <w:vAlign w:val="bottom"/>
          </w:tcPr>
          <w:p>
            <w:pPr>
              <w:spacing w:after="0"/>
              <w:rPr>
                <w:sz w:val="10"/>
                <w:szCs w:val="10"/>
                <w:color w:val="auto"/>
              </w:rPr>
            </w:pPr>
          </w:p>
        </w:tc>
        <w:tc>
          <w:tcPr>
            <w:tcW w:w="920" w:type="dxa"/>
            <w:vAlign w:val="bottom"/>
            <w:gridSpan w:val="2"/>
          </w:tcPr>
          <w:p>
            <w:pPr>
              <w:jc w:val="center"/>
              <w:ind w:right="180"/>
              <w:spacing w:after="0" w:line="117" w:lineRule="exact"/>
              <w:rPr>
                <w:sz w:val="20"/>
                <w:szCs w:val="20"/>
                <w:color w:val="auto"/>
              </w:rPr>
            </w:pPr>
            <w:r>
              <w:rPr>
                <w:rFonts w:ascii="Arial" w:cs="Arial" w:eastAsia="Arial" w:hAnsi="Arial"/>
                <w:sz w:val="11"/>
                <w:szCs w:val="11"/>
                <w:b w:val="1"/>
                <w:bCs w:val="1"/>
                <w:color w:val="auto"/>
                <w:w w:val="89"/>
              </w:rPr>
              <w:t>issued upon</w:t>
            </w:r>
          </w:p>
        </w:tc>
        <w:tc>
          <w:tcPr>
            <w:tcW w:w="100" w:type="dxa"/>
            <w:vAlign w:val="bottom"/>
          </w:tcPr>
          <w:p>
            <w:pPr>
              <w:spacing w:after="0"/>
              <w:rPr>
                <w:sz w:val="10"/>
                <w:szCs w:val="10"/>
                <w:color w:val="auto"/>
              </w:rPr>
            </w:pPr>
          </w:p>
        </w:tc>
        <w:tc>
          <w:tcPr>
            <w:tcW w:w="860" w:type="dxa"/>
            <w:vAlign w:val="bottom"/>
            <w:gridSpan w:val="2"/>
          </w:tcPr>
          <w:p>
            <w:pPr>
              <w:jc w:val="center"/>
              <w:ind w:right="280"/>
              <w:spacing w:after="0" w:line="117" w:lineRule="exact"/>
              <w:rPr>
                <w:sz w:val="20"/>
                <w:szCs w:val="20"/>
                <w:color w:val="auto"/>
              </w:rPr>
            </w:pPr>
            <w:r>
              <w:rPr>
                <w:rFonts w:ascii="Arial" w:cs="Arial" w:eastAsia="Arial" w:hAnsi="Arial"/>
                <w:sz w:val="11"/>
                <w:szCs w:val="11"/>
                <w:b w:val="1"/>
                <w:bCs w:val="1"/>
                <w:color w:val="auto"/>
                <w:w w:val="86"/>
              </w:rPr>
              <w:t>exercise</w:t>
            </w:r>
          </w:p>
        </w:tc>
        <w:tc>
          <w:tcPr>
            <w:tcW w:w="1180" w:type="dxa"/>
            <w:vAlign w:val="bottom"/>
          </w:tcPr>
          <w:p>
            <w:pPr>
              <w:jc w:val="center"/>
              <w:spacing w:after="0" w:line="117" w:lineRule="exact"/>
              <w:rPr>
                <w:sz w:val="20"/>
                <w:szCs w:val="20"/>
                <w:color w:val="auto"/>
              </w:rPr>
            </w:pPr>
            <w:r>
              <w:rPr>
                <w:rFonts w:ascii="Arial" w:cs="Arial" w:eastAsia="Arial" w:hAnsi="Arial"/>
                <w:sz w:val="11"/>
                <w:szCs w:val="11"/>
                <w:b w:val="1"/>
                <w:bCs w:val="1"/>
                <w:color w:val="auto"/>
                <w:w w:val="88"/>
              </w:rPr>
              <w:t>compensation</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6020" w:type="dxa"/>
            <w:vAlign w:val="bottom"/>
          </w:tcPr>
          <w:p>
            <w:pPr>
              <w:spacing w:after="0"/>
              <w:rPr>
                <w:sz w:val="10"/>
                <w:szCs w:val="10"/>
                <w:color w:val="auto"/>
              </w:rPr>
            </w:pPr>
          </w:p>
        </w:tc>
        <w:tc>
          <w:tcPr>
            <w:tcW w:w="920" w:type="dxa"/>
            <w:vAlign w:val="bottom"/>
            <w:gridSpan w:val="2"/>
          </w:tcPr>
          <w:p>
            <w:pPr>
              <w:jc w:val="center"/>
              <w:ind w:right="180"/>
              <w:spacing w:after="0" w:line="117" w:lineRule="exact"/>
              <w:rPr>
                <w:sz w:val="20"/>
                <w:szCs w:val="20"/>
                <w:color w:val="auto"/>
              </w:rPr>
            </w:pPr>
            <w:r>
              <w:rPr>
                <w:rFonts w:ascii="Arial" w:cs="Arial" w:eastAsia="Arial" w:hAnsi="Arial"/>
                <w:sz w:val="11"/>
                <w:szCs w:val="11"/>
                <w:b w:val="1"/>
                <w:bCs w:val="1"/>
                <w:color w:val="auto"/>
                <w:w w:val="86"/>
              </w:rPr>
              <w:t>exercise of</w:t>
            </w:r>
          </w:p>
        </w:tc>
        <w:tc>
          <w:tcPr>
            <w:tcW w:w="100" w:type="dxa"/>
            <w:vAlign w:val="bottom"/>
          </w:tcPr>
          <w:p>
            <w:pPr>
              <w:spacing w:after="0"/>
              <w:rPr>
                <w:sz w:val="10"/>
                <w:szCs w:val="10"/>
                <w:color w:val="auto"/>
              </w:rPr>
            </w:pPr>
          </w:p>
        </w:tc>
        <w:tc>
          <w:tcPr>
            <w:tcW w:w="860" w:type="dxa"/>
            <w:vAlign w:val="bottom"/>
            <w:gridSpan w:val="2"/>
          </w:tcPr>
          <w:p>
            <w:pPr>
              <w:jc w:val="center"/>
              <w:ind w:right="280"/>
              <w:spacing w:after="0" w:line="117" w:lineRule="exact"/>
              <w:rPr>
                <w:sz w:val="20"/>
                <w:szCs w:val="20"/>
                <w:color w:val="auto"/>
              </w:rPr>
            </w:pPr>
            <w:r>
              <w:rPr>
                <w:rFonts w:ascii="Arial" w:cs="Arial" w:eastAsia="Arial" w:hAnsi="Arial"/>
                <w:sz w:val="11"/>
                <w:szCs w:val="11"/>
                <w:b w:val="1"/>
                <w:bCs w:val="1"/>
                <w:color w:val="auto"/>
                <w:w w:val="95"/>
              </w:rPr>
              <w:t>price of</w:t>
            </w:r>
          </w:p>
        </w:tc>
        <w:tc>
          <w:tcPr>
            <w:tcW w:w="1180" w:type="dxa"/>
            <w:vAlign w:val="bottom"/>
          </w:tcPr>
          <w:p>
            <w:pPr>
              <w:jc w:val="center"/>
              <w:spacing w:after="0" w:line="117" w:lineRule="exact"/>
              <w:rPr>
                <w:sz w:val="20"/>
                <w:szCs w:val="20"/>
                <w:color w:val="auto"/>
              </w:rPr>
            </w:pPr>
            <w:r>
              <w:rPr>
                <w:rFonts w:ascii="Arial" w:cs="Arial" w:eastAsia="Arial" w:hAnsi="Arial"/>
                <w:sz w:val="11"/>
                <w:szCs w:val="11"/>
                <w:b w:val="1"/>
                <w:bCs w:val="1"/>
                <w:color w:val="auto"/>
                <w:w w:val="89"/>
              </w:rPr>
              <w:t>plans [excluding</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6020" w:type="dxa"/>
            <w:vAlign w:val="bottom"/>
          </w:tcPr>
          <w:p>
            <w:pPr>
              <w:spacing w:after="0"/>
              <w:rPr>
                <w:sz w:val="10"/>
                <w:szCs w:val="10"/>
                <w:color w:val="auto"/>
              </w:rPr>
            </w:pPr>
          </w:p>
        </w:tc>
        <w:tc>
          <w:tcPr>
            <w:tcW w:w="920" w:type="dxa"/>
            <w:vAlign w:val="bottom"/>
            <w:gridSpan w:val="2"/>
          </w:tcPr>
          <w:p>
            <w:pPr>
              <w:jc w:val="center"/>
              <w:ind w:right="180"/>
              <w:spacing w:after="0" w:line="117" w:lineRule="exact"/>
              <w:rPr>
                <w:sz w:val="20"/>
                <w:szCs w:val="20"/>
                <w:color w:val="auto"/>
              </w:rPr>
            </w:pPr>
            <w:r>
              <w:rPr>
                <w:rFonts w:ascii="Arial" w:cs="Arial" w:eastAsia="Arial" w:hAnsi="Arial"/>
                <w:sz w:val="11"/>
                <w:szCs w:val="11"/>
                <w:b w:val="1"/>
                <w:bCs w:val="1"/>
                <w:color w:val="auto"/>
                <w:w w:val="92"/>
              </w:rPr>
              <w:t>outstanding</w:t>
            </w:r>
          </w:p>
        </w:tc>
        <w:tc>
          <w:tcPr>
            <w:tcW w:w="100" w:type="dxa"/>
            <w:vAlign w:val="bottom"/>
          </w:tcPr>
          <w:p>
            <w:pPr>
              <w:spacing w:after="0"/>
              <w:rPr>
                <w:sz w:val="10"/>
                <w:szCs w:val="10"/>
                <w:color w:val="auto"/>
              </w:rPr>
            </w:pPr>
          </w:p>
        </w:tc>
        <w:tc>
          <w:tcPr>
            <w:tcW w:w="860" w:type="dxa"/>
            <w:vAlign w:val="bottom"/>
            <w:gridSpan w:val="2"/>
          </w:tcPr>
          <w:p>
            <w:pPr>
              <w:jc w:val="center"/>
              <w:ind w:right="280"/>
              <w:spacing w:after="0" w:line="117" w:lineRule="exact"/>
              <w:rPr>
                <w:sz w:val="20"/>
                <w:szCs w:val="20"/>
                <w:color w:val="auto"/>
              </w:rPr>
            </w:pPr>
            <w:r>
              <w:rPr>
                <w:rFonts w:ascii="Arial" w:cs="Arial" w:eastAsia="Arial" w:hAnsi="Arial"/>
                <w:sz w:val="11"/>
                <w:szCs w:val="11"/>
                <w:b w:val="1"/>
                <w:bCs w:val="1"/>
                <w:color w:val="auto"/>
                <w:w w:val="92"/>
              </w:rPr>
              <w:t>outstanding</w:t>
            </w:r>
          </w:p>
        </w:tc>
        <w:tc>
          <w:tcPr>
            <w:tcW w:w="1180" w:type="dxa"/>
            <w:vAlign w:val="bottom"/>
          </w:tcPr>
          <w:p>
            <w:pPr>
              <w:jc w:val="center"/>
              <w:spacing w:after="0" w:line="117" w:lineRule="exact"/>
              <w:rPr>
                <w:sz w:val="20"/>
                <w:szCs w:val="20"/>
                <w:color w:val="auto"/>
              </w:rPr>
            </w:pPr>
            <w:r>
              <w:rPr>
                <w:rFonts w:ascii="Arial" w:cs="Arial" w:eastAsia="Arial" w:hAnsi="Arial"/>
                <w:sz w:val="11"/>
                <w:szCs w:val="11"/>
                <w:b w:val="1"/>
                <w:bCs w:val="1"/>
                <w:color w:val="auto"/>
                <w:w w:val="88"/>
              </w:rPr>
              <w:t>shares reflected in</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6020" w:type="dxa"/>
            <w:vAlign w:val="bottom"/>
          </w:tcPr>
          <w:p>
            <w:pPr>
              <w:spacing w:after="0"/>
              <w:rPr>
                <w:sz w:val="10"/>
                <w:szCs w:val="10"/>
                <w:color w:val="auto"/>
              </w:rPr>
            </w:pPr>
          </w:p>
        </w:tc>
        <w:tc>
          <w:tcPr>
            <w:tcW w:w="920" w:type="dxa"/>
            <w:vAlign w:val="bottom"/>
            <w:gridSpan w:val="2"/>
          </w:tcPr>
          <w:p>
            <w:pPr>
              <w:jc w:val="center"/>
              <w:ind w:right="180"/>
              <w:spacing w:after="0" w:line="117" w:lineRule="exact"/>
              <w:rPr>
                <w:sz w:val="20"/>
                <w:szCs w:val="20"/>
                <w:color w:val="auto"/>
              </w:rPr>
            </w:pPr>
            <w:r>
              <w:rPr>
                <w:rFonts w:ascii="Arial" w:cs="Arial" w:eastAsia="Arial" w:hAnsi="Arial"/>
                <w:sz w:val="11"/>
                <w:szCs w:val="11"/>
                <w:b w:val="1"/>
                <w:bCs w:val="1"/>
                <w:color w:val="auto"/>
                <w:w w:val="85"/>
              </w:rPr>
              <w:t>options</w:t>
            </w:r>
          </w:p>
        </w:tc>
        <w:tc>
          <w:tcPr>
            <w:tcW w:w="100" w:type="dxa"/>
            <w:vAlign w:val="bottom"/>
          </w:tcPr>
          <w:p>
            <w:pPr>
              <w:spacing w:after="0"/>
              <w:rPr>
                <w:sz w:val="10"/>
                <w:szCs w:val="10"/>
                <w:color w:val="auto"/>
              </w:rPr>
            </w:pPr>
          </w:p>
        </w:tc>
        <w:tc>
          <w:tcPr>
            <w:tcW w:w="860" w:type="dxa"/>
            <w:vAlign w:val="bottom"/>
            <w:gridSpan w:val="2"/>
          </w:tcPr>
          <w:p>
            <w:pPr>
              <w:jc w:val="center"/>
              <w:ind w:right="280"/>
              <w:spacing w:after="0" w:line="117" w:lineRule="exact"/>
              <w:rPr>
                <w:sz w:val="20"/>
                <w:szCs w:val="20"/>
                <w:color w:val="auto"/>
              </w:rPr>
            </w:pPr>
            <w:r>
              <w:rPr>
                <w:rFonts w:ascii="Arial" w:cs="Arial" w:eastAsia="Arial" w:hAnsi="Arial"/>
                <w:sz w:val="11"/>
                <w:szCs w:val="11"/>
                <w:b w:val="1"/>
                <w:bCs w:val="1"/>
                <w:color w:val="auto"/>
                <w:w w:val="85"/>
              </w:rPr>
              <w:t>options</w:t>
            </w:r>
          </w:p>
        </w:tc>
        <w:tc>
          <w:tcPr>
            <w:tcW w:w="1180" w:type="dxa"/>
            <w:vAlign w:val="bottom"/>
          </w:tcPr>
          <w:p>
            <w:pPr>
              <w:jc w:val="center"/>
              <w:spacing w:after="0" w:line="117" w:lineRule="exact"/>
              <w:rPr>
                <w:sz w:val="20"/>
                <w:szCs w:val="20"/>
                <w:color w:val="auto"/>
              </w:rPr>
            </w:pPr>
            <w:r>
              <w:rPr>
                <w:rFonts w:ascii="Arial" w:cs="Arial" w:eastAsia="Arial" w:hAnsi="Arial"/>
                <w:sz w:val="11"/>
                <w:szCs w:val="11"/>
                <w:b w:val="1"/>
                <w:bCs w:val="1"/>
                <w:color w:val="auto"/>
                <w:w w:val="92"/>
              </w:rPr>
              <w:t>column (a)] (1)</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6020" w:type="dxa"/>
            <w:vAlign w:val="bottom"/>
          </w:tcPr>
          <w:p>
            <w:pPr>
              <w:spacing w:after="0"/>
              <w:rPr>
                <w:sz w:val="11"/>
                <w:szCs w:val="11"/>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1"/>
                <w:szCs w:val="11"/>
                <w:color w:val="auto"/>
              </w:rPr>
              <w:t>(a)</w:t>
            </w:r>
          </w:p>
        </w:tc>
        <w:tc>
          <w:tcPr>
            <w:tcW w:w="100" w:type="dxa"/>
            <w:vAlign w:val="bottom"/>
          </w:tcPr>
          <w:p>
            <w:pPr>
              <w:spacing w:after="0"/>
              <w:rPr>
                <w:sz w:val="11"/>
                <w:szCs w:val="11"/>
                <w:color w:val="auto"/>
              </w:rPr>
            </w:pPr>
          </w:p>
        </w:tc>
        <w:tc>
          <w:tcPr>
            <w:tcW w:w="860" w:type="dxa"/>
            <w:vAlign w:val="bottom"/>
            <w:gridSpan w:val="2"/>
          </w:tcPr>
          <w:p>
            <w:pPr>
              <w:jc w:val="center"/>
              <w:ind w:right="280"/>
              <w:spacing w:after="0"/>
              <w:rPr>
                <w:sz w:val="20"/>
                <w:szCs w:val="20"/>
                <w:color w:val="auto"/>
              </w:rPr>
            </w:pPr>
            <w:r>
              <w:rPr>
                <w:rFonts w:ascii="Arial" w:cs="Arial" w:eastAsia="Arial" w:hAnsi="Arial"/>
                <w:sz w:val="11"/>
                <w:szCs w:val="11"/>
                <w:color w:val="auto"/>
              </w:rPr>
              <w:t>(b)</w:t>
            </w:r>
          </w:p>
        </w:tc>
        <w:tc>
          <w:tcPr>
            <w:tcW w:w="1180" w:type="dxa"/>
            <w:vAlign w:val="bottom"/>
          </w:tcPr>
          <w:p>
            <w:pPr>
              <w:jc w:val="center"/>
              <w:spacing w:after="0"/>
              <w:rPr>
                <w:sz w:val="20"/>
                <w:szCs w:val="20"/>
                <w:color w:val="auto"/>
              </w:rPr>
            </w:pPr>
            <w:r>
              <w:rPr>
                <w:rFonts w:ascii="Arial" w:cs="Arial" w:eastAsia="Arial" w:hAnsi="Arial"/>
                <w:sz w:val="11"/>
                <w:szCs w:val="11"/>
                <w:b w:val="1"/>
                <w:bCs w:val="1"/>
                <w:color w:val="auto"/>
              </w:rPr>
              <w:t>(c)</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6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color w:val="auto"/>
              </w:rPr>
              <w:t>Equity compensation plans approved by security holders</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180" w:type="dxa"/>
            <w:vAlign w:val="bottom"/>
            <w:tcBorders>
              <w:top w:val="single" w:sz="8" w:color="CCEEFF"/>
            </w:tcBorders>
            <w:shd w:val="clear" w:color="auto" w:fill="CCEEFF"/>
          </w:tcPr>
          <w:p>
            <w:pPr>
              <w:spacing w:after="0"/>
              <w:rPr>
                <w:sz w:val="13"/>
                <w:szCs w:val="13"/>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2,844,038</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020" w:type="dxa"/>
            <w:vAlign w:val="bottom"/>
          </w:tcPr>
          <w:p>
            <w:pPr>
              <w:spacing w:after="0"/>
              <w:rPr>
                <w:sz w:val="20"/>
                <w:szCs w:val="20"/>
                <w:color w:val="auto"/>
              </w:rPr>
            </w:pPr>
            <w:r>
              <w:rPr>
                <w:rFonts w:ascii="Arial" w:cs="Arial" w:eastAsia="Arial" w:hAnsi="Arial"/>
                <w:sz w:val="14"/>
                <w:szCs w:val="14"/>
                <w:color w:val="auto"/>
              </w:rPr>
              <w:t>Equity compensation plans not approved by security holders</w:t>
            </w: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none</w:t>
            </w: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47625</wp:posOffset>
            </wp:positionV>
            <wp:extent cx="1443355" cy="69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43355" cy="6985"/>
                    </a:xfrm>
                    <a:prstGeom prst="rect">
                      <a:avLst/>
                    </a:prstGeom>
                    <a:noFill/>
                  </pic:spPr>
                </pic:pic>
              </a:graphicData>
            </a:graphic>
          </wp:anchor>
        </w:drawing>
      </w:r>
    </w:p>
    <w:p>
      <w:pPr>
        <w:spacing w:after="0" w:line="140" w:lineRule="exact"/>
        <w:rPr>
          <w:sz w:val="20"/>
          <w:szCs w:val="20"/>
          <w:color w:val="auto"/>
        </w:rPr>
      </w:pPr>
    </w:p>
    <w:p>
      <w:pPr>
        <w:jc w:val="both"/>
        <w:ind w:left="260" w:hanging="256"/>
        <w:spacing w:after="0" w:line="260" w:lineRule="auto"/>
        <w:tabs>
          <w:tab w:leader="none" w:pos="26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number of shares remaining available for future issuance under equity compensation plans, excluding outstanding options, warrants, or similar rights, as of December 29, 2018, is as follows: 557,872 shares for our Employee Stock Purchase Plan, 273,230 shares for our Directors’ Retainer Stock Plan, and 7,942 shares for our Employee Stock Gift Program. In addition, of the remaining 2,004,994 shares available for future issuance under our Long-Term Stock Incentive Plan, those awards may be made in the form of options as well as stock appreciation rights, restricted stock, performance shares, or other stock-based awards.</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Item 13. Certain Relationships and Related Transactions, and Director Independence.</w:t>
      </w:r>
    </w:p>
    <w:p>
      <w:pPr>
        <w:spacing w:after="0" w:line="183" w:lineRule="exact"/>
        <w:rPr>
          <w:sz w:val="20"/>
          <w:szCs w:val="20"/>
          <w:color w:val="auto"/>
        </w:rPr>
      </w:pPr>
    </w:p>
    <w:p>
      <w:pPr>
        <w:spacing w:after="0" w:line="321" w:lineRule="auto"/>
        <w:rPr>
          <w:sz w:val="20"/>
          <w:szCs w:val="20"/>
          <w:color w:val="auto"/>
        </w:rPr>
      </w:pPr>
      <w:r>
        <w:rPr>
          <w:rFonts w:ascii="Arial" w:cs="Arial" w:eastAsia="Arial" w:hAnsi="Arial"/>
          <w:sz w:val="13"/>
          <w:szCs w:val="13"/>
          <w:color w:val="auto"/>
        </w:rPr>
        <w:t>Information relating to certain relationships and related transactions, and director independence is incorporated by reference from the 2019 Proxy Statement under the captions "Election of Directors", “Affirmative Determination Regarding Director Independence and Other Matters” and "Related Party Transactions."</w:t>
      </w:r>
    </w:p>
    <w:p>
      <w:pPr>
        <w:spacing w:after="0" w:line="106"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Item 14. Principal Accountant Fees and Services.</w:t>
      </w:r>
    </w:p>
    <w:p>
      <w:pPr>
        <w:spacing w:after="0" w:line="183" w:lineRule="exact"/>
        <w:rPr>
          <w:sz w:val="20"/>
          <w:szCs w:val="20"/>
          <w:color w:val="auto"/>
        </w:rPr>
      </w:pPr>
    </w:p>
    <w:p>
      <w:pPr>
        <w:spacing w:after="0" w:line="321" w:lineRule="auto"/>
        <w:rPr>
          <w:sz w:val="20"/>
          <w:szCs w:val="20"/>
          <w:color w:val="auto"/>
        </w:rPr>
      </w:pPr>
      <w:r>
        <w:rPr>
          <w:rFonts w:ascii="Arial" w:cs="Arial" w:eastAsia="Arial" w:hAnsi="Arial"/>
          <w:sz w:val="13"/>
          <w:szCs w:val="13"/>
          <w:color w:val="auto"/>
        </w:rPr>
        <w:t>Information relating to the types of services rendered by our Independent Registered Public Accounting Firm and the fees paid for these services is incorporated by reference from our 2019 Proxy Statement under the caption "Independent Registered Public Accounting Firm – Disclosure of Fees.”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PART IV</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Item 15. Exhibits, Financial Statement Schedules.</w:t>
      </w:r>
    </w:p>
    <w:p>
      <w:pPr>
        <w:spacing w:after="0" w:line="183" w:lineRule="exact"/>
        <w:rPr>
          <w:sz w:val="20"/>
          <w:szCs w:val="20"/>
          <w:color w:val="auto"/>
        </w:rPr>
      </w:pPr>
    </w:p>
    <w:p>
      <w:pPr>
        <w:ind w:left="520" w:hanging="516"/>
        <w:spacing w:after="0"/>
        <w:tabs>
          <w:tab w:leader="none" w:pos="520" w:val="left"/>
        </w:tabs>
        <w:numPr>
          <w:ilvl w:val="0"/>
          <w:numId w:val="8"/>
        </w:numPr>
        <w:rPr>
          <w:rFonts w:ascii="Arial" w:cs="Arial" w:eastAsia="Arial" w:hAnsi="Arial"/>
          <w:sz w:val="14"/>
          <w:szCs w:val="14"/>
          <w:color w:val="auto"/>
        </w:rPr>
      </w:pPr>
      <w:r>
        <w:rPr>
          <w:rFonts w:ascii="Arial" w:cs="Arial" w:eastAsia="Arial" w:hAnsi="Arial"/>
          <w:sz w:val="14"/>
          <w:szCs w:val="14"/>
          <w:u w:val="single" w:color="auto"/>
          <w:color w:val="auto"/>
        </w:rPr>
        <w:t>1.  Financial Statements</w:t>
      </w:r>
      <w:r>
        <w:rPr>
          <w:rFonts w:ascii="Arial" w:cs="Arial" w:eastAsia="Arial" w:hAnsi="Arial"/>
          <w:sz w:val="14"/>
          <w:szCs w:val="14"/>
          <w:color w:val="auto"/>
        </w:rPr>
        <w:t>. The following are incorporated by reference, under Item 8 of this report, from the 2018 Annual Report:</w:t>
      </w:r>
    </w:p>
    <w:p>
      <w:pPr>
        <w:spacing w:after="0" w:line="178" w:lineRule="exact"/>
        <w:rPr>
          <w:rFonts w:ascii="Arial" w:cs="Arial" w:eastAsia="Arial" w:hAnsi="Arial"/>
          <w:sz w:val="14"/>
          <w:szCs w:val="14"/>
          <w:color w:val="auto"/>
        </w:rPr>
      </w:pPr>
    </w:p>
    <w:p>
      <w:pPr>
        <w:ind w:left="520" w:right="4280"/>
        <w:spacing w:after="0" w:line="260" w:lineRule="auto"/>
        <w:rPr>
          <w:rFonts w:ascii="Arial" w:cs="Arial" w:eastAsia="Arial" w:hAnsi="Arial"/>
          <w:sz w:val="14"/>
          <w:szCs w:val="14"/>
          <w:color w:val="auto"/>
        </w:rPr>
      </w:pPr>
      <w:r>
        <w:rPr>
          <w:rFonts w:ascii="Arial" w:cs="Arial" w:eastAsia="Arial" w:hAnsi="Arial"/>
          <w:sz w:val="14"/>
          <w:szCs w:val="14"/>
          <w:color w:val="auto"/>
        </w:rPr>
        <w:t>Management’s Annual Report on Internal Control Over Financial Reporting Report of Independent Registered Public Accounting Firm</w:t>
      </w:r>
    </w:p>
    <w:p>
      <w:pPr>
        <w:spacing w:after="0" w:line="1" w:lineRule="exact"/>
        <w:rPr>
          <w:rFonts w:ascii="Arial" w:cs="Arial" w:eastAsia="Arial" w:hAnsi="Arial"/>
          <w:sz w:val="14"/>
          <w:szCs w:val="14"/>
          <w:color w:val="auto"/>
        </w:rPr>
      </w:pPr>
    </w:p>
    <w:p>
      <w:pPr>
        <w:ind w:left="520" w:right="4860"/>
        <w:spacing w:after="0" w:line="253" w:lineRule="auto"/>
        <w:rPr>
          <w:rFonts w:ascii="Arial" w:cs="Arial" w:eastAsia="Arial" w:hAnsi="Arial"/>
          <w:sz w:val="14"/>
          <w:szCs w:val="14"/>
          <w:color w:val="auto"/>
        </w:rPr>
      </w:pPr>
      <w:r>
        <w:rPr>
          <w:rFonts w:ascii="Arial" w:cs="Arial" w:eastAsia="Arial" w:hAnsi="Arial"/>
          <w:sz w:val="14"/>
          <w:szCs w:val="14"/>
          <w:color w:val="auto"/>
        </w:rPr>
        <w:t>Report of Independent Registered Public Accounting Firm Consolidated Statements of Earnings and Comprehensive Income Consolidated Statements of Shareholders’ Equity Consolidated Statements of Cash Flows</w:t>
      </w:r>
    </w:p>
    <w:p>
      <w:pPr>
        <w:ind w:left="520"/>
        <w:spacing w:after="0"/>
        <w:rPr>
          <w:rFonts w:ascii="Arial" w:cs="Arial" w:eastAsia="Arial" w:hAnsi="Arial"/>
          <w:sz w:val="14"/>
          <w:szCs w:val="14"/>
          <w:color w:val="auto"/>
        </w:rPr>
      </w:pPr>
      <w:r>
        <w:rPr>
          <w:rFonts w:ascii="Arial" w:cs="Arial" w:eastAsia="Arial" w:hAnsi="Arial"/>
          <w:sz w:val="14"/>
          <w:szCs w:val="14"/>
          <w:color w:val="auto"/>
        </w:rPr>
        <w:t>Notes to Consolidated Financial Statements</w:t>
      </w:r>
    </w:p>
    <w:p>
      <w:pPr>
        <w:spacing w:after="0" w:line="168" w:lineRule="exact"/>
        <w:rPr>
          <w:rFonts w:ascii="Arial" w:cs="Arial" w:eastAsia="Arial" w:hAnsi="Arial"/>
          <w:sz w:val="14"/>
          <w:szCs w:val="14"/>
          <w:color w:val="auto"/>
        </w:rPr>
      </w:pPr>
    </w:p>
    <w:p>
      <w:pPr>
        <w:ind w:left="520" w:right="180" w:hanging="6"/>
        <w:spacing w:after="0" w:line="174" w:lineRule="exact"/>
        <w:tabs>
          <w:tab w:leader="none" w:pos="768" w:val="left"/>
        </w:tabs>
        <w:numPr>
          <w:ilvl w:val="1"/>
          <w:numId w:val="8"/>
        </w:numPr>
        <w:rPr>
          <w:rFonts w:ascii="Arial" w:cs="Arial" w:eastAsia="Arial" w:hAnsi="Arial"/>
          <w:sz w:val="14"/>
          <w:szCs w:val="14"/>
          <w:u w:val="single" w:color="auto"/>
          <w:color w:val="auto"/>
        </w:rPr>
      </w:pPr>
      <w:r>
        <w:rPr>
          <w:rFonts w:ascii="Arial" w:cs="Arial" w:eastAsia="Arial" w:hAnsi="Arial"/>
          <w:sz w:val="14"/>
          <w:szCs w:val="14"/>
          <w:u w:val="single" w:color="auto"/>
          <w:color w:val="auto"/>
        </w:rPr>
        <w:t>Financial Statement Schedules</w:t>
      </w:r>
      <w:r>
        <w:rPr>
          <w:rFonts w:ascii="Arial" w:cs="Arial" w:eastAsia="Arial" w:hAnsi="Arial"/>
          <w:sz w:val="14"/>
          <w:szCs w:val="14"/>
          <w:color w:val="auto"/>
        </w:rPr>
        <w:t>. All schedules required by this Form 10</w:t>
      </w:r>
      <w:r>
        <w:rPr>
          <w:rFonts w:ascii="MS PGothic" w:cs="MS PGothic" w:eastAsia="MS PGothic" w:hAnsi="MS PGothic"/>
          <w:sz w:val="14"/>
          <w:szCs w:val="14"/>
          <w:color w:val="auto"/>
        </w:rPr>
        <w:t>‑</w:t>
      </w:r>
      <w:r>
        <w:rPr>
          <w:rFonts w:ascii="Arial" w:cs="Arial" w:eastAsia="Arial" w:hAnsi="Arial"/>
          <w:sz w:val="14"/>
          <w:szCs w:val="14"/>
          <w:color w:val="auto"/>
        </w:rPr>
        <w:t>K Report have been omitted because they were inapplicable, included in the Consolidated Financial Statements or Notes to Consolidated Financial Statements, or otherwise not required under instructions contained in Regulation S-X.</w:t>
      </w:r>
    </w:p>
    <w:p>
      <w:pPr>
        <w:spacing w:after="0" w:line="160" w:lineRule="exact"/>
        <w:rPr>
          <w:rFonts w:ascii="Arial" w:cs="Arial" w:eastAsia="Arial" w:hAnsi="Arial"/>
          <w:sz w:val="14"/>
          <w:szCs w:val="14"/>
          <w:u w:val="single" w:color="auto"/>
          <w:color w:val="auto"/>
        </w:rPr>
      </w:pPr>
    </w:p>
    <w:p>
      <w:pPr>
        <w:ind w:left="760" w:hanging="246"/>
        <w:spacing w:after="0" w:line="161" w:lineRule="exact"/>
        <w:tabs>
          <w:tab w:leader="none" w:pos="760" w:val="left"/>
        </w:tabs>
        <w:numPr>
          <w:ilvl w:val="1"/>
          <w:numId w:val="8"/>
        </w:numPr>
        <w:rPr>
          <w:rFonts w:ascii="Arial" w:cs="Arial" w:eastAsia="Arial" w:hAnsi="Arial"/>
          <w:sz w:val="14"/>
          <w:szCs w:val="14"/>
          <w:u w:val="single" w:color="auto"/>
          <w:color w:val="auto"/>
        </w:rPr>
      </w:pPr>
      <w:r>
        <w:rPr>
          <w:rFonts w:ascii="Arial" w:cs="Arial" w:eastAsia="Arial" w:hAnsi="Arial"/>
          <w:sz w:val="14"/>
          <w:szCs w:val="14"/>
          <w:u w:val="single" w:color="auto"/>
          <w:color w:val="auto"/>
        </w:rPr>
        <w:t>Exhibits</w:t>
      </w:r>
      <w:r>
        <w:rPr>
          <w:rFonts w:ascii="Arial" w:cs="Arial" w:eastAsia="Arial" w:hAnsi="Arial"/>
          <w:sz w:val="14"/>
          <w:szCs w:val="14"/>
          <w:color w:val="auto"/>
        </w:rPr>
        <w:t>. Reference is made to the Exhibit Index which is included in this Form 10</w:t>
      </w:r>
      <w:r>
        <w:rPr>
          <w:rFonts w:ascii="MS PGothic" w:cs="MS PGothic" w:eastAsia="MS PGothic" w:hAnsi="MS PGothic"/>
          <w:sz w:val="14"/>
          <w:szCs w:val="14"/>
          <w:color w:val="auto"/>
        </w:rPr>
        <w:t>‑</w:t>
      </w:r>
      <w:r>
        <w:rPr>
          <w:rFonts w:ascii="Arial" w:cs="Arial" w:eastAsia="Arial" w:hAnsi="Arial"/>
          <w:sz w:val="14"/>
          <w:szCs w:val="14"/>
          <w:color w:val="auto"/>
        </w:rPr>
        <w:t>K Report.</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66675</wp:posOffset>
            </wp:positionV>
            <wp:extent cx="5779135" cy="203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79135" cy="20320"/>
                    </a:xfrm>
                    <a:prstGeom prst="rect">
                      <a:avLst/>
                    </a:prstGeom>
                    <a:noFill/>
                  </pic:spPr>
                </pic:pic>
              </a:graphicData>
            </a:graphic>
          </wp:anchor>
        </w:drawing>
      </w:r>
    </w:p>
    <w:p>
      <w:pPr>
        <w:sectPr>
          <w:pgSz w:w="11900" w:h="16838" w:orient="portrait"/>
          <w:cols w:equalWidth="0" w:num="1">
            <w:col w:w="9100"/>
          </w:cols>
          <w:pgMar w:left="1400" w:top="129" w:right="1399" w:bottom="1440" w:gutter="0" w:footer="0" w:header="0"/>
        </w:sectPr>
      </w:pPr>
    </w:p>
    <w:bookmarkStart w:id="12" w:name="page13"/>
    <w:bookmarkEnd w:id="12"/>
    <w:p>
      <w:pPr>
        <w:ind w:left="516" w:hanging="516"/>
        <w:spacing w:after="0" w:line="150" w:lineRule="exact"/>
        <w:tabs>
          <w:tab w:leader="none" w:pos="516" w:val="left"/>
        </w:tabs>
        <w:numPr>
          <w:ilvl w:val="0"/>
          <w:numId w:val="9"/>
        </w:numPr>
        <w:rPr>
          <w:rFonts w:ascii="Arial" w:cs="Arial" w:eastAsia="Arial" w:hAnsi="Arial"/>
          <w:sz w:val="13"/>
          <w:szCs w:val="13"/>
          <w:color w:val="auto"/>
        </w:rPr>
      </w:pPr>
      <w:r>
        <w:rPr>
          <w:rFonts w:ascii="Arial" w:cs="Arial" w:eastAsia="Arial" w:hAnsi="Arial"/>
          <w:sz w:val="13"/>
          <w:szCs w:val="13"/>
          <w:color w:val="auto"/>
        </w:rPr>
        <w:t>Reference is made to the Exhibit Index which is included in this Form 10</w:t>
      </w:r>
      <w:r>
        <w:rPr>
          <w:rFonts w:ascii="MS PGothic" w:cs="MS PGothic" w:eastAsia="MS PGothic" w:hAnsi="MS PGothic"/>
          <w:sz w:val="13"/>
          <w:szCs w:val="13"/>
          <w:color w:val="auto"/>
        </w:rPr>
        <w:t>‑</w:t>
      </w:r>
      <w:r>
        <w:rPr>
          <w:rFonts w:ascii="Arial" w:cs="Arial" w:eastAsia="Arial" w:hAnsi="Arial"/>
          <w:sz w:val="13"/>
          <w:szCs w:val="13"/>
          <w:color w:val="auto"/>
        </w:rPr>
        <w:t>K Report.</w:t>
      </w:r>
    </w:p>
    <w:p>
      <w:pPr>
        <w:spacing w:after="0" w:line="190" w:lineRule="exact"/>
        <w:rPr>
          <w:rFonts w:ascii="Arial" w:cs="Arial" w:eastAsia="Arial" w:hAnsi="Arial"/>
          <w:sz w:val="13"/>
          <w:szCs w:val="13"/>
          <w:color w:val="auto"/>
        </w:rPr>
      </w:pPr>
    </w:p>
    <w:p>
      <w:pPr>
        <w:ind w:left="516" w:hanging="516"/>
        <w:spacing w:after="0"/>
        <w:tabs>
          <w:tab w:leader="none" w:pos="516" w:val="left"/>
        </w:tabs>
        <w:numPr>
          <w:ilvl w:val="0"/>
          <w:numId w:val="9"/>
        </w:numPr>
        <w:rPr>
          <w:rFonts w:ascii="Arial" w:cs="Arial" w:eastAsia="Arial" w:hAnsi="Arial"/>
          <w:sz w:val="14"/>
          <w:szCs w:val="14"/>
          <w:color w:val="auto"/>
        </w:rPr>
      </w:pPr>
      <w:r>
        <w:rPr>
          <w:rFonts w:ascii="Arial" w:cs="Arial" w:eastAsia="Arial" w:hAnsi="Arial"/>
          <w:sz w:val="14"/>
          <w:szCs w:val="14"/>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35"/>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66675</wp:posOffset>
            </wp:positionV>
            <wp:extent cx="5779135" cy="203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79135" cy="20320"/>
                    </a:xfrm>
                    <a:prstGeom prst="rect">
                      <a:avLst/>
                    </a:prstGeom>
                    <a:noFill/>
                  </pic:spPr>
                </pic:pic>
              </a:graphicData>
            </a:graphic>
          </wp:anchor>
        </w:drawing>
      </w:r>
    </w:p>
    <w:p>
      <w:pPr>
        <w:sectPr>
          <w:pgSz w:w="11900" w:h="16838" w:orient="portrait"/>
          <w:cols w:equalWidth="0" w:num="1">
            <w:col w:w="9055"/>
          </w:cols>
          <w:pgMar w:left="1404" w:top="129" w:right="1440" w:bottom="1440" w:gutter="0" w:footer="0" w:header="0"/>
        </w:sectPr>
      </w:pPr>
    </w:p>
    <w:bookmarkStart w:id="13" w:name="page14"/>
    <w:bookmarkEnd w:id="13"/>
    <w:p>
      <w:pPr>
        <w:jc w:val="center"/>
        <w:spacing w:after="0"/>
        <w:rPr>
          <w:sz w:val="20"/>
          <w:szCs w:val="20"/>
          <w:color w:val="auto"/>
        </w:rPr>
      </w:pPr>
      <w:r>
        <w:rPr>
          <w:rFonts w:ascii="Arial" w:cs="Arial" w:eastAsia="Arial" w:hAnsi="Arial"/>
          <w:sz w:val="14"/>
          <w:szCs w:val="14"/>
          <w:b w:val="1"/>
          <w:bCs w:val="1"/>
          <w:u w:val="single" w:color="auto"/>
          <w:color w:val="auto"/>
        </w:rPr>
        <w:t>EXHIBIT INDEX</w:t>
      </w:r>
    </w:p>
    <w:p>
      <w:pPr>
        <w:spacing w:after="0" w:line="183" w:lineRule="exact"/>
        <w:rPr>
          <w:sz w:val="20"/>
          <w:szCs w:val="20"/>
          <w:color w:val="auto"/>
        </w:rPr>
      </w:pPr>
    </w:p>
    <w:p>
      <w:pPr>
        <w:spacing w:after="0"/>
        <w:tabs>
          <w:tab w:leader="none" w:pos="920" w:val="left"/>
        </w:tabs>
        <w:rPr>
          <w:sz w:val="20"/>
          <w:szCs w:val="20"/>
          <w:color w:val="auto"/>
        </w:rPr>
      </w:pPr>
      <w:r>
        <w:rPr>
          <w:rFonts w:ascii="Arial" w:cs="Arial" w:eastAsia="Arial" w:hAnsi="Arial"/>
          <w:sz w:val="14"/>
          <w:szCs w:val="14"/>
          <w:color w:val="auto"/>
        </w:rPr>
        <w:t>Exhibit #</w:t>
      </w:r>
      <w:r>
        <w:rPr>
          <w:sz w:val="20"/>
          <w:szCs w:val="20"/>
          <w:color w:val="auto"/>
        </w:rPr>
        <w:tab/>
      </w:r>
      <w:r>
        <w:rPr>
          <w:rFonts w:ascii="Arial" w:cs="Arial" w:eastAsia="Arial" w:hAnsi="Arial"/>
          <w:sz w:val="13"/>
          <w:szCs w:val="13"/>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12700</wp:posOffset>
            </wp:positionV>
            <wp:extent cx="5772150" cy="69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72150" cy="6985"/>
                    </a:xfrm>
                    <a:prstGeom prst="rect">
                      <a:avLst/>
                    </a:prstGeom>
                    <a:noFill/>
                  </pic:spPr>
                </pic:pic>
              </a:graphicData>
            </a:graphic>
          </wp:anchor>
        </w:drawing>
      </w:r>
    </w:p>
    <w:p>
      <w:pPr>
        <w:spacing w:after="0" w:line="138" w:lineRule="exact"/>
        <w:rPr>
          <w:sz w:val="20"/>
          <w:szCs w:val="20"/>
          <w:color w:val="auto"/>
        </w:rPr>
      </w:pPr>
    </w:p>
    <w:p>
      <w:pPr>
        <w:ind w:left="940" w:hanging="931"/>
        <w:spacing w:after="0"/>
        <w:tabs>
          <w:tab w:leader="none" w:pos="9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Articles of Incorporation and Bylaws.</w:t>
      </w:r>
    </w:p>
    <w:p>
      <w:pPr>
        <w:spacing w:after="0" w:line="136" w:lineRule="exact"/>
        <w:rPr>
          <w:rFonts w:ascii="Arial" w:cs="Arial" w:eastAsia="Arial" w:hAnsi="Arial"/>
          <w:sz w:val="14"/>
          <w:szCs w:val="14"/>
          <w:color w:val="auto"/>
        </w:rPr>
      </w:pPr>
    </w:p>
    <w:p>
      <w:pPr>
        <w:ind w:left="1480" w:right="340" w:hanging="547"/>
        <w:spacing w:after="0" w:line="250" w:lineRule="auto"/>
        <w:tabs>
          <w:tab w:leader="none" w:pos="1480" w:val="left"/>
        </w:tabs>
        <w:numPr>
          <w:ilvl w:val="1"/>
          <w:numId w:val="10"/>
        </w:numPr>
        <w:rPr>
          <w:rFonts w:ascii="Arial" w:cs="Arial" w:eastAsia="Arial" w:hAnsi="Arial"/>
          <w:sz w:val="14"/>
          <w:szCs w:val="14"/>
          <w:color w:val="auto"/>
        </w:rPr>
      </w:pPr>
      <w:r>
        <w:rPr>
          <w:rFonts w:ascii="Arial" w:cs="Arial" w:eastAsia="Arial" w:hAnsi="Arial"/>
          <w:sz w:val="14"/>
          <w:szCs w:val="14"/>
          <w:color w:val="auto"/>
        </w:rPr>
        <w:t>Registrant’s Articles of Incorporation were filed as Exhibit 3(a) to a Registration Statement on Form S-1 (No. 33-69474) and the same is incorporated herein by reference.</w:t>
      </w:r>
    </w:p>
    <w:p>
      <w:pPr>
        <w:spacing w:after="0" w:line="110" w:lineRule="exact"/>
        <w:rPr>
          <w:rFonts w:ascii="Arial" w:cs="Arial" w:eastAsia="Arial" w:hAnsi="Arial"/>
          <w:sz w:val="14"/>
          <w:szCs w:val="14"/>
          <w:color w:val="auto"/>
        </w:rPr>
      </w:pPr>
    </w:p>
    <w:p>
      <w:pPr>
        <w:ind w:left="1480" w:right="120" w:hanging="547"/>
        <w:spacing w:after="0" w:line="250" w:lineRule="auto"/>
        <w:tabs>
          <w:tab w:leader="none" w:pos="1480" w:val="left"/>
        </w:tabs>
        <w:numPr>
          <w:ilvl w:val="1"/>
          <w:numId w:val="10"/>
        </w:numPr>
        <w:rPr>
          <w:rFonts w:ascii="Arial" w:cs="Arial" w:eastAsia="Arial" w:hAnsi="Arial"/>
          <w:sz w:val="14"/>
          <w:szCs w:val="14"/>
          <w:u w:val="single" w:color="auto"/>
          <w:color w:val="0000EE"/>
        </w:rPr>
      </w:pPr>
      <w:hyperlink r:id="rId27">
        <w:r>
          <w:rPr>
            <w:rFonts w:ascii="Arial" w:cs="Arial" w:eastAsia="Arial" w:hAnsi="Arial"/>
            <w:sz w:val="14"/>
            <w:szCs w:val="14"/>
            <w:u w:val="single" w:color="auto"/>
            <w:color w:val="0000EE"/>
          </w:rPr>
          <w:t>Amended Bylaws was filed as Exhibit 3(b) to a Form 10-K, Annual Report for the year-ended December 31, 2016 (Commission file</w:t>
        </w:r>
      </w:hyperlink>
      <w:r>
        <w:rPr>
          <w:rFonts w:ascii="Arial" w:cs="Arial" w:eastAsia="Arial" w:hAnsi="Arial"/>
          <w:sz w:val="14"/>
          <w:szCs w:val="14"/>
          <w:u w:val="single" w:color="auto"/>
          <w:color w:val="0000EE"/>
        </w:rPr>
        <w:t xml:space="preserve"> </w:t>
      </w:r>
      <w:hyperlink r:id="rId27">
        <w:r>
          <w:rPr>
            <w:rFonts w:ascii="Arial" w:cs="Arial" w:eastAsia="Arial" w:hAnsi="Arial"/>
            <w:sz w:val="14"/>
            <w:szCs w:val="14"/>
            <w:u w:val="single" w:color="auto"/>
            <w:color w:val="0000EE"/>
          </w:rPr>
          <w:t>No.: 0-22684) and the same incorporated herein by reference.</w:t>
        </w:r>
      </w:hyperlink>
    </w:p>
    <w:p>
      <w:pPr>
        <w:spacing w:after="0" w:line="111" w:lineRule="exact"/>
        <w:rPr>
          <w:rFonts w:ascii="Arial" w:cs="Arial" w:eastAsia="Arial" w:hAnsi="Arial"/>
          <w:sz w:val="14"/>
          <w:szCs w:val="14"/>
          <w:color w:val="auto"/>
        </w:rPr>
      </w:pPr>
    </w:p>
    <w:p>
      <w:pPr>
        <w:ind w:left="940" w:hanging="931"/>
        <w:spacing w:after="0"/>
        <w:tabs>
          <w:tab w:leader="none" w:pos="9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Instruments Defining the Rights of Security Holders.</w:t>
      </w:r>
    </w:p>
    <w:p>
      <w:pPr>
        <w:spacing w:after="0" w:line="136" w:lineRule="exact"/>
        <w:rPr>
          <w:rFonts w:ascii="Arial" w:cs="Arial" w:eastAsia="Arial" w:hAnsi="Arial"/>
          <w:sz w:val="14"/>
          <w:szCs w:val="14"/>
          <w:color w:val="auto"/>
        </w:rPr>
      </w:pPr>
    </w:p>
    <w:p>
      <w:pPr>
        <w:ind w:left="1480" w:right="220" w:hanging="547"/>
        <w:spacing w:after="0" w:line="250" w:lineRule="auto"/>
        <w:tabs>
          <w:tab w:leader="none" w:pos="1480" w:val="left"/>
        </w:tabs>
        <w:numPr>
          <w:ilvl w:val="1"/>
          <w:numId w:val="11"/>
        </w:numPr>
        <w:rPr>
          <w:rFonts w:ascii="Arial" w:cs="Arial" w:eastAsia="Arial" w:hAnsi="Arial"/>
          <w:sz w:val="14"/>
          <w:szCs w:val="14"/>
          <w:color w:val="auto"/>
        </w:rPr>
      </w:pPr>
      <w:r>
        <w:rPr>
          <w:rFonts w:ascii="Arial" w:cs="Arial" w:eastAsia="Arial" w:hAnsi="Arial"/>
          <w:sz w:val="14"/>
          <w:szCs w:val="14"/>
          <w:color w:val="auto"/>
        </w:rPr>
        <w:t>Specimen form of Stock Certificate for Common Stock was filed as Exhibit 4(a) to a Registration Statement on Form S-1 (No. 33-69474) and the same is incorporated herein by reference.</w:t>
      </w:r>
    </w:p>
    <w:p>
      <w:pPr>
        <w:spacing w:after="0" w:line="111" w:lineRule="exact"/>
        <w:rPr>
          <w:rFonts w:ascii="Arial" w:cs="Arial" w:eastAsia="Arial" w:hAnsi="Arial"/>
          <w:sz w:val="14"/>
          <w:szCs w:val="14"/>
          <w:color w:val="auto"/>
        </w:rPr>
      </w:pPr>
    </w:p>
    <w:tbl>
      <w:tblPr>
        <w:tblLayout w:type="fixed"/>
        <w:tblInd w:w="0" w:type="dxa"/>
        <w:tblCellMar>
          <w:top w:w="0" w:type="dxa"/>
          <w:left w:w="0" w:type="dxa"/>
          <w:bottom w:w="0" w:type="dxa"/>
          <w:right w:w="0" w:type="dxa"/>
        </w:tblCellMar>
      </w:tblPr>
      <w:tr>
        <w:trPr>
          <w:trHeight w:val="180"/>
        </w:trPr>
        <w:tc>
          <w:tcPr>
            <w:tcW w:w="540" w:type="dxa"/>
            <w:vAlign w:val="bottom"/>
          </w:tcPr>
          <w:p>
            <w:pPr>
              <w:jc w:val="right"/>
              <w:ind w:right="309"/>
              <w:spacing w:after="0"/>
              <w:rPr>
                <w:sz w:val="20"/>
                <w:szCs w:val="20"/>
                <w:color w:val="auto"/>
              </w:rPr>
            </w:pPr>
            <w:r>
              <w:rPr>
                <w:rFonts w:ascii="Arial" w:cs="Arial" w:eastAsia="Arial" w:hAnsi="Arial"/>
                <w:sz w:val="14"/>
                <w:szCs w:val="14"/>
                <w:color w:val="auto"/>
                <w:w w:val="89"/>
              </w:rPr>
              <w:t>10</w:t>
            </w:r>
          </w:p>
        </w:tc>
        <w:tc>
          <w:tcPr>
            <w:tcW w:w="8580" w:type="dxa"/>
            <w:vAlign w:val="bottom"/>
            <w:gridSpan w:val="19"/>
          </w:tcPr>
          <w:p>
            <w:pPr>
              <w:ind w:left="400"/>
              <w:spacing w:after="0"/>
              <w:rPr>
                <w:sz w:val="20"/>
                <w:szCs w:val="20"/>
                <w:color w:val="auto"/>
              </w:rPr>
            </w:pPr>
            <w:r>
              <w:rPr>
                <w:rFonts w:ascii="Arial" w:cs="Arial" w:eastAsia="Arial" w:hAnsi="Arial"/>
                <w:sz w:val="14"/>
                <w:szCs w:val="14"/>
                <w:color w:val="auto"/>
              </w:rPr>
              <w:t>Material Contracts.</w:t>
            </w:r>
          </w:p>
        </w:tc>
        <w:tc>
          <w:tcPr>
            <w:tcW w:w="0" w:type="dxa"/>
            <w:vAlign w:val="bottom"/>
          </w:tcPr>
          <w:p>
            <w:pPr>
              <w:spacing w:after="0"/>
              <w:rPr>
                <w:sz w:val="1"/>
                <w:szCs w:val="1"/>
                <w:color w:val="auto"/>
              </w:rPr>
            </w:pPr>
          </w:p>
        </w:tc>
      </w:tr>
      <w:tr>
        <w:trPr>
          <w:trHeight w:val="415"/>
        </w:trPr>
        <w:tc>
          <w:tcPr>
            <w:tcW w:w="540" w:type="dxa"/>
            <w:vAlign w:val="bottom"/>
          </w:tcPr>
          <w:p>
            <w:pPr>
              <w:spacing w:after="0"/>
              <w:rPr>
                <w:sz w:val="24"/>
                <w:szCs w:val="24"/>
                <w:color w:val="auto"/>
              </w:rPr>
            </w:pPr>
          </w:p>
        </w:tc>
        <w:tc>
          <w:tcPr>
            <w:tcW w:w="940" w:type="dxa"/>
            <w:vAlign w:val="bottom"/>
          </w:tcPr>
          <w:p>
            <w:pPr>
              <w:ind w:left="400"/>
              <w:spacing w:after="0"/>
              <w:rPr>
                <w:sz w:val="20"/>
                <w:szCs w:val="20"/>
                <w:color w:val="auto"/>
              </w:rPr>
            </w:pPr>
            <w:r>
              <w:rPr>
                <w:rFonts w:ascii="Arial" w:cs="Arial" w:eastAsia="Arial" w:hAnsi="Arial"/>
                <w:sz w:val="14"/>
                <w:szCs w:val="14"/>
                <w:color w:val="auto"/>
              </w:rPr>
              <w:t>*(a)(6)</w:t>
            </w:r>
          </w:p>
        </w:tc>
        <w:tc>
          <w:tcPr>
            <w:tcW w:w="7640" w:type="dxa"/>
            <w:vAlign w:val="bottom"/>
            <w:gridSpan w:val="18"/>
          </w:tcPr>
          <w:p>
            <w:pPr>
              <w:spacing w:after="0"/>
              <w:rPr>
                <w:rFonts w:ascii="Arial" w:cs="Arial" w:eastAsia="Arial" w:hAnsi="Arial"/>
                <w:sz w:val="14"/>
                <w:szCs w:val="14"/>
                <w:color w:val="0000EE"/>
                <w:w w:val="92"/>
              </w:rPr>
            </w:pPr>
            <w:hyperlink r:id="rId28">
              <w:r>
                <w:rPr>
                  <w:rFonts w:ascii="Arial" w:cs="Arial" w:eastAsia="Arial" w:hAnsi="Arial"/>
                  <w:sz w:val="14"/>
                  <w:szCs w:val="14"/>
                  <w:color w:val="0000EE"/>
                  <w:w w:val="92"/>
                </w:rPr>
                <w:t>Form of Conditional Share Grant Agreement utilized under the Company’s Long Term Stock Incentive Plan was filed as Exhibit 10(a)</w:t>
              </w:r>
            </w:hyperlink>
          </w:p>
        </w:tc>
        <w:tc>
          <w:tcPr>
            <w:tcW w:w="0" w:type="dxa"/>
            <w:vAlign w:val="bottom"/>
          </w:tcPr>
          <w:p>
            <w:pPr>
              <w:spacing w:after="0"/>
              <w:rPr>
                <w:sz w:val="1"/>
                <w:szCs w:val="1"/>
                <w:color w:val="auto"/>
              </w:rPr>
            </w:pPr>
          </w:p>
        </w:tc>
      </w:tr>
      <w:tr>
        <w:trPr>
          <w:trHeight w:val="129"/>
        </w:trPr>
        <w:tc>
          <w:tcPr>
            <w:tcW w:w="5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620" w:type="dxa"/>
            <w:vAlign w:val="bottom"/>
            <w:tcBorders>
              <w:top w:val="single" w:sz="8" w:color="0000EE"/>
            </w:tcBorders>
            <w:gridSpan w:val="17"/>
          </w:tcPr>
          <w:p>
            <w:pPr>
              <w:spacing w:after="0" w:line="129" w:lineRule="exact"/>
              <w:rPr>
                <w:rFonts w:ascii="Arial" w:cs="Arial" w:eastAsia="Arial" w:hAnsi="Arial"/>
                <w:sz w:val="14"/>
                <w:szCs w:val="14"/>
                <w:color w:val="0000EE"/>
              </w:rPr>
            </w:pPr>
            <w:hyperlink r:id="rId28">
              <w:r>
                <w:rPr>
                  <w:rFonts w:ascii="Arial" w:cs="Arial" w:eastAsia="Arial" w:hAnsi="Arial"/>
                  <w:sz w:val="14"/>
                  <w:szCs w:val="14"/>
                  <w:color w:val="0000EE"/>
                </w:rPr>
                <w:t>(6) to a Form 10</w:t>
              </w:r>
              <w:r>
                <w:rPr>
                  <w:rFonts w:ascii="MS PGothic" w:cs="MS PGothic" w:eastAsia="MS PGothic" w:hAnsi="MS PGothic"/>
                  <w:sz w:val="14"/>
                  <w:szCs w:val="14"/>
                  <w:color w:val="0000EE"/>
                </w:rPr>
                <w:t>‑</w:t>
              </w:r>
              <w:r>
                <w:rPr>
                  <w:rFonts w:ascii="Arial" w:cs="Arial" w:eastAsia="Arial" w:hAnsi="Arial"/>
                  <w:sz w:val="14"/>
                  <w:szCs w:val="14"/>
                  <w:color w:val="0000EE"/>
                </w:rPr>
                <w:t>K, Annual Report for the year ended December 25, 2010 (Commission file No.: 0-22684) and the same is</w:t>
              </w:r>
            </w:hyperlink>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5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960" w:type="dxa"/>
            <w:vAlign w:val="bottom"/>
            <w:tcBorders>
              <w:top w:val="single" w:sz="8" w:color="0000EE"/>
            </w:tcBorders>
            <w:gridSpan w:val="10"/>
          </w:tcPr>
          <w:p>
            <w:pPr>
              <w:spacing w:after="0" w:line="129" w:lineRule="exact"/>
              <w:rPr>
                <w:rFonts w:ascii="Arial" w:cs="Arial" w:eastAsia="Arial" w:hAnsi="Arial"/>
                <w:sz w:val="14"/>
                <w:szCs w:val="14"/>
                <w:color w:val="0000EE"/>
              </w:rPr>
            </w:pPr>
            <w:hyperlink r:id="rId28">
              <w:r>
                <w:rPr>
                  <w:rFonts w:ascii="Arial" w:cs="Arial" w:eastAsia="Arial" w:hAnsi="Arial"/>
                  <w:sz w:val="14"/>
                  <w:szCs w:val="14"/>
                  <w:color w:val="0000EE"/>
                </w:rPr>
                <w:t>incorporated herein by reference</w:t>
              </w:r>
              <w:r>
                <w:rPr>
                  <w:rFonts w:ascii="Arial" w:cs="Arial" w:eastAsia="Arial" w:hAnsi="Arial"/>
                  <w:sz w:val="14"/>
                  <w:szCs w:val="14"/>
                  <w:color w:val="000000"/>
                </w:rPr>
                <w:t>.</w:t>
              </w:r>
            </w:hyperlink>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40" w:type="dxa"/>
            <w:vAlign w:val="bottom"/>
          </w:tcPr>
          <w:p>
            <w:pPr>
              <w:spacing w:after="0"/>
              <w:rPr>
                <w:sz w:val="24"/>
                <w:szCs w:val="24"/>
                <w:color w:val="auto"/>
              </w:rPr>
            </w:pPr>
          </w:p>
        </w:tc>
        <w:tc>
          <w:tcPr>
            <w:tcW w:w="940" w:type="dxa"/>
            <w:vAlign w:val="bottom"/>
          </w:tcPr>
          <w:p>
            <w:pPr>
              <w:ind w:left="400"/>
              <w:spacing w:after="0"/>
              <w:rPr>
                <w:sz w:val="20"/>
                <w:szCs w:val="20"/>
                <w:color w:val="auto"/>
              </w:rPr>
            </w:pPr>
            <w:r>
              <w:rPr>
                <w:rFonts w:ascii="Arial" w:cs="Arial" w:eastAsia="Arial" w:hAnsi="Arial"/>
                <w:sz w:val="14"/>
                <w:szCs w:val="14"/>
                <w:color w:val="auto"/>
              </w:rPr>
              <w:t>(b)</w:t>
            </w:r>
          </w:p>
        </w:tc>
        <w:tc>
          <w:tcPr>
            <w:tcW w:w="7640" w:type="dxa"/>
            <w:vAlign w:val="bottom"/>
            <w:gridSpan w:val="18"/>
          </w:tcPr>
          <w:p>
            <w:pPr>
              <w:spacing w:after="0"/>
              <w:rPr>
                <w:sz w:val="20"/>
                <w:szCs w:val="20"/>
                <w:color w:val="auto"/>
              </w:rPr>
            </w:pPr>
            <w:r>
              <w:rPr>
                <w:rFonts w:ascii="Arial" w:cs="Arial" w:eastAsia="Arial" w:hAnsi="Arial"/>
                <w:sz w:val="14"/>
                <w:szCs w:val="14"/>
                <w:color w:val="auto"/>
              </w:rPr>
              <w:t>Form of Indemnity Agreement entered into between the Registrant and each of its directors was filed as Exhibit 10(b) to a</w:t>
            </w:r>
          </w:p>
        </w:tc>
        <w:tc>
          <w:tcPr>
            <w:tcW w:w="0" w:type="dxa"/>
            <w:vAlign w:val="bottom"/>
          </w:tcPr>
          <w:p>
            <w:pPr>
              <w:spacing w:after="0"/>
              <w:rPr>
                <w:sz w:val="1"/>
                <w:szCs w:val="1"/>
                <w:color w:val="auto"/>
              </w:rPr>
            </w:pPr>
          </w:p>
        </w:tc>
      </w:tr>
      <w:tr>
        <w:trPr>
          <w:trHeight w:val="180"/>
        </w:trPr>
        <w:tc>
          <w:tcPr>
            <w:tcW w:w="5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640" w:type="dxa"/>
            <w:vAlign w:val="bottom"/>
            <w:gridSpan w:val="18"/>
          </w:tcPr>
          <w:p>
            <w:pPr>
              <w:spacing w:after="0"/>
              <w:rPr>
                <w:sz w:val="20"/>
                <w:szCs w:val="20"/>
                <w:color w:val="auto"/>
              </w:rPr>
            </w:pPr>
            <w:r>
              <w:rPr>
                <w:rFonts w:ascii="Arial" w:cs="Arial" w:eastAsia="Arial" w:hAnsi="Arial"/>
                <w:sz w:val="14"/>
                <w:szCs w:val="14"/>
                <w:color w:val="auto"/>
              </w:rPr>
              <w:t>Registration Statement on Form S-1 (No. 33-69474) and the same is incorporated herein by reference.</w:t>
            </w:r>
          </w:p>
        </w:tc>
        <w:tc>
          <w:tcPr>
            <w:tcW w:w="0" w:type="dxa"/>
            <w:vAlign w:val="bottom"/>
          </w:tcPr>
          <w:p>
            <w:pPr>
              <w:spacing w:after="0"/>
              <w:rPr>
                <w:sz w:val="1"/>
                <w:szCs w:val="1"/>
                <w:color w:val="auto"/>
              </w:rPr>
            </w:pPr>
          </w:p>
        </w:tc>
      </w:tr>
      <w:tr>
        <w:trPr>
          <w:trHeight w:val="266"/>
        </w:trPr>
        <w:tc>
          <w:tcPr>
            <w:tcW w:w="540" w:type="dxa"/>
            <w:vAlign w:val="bottom"/>
          </w:tcPr>
          <w:p>
            <w:pPr>
              <w:spacing w:after="0"/>
              <w:rPr>
                <w:sz w:val="23"/>
                <w:szCs w:val="23"/>
                <w:color w:val="auto"/>
              </w:rPr>
            </w:pPr>
          </w:p>
        </w:tc>
        <w:tc>
          <w:tcPr>
            <w:tcW w:w="940" w:type="dxa"/>
            <w:vAlign w:val="bottom"/>
          </w:tcPr>
          <w:p>
            <w:pPr>
              <w:ind w:left="400"/>
              <w:spacing w:after="0"/>
              <w:rPr>
                <w:sz w:val="20"/>
                <w:szCs w:val="20"/>
                <w:color w:val="auto"/>
              </w:rPr>
            </w:pPr>
            <w:r>
              <w:rPr>
                <w:rFonts w:ascii="Arial" w:cs="Arial" w:eastAsia="Arial" w:hAnsi="Arial"/>
                <w:sz w:val="14"/>
                <w:szCs w:val="14"/>
                <w:color w:val="auto"/>
              </w:rPr>
              <w:t>*(f)</w:t>
            </w:r>
          </w:p>
        </w:tc>
        <w:tc>
          <w:tcPr>
            <w:tcW w:w="7640" w:type="dxa"/>
            <w:vAlign w:val="bottom"/>
            <w:gridSpan w:val="18"/>
          </w:tcPr>
          <w:p>
            <w:pPr>
              <w:spacing w:after="0" w:line="161" w:lineRule="exact"/>
              <w:rPr>
                <w:rFonts w:ascii="Arial" w:cs="Arial" w:eastAsia="Arial" w:hAnsi="Arial"/>
                <w:sz w:val="14"/>
                <w:szCs w:val="14"/>
                <w:color w:val="0000EE"/>
                <w:w w:val="96"/>
              </w:rPr>
            </w:pPr>
            <w:hyperlink r:id="rId29">
              <w:r>
                <w:rPr>
                  <w:rFonts w:ascii="Arial" w:cs="Arial" w:eastAsia="Arial" w:hAnsi="Arial"/>
                  <w:sz w:val="14"/>
                  <w:szCs w:val="14"/>
                  <w:color w:val="0000EE"/>
                  <w:w w:val="96"/>
                </w:rPr>
                <w:t>Performance Bonus Plan Summary Plan Description was filed as Exhibit 10(f) to a Form 10</w:t>
              </w:r>
              <w:r>
                <w:rPr>
                  <w:rFonts w:ascii="MS PGothic" w:cs="MS PGothic" w:eastAsia="MS PGothic" w:hAnsi="MS PGothic"/>
                  <w:sz w:val="14"/>
                  <w:szCs w:val="14"/>
                  <w:color w:val="0000EE"/>
                  <w:w w:val="96"/>
                </w:rPr>
                <w:t>‑</w:t>
              </w:r>
              <w:r>
                <w:rPr>
                  <w:rFonts w:ascii="Arial" w:cs="Arial" w:eastAsia="Arial" w:hAnsi="Arial"/>
                  <w:sz w:val="14"/>
                  <w:szCs w:val="14"/>
                  <w:color w:val="0000EE"/>
                  <w:w w:val="96"/>
                </w:rPr>
                <w:t>K, Annual Report for the year ended</w:t>
              </w:r>
            </w:hyperlink>
          </w:p>
        </w:tc>
        <w:tc>
          <w:tcPr>
            <w:tcW w:w="0" w:type="dxa"/>
            <w:vAlign w:val="bottom"/>
          </w:tcPr>
          <w:p>
            <w:pPr>
              <w:spacing w:after="0"/>
              <w:rPr>
                <w:sz w:val="1"/>
                <w:szCs w:val="1"/>
                <w:color w:val="auto"/>
              </w:rPr>
            </w:pPr>
          </w:p>
        </w:tc>
      </w:tr>
      <w:tr>
        <w:trPr>
          <w:trHeight w:val="129"/>
        </w:trPr>
        <w:tc>
          <w:tcPr>
            <w:tcW w:w="5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800" w:type="dxa"/>
            <w:vAlign w:val="bottom"/>
            <w:tcBorders>
              <w:top w:val="single" w:sz="8" w:color="0000EE"/>
              <w:bottom w:val="single" w:sz="8" w:color="0000EE"/>
            </w:tcBorders>
            <w:gridSpan w:val="7"/>
          </w:tcPr>
          <w:p>
            <w:pPr>
              <w:spacing w:after="0" w:line="129" w:lineRule="exact"/>
              <w:rPr>
                <w:rFonts w:ascii="Arial" w:cs="Arial" w:eastAsia="Arial" w:hAnsi="Arial"/>
                <w:sz w:val="14"/>
                <w:szCs w:val="14"/>
                <w:color w:val="0000EE"/>
                <w:w w:val="91"/>
              </w:rPr>
            </w:pPr>
            <w:hyperlink r:id="rId29">
              <w:r>
                <w:rPr>
                  <w:rFonts w:ascii="Arial" w:cs="Arial" w:eastAsia="Arial" w:hAnsi="Arial"/>
                  <w:sz w:val="14"/>
                  <w:szCs w:val="14"/>
                  <w:color w:val="0000EE"/>
                  <w:w w:val="91"/>
                </w:rPr>
                <w:t>December 25, 2010 (Commission file No.: 0-22684) and the same is incorporated herein by reference.</w:t>
              </w:r>
            </w:hyperlink>
          </w:p>
        </w:tc>
        <w:tc>
          <w:tcPr>
            <w:tcW w:w="1540" w:type="dxa"/>
            <w:vAlign w:val="bottom"/>
            <w:tcBorders>
              <w:top w:val="single" w:sz="8" w:color="0000EE"/>
            </w:tcBorders>
            <w:gridSpan w:val="6"/>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277"/>
        </w:trPr>
        <w:tc>
          <w:tcPr>
            <w:tcW w:w="540" w:type="dxa"/>
            <w:vAlign w:val="bottom"/>
          </w:tcPr>
          <w:p>
            <w:pPr>
              <w:spacing w:after="0"/>
              <w:rPr>
                <w:sz w:val="24"/>
                <w:szCs w:val="24"/>
                <w:color w:val="auto"/>
              </w:rPr>
            </w:pPr>
          </w:p>
        </w:tc>
        <w:tc>
          <w:tcPr>
            <w:tcW w:w="940" w:type="dxa"/>
            <w:vAlign w:val="bottom"/>
          </w:tcPr>
          <w:p>
            <w:pPr>
              <w:ind w:left="400"/>
              <w:spacing w:after="0"/>
              <w:rPr>
                <w:sz w:val="20"/>
                <w:szCs w:val="20"/>
                <w:color w:val="auto"/>
              </w:rPr>
            </w:pPr>
            <w:r>
              <w:rPr>
                <w:rFonts w:ascii="Arial" w:cs="Arial" w:eastAsia="Arial" w:hAnsi="Arial"/>
                <w:sz w:val="14"/>
                <w:szCs w:val="14"/>
                <w:color w:val="auto"/>
              </w:rPr>
              <w:t>*(g)</w:t>
            </w:r>
          </w:p>
        </w:tc>
        <w:tc>
          <w:tcPr>
            <w:tcW w:w="7640" w:type="dxa"/>
            <w:vAlign w:val="bottom"/>
            <w:gridSpan w:val="18"/>
          </w:tcPr>
          <w:p>
            <w:pPr>
              <w:spacing w:after="0"/>
              <w:rPr>
                <w:rFonts w:ascii="Arial" w:cs="Arial" w:eastAsia="Arial" w:hAnsi="Arial"/>
                <w:sz w:val="14"/>
                <w:szCs w:val="14"/>
                <w:color w:val="0000EE"/>
              </w:rPr>
            </w:pPr>
            <w:hyperlink r:id="rId30">
              <w:r>
                <w:rPr>
                  <w:rFonts w:ascii="Arial" w:cs="Arial" w:eastAsia="Arial" w:hAnsi="Arial"/>
                  <w:sz w:val="14"/>
                  <w:szCs w:val="14"/>
                  <w:color w:val="0000EE"/>
                </w:rPr>
                <w:t>Universal Forest Products, Inc. Deferred Compensation Plan as amended and restated effective June 1, 2011 was filed as</w:t>
              </w:r>
            </w:hyperlink>
          </w:p>
        </w:tc>
        <w:tc>
          <w:tcPr>
            <w:tcW w:w="0" w:type="dxa"/>
            <w:vAlign w:val="bottom"/>
          </w:tcPr>
          <w:p>
            <w:pPr>
              <w:spacing w:after="0"/>
              <w:rPr>
                <w:sz w:val="1"/>
                <w:szCs w:val="1"/>
                <w:color w:val="auto"/>
              </w:rPr>
            </w:pPr>
          </w:p>
        </w:tc>
      </w:tr>
      <w:tr>
        <w:trPr>
          <w:trHeight w:val="129"/>
        </w:trPr>
        <w:tc>
          <w:tcPr>
            <w:tcW w:w="5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840" w:type="dxa"/>
            <w:vAlign w:val="bottom"/>
            <w:tcBorders>
              <w:top w:val="single" w:sz="8" w:color="0000EE"/>
            </w:tcBorders>
            <w:gridSpan w:val="9"/>
          </w:tcPr>
          <w:p>
            <w:pPr>
              <w:spacing w:after="0" w:line="129" w:lineRule="exact"/>
              <w:rPr>
                <w:rFonts w:ascii="Arial" w:cs="Arial" w:eastAsia="Arial" w:hAnsi="Arial"/>
                <w:sz w:val="14"/>
                <w:szCs w:val="14"/>
                <w:color w:val="0000EE"/>
                <w:w w:val="92"/>
              </w:rPr>
            </w:pPr>
            <w:hyperlink r:id="rId30">
              <w:r>
                <w:rPr>
                  <w:rFonts w:ascii="Arial" w:cs="Arial" w:eastAsia="Arial" w:hAnsi="Arial"/>
                  <w:sz w:val="14"/>
                  <w:szCs w:val="14"/>
                  <w:color w:val="0000EE"/>
                  <w:w w:val="92"/>
                </w:rPr>
                <w:t>Exhibit 10(g) to a Form 10</w:t>
              </w:r>
              <w:r>
                <w:rPr>
                  <w:rFonts w:ascii="MS PGothic" w:cs="MS PGothic" w:eastAsia="MS PGothic" w:hAnsi="MS PGothic"/>
                  <w:sz w:val="14"/>
                  <w:szCs w:val="14"/>
                  <w:color w:val="0000EE"/>
                  <w:w w:val="92"/>
                </w:rPr>
                <w:t>‑</w:t>
              </w:r>
              <w:r>
                <w:rPr>
                  <w:rFonts w:ascii="Arial" w:cs="Arial" w:eastAsia="Arial" w:hAnsi="Arial"/>
                  <w:sz w:val="14"/>
                  <w:szCs w:val="14"/>
                  <w:color w:val="0000EE"/>
                  <w:w w:val="92"/>
                </w:rPr>
                <w:t>K, Annual Report for the year ended December 31, 2011 (Commission file No.: 0-22684) and</w:t>
              </w:r>
            </w:hyperlink>
          </w:p>
        </w:tc>
        <w:tc>
          <w:tcPr>
            <w:tcW w:w="800" w:type="dxa"/>
            <w:vAlign w:val="bottom"/>
            <w:gridSpan w:val="9"/>
          </w:tcPr>
          <w:p>
            <w:pPr>
              <w:ind w:left="80"/>
              <w:spacing w:after="0" w:line="129" w:lineRule="exact"/>
              <w:rPr>
                <w:rFonts w:ascii="Arial" w:cs="Arial" w:eastAsia="Arial" w:hAnsi="Arial"/>
                <w:sz w:val="14"/>
                <w:szCs w:val="14"/>
                <w:color w:val="0000EE"/>
                <w:w w:val="97"/>
              </w:rPr>
            </w:pPr>
            <w:hyperlink r:id="rId30">
              <w:r>
                <w:rPr>
                  <w:rFonts w:ascii="Arial" w:cs="Arial" w:eastAsia="Arial" w:hAnsi="Arial"/>
                  <w:sz w:val="14"/>
                  <w:szCs w:val="14"/>
                  <w:color w:val="0000EE"/>
                  <w:w w:val="97"/>
                </w:rPr>
                <w:t>the same is</w:t>
              </w:r>
            </w:hyperlink>
          </w:p>
        </w:tc>
        <w:tc>
          <w:tcPr>
            <w:tcW w:w="0" w:type="dxa"/>
            <w:vAlign w:val="bottom"/>
          </w:tcPr>
          <w:p>
            <w:pPr>
              <w:spacing w:after="0"/>
              <w:rPr>
                <w:sz w:val="1"/>
                <w:szCs w:val="1"/>
                <w:color w:val="auto"/>
              </w:rPr>
            </w:pPr>
          </w:p>
        </w:tc>
      </w:tr>
      <w:tr>
        <w:trPr>
          <w:trHeight w:val="129"/>
        </w:trPr>
        <w:tc>
          <w:tcPr>
            <w:tcW w:w="5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560" w:type="dxa"/>
            <w:vAlign w:val="bottom"/>
            <w:tcBorders>
              <w:top w:val="single" w:sz="8" w:color="0000EE"/>
            </w:tcBorders>
            <w:gridSpan w:val="16"/>
          </w:tcPr>
          <w:p>
            <w:pPr>
              <w:spacing w:after="0" w:line="129" w:lineRule="exact"/>
              <w:rPr>
                <w:rFonts w:ascii="Arial" w:cs="Arial" w:eastAsia="Arial" w:hAnsi="Arial"/>
                <w:sz w:val="14"/>
                <w:szCs w:val="14"/>
                <w:color w:val="0000EE"/>
              </w:rPr>
            </w:pPr>
            <w:hyperlink r:id="rId30">
              <w:r>
                <w:rPr>
                  <w:rFonts w:ascii="Arial" w:cs="Arial" w:eastAsia="Arial" w:hAnsi="Arial"/>
                  <w:sz w:val="14"/>
                  <w:szCs w:val="14"/>
                  <w:color w:val="0000EE"/>
                </w:rPr>
                <w:t>incorporated herein by reference.</w:t>
              </w:r>
            </w:hyperlink>
          </w:p>
        </w:tc>
        <w:tc>
          <w:tcPr>
            <w:tcW w:w="8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80" w:type="dxa"/>
            <w:vAlign w:val="bottom"/>
            <w:gridSpan w:val="2"/>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40" w:type="dxa"/>
            <w:vAlign w:val="bottom"/>
          </w:tcPr>
          <w:p>
            <w:pPr>
              <w:spacing w:after="0"/>
              <w:rPr>
                <w:sz w:val="24"/>
                <w:szCs w:val="24"/>
                <w:color w:val="auto"/>
              </w:rPr>
            </w:pPr>
          </w:p>
        </w:tc>
        <w:tc>
          <w:tcPr>
            <w:tcW w:w="940" w:type="dxa"/>
            <w:vAlign w:val="bottom"/>
          </w:tcPr>
          <w:p>
            <w:pPr>
              <w:ind w:left="400"/>
              <w:spacing w:after="0"/>
              <w:rPr>
                <w:sz w:val="20"/>
                <w:szCs w:val="20"/>
                <w:color w:val="auto"/>
              </w:rPr>
            </w:pPr>
            <w:r>
              <w:rPr>
                <w:rFonts w:ascii="Arial" w:cs="Arial" w:eastAsia="Arial" w:hAnsi="Arial"/>
                <w:sz w:val="14"/>
                <w:szCs w:val="14"/>
                <w:color w:val="auto"/>
              </w:rPr>
              <w:t>*(h)</w:t>
            </w:r>
          </w:p>
        </w:tc>
        <w:tc>
          <w:tcPr>
            <w:tcW w:w="7640" w:type="dxa"/>
            <w:vAlign w:val="bottom"/>
            <w:gridSpan w:val="18"/>
          </w:tcPr>
          <w:p>
            <w:pPr>
              <w:spacing w:after="0" w:line="161" w:lineRule="exact"/>
              <w:rPr>
                <w:rFonts w:ascii="Arial" w:cs="Arial" w:eastAsia="Arial" w:hAnsi="Arial"/>
                <w:sz w:val="14"/>
                <w:szCs w:val="14"/>
                <w:color w:val="0000EE"/>
                <w:w w:val="95"/>
              </w:rPr>
            </w:pPr>
            <w:hyperlink r:id="rId31">
              <w:r>
                <w:rPr>
                  <w:rFonts w:ascii="Arial" w:cs="Arial" w:eastAsia="Arial" w:hAnsi="Arial"/>
                  <w:sz w:val="14"/>
                  <w:szCs w:val="14"/>
                  <w:color w:val="0000EE"/>
                  <w:w w:val="95"/>
                </w:rPr>
                <w:t>Executive Stock Grant Program was filed as Exhibit 10(h) to a Form 10</w:t>
              </w:r>
              <w:r>
                <w:rPr>
                  <w:rFonts w:ascii="MS PGothic" w:cs="MS PGothic" w:eastAsia="MS PGothic" w:hAnsi="MS PGothic"/>
                  <w:sz w:val="14"/>
                  <w:szCs w:val="14"/>
                  <w:color w:val="0000EE"/>
                  <w:w w:val="95"/>
                </w:rPr>
                <w:t>‑</w:t>
              </w:r>
              <w:r>
                <w:rPr>
                  <w:rFonts w:ascii="Arial" w:cs="Arial" w:eastAsia="Arial" w:hAnsi="Arial"/>
                  <w:sz w:val="14"/>
                  <w:szCs w:val="14"/>
                  <w:color w:val="0000EE"/>
                  <w:w w:val="95"/>
                </w:rPr>
                <w:t>K, Annual Report for the year ended December 31, 2011</w:t>
              </w:r>
            </w:hyperlink>
          </w:p>
        </w:tc>
        <w:tc>
          <w:tcPr>
            <w:tcW w:w="0" w:type="dxa"/>
            <w:vAlign w:val="bottom"/>
          </w:tcPr>
          <w:p>
            <w:pPr>
              <w:spacing w:after="0"/>
              <w:rPr>
                <w:sz w:val="1"/>
                <w:szCs w:val="1"/>
                <w:color w:val="auto"/>
              </w:rPr>
            </w:pPr>
          </w:p>
        </w:tc>
      </w:tr>
      <w:tr>
        <w:trPr>
          <w:trHeight w:val="129"/>
        </w:trPr>
        <w:tc>
          <w:tcPr>
            <w:tcW w:w="5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320" w:type="dxa"/>
            <w:vAlign w:val="bottom"/>
            <w:tcBorders>
              <w:top w:val="single" w:sz="8" w:color="0000EE"/>
            </w:tcBorders>
            <w:gridSpan w:val="12"/>
          </w:tcPr>
          <w:p>
            <w:pPr>
              <w:spacing w:after="0" w:line="129" w:lineRule="exact"/>
              <w:rPr>
                <w:rFonts w:ascii="Arial" w:cs="Arial" w:eastAsia="Arial" w:hAnsi="Arial"/>
                <w:sz w:val="14"/>
                <w:szCs w:val="14"/>
                <w:color w:val="0000EE"/>
              </w:rPr>
            </w:pPr>
            <w:hyperlink r:id="rId31">
              <w:r>
                <w:rPr>
                  <w:rFonts w:ascii="Arial" w:cs="Arial" w:eastAsia="Arial" w:hAnsi="Arial"/>
                  <w:sz w:val="14"/>
                  <w:szCs w:val="14"/>
                  <w:color w:val="0000EE"/>
                </w:rPr>
                <w:t>(Commission file No.: 0-22684) and the same is incorporated herein by reference.</w:t>
              </w:r>
            </w:hyperlink>
          </w:p>
        </w:tc>
        <w:tc>
          <w:tcPr>
            <w:tcW w:w="60" w:type="dxa"/>
            <w:vAlign w:val="bottom"/>
            <w:gridSpan w:val="2"/>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gridSpan w:val="3"/>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540" w:type="dxa"/>
            <w:vAlign w:val="bottom"/>
            <w:gridSpan w:val="3"/>
            <w:shd w:val="clear" w:color="auto" w:fill="0000EE"/>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40" w:type="dxa"/>
            <w:vAlign w:val="bottom"/>
          </w:tcPr>
          <w:p>
            <w:pPr>
              <w:spacing w:after="0"/>
              <w:rPr>
                <w:sz w:val="24"/>
                <w:szCs w:val="24"/>
                <w:color w:val="auto"/>
              </w:rPr>
            </w:pPr>
          </w:p>
        </w:tc>
        <w:tc>
          <w:tcPr>
            <w:tcW w:w="940" w:type="dxa"/>
            <w:vAlign w:val="bottom"/>
          </w:tcPr>
          <w:p>
            <w:pPr>
              <w:ind w:left="400"/>
              <w:spacing w:after="0"/>
              <w:rPr>
                <w:sz w:val="20"/>
                <w:szCs w:val="20"/>
                <w:color w:val="auto"/>
              </w:rPr>
            </w:pPr>
            <w:r>
              <w:rPr>
                <w:rFonts w:ascii="Arial" w:cs="Arial" w:eastAsia="Arial" w:hAnsi="Arial"/>
                <w:sz w:val="14"/>
                <w:szCs w:val="14"/>
                <w:color w:val="auto"/>
              </w:rPr>
              <w:t>(i)(2)</w:t>
            </w:r>
          </w:p>
        </w:tc>
        <w:tc>
          <w:tcPr>
            <w:tcW w:w="7640" w:type="dxa"/>
            <w:vAlign w:val="bottom"/>
            <w:gridSpan w:val="18"/>
          </w:tcPr>
          <w:p>
            <w:pPr>
              <w:spacing w:after="0" w:line="161" w:lineRule="exact"/>
              <w:rPr>
                <w:rFonts w:ascii="Arial" w:cs="Arial" w:eastAsia="Arial" w:hAnsi="Arial"/>
                <w:sz w:val="14"/>
                <w:szCs w:val="14"/>
                <w:color w:val="0000EE"/>
                <w:w w:val="94"/>
              </w:rPr>
            </w:pPr>
            <w:hyperlink r:id="rId32">
              <w:r>
                <w:rPr>
                  <w:rFonts w:ascii="Arial" w:cs="Arial" w:eastAsia="Arial" w:hAnsi="Arial"/>
                  <w:sz w:val="14"/>
                  <w:szCs w:val="14"/>
                  <w:color w:val="0000EE"/>
                  <w:w w:val="94"/>
                </w:rPr>
                <w:t>Credit Agreement dated November 1, 2018 was filed as Exhibit 10(i)(2) to a Form 8</w:t>
              </w:r>
              <w:r>
                <w:rPr>
                  <w:rFonts w:ascii="MS PGothic" w:cs="MS PGothic" w:eastAsia="MS PGothic" w:hAnsi="MS PGothic"/>
                  <w:sz w:val="14"/>
                  <w:szCs w:val="14"/>
                  <w:color w:val="0000EE"/>
                  <w:w w:val="94"/>
                </w:rPr>
                <w:t>‑</w:t>
              </w:r>
              <w:r>
                <w:rPr>
                  <w:rFonts w:ascii="Arial" w:cs="Arial" w:eastAsia="Arial" w:hAnsi="Arial"/>
                  <w:sz w:val="14"/>
                  <w:szCs w:val="14"/>
                  <w:color w:val="0000EE"/>
                  <w:w w:val="94"/>
                </w:rPr>
                <w:t>K Current Report dated November 2, 2018 and</w:t>
              </w:r>
            </w:hyperlink>
          </w:p>
        </w:tc>
        <w:tc>
          <w:tcPr>
            <w:tcW w:w="0" w:type="dxa"/>
            <w:vAlign w:val="bottom"/>
          </w:tcPr>
          <w:p>
            <w:pPr>
              <w:spacing w:after="0"/>
              <w:rPr>
                <w:sz w:val="1"/>
                <w:szCs w:val="1"/>
                <w:color w:val="auto"/>
              </w:rPr>
            </w:pPr>
          </w:p>
        </w:tc>
      </w:tr>
      <w:tr>
        <w:trPr>
          <w:trHeight w:val="129"/>
        </w:trPr>
        <w:tc>
          <w:tcPr>
            <w:tcW w:w="5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500" w:type="dxa"/>
            <w:vAlign w:val="bottom"/>
            <w:tcBorders>
              <w:top w:val="single" w:sz="8" w:color="0000EE"/>
            </w:tcBorders>
            <w:gridSpan w:val="15"/>
          </w:tcPr>
          <w:p>
            <w:pPr>
              <w:spacing w:after="0" w:line="129" w:lineRule="exact"/>
              <w:rPr>
                <w:rFonts w:ascii="Arial" w:cs="Arial" w:eastAsia="Arial" w:hAnsi="Arial"/>
                <w:sz w:val="14"/>
                <w:szCs w:val="14"/>
                <w:color w:val="0000EE"/>
              </w:rPr>
            </w:pPr>
            <w:hyperlink r:id="rId32">
              <w:r>
                <w:rPr>
                  <w:rFonts w:ascii="Arial" w:cs="Arial" w:eastAsia="Arial" w:hAnsi="Arial"/>
                  <w:sz w:val="14"/>
                  <w:szCs w:val="14"/>
                  <w:color w:val="0000EE"/>
                </w:rPr>
                <w:t>the same is incorporated herein by reference.</w:t>
              </w:r>
            </w:hyperlink>
          </w:p>
        </w:tc>
        <w:tc>
          <w:tcPr>
            <w:tcW w:w="140" w:type="dxa"/>
            <w:vAlign w:val="bottom"/>
            <w:gridSpan w:val="3"/>
          </w:tcPr>
          <w:p>
            <w:pPr>
              <w:spacing w:after="0"/>
              <w:rPr>
                <w:sz w:val="11"/>
                <w:szCs w:val="11"/>
                <w:color w:val="auto"/>
              </w:rPr>
            </w:pPr>
          </w:p>
        </w:tc>
        <w:tc>
          <w:tcPr>
            <w:tcW w:w="0" w:type="dxa"/>
            <w:vAlign w:val="bottom"/>
          </w:tcPr>
          <w:p>
            <w:pPr>
              <w:spacing w:after="0"/>
              <w:rPr>
                <w:sz w:val="1"/>
                <w:szCs w:val="1"/>
                <w:color w:val="auto"/>
              </w:rPr>
            </w:pPr>
          </w:p>
        </w:tc>
      </w:tr>
      <w:tr>
        <w:trPr>
          <w:trHeight w:val="309"/>
        </w:trPr>
        <w:tc>
          <w:tcPr>
            <w:tcW w:w="540" w:type="dxa"/>
            <w:vAlign w:val="bottom"/>
          </w:tcPr>
          <w:p>
            <w:pPr>
              <w:spacing w:after="0"/>
              <w:rPr>
                <w:sz w:val="24"/>
                <w:szCs w:val="24"/>
                <w:color w:val="auto"/>
              </w:rPr>
            </w:pPr>
          </w:p>
        </w:tc>
        <w:tc>
          <w:tcPr>
            <w:tcW w:w="940" w:type="dxa"/>
            <w:vAlign w:val="bottom"/>
          </w:tcPr>
          <w:p>
            <w:pPr>
              <w:ind w:left="400"/>
              <w:spacing w:after="0"/>
              <w:rPr>
                <w:sz w:val="20"/>
                <w:szCs w:val="20"/>
                <w:color w:val="auto"/>
              </w:rPr>
            </w:pPr>
            <w:r>
              <w:rPr>
                <w:rFonts w:ascii="Arial" w:cs="Arial" w:eastAsia="Arial" w:hAnsi="Arial"/>
                <w:sz w:val="14"/>
                <w:szCs w:val="14"/>
                <w:color w:val="auto"/>
              </w:rPr>
              <w:t>(k)(1)</w:t>
            </w:r>
          </w:p>
        </w:tc>
        <w:tc>
          <w:tcPr>
            <w:tcW w:w="18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1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5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640" w:type="dxa"/>
            <w:vAlign w:val="bottom"/>
            <w:gridSpan w:val="18"/>
          </w:tcPr>
          <w:p>
            <w:pPr>
              <w:spacing w:after="0" w:line="161" w:lineRule="exact"/>
              <w:rPr>
                <w:rFonts w:ascii="Arial" w:cs="Arial" w:eastAsia="Arial" w:hAnsi="Arial"/>
                <w:sz w:val="14"/>
                <w:szCs w:val="14"/>
                <w:color w:val="0000EE"/>
                <w:w w:val="94"/>
              </w:rPr>
            </w:pPr>
            <w:hyperlink r:id="rId33">
              <w:r>
                <w:rPr>
                  <w:rFonts w:ascii="Arial" w:cs="Arial" w:eastAsia="Arial" w:hAnsi="Arial"/>
                  <w:sz w:val="14"/>
                  <w:szCs w:val="14"/>
                  <w:color w:val="0000EE"/>
                  <w:w w:val="94"/>
                </w:rPr>
                <w:t>Note Purchase Agreement dated December 17, 2012 was filed as Exhibit 10(k) to a Form 8</w:t>
              </w:r>
              <w:r>
                <w:rPr>
                  <w:rFonts w:ascii="MS PGothic" w:cs="MS PGothic" w:eastAsia="MS PGothic" w:hAnsi="MS PGothic"/>
                  <w:sz w:val="14"/>
                  <w:szCs w:val="14"/>
                  <w:color w:val="0000EE"/>
                  <w:w w:val="94"/>
                </w:rPr>
                <w:t>‑</w:t>
              </w:r>
              <w:r>
                <w:rPr>
                  <w:rFonts w:ascii="Arial" w:cs="Arial" w:eastAsia="Arial" w:hAnsi="Arial"/>
                  <w:sz w:val="14"/>
                  <w:szCs w:val="14"/>
                  <w:color w:val="0000EE"/>
                  <w:w w:val="94"/>
                </w:rPr>
                <w:t>K Current Report dated December 17,</w:t>
              </w:r>
            </w:hyperlink>
          </w:p>
        </w:tc>
        <w:tc>
          <w:tcPr>
            <w:tcW w:w="0" w:type="dxa"/>
            <w:vAlign w:val="bottom"/>
          </w:tcPr>
          <w:p>
            <w:pPr>
              <w:spacing w:after="0"/>
              <w:rPr>
                <w:sz w:val="1"/>
                <w:szCs w:val="1"/>
                <w:color w:val="auto"/>
              </w:rPr>
            </w:pPr>
          </w:p>
        </w:tc>
      </w:tr>
      <w:tr>
        <w:trPr>
          <w:trHeight w:val="129"/>
        </w:trPr>
        <w:tc>
          <w:tcPr>
            <w:tcW w:w="5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380" w:type="dxa"/>
            <w:vAlign w:val="bottom"/>
            <w:tcBorders>
              <w:top w:val="single" w:sz="8" w:color="0000EE"/>
            </w:tcBorders>
            <w:gridSpan w:val="14"/>
          </w:tcPr>
          <w:p>
            <w:pPr>
              <w:spacing w:after="0" w:line="129" w:lineRule="exact"/>
              <w:rPr>
                <w:rFonts w:ascii="Arial" w:cs="Arial" w:eastAsia="Arial" w:hAnsi="Arial"/>
                <w:sz w:val="14"/>
                <w:szCs w:val="14"/>
                <w:color w:val="0000EE"/>
              </w:rPr>
            </w:pPr>
            <w:hyperlink r:id="rId33">
              <w:r>
                <w:rPr>
                  <w:rFonts w:ascii="Arial" w:cs="Arial" w:eastAsia="Arial" w:hAnsi="Arial"/>
                  <w:sz w:val="14"/>
                  <w:szCs w:val="14"/>
                  <w:color w:val="0000EE"/>
                </w:rPr>
                <w:t>2012 (Commission file No.: 0-22684) and the same is incorporated herein by reference.</w:t>
              </w:r>
            </w:hyperlink>
          </w:p>
        </w:tc>
        <w:tc>
          <w:tcPr>
            <w:tcW w:w="260" w:type="dxa"/>
            <w:vAlign w:val="bottom"/>
            <w:gridSpan w:val="4"/>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940" w:type="dxa"/>
            <w:vAlign w:val="bottom"/>
            <w:vMerge w:val="restart"/>
          </w:tcPr>
          <w:p>
            <w:pPr>
              <w:ind w:left="400"/>
              <w:spacing w:after="0"/>
              <w:rPr>
                <w:sz w:val="20"/>
                <w:szCs w:val="20"/>
                <w:color w:val="auto"/>
              </w:rPr>
            </w:pPr>
            <w:r>
              <w:rPr>
                <w:rFonts w:ascii="Arial" w:cs="Arial" w:eastAsia="Arial" w:hAnsi="Arial"/>
                <w:sz w:val="14"/>
                <w:szCs w:val="14"/>
                <w:color w:val="auto"/>
              </w:rPr>
              <w:t>(k)(2)</w:t>
            </w:r>
          </w:p>
        </w:tc>
        <w:tc>
          <w:tcPr>
            <w:tcW w:w="4120" w:type="dxa"/>
            <w:vAlign w:val="bottom"/>
            <w:gridSpan w:val="4"/>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38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40" w:type="dxa"/>
            <w:vAlign w:val="bottom"/>
          </w:tcPr>
          <w:p>
            <w:pPr>
              <w:spacing w:after="0"/>
              <w:rPr>
                <w:sz w:val="24"/>
                <w:szCs w:val="24"/>
                <w:color w:val="auto"/>
              </w:rPr>
            </w:pPr>
          </w:p>
        </w:tc>
        <w:tc>
          <w:tcPr>
            <w:tcW w:w="940" w:type="dxa"/>
            <w:vAlign w:val="bottom"/>
            <w:vMerge w:val="continue"/>
          </w:tcPr>
          <w:p>
            <w:pPr>
              <w:spacing w:after="0"/>
              <w:rPr>
                <w:sz w:val="24"/>
                <w:szCs w:val="24"/>
                <w:color w:val="auto"/>
              </w:rPr>
            </w:pPr>
          </w:p>
        </w:tc>
        <w:tc>
          <w:tcPr>
            <w:tcW w:w="7640" w:type="dxa"/>
            <w:vAlign w:val="bottom"/>
            <w:gridSpan w:val="18"/>
          </w:tcPr>
          <w:p>
            <w:pPr>
              <w:spacing w:after="0"/>
              <w:rPr>
                <w:rFonts w:ascii="Arial" w:cs="Arial" w:eastAsia="Arial" w:hAnsi="Arial"/>
                <w:sz w:val="14"/>
                <w:szCs w:val="14"/>
                <w:color w:val="0000EE"/>
              </w:rPr>
            </w:pPr>
            <w:hyperlink w:anchor="page17">
              <w:r>
                <w:rPr>
                  <w:rFonts w:ascii="Arial" w:cs="Arial" w:eastAsia="Arial" w:hAnsi="Arial"/>
                  <w:sz w:val="14"/>
                  <w:szCs w:val="14"/>
                  <w:color w:val="0000EE"/>
                </w:rPr>
                <w:t>Note Purchase Agreements for Series C and D Senior Notes dated June 14, 2018, is filed herein as Exhibit 10(k)(2)</w:t>
              </w:r>
            </w:hyperlink>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120" w:type="dxa"/>
            <w:vAlign w:val="bottom"/>
            <w:gridSpan w:val="4"/>
            <w:shd w:val="clear" w:color="auto" w:fill="0000EE"/>
          </w:tcPr>
          <w:p>
            <w:pPr>
              <w:spacing w:after="0" w:line="20" w:lineRule="exact"/>
              <w:rPr>
                <w:sz w:val="1"/>
                <w:szCs w:val="1"/>
                <w:color w:val="auto"/>
              </w:rPr>
            </w:pPr>
          </w:p>
        </w:tc>
        <w:tc>
          <w:tcPr>
            <w:tcW w:w="2440" w:type="dxa"/>
            <w:vAlign w:val="bottom"/>
            <w:gridSpan w:val="4"/>
            <w:shd w:val="clear" w:color="auto" w:fill="0000EE"/>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38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40" w:type="dxa"/>
            <w:vAlign w:val="bottom"/>
          </w:tcPr>
          <w:p>
            <w:pPr>
              <w:spacing w:after="0"/>
              <w:rPr>
                <w:sz w:val="24"/>
                <w:szCs w:val="24"/>
                <w:color w:val="auto"/>
              </w:rPr>
            </w:pPr>
          </w:p>
        </w:tc>
        <w:tc>
          <w:tcPr>
            <w:tcW w:w="940" w:type="dxa"/>
            <w:vAlign w:val="bottom"/>
          </w:tcPr>
          <w:p>
            <w:pPr>
              <w:ind w:left="400"/>
              <w:spacing w:after="0"/>
              <w:rPr>
                <w:sz w:val="20"/>
                <w:szCs w:val="20"/>
                <w:color w:val="auto"/>
              </w:rPr>
            </w:pPr>
            <w:r>
              <w:rPr>
                <w:rFonts w:ascii="Arial" w:cs="Arial" w:eastAsia="Arial" w:hAnsi="Arial"/>
                <w:sz w:val="14"/>
                <w:szCs w:val="14"/>
                <w:color w:val="auto"/>
              </w:rPr>
              <w:t>*(l)</w:t>
            </w:r>
          </w:p>
        </w:tc>
        <w:tc>
          <w:tcPr>
            <w:tcW w:w="7640" w:type="dxa"/>
            <w:vAlign w:val="bottom"/>
            <w:gridSpan w:val="18"/>
          </w:tcPr>
          <w:p>
            <w:pPr>
              <w:spacing w:after="0"/>
              <w:rPr>
                <w:rFonts w:ascii="Arial" w:cs="Arial" w:eastAsia="Arial" w:hAnsi="Arial"/>
                <w:sz w:val="14"/>
                <w:szCs w:val="14"/>
                <w:color w:val="0000EE"/>
                <w:w w:val="96"/>
              </w:rPr>
            </w:pPr>
            <w:hyperlink r:id="rId34">
              <w:r>
                <w:rPr>
                  <w:rFonts w:ascii="Arial" w:cs="Arial" w:eastAsia="Arial" w:hAnsi="Arial"/>
                  <w:sz w:val="14"/>
                  <w:szCs w:val="14"/>
                  <w:color w:val="0000EE"/>
                  <w:w w:val="96"/>
                </w:rPr>
                <w:t>Universal Forest Products, Inc. Employee Stock Purchase Plan is incorporated by reference from Appendix A to the Company’s</w:t>
              </w:r>
            </w:hyperlink>
          </w:p>
        </w:tc>
        <w:tc>
          <w:tcPr>
            <w:tcW w:w="0" w:type="dxa"/>
            <w:vAlign w:val="bottom"/>
          </w:tcPr>
          <w:p>
            <w:pPr>
              <w:spacing w:after="0"/>
              <w:rPr>
                <w:sz w:val="1"/>
                <w:szCs w:val="1"/>
                <w:color w:val="auto"/>
              </w:rPr>
            </w:pPr>
          </w:p>
        </w:tc>
      </w:tr>
      <w:tr>
        <w:trPr>
          <w:trHeight w:val="129"/>
        </w:trPr>
        <w:tc>
          <w:tcPr>
            <w:tcW w:w="5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60" w:type="dxa"/>
            <w:vAlign w:val="bottom"/>
            <w:tcBorders>
              <w:top w:val="single" w:sz="8" w:color="0000EE"/>
            </w:tcBorders>
            <w:gridSpan w:val="11"/>
          </w:tcPr>
          <w:p>
            <w:pPr>
              <w:spacing w:after="0" w:line="129" w:lineRule="exact"/>
              <w:rPr>
                <w:rFonts w:ascii="Arial" w:cs="Arial" w:eastAsia="Arial" w:hAnsi="Arial"/>
                <w:sz w:val="14"/>
                <w:szCs w:val="14"/>
                <w:color w:val="0000EE"/>
              </w:rPr>
            </w:pPr>
            <w:hyperlink r:id="rId34">
              <w:r>
                <w:rPr>
                  <w:rFonts w:ascii="Arial" w:cs="Arial" w:eastAsia="Arial" w:hAnsi="Arial"/>
                  <w:sz w:val="14"/>
                  <w:szCs w:val="14"/>
                  <w:color w:val="0000EE"/>
                </w:rPr>
                <w:t>proxy statement dated and filed with the Commission on March 9, 2018.</w:t>
              </w:r>
            </w:hyperlink>
          </w:p>
        </w:tc>
        <w:tc>
          <w:tcPr>
            <w:tcW w:w="380" w:type="dxa"/>
            <w:vAlign w:val="bottom"/>
            <w:gridSpan w:val="7"/>
          </w:tcPr>
          <w:p>
            <w:pPr>
              <w:spacing w:after="0"/>
              <w:rPr>
                <w:sz w:val="11"/>
                <w:szCs w:val="11"/>
                <w:color w:val="auto"/>
              </w:rPr>
            </w:pPr>
          </w:p>
        </w:tc>
        <w:tc>
          <w:tcPr>
            <w:tcW w:w="0" w:type="dxa"/>
            <w:vAlign w:val="bottom"/>
          </w:tcPr>
          <w:p>
            <w:pPr>
              <w:spacing w:after="0"/>
              <w:rPr>
                <w:sz w:val="1"/>
                <w:szCs w:val="1"/>
                <w:color w:val="auto"/>
              </w:rPr>
            </w:pPr>
          </w:p>
        </w:tc>
      </w:tr>
      <w:tr>
        <w:trPr>
          <w:trHeight w:val="510"/>
        </w:trPr>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120" w:type="dxa"/>
            <w:vAlign w:val="bottom"/>
            <w:tcBorders>
              <w:top w:val="single" w:sz="8" w:color="0000EE"/>
            </w:tcBorders>
            <w:gridSpan w:val="4"/>
          </w:tcPr>
          <w:p>
            <w:pPr>
              <w:ind w:left="3040"/>
              <w:spacing w:after="0"/>
              <w:rPr>
                <w:sz w:val="20"/>
                <w:szCs w:val="20"/>
                <w:color w:val="auto"/>
              </w:rPr>
            </w:pPr>
            <w:r>
              <w:rPr>
                <w:rFonts w:ascii="Arial" w:cs="Arial" w:eastAsia="Arial" w:hAnsi="Arial"/>
                <w:sz w:val="14"/>
                <w:szCs w:val="14"/>
                <w:color w:val="auto"/>
              </w:rPr>
              <w:t>1</w:t>
            </w: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54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84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58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9100"/>
          </w:cols>
          <w:pgMar w:left="1400" w:top="295" w:right="1399" w:bottom="1440" w:gutter="0" w:footer="0" w:header="0"/>
        </w:sectPr>
      </w:pPr>
    </w:p>
    <w:bookmarkStart w:id="14" w:name="page15"/>
    <w:bookmarkEnd w:id="14"/>
    <w:p>
      <w:pPr>
        <w:spacing w:after="0" w:line="1"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540" w:type="dxa"/>
            <w:vAlign w:val="bottom"/>
          </w:tcPr>
          <w:p>
            <w:pPr>
              <w:spacing w:after="0"/>
              <w:rPr>
                <w:sz w:val="20"/>
                <w:szCs w:val="20"/>
                <w:color w:val="auto"/>
              </w:rPr>
            </w:pPr>
            <w:r>
              <w:rPr>
                <w:rFonts w:ascii="Arial" w:cs="Arial" w:eastAsia="Arial" w:hAnsi="Arial"/>
                <w:sz w:val="14"/>
                <w:szCs w:val="14"/>
                <w:color w:val="auto"/>
              </w:rPr>
              <w:t>*(m)</w:t>
            </w:r>
          </w:p>
        </w:tc>
        <w:tc>
          <w:tcPr>
            <w:tcW w:w="7500" w:type="dxa"/>
            <w:vAlign w:val="bottom"/>
            <w:gridSpan w:val="4"/>
          </w:tcPr>
          <w:p>
            <w:pPr>
              <w:spacing w:after="0" w:line="161" w:lineRule="exact"/>
              <w:rPr>
                <w:rFonts w:ascii="Arial" w:cs="Arial" w:eastAsia="Arial" w:hAnsi="Arial"/>
                <w:sz w:val="14"/>
                <w:szCs w:val="14"/>
                <w:color w:val="0000EE"/>
                <w:w w:val="93"/>
              </w:rPr>
            </w:pPr>
            <w:hyperlink r:id="rId35">
              <w:r>
                <w:rPr>
                  <w:rFonts w:ascii="Arial" w:cs="Arial" w:eastAsia="Arial" w:hAnsi="Arial"/>
                  <w:sz w:val="14"/>
                  <w:szCs w:val="14"/>
                  <w:color w:val="0000EE"/>
                  <w:w w:val="93"/>
                </w:rPr>
                <w:t>Universal Forest Products, Inc. Director Retainer Stock Plan was filed as Exhibit 10(m) to a Form 10</w:t>
              </w:r>
              <w:r>
                <w:rPr>
                  <w:rFonts w:ascii="MS PGothic" w:cs="MS PGothic" w:eastAsia="MS PGothic" w:hAnsi="MS PGothic"/>
                  <w:sz w:val="14"/>
                  <w:szCs w:val="14"/>
                  <w:color w:val="0000EE"/>
                  <w:w w:val="93"/>
                </w:rPr>
                <w:t>‑</w:t>
              </w:r>
              <w:r>
                <w:rPr>
                  <w:rFonts w:ascii="Arial" w:cs="Arial" w:eastAsia="Arial" w:hAnsi="Arial"/>
                  <w:sz w:val="14"/>
                  <w:szCs w:val="14"/>
                  <w:color w:val="0000EE"/>
                  <w:w w:val="93"/>
                </w:rPr>
                <w:t>K, Annual Report for the year</w:t>
              </w:r>
            </w:hyperlink>
          </w:p>
        </w:tc>
      </w:tr>
      <w:tr>
        <w:trPr>
          <w:trHeight w:val="129"/>
        </w:trPr>
        <w:tc>
          <w:tcPr>
            <w:tcW w:w="540" w:type="dxa"/>
            <w:vAlign w:val="bottom"/>
          </w:tcPr>
          <w:p>
            <w:pPr>
              <w:spacing w:after="0"/>
              <w:rPr>
                <w:sz w:val="11"/>
                <w:szCs w:val="11"/>
                <w:color w:val="auto"/>
              </w:rPr>
            </w:pPr>
          </w:p>
        </w:tc>
        <w:tc>
          <w:tcPr>
            <w:tcW w:w="7480" w:type="dxa"/>
            <w:vAlign w:val="bottom"/>
            <w:tcBorders>
              <w:top w:val="single" w:sz="8" w:color="0000EE"/>
            </w:tcBorders>
            <w:gridSpan w:val="3"/>
          </w:tcPr>
          <w:p>
            <w:pPr>
              <w:spacing w:after="0" w:line="129" w:lineRule="exact"/>
              <w:rPr>
                <w:rFonts w:ascii="Arial" w:cs="Arial" w:eastAsia="Arial" w:hAnsi="Arial"/>
                <w:sz w:val="14"/>
                <w:szCs w:val="14"/>
                <w:color w:val="0000EE"/>
              </w:rPr>
            </w:pPr>
            <w:hyperlink r:id="rId35">
              <w:r>
                <w:rPr>
                  <w:rFonts w:ascii="Arial" w:cs="Arial" w:eastAsia="Arial" w:hAnsi="Arial"/>
                  <w:sz w:val="14"/>
                  <w:szCs w:val="14"/>
                  <w:color w:val="0000EE"/>
                </w:rPr>
                <w:t>ended December 31, 2016 (Commission file No.: 0-22684) and the same is incorporated herein by reference.</w:t>
              </w:r>
            </w:hyperlink>
          </w:p>
        </w:tc>
        <w:tc>
          <w:tcPr>
            <w:tcW w:w="20" w:type="dxa"/>
            <w:vAlign w:val="bottom"/>
          </w:tcPr>
          <w:p>
            <w:pPr>
              <w:spacing w:after="0"/>
              <w:rPr>
                <w:sz w:val="11"/>
                <w:szCs w:val="11"/>
                <w:color w:val="auto"/>
              </w:rPr>
            </w:pPr>
          </w:p>
        </w:tc>
      </w:tr>
      <w:tr>
        <w:trPr>
          <w:trHeight w:val="20"/>
        </w:trPr>
        <w:tc>
          <w:tcPr>
            <w:tcW w:w="540" w:type="dxa"/>
            <w:vAlign w:val="bottom"/>
          </w:tcPr>
          <w:p>
            <w:pPr>
              <w:spacing w:after="0" w:line="20" w:lineRule="exact"/>
              <w:rPr>
                <w:sz w:val="1"/>
                <w:szCs w:val="1"/>
                <w:color w:val="auto"/>
              </w:rPr>
            </w:pPr>
          </w:p>
        </w:tc>
        <w:tc>
          <w:tcPr>
            <w:tcW w:w="528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r>
      <w:tr>
        <w:trPr>
          <w:trHeight w:val="277"/>
        </w:trPr>
        <w:tc>
          <w:tcPr>
            <w:tcW w:w="540" w:type="dxa"/>
            <w:vAlign w:val="bottom"/>
          </w:tcPr>
          <w:p>
            <w:pPr>
              <w:spacing w:after="0"/>
              <w:rPr>
                <w:sz w:val="20"/>
                <w:szCs w:val="20"/>
                <w:color w:val="auto"/>
              </w:rPr>
            </w:pPr>
            <w:r>
              <w:rPr>
                <w:rFonts w:ascii="Arial" w:cs="Arial" w:eastAsia="Arial" w:hAnsi="Arial"/>
                <w:sz w:val="14"/>
                <w:szCs w:val="14"/>
                <w:color w:val="auto"/>
              </w:rPr>
              <w:t>*(n)</w:t>
            </w:r>
          </w:p>
        </w:tc>
        <w:tc>
          <w:tcPr>
            <w:tcW w:w="7500" w:type="dxa"/>
            <w:vAlign w:val="bottom"/>
            <w:tcBorders>
              <w:bottom w:val="single" w:sz="8" w:color="0000EE"/>
            </w:tcBorders>
            <w:gridSpan w:val="4"/>
          </w:tcPr>
          <w:p>
            <w:pPr>
              <w:spacing w:after="0"/>
              <w:rPr>
                <w:rFonts w:ascii="Arial" w:cs="Arial" w:eastAsia="Arial" w:hAnsi="Arial"/>
                <w:sz w:val="14"/>
                <w:szCs w:val="14"/>
                <w:color w:val="0000EE"/>
                <w:w w:val="91"/>
              </w:rPr>
            </w:pPr>
            <w:hyperlink r:id="rId36">
              <w:r>
                <w:rPr>
                  <w:rFonts w:ascii="Arial" w:cs="Arial" w:eastAsia="Arial" w:hAnsi="Arial"/>
                  <w:sz w:val="14"/>
                  <w:szCs w:val="14"/>
                  <w:color w:val="0000EE"/>
                  <w:w w:val="91"/>
                </w:rPr>
                <w:t>Universal Forest Products, Inc. Amended and Restated Long Term Stock Incentive Plan is incorporated by reference from Appendix</w:t>
              </w:r>
            </w:hyperlink>
          </w:p>
        </w:tc>
      </w:tr>
      <w:tr>
        <w:trPr>
          <w:trHeight w:val="129"/>
        </w:trPr>
        <w:tc>
          <w:tcPr>
            <w:tcW w:w="540" w:type="dxa"/>
            <w:vAlign w:val="bottom"/>
          </w:tcPr>
          <w:p>
            <w:pPr>
              <w:spacing w:after="0"/>
              <w:rPr>
                <w:sz w:val="11"/>
                <w:szCs w:val="11"/>
                <w:color w:val="auto"/>
              </w:rPr>
            </w:pPr>
          </w:p>
        </w:tc>
        <w:tc>
          <w:tcPr>
            <w:tcW w:w="5280" w:type="dxa"/>
            <w:vAlign w:val="bottom"/>
            <w:tcBorders>
              <w:bottom w:val="single" w:sz="8" w:color="0000EE"/>
            </w:tcBorders>
          </w:tcPr>
          <w:p>
            <w:pPr>
              <w:spacing w:after="0" w:line="129" w:lineRule="exact"/>
              <w:rPr>
                <w:rFonts w:ascii="Arial" w:cs="Arial" w:eastAsia="Arial" w:hAnsi="Arial"/>
                <w:sz w:val="14"/>
                <w:szCs w:val="14"/>
                <w:color w:val="0000EE"/>
                <w:w w:val="92"/>
              </w:rPr>
            </w:pPr>
            <w:hyperlink r:id="rId36">
              <w:r>
                <w:rPr>
                  <w:rFonts w:ascii="Arial" w:cs="Arial" w:eastAsia="Arial" w:hAnsi="Arial"/>
                  <w:sz w:val="14"/>
                  <w:szCs w:val="14"/>
                  <w:color w:val="0000EE"/>
                  <w:w w:val="92"/>
                </w:rPr>
                <w:t>B to the Company’s proxy statement dated and filed with the Commission on March 9, 2018.</w:t>
              </w:r>
            </w:hyperlink>
          </w:p>
        </w:tc>
        <w:tc>
          <w:tcPr>
            <w:tcW w:w="2220" w:type="dxa"/>
            <w:vAlign w:val="bottom"/>
            <w:gridSpan w:val="3"/>
          </w:tcPr>
          <w:p>
            <w:pPr>
              <w:spacing w:after="0"/>
              <w:rPr>
                <w:sz w:val="11"/>
                <w:szCs w:val="11"/>
                <w:color w:val="auto"/>
              </w:rPr>
            </w:pPr>
          </w:p>
        </w:tc>
      </w:tr>
    </w:tbl>
    <w:p>
      <w:pPr>
        <w:spacing w:after="0" w:line="138" w:lineRule="exact"/>
        <w:rPr>
          <w:sz w:val="20"/>
          <w:szCs w:val="20"/>
          <w:color w:val="auto"/>
        </w:rPr>
      </w:pPr>
    </w:p>
    <w:p>
      <w:pPr>
        <w:ind w:left="1480" w:right="219" w:hanging="547"/>
        <w:spacing w:after="0" w:line="159" w:lineRule="exact"/>
        <w:tabs>
          <w:tab w:leader="none" w:pos="1480" w:val="left"/>
        </w:tabs>
        <w:numPr>
          <w:ilvl w:val="0"/>
          <w:numId w:val="12"/>
        </w:numPr>
        <w:rPr>
          <w:rFonts w:ascii="Arial" w:cs="Arial" w:eastAsia="Arial" w:hAnsi="Arial"/>
          <w:sz w:val="14"/>
          <w:szCs w:val="14"/>
          <w:u w:val="single" w:color="auto"/>
          <w:color w:val="0000EE"/>
        </w:rPr>
      </w:pPr>
      <w:hyperlink r:id="rId37">
        <w:r>
          <w:rPr>
            <w:rFonts w:ascii="Arial" w:cs="Arial" w:eastAsia="Arial" w:hAnsi="Arial"/>
            <w:sz w:val="14"/>
            <w:szCs w:val="14"/>
            <w:u w:val="single" w:color="auto"/>
            <w:color w:val="0000EE"/>
          </w:rPr>
          <w:t>Amended and restated agreement and plan of merger by and among Universal Forest Products, Inc., UFP Apple Merger Sub, Inc.,</w:t>
        </w:r>
      </w:hyperlink>
      <w:r>
        <w:rPr>
          <w:rFonts w:ascii="Arial" w:cs="Arial" w:eastAsia="Arial" w:hAnsi="Arial"/>
          <w:sz w:val="14"/>
          <w:szCs w:val="14"/>
          <w:u w:val="single" w:color="auto"/>
          <w:color w:val="0000EE"/>
        </w:rPr>
        <w:t xml:space="preserve"> </w:t>
      </w:r>
      <w:hyperlink r:id="rId37">
        <w:r>
          <w:rPr>
            <w:rFonts w:ascii="Arial" w:cs="Arial" w:eastAsia="Arial" w:hAnsi="Arial"/>
            <w:sz w:val="14"/>
            <w:szCs w:val="14"/>
            <w:u w:val="single" w:color="auto"/>
            <w:color w:val="0000EE"/>
          </w:rPr>
          <w:t>idX Holdings, Inc. dated September 7, 2016 and filed as Exhibit 10(o) to Form 10</w:t>
        </w:r>
        <w:r>
          <w:rPr>
            <w:rFonts w:ascii="MS PGothic" w:cs="MS PGothic" w:eastAsia="MS PGothic" w:hAnsi="MS PGothic"/>
            <w:sz w:val="14"/>
            <w:szCs w:val="14"/>
            <w:u w:val="single" w:color="auto"/>
            <w:color w:val="0000EE"/>
          </w:rPr>
          <w:t>‑</w:t>
        </w:r>
        <w:r>
          <w:rPr>
            <w:rFonts w:ascii="Arial" w:cs="Arial" w:eastAsia="Arial" w:hAnsi="Arial"/>
            <w:sz w:val="14"/>
            <w:szCs w:val="14"/>
            <w:u w:val="single" w:color="auto"/>
            <w:color w:val="0000EE"/>
          </w:rPr>
          <w:t>Q, quarter ended September 24, 2016, and the</w:t>
        </w:r>
      </w:hyperlink>
      <w:r>
        <w:rPr>
          <w:rFonts w:ascii="Arial" w:cs="Arial" w:eastAsia="Arial" w:hAnsi="Arial"/>
          <w:sz w:val="14"/>
          <w:szCs w:val="14"/>
          <w:u w:val="single" w:color="auto"/>
          <w:color w:val="0000EE"/>
        </w:rPr>
        <w:t xml:space="preserve"> </w:t>
      </w:r>
      <w:hyperlink r:id="rId37">
        <w:r>
          <w:rPr>
            <w:rFonts w:ascii="Arial" w:cs="Arial" w:eastAsia="Arial" w:hAnsi="Arial"/>
            <w:sz w:val="14"/>
            <w:szCs w:val="14"/>
            <w:u w:val="single" w:color="auto"/>
            <w:color w:val="0000EE"/>
          </w:rPr>
          <w:t>same is incorporated herein by reference.</w:t>
        </w:r>
      </w:hyperlink>
    </w:p>
    <w:p>
      <w:pPr>
        <w:spacing w:after="0" w:line="118" w:lineRule="exact"/>
        <w:rPr>
          <w:rFonts w:ascii="Arial" w:cs="Arial" w:eastAsia="Arial" w:hAnsi="Arial"/>
          <w:sz w:val="14"/>
          <w:szCs w:val="14"/>
          <w:u w:val="single" w:color="auto"/>
          <w:color w:val="0000EE"/>
        </w:rPr>
      </w:pPr>
    </w:p>
    <w:p>
      <w:pPr>
        <w:ind w:left="940" w:hanging="931"/>
        <w:spacing w:after="0"/>
        <w:tabs>
          <w:tab w:leader="none" w:pos="940" w:val="left"/>
        </w:tabs>
        <w:numPr>
          <w:ilvl w:val="0"/>
          <w:numId w:val="13"/>
        </w:numPr>
        <w:rPr>
          <w:rFonts w:ascii="Arial" w:cs="Arial" w:eastAsia="Arial" w:hAnsi="Arial"/>
          <w:sz w:val="14"/>
          <w:szCs w:val="14"/>
          <w:u w:val="single" w:color="auto"/>
          <w:color w:val="0000EE"/>
        </w:rPr>
      </w:pPr>
      <w:hyperlink w:anchor="page44">
        <w:r>
          <w:rPr>
            <w:rFonts w:ascii="Arial" w:cs="Arial" w:eastAsia="Arial" w:hAnsi="Arial"/>
            <w:sz w:val="14"/>
            <w:szCs w:val="14"/>
            <w:u w:val="single" w:color="auto"/>
            <w:color w:val="0000EE"/>
          </w:rPr>
          <w:t>Selected portions of the Company’s Annual Report to Shareholders for the fiscal year ended December 29, 2018.</w:t>
        </w:r>
      </w:hyperlink>
    </w:p>
    <w:p>
      <w:pPr>
        <w:spacing w:after="0" w:line="136" w:lineRule="exact"/>
        <w:rPr>
          <w:rFonts w:ascii="Arial" w:cs="Arial" w:eastAsia="Arial" w:hAnsi="Arial"/>
          <w:sz w:val="14"/>
          <w:szCs w:val="14"/>
          <w:u w:val="single" w:color="auto"/>
          <w:color w:val="0000EE"/>
        </w:rPr>
      </w:pPr>
    </w:p>
    <w:p>
      <w:pPr>
        <w:ind w:left="940" w:hanging="931"/>
        <w:spacing w:after="0"/>
        <w:tabs>
          <w:tab w:leader="none" w:pos="9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Code of Ethics for Senior Financial Officers</w:t>
      </w:r>
    </w:p>
    <w:p>
      <w:pPr>
        <w:spacing w:after="0" w:line="136" w:lineRule="exact"/>
        <w:rPr>
          <w:rFonts w:ascii="Arial" w:cs="Arial" w:eastAsia="Arial" w:hAnsi="Arial"/>
          <w:sz w:val="14"/>
          <w:szCs w:val="14"/>
          <w:u w:val="single" w:color="auto"/>
          <w:color w:val="0000EE"/>
        </w:rPr>
      </w:pPr>
    </w:p>
    <w:p>
      <w:pPr>
        <w:ind w:left="1480" w:right="199" w:hanging="547"/>
        <w:spacing w:after="0" w:line="250" w:lineRule="auto"/>
        <w:tabs>
          <w:tab w:leader="none" w:pos="1480" w:val="left"/>
        </w:tabs>
        <w:numPr>
          <w:ilvl w:val="0"/>
          <w:numId w:val="14"/>
        </w:numPr>
        <w:rPr>
          <w:rFonts w:ascii="Arial" w:cs="Arial" w:eastAsia="Arial" w:hAnsi="Arial"/>
          <w:sz w:val="14"/>
          <w:szCs w:val="14"/>
          <w:u w:val="single" w:color="auto"/>
          <w:color w:val="0000EE"/>
        </w:rPr>
      </w:pPr>
      <w:hyperlink r:id="rId38">
        <w:r>
          <w:rPr>
            <w:rFonts w:ascii="Arial" w:cs="Arial" w:eastAsia="Arial" w:hAnsi="Arial"/>
            <w:sz w:val="14"/>
            <w:szCs w:val="14"/>
            <w:u w:val="single" w:color="auto"/>
            <w:color w:val="0000EE"/>
          </w:rPr>
          <w:t>Code of Ethics for Chief Financial Officer was filed as Exhibit 14(a) to a Form 10-K, Annual Report for the year ended December</w:t>
        </w:r>
      </w:hyperlink>
      <w:r>
        <w:rPr>
          <w:rFonts w:ascii="Arial" w:cs="Arial" w:eastAsia="Arial" w:hAnsi="Arial"/>
          <w:sz w:val="14"/>
          <w:szCs w:val="14"/>
          <w:u w:val="single" w:color="auto"/>
          <w:color w:val="0000EE"/>
        </w:rPr>
        <w:t xml:space="preserve"> </w:t>
      </w:r>
      <w:hyperlink r:id="rId38">
        <w:r>
          <w:rPr>
            <w:rFonts w:ascii="Arial" w:cs="Arial" w:eastAsia="Arial" w:hAnsi="Arial"/>
            <w:sz w:val="14"/>
            <w:szCs w:val="14"/>
            <w:u w:val="single" w:color="auto"/>
            <w:color w:val="0000EE"/>
          </w:rPr>
          <w:t>25, 2010 and the same is incorporated herein by reference.</w:t>
        </w:r>
      </w:hyperlink>
    </w:p>
    <w:p>
      <w:pPr>
        <w:spacing w:after="0" w:line="111" w:lineRule="exact"/>
        <w:rPr>
          <w:rFonts w:ascii="Arial" w:cs="Arial" w:eastAsia="Arial" w:hAnsi="Arial"/>
          <w:sz w:val="14"/>
          <w:szCs w:val="14"/>
          <w:color w:val="auto"/>
        </w:rPr>
      </w:pPr>
    </w:p>
    <w:p>
      <w:pPr>
        <w:ind w:left="940" w:hanging="931"/>
        <w:spacing w:after="0"/>
        <w:tabs>
          <w:tab w:leader="none" w:pos="940" w:val="left"/>
        </w:tabs>
        <w:numPr>
          <w:ilvl w:val="0"/>
          <w:numId w:val="15"/>
        </w:numPr>
        <w:rPr>
          <w:rFonts w:ascii="Arial" w:cs="Arial" w:eastAsia="Arial" w:hAnsi="Arial"/>
          <w:sz w:val="14"/>
          <w:szCs w:val="14"/>
          <w:u w:val="single" w:color="auto"/>
          <w:color w:val="0000EE"/>
        </w:rPr>
      </w:pPr>
      <w:hyperlink w:anchor="page103">
        <w:r>
          <w:rPr>
            <w:rFonts w:ascii="Arial" w:cs="Arial" w:eastAsia="Arial" w:hAnsi="Arial"/>
            <w:sz w:val="14"/>
            <w:szCs w:val="14"/>
            <w:u w:val="single" w:color="auto"/>
            <w:color w:val="0000EE"/>
          </w:rPr>
          <w:t>Subsidiaries of the Registrant.</w:t>
        </w:r>
      </w:hyperlink>
    </w:p>
    <w:p>
      <w:pPr>
        <w:spacing w:after="0" w:line="136" w:lineRule="exact"/>
        <w:rPr>
          <w:rFonts w:ascii="Arial" w:cs="Arial" w:eastAsia="Arial" w:hAnsi="Arial"/>
          <w:sz w:val="14"/>
          <w:szCs w:val="14"/>
          <w:color w:val="auto"/>
        </w:rPr>
      </w:pPr>
    </w:p>
    <w:p>
      <w:pPr>
        <w:ind w:left="940" w:hanging="931"/>
        <w:spacing w:after="0"/>
        <w:tabs>
          <w:tab w:leader="none" w:pos="940" w:val="left"/>
        </w:tabs>
        <w:numPr>
          <w:ilvl w:val="0"/>
          <w:numId w:val="16"/>
        </w:numPr>
        <w:rPr>
          <w:rFonts w:ascii="Arial" w:cs="Arial" w:eastAsia="Arial" w:hAnsi="Arial"/>
          <w:sz w:val="14"/>
          <w:szCs w:val="14"/>
          <w:u w:val="single" w:color="auto"/>
          <w:color w:val="0000EE"/>
        </w:rPr>
      </w:pPr>
      <w:hyperlink w:anchor="page105">
        <w:r>
          <w:rPr>
            <w:rFonts w:ascii="Arial" w:cs="Arial" w:eastAsia="Arial" w:hAnsi="Arial"/>
            <w:sz w:val="14"/>
            <w:szCs w:val="14"/>
            <w:u w:val="single" w:color="auto"/>
            <w:color w:val="0000EE"/>
          </w:rPr>
          <w:t>Consent of Deloitte &amp; Touche LLP.</w:t>
        </w:r>
      </w:hyperlink>
    </w:p>
    <w:p>
      <w:pPr>
        <w:spacing w:after="0" w:line="136" w:lineRule="exact"/>
        <w:rPr>
          <w:rFonts w:ascii="Arial" w:cs="Arial" w:eastAsia="Arial" w:hAnsi="Arial"/>
          <w:sz w:val="14"/>
          <w:szCs w:val="14"/>
          <w:color w:val="auto"/>
        </w:rPr>
      </w:pPr>
    </w:p>
    <w:p>
      <w:pPr>
        <w:ind w:left="940" w:hanging="931"/>
        <w:spacing w:after="0"/>
        <w:tabs>
          <w:tab w:leader="none" w:pos="9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Certifications.</w:t>
      </w:r>
    </w:p>
    <w:p>
      <w:pPr>
        <w:spacing w:after="0" w:line="136" w:lineRule="exact"/>
        <w:rPr>
          <w:rFonts w:ascii="Arial" w:cs="Arial" w:eastAsia="Arial" w:hAnsi="Arial"/>
          <w:sz w:val="14"/>
          <w:szCs w:val="14"/>
          <w:color w:val="auto"/>
        </w:rPr>
      </w:pPr>
    </w:p>
    <w:p>
      <w:pPr>
        <w:ind w:left="1480" w:right="179" w:hanging="547"/>
        <w:spacing w:after="0" w:line="250" w:lineRule="auto"/>
        <w:tabs>
          <w:tab w:leader="none" w:pos="1480" w:val="left"/>
        </w:tabs>
        <w:numPr>
          <w:ilvl w:val="1"/>
          <w:numId w:val="17"/>
        </w:numPr>
        <w:rPr>
          <w:rFonts w:ascii="Arial" w:cs="Arial" w:eastAsia="Arial" w:hAnsi="Arial"/>
          <w:sz w:val="14"/>
          <w:szCs w:val="14"/>
          <w:u w:val="single" w:color="auto"/>
          <w:color w:val="0000EE"/>
        </w:rPr>
      </w:pPr>
      <w:hyperlink w:anchor="page106">
        <w:r>
          <w:rPr>
            <w:rFonts w:ascii="Arial" w:cs="Arial" w:eastAsia="Arial" w:hAnsi="Arial"/>
            <w:sz w:val="14"/>
            <w:szCs w:val="14"/>
            <w:u w:val="single" w:color="auto"/>
            <w:color w:val="0000EE"/>
          </w:rPr>
          <w:t>Certificate of the Chief Executive Officer of Universal Forest Products, Inc., pursuant to Section 302 of the Sarbanes-Oxley Act of</w:t>
        </w:r>
      </w:hyperlink>
      <w:r>
        <w:rPr>
          <w:rFonts w:ascii="Arial" w:cs="Arial" w:eastAsia="Arial" w:hAnsi="Arial"/>
          <w:sz w:val="14"/>
          <w:szCs w:val="14"/>
          <w:u w:val="single" w:color="auto"/>
          <w:color w:val="0000EE"/>
        </w:rPr>
        <w:t xml:space="preserve"> </w:t>
      </w:r>
      <w:hyperlink w:anchor="page106">
        <w:r>
          <w:rPr>
            <w:rFonts w:ascii="Arial" w:cs="Arial" w:eastAsia="Arial" w:hAnsi="Arial"/>
            <w:sz w:val="14"/>
            <w:szCs w:val="14"/>
            <w:u w:val="single" w:color="auto"/>
            <w:color w:val="0000EE"/>
          </w:rPr>
          <w:t>2002 (18 U.S.C. 1350).</w:t>
        </w:r>
      </w:hyperlink>
    </w:p>
    <w:p>
      <w:pPr>
        <w:spacing w:after="0" w:line="110" w:lineRule="exact"/>
        <w:rPr>
          <w:rFonts w:ascii="Arial" w:cs="Arial" w:eastAsia="Arial" w:hAnsi="Arial"/>
          <w:sz w:val="14"/>
          <w:szCs w:val="14"/>
          <w:u w:val="single" w:color="auto"/>
          <w:color w:val="0000EE"/>
        </w:rPr>
      </w:pPr>
    </w:p>
    <w:p>
      <w:pPr>
        <w:ind w:left="1480" w:right="219" w:hanging="547"/>
        <w:spacing w:after="0" w:line="250" w:lineRule="auto"/>
        <w:tabs>
          <w:tab w:leader="none" w:pos="1480" w:val="left"/>
        </w:tabs>
        <w:numPr>
          <w:ilvl w:val="1"/>
          <w:numId w:val="17"/>
        </w:numPr>
        <w:rPr>
          <w:rFonts w:ascii="Arial" w:cs="Arial" w:eastAsia="Arial" w:hAnsi="Arial"/>
          <w:sz w:val="14"/>
          <w:szCs w:val="14"/>
          <w:u w:val="single" w:color="auto"/>
          <w:color w:val="0000EE"/>
        </w:rPr>
      </w:pPr>
      <w:hyperlink w:anchor="page107">
        <w:r>
          <w:rPr>
            <w:rFonts w:ascii="Arial" w:cs="Arial" w:eastAsia="Arial" w:hAnsi="Arial"/>
            <w:sz w:val="14"/>
            <w:szCs w:val="14"/>
            <w:u w:val="single" w:color="auto"/>
            <w:color w:val="0000EE"/>
          </w:rPr>
          <w:t>Certificate of the Chief Financial Officer of Universal Forest Products, Inc., pursuant to Section 302 of the Sarbanes-Oxley Act of</w:t>
        </w:r>
      </w:hyperlink>
      <w:r>
        <w:rPr>
          <w:rFonts w:ascii="Arial" w:cs="Arial" w:eastAsia="Arial" w:hAnsi="Arial"/>
          <w:sz w:val="14"/>
          <w:szCs w:val="14"/>
          <w:u w:val="single" w:color="auto"/>
          <w:color w:val="0000EE"/>
        </w:rPr>
        <w:t xml:space="preserve"> </w:t>
      </w:r>
      <w:hyperlink w:anchor="page107">
        <w:r>
          <w:rPr>
            <w:rFonts w:ascii="Arial" w:cs="Arial" w:eastAsia="Arial" w:hAnsi="Arial"/>
            <w:sz w:val="14"/>
            <w:szCs w:val="14"/>
            <w:u w:val="single" w:color="auto"/>
            <w:color w:val="0000EE"/>
          </w:rPr>
          <w:t>2002 (18 U.S.C. 1350).</w:t>
        </w:r>
      </w:hyperlink>
    </w:p>
    <w:p>
      <w:pPr>
        <w:spacing w:after="0" w:line="110" w:lineRule="exact"/>
        <w:rPr>
          <w:rFonts w:ascii="Arial" w:cs="Arial" w:eastAsia="Arial" w:hAnsi="Arial"/>
          <w:sz w:val="14"/>
          <w:szCs w:val="14"/>
          <w:u w:val="single" w:color="auto"/>
          <w:color w:val="0000EE"/>
        </w:rPr>
      </w:pPr>
    </w:p>
    <w:p>
      <w:pPr>
        <w:ind w:left="940" w:hanging="931"/>
        <w:spacing w:after="0"/>
        <w:tabs>
          <w:tab w:leader="none" w:pos="9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Certifications.</w:t>
      </w:r>
    </w:p>
    <w:p>
      <w:pPr>
        <w:spacing w:after="0" w:line="136" w:lineRule="exact"/>
        <w:rPr>
          <w:rFonts w:ascii="Arial" w:cs="Arial" w:eastAsia="Arial" w:hAnsi="Arial"/>
          <w:sz w:val="14"/>
          <w:szCs w:val="14"/>
          <w:color w:val="auto"/>
        </w:rPr>
      </w:pPr>
    </w:p>
    <w:p>
      <w:pPr>
        <w:ind w:left="1480" w:right="179" w:hanging="547"/>
        <w:spacing w:after="0" w:line="250" w:lineRule="auto"/>
        <w:tabs>
          <w:tab w:leader="none" w:pos="1480" w:val="left"/>
        </w:tabs>
        <w:numPr>
          <w:ilvl w:val="1"/>
          <w:numId w:val="17"/>
        </w:numPr>
        <w:rPr>
          <w:rFonts w:ascii="Arial" w:cs="Arial" w:eastAsia="Arial" w:hAnsi="Arial"/>
          <w:sz w:val="14"/>
          <w:szCs w:val="14"/>
          <w:u w:val="single" w:color="auto"/>
          <w:color w:val="0000EE"/>
        </w:rPr>
      </w:pPr>
      <w:hyperlink w:anchor="page108">
        <w:r>
          <w:rPr>
            <w:rFonts w:ascii="Arial" w:cs="Arial" w:eastAsia="Arial" w:hAnsi="Arial"/>
            <w:sz w:val="14"/>
            <w:szCs w:val="14"/>
            <w:u w:val="single" w:color="auto"/>
            <w:color w:val="0000EE"/>
          </w:rPr>
          <w:t>Certificate of the Chief Executive Officer of Universal Forest Products, Inc., pursuant to Section 906 of the Sarbanes-Oxley Act of</w:t>
        </w:r>
      </w:hyperlink>
      <w:r>
        <w:rPr>
          <w:rFonts w:ascii="Arial" w:cs="Arial" w:eastAsia="Arial" w:hAnsi="Arial"/>
          <w:sz w:val="14"/>
          <w:szCs w:val="14"/>
          <w:u w:val="single" w:color="auto"/>
          <w:color w:val="0000EE"/>
        </w:rPr>
        <w:t xml:space="preserve"> </w:t>
      </w:r>
      <w:hyperlink w:anchor="page108">
        <w:r>
          <w:rPr>
            <w:rFonts w:ascii="Arial" w:cs="Arial" w:eastAsia="Arial" w:hAnsi="Arial"/>
            <w:sz w:val="14"/>
            <w:szCs w:val="14"/>
            <w:u w:val="single" w:color="auto"/>
            <w:color w:val="0000EE"/>
          </w:rPr>
          <w:t>2002 (18 U.S.C. 1350).</w:t>
        </w:r>
      </w:hyperlink>
    </w:p>
    <w:p>
      <w:pPr>
        <w:spacing w:after="0" w:line="110" w:lineRule="exact"/>
        <w:rPr>
          <w:rFonts w:ascii="Arial" w:cs="Arial" w:eastAsia="Arial" w:hAnsi="Arial"/>
          <w:sz w:val="14"/>
          <w:szCs w:val="14"/>
          <w:u w:val="single" w:color="auto"/>
          <w:color w:val="0000EE"/>
        </w:rPr>
      </w:pPr>
    </w:p>
    <w:p>
      <w:pPr>
        <w:ind w:left="1480" w:right="219" w:hanging="547"/>
        <w:spacing w:after="0" w:line="250" w:lineRule="auto"/>
        <w:tabs>
          <w:tab w:leader="none" w:pos="1480" w:val="left"/>
        </w:tabs>
        <w:numPr>
          <w:ilvl w:val="1"/>
          <w:numId w:val="17"/>
        </w:numPr>
        <w:rPr>
          <w:rFonts w:ascii="Arial" w:cs="Arial" w:eastAsia="Arial" w:hAnsi="Arial"/>
          <w:sz w:val="14"/>
          <w:szCs w:val="14"/>
          <w:u w:val="single" w:color="auto"/>
          <w:color w:val="0000EE"/>
        </w:rPr>
      </w:pPr>
      <w:hyperlink w:anchor="page109">
        <w:r>
          <w:rPr>
            <w:rFonts w:ascii="Arial" w:cs="Arial" w:eastAsia="Arial" w:hAnsi="Arial"/>
            <w:sz w:val="14"/>
            <w:szCs w:val="14"/>
            <w:u w:val="single" w:color="auto"/>
            <w:color w:val="0000EE"/>
          </w:rPr>
          <w:t>Certificate of the Chief Financial Officer of Universal Forest Products, Inc., pursuant to Section 906 of the Sarbanes-Oxley Act of</w:t>
        </w:r>
      </w:hyperlink>
      <w:r>
        <w:rPr>
          <w:rFonts w:ascii="Arial" w:cs="Arial" w:eastAsia="Arial" w:hAnsi="Arial"/>
          <w:sz w:val="14"/>
          <w:szCs w:val="14"/>
          <w:u w:val="single" w:color="auto"/>
          <w:color w:val="0000EE"/>
        </w:rPr>
        <w:t xml:space="preserve"> </w:t>
      </w:r>
      <w:hyperlink w:anchor="page109">
        <w:r>
          <w:rPr>
            <w:rFonts w:ascii="Arial" w:cs="Arial" w:eastAsia="Arial" w:hAnsi="Arial"/>
            <w:sz w:val="14"/>
            <w:szCs w:val="14"/>
            <w:u w:val="single" w:color="auto"/>
            <w:color w:val="0000EE"/>
          </w:rPr>
          <w:t>2002 (18 U.S.C. 1350).</w:t>
        </w:r>
      </w:hyperlink>
    </w:p>
    <w:p>
      <w:pPr>
        <w:spacing w:after="0" w:line="111" w:lineRule="exact"/>
        <w:rPr>
          <w:rFonts w:ascii="Arial" w:cs="Arial" w:eastAsia="Arial" w:hAnsi="Arial"/>
          <w:sz w:val="14"/>
          <w:szCs w:val="14"/>
          <w:color w:val="auto"/>
        </w:rPr>
      </w:pPr>
    </w:p>
    <w:p>
      <w:pPr>
        <w:ind w:left="940" w:hanging="931"/>
        <w:spacing w:after="0"/>
        <w:tabs>
          <w:tab w:leader="none" w:pos="940" w:val="left"/>
        </w:tabs>
        <w:numPr>
          <w:ilvl w:val="1"/>
          <w:numId w:val="18"/>
        </w:numPr>
        <w:rPr>
          <w:rFonts w:ascii="Arial" w:cs="Arial" w:eastAsia="Arial" w:hAnsi="Arial"/>
          <w:sz w:val="14"/>
          <w:szCs w:val="14"/>
          <w:color w:val="auto"/>
        </w:rPr>
      </w:pPr>
      <w:r>
        <w:rPr>
          <w:rFonts w:ascii="Arial" w:cs="Arial" w:eastAsia="Arial" w:hAnsi="Arial"/>
          <w:sz w:val="14"/>
          <w:szCs w:val="14"/>
          <w:color w:val="auto"/>
        </w:rPr>
        <w:t>Interactive Data File.</w:t>
      </w:r>
    </w:p>
    <w:p>
      <w:pPr>
        <w:spacing w:after="0" w:line="136" w:lineRule="exact"/>
        <w:rPr>
          <w:rFonts w:ascii="Arial" w:cs="Arial" w:eastAsia="Arial" w:hAnsi="Arial"/>
          <w:sz w:val="14"/>
          <w:szCs w:val="14"/>
          <w:color w:val="auto"/>
        </w:rPr>
      </w:pPr>
    </w:p>
    <w:p>
      <w:pPr>
        <w:jc w:val="both"/>
        <w:ind w:left="940" w:right="6199"/>
        <w:spacing w:after="0" w:line="477" w:lineRule="auto"/>
        <w:rPr>
          <w:rFonts w:ascii="Arial" w:cs="Arial" w:eastAsia="Arial" w:hAnsi="Arial"/>
          <w:sz w:val="14"/>
          <w:szCs w:val="14"/>
          <w:color w:val="auto"/>
        </w:rPr>
      </w:pPr>
      <w:r>
        <w:rPr>
          <w:rFonts w:ascii="Arial" w:cs="Arial" w:eastAsia="Arial" w:hAnsi="Arial"/>
          <w:sz w:val="13"/>
          <w:szCs w:val="13"/>
          <w:color w:val="auto"/>
        </w:rPr>
        <w:t>(INS) XBRL Instance Document. (SCH) XBRL Schema Document.</w:t>
      </w:r>
    </w:p>
    <w:p>
      <w:pPr>
        <w:ind w:left="940"/>
        <w:spacing w:after="0"/>
        <w:rPr>
          <w:rFonts w:ascii="Arial" w:cs="Arial" w:eastAsia="Arial" w:hAnsi="Arial"/>
          <w:sz w:val="14"/>
          <w:szCs w:val="14"/>
          <w:color w:val="auto"/>
        </w:rPr>
      </w:pPr>
      <w:r>
        <w:rPr>
          <w:rFonts w:ascii="Arial" w:cs="Arial" w:eastAsia="Arial" w:hAnsi="Arial"/>
          <w:sz w:val="14"/>
          <w:szCs w:val="14"/>
          <w:color w:val="auto"/>
        </w:rPr>
        <w:t>(CAL) XBRL Taxonomy Extension Calculation Linkbase Document.</w:t>
      </w:r>
    </w:p>
    <w:p>
      <w:pPr>
        <w:spacing w:after="0" w:line="136" w:lineRule="exact"/>
        <w:rPr>
          <w:rFonts w:ascii="Arial" w:cs="Arial" w:eastAsia="Arial" w:hAnsi="Arial"/>
          <w:sz w:val="14"/>
          <w:szCs w:val="14"/>
          <w:color w:val="auto"/>
        </w:rPr>
      </w:pPr>
    </w:p>
    <w:p>
      <w:pPr>
        <w:ind w:left="940" w:right="4179"/>
        <w:spacing w:after="0" w:line="505" w:lineRule="auto"/>
        <w:rPr>
          <w:rFonts w:ascii="Arial" w:cs="Arial" w:eastAsia="Arial" w:hAnsi="Arial"/>
          <w:sz w:val="14"/>
          <w:szCs w:val="14"/>
          <w:color w:val="auto"/>
        </w:rPr>
      </w:pPr>
      <w:r>
        <w:rPr>
          <w:rFonts w:ascii="Arial" w:cs="Arial" w:eastAsia="Arial" w:hAnsi="Arial"/>
          <w:sz w:val="13"/>
          <w:szCs w:val="13"/>
          <w:color w:val="auto"/>
        </w:rPr>
        <w:t>(LAB) XBRL Taxonomy Extension Label Linkbase Document. (PRE) XBRL Taxonomy Extension Presentation Linkbase Document. (DEF) XBRL Taxonomy Extension Definition Linkbase Document.</w:t>
      </w:r>
    </w:p>
    <w:p>
      <w:pPr>
        <w:spacing w:after="0" w:line="1"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   Indicates a compensatory arrangement.</w:t>
      </w:r>
    </w:p>
    <w:p>
      <w:pPr>
        <w:spacing w:after="0" w:line="20" w:lineRule="exact"/>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column">
              <wp:posOffset>2540</wp:posOffset>
            </wp:positionH>
            <wp:positionV relativeFrom="paragraph">
              <wp:posOffset>-155575</wp:posOffset>
            </wp:positionV>
            <wp:extent cx="1443355" cy="69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9">
                      <a:extLst>
                        <a:ext uri="{28A0092B-C50C-407E-A947-70E740481C1C}"/>
                      </a:extLst>
                    </a:blip>
                    <a:srcRect/>
                    <a:stretch>
                      <a:fillRect/>
                    </a:stretch>
                  </pic:blipFill>
                  <pic:spPr bwMode="auto">
                    <a:xfrm>
                      <a:off x="0" y="0"/>
                      <a:ext cx="1443355" cy="6985"/>
                    </a:xfrm>
                    <a:prstGeom prst="rect">
                      <a:avLst/>
                    </a:prstGeom>
                    <a:noFill/>
                  </pic:spPr>
                </pic:pic>
              </a:graphicData>
            </a:graphic>
          </wp:anchor>
        </w:drawing>
      </w:r>
    </w:p>
    <w:p>
      <w:pPr>
        <w:spacing w:after="0" w:line="200" w:lineRule="exact"/>
        <w:rPr>
          <w:rFonts w:ascii="Arial" w:cs="Arial" w:eastAsia="Arial" w:hAnsi="Arial"/>
          <w:sz w:val="14"/>
          <w:szCs w:val="14"/>
          <w:color w:val="auto"/>
        </w:rPr>
      </w:pPr>
    </w:p>
    <w:p>
      <w:pPr>
        <w:spacing w:after="0" w:line="299" w:lineRule="exact"/>
        <w:rPr>
          <w:rFonts w:ascii="Arial" w:cs="Arial" w:eastAsia="Arial" w:hAnsi="Arial"/>
          <w:sz w:val="14"/>
          <w:szCs w:val="14"/>
          <w:color w:val="auto"/>
        </w:rPr>
      </w:pPr>
    </w:p>
    <w:p>
      <w:pPr>
        <w:jc w:val="center"/>
        <w:ind w:right="-40"/>
        <w:spacing w:after="0"/>
        <w:rPr>
          <w:sz w:val="20"/>
          <w:szCs w:val="20"/>
          <w:color w:val="auto"/>
        </w:rPr>
      </w:pPr>
      <w:r>
        <w:rPr>
          <w:rFonts w:ascii="Arial" w:cs="Arial" w:eastAsia="Arial" w:hAnsi="Arial"/>
          <w:sz w:val="14"/>
          <w:szCs w:val="14"/>
          <w:color w:val="auto"/>
        </w:rPr>
        <w:t>2</w:t>
      </w:r>
    </w:p>
    <w:p>
      <w:pPr>
        <w:spacing w:after="0" w:line="20" w:lineRule="exact"/>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column">
              <wp:posOffset>2540</wp:posOffset>
            </wp:positionH>
            <wp:positionV relativeFrom="paragraph">
              <wp:posOffset>66675</wp:posOffset>
            </wp:positionV>
            <wp:extent cx="5779135" cy="203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0">
                      <a:extLst>
                        <a:ext uri="{28A0092B-C50C-407E-A947-70E740481C1C}"/>
                      </a:extLst>
                    </a:blip>
                    <a:srcRect/>
                    <a:stretch>
                      <a:fillRect/>
                    </a:stretch>
                  </pic:blipFill>
                  <pic:spPr bwMode="auto">
                    <a:xfrm>
                      <a:off x="0" y="0"/>
                      <a:ext cx="5779135" cy="20320"/>
                    </a:xfrm>
                    <a:prstGeom prst="rect">
                      <a:avLst/>
                    </a:prstGeom>
                    <a:noFill/>
                  </pic:spPr>
                </pic:pic>
              </a:graphicData>
            </a:graphic>
          </wp:anchor>
        </w:drawing>
      </w:r>
    </w:p>
    <w:p>
      <w:pPr>
        <w:sectPr>
          <w:pgSz w:w="11900" w:h="16838" w:orient="portrait"/>
          <w:cols w:equalWidth="0" w:num="1">
            <w:col w:w="9059"/>
          </w:cols>
          <w:pgMar w:left="1400" w:top="255" w:right="1440" w:bottom="1440" w:gutter="0" w:footer="0" w:header="0"/>
        </w:sectPr>
      </w:pPr>
    </w:p>
    <w:bookmarkStart w:id="15" w:name="page16"/>
    <w:bookmarkEnd w:id="15"/>
    <w:p>
      <w:pPr>
        <w:jc w:val="center"/>
        <w:spacing w:after="0"/>
        <w:rPr>
          <w:sz w:val="20"/>
          <w:szCs w:val="20"/>
          <w:color w:val="auto"/>
        </w:rPr>
      </w:pPr>
      <w:r>
        <w:rPr>
          <w:rFonts w:ascii="Arial" w:cs="Arial" w:eastAsia="Arial" w:hAnsi="Arial"/>
          <w:sz w:val="14"/>
          <w:szCs w:val="14"/>
          <w:b w:val="1"/>
          <w:bCs w:val="1"/>
          <w:u w:val="single" w:color="auto"/>
          <w:color w:val="auto"/>
        </w:rPr>
        <w:t>SIGNATURES</w:t>
      </w:r>
    </w:p>
    <w:p>
      <w:pPr>
        <w:spacing w:after="0" w:line="183" w:lineRule="exact"/>
        <w:rPr>
          <w:sz w:val="20"/>
          <w:szCs w:val="20"/>
          <w:color w:val="auto"/>
        </w:rPr>
      </w:pPr>
    </w:p>
    <w:p>
      <w:pPr>
        <w:jc w:val="both"/>
        <w:ind w:firstLine="510"/>
        <w:spacing w:after="0" w:line="281" w:lineRule="auto"/>
        <w:rPr>
          <w:sz w:val="20"/>
          <w:szCs w:val="20"/>
          <w:color w:val="auto"/>
        </w:rPr>
      </w:pPr>
      <w:r>
        <w:rPr>
          <w:rFonts w:ascii="Arial" w:cs="Arial" w:eastAsia="Arial" w:hAnsi="Arial"/>
          <w:sz w:val="14"/>
          <w:szCs w:val="14"/>
          <w:color w:val="auto"/>
        </w:rPr>
        <w:t>Pursuant to the requirements of Section 13 or 15(d) of the Securities and Exchange Act of 1934, the Registrant has duly caused this report to be signed on its behalf by the undersigned, thereunto duly authorized.</w:t>
      </w:r>
    </w:p>
    <w:p>
      <w:pPr>
        <w:spacing w:after="0" w:line="139" w:lineRule="exact"/>
        <w:rPr>
          <w:sz w:val="20"/>
          <w:szCs w:val="20"/>
          <w:color w:val="auto"/>
        </w:rPr>
      </w:pPr>
    </w:p>
    <w:p>
      <w:pPr>
        <w:spacing w:after="0"/>
        <w:tabs>
          <w:tab w:leader="none" w:pos="4420" w:val="left"/>
        </w:tabs>
        <w:rPr>
          <w:sz w:val="20"/>
          <w:szCs w:val="20"/>
          <w:color w:val="auto"/>
        </w:rPr>
      </w:pPr>
      <w:r>
        <w:rPr>
          <w:rFonts w:ascii="Arial" w:cs="Arial" w:eastAsia="Arial" w:hAnsi="Arial"/>
          <w:sz w:val="14"/>
          <w:szCs w:val="14"/>
          <w:color w:val="auto"/>
        </w:rPr>
        <w:t>Dated: February 27, 2019</w:t>
      </w:r>
      <w:r>
        <w:rPr>
          <w:sz w:val="20"/>
          <w:szCs w:val="20"/>
          <w:color w:val="auto"/>
        </w:rPr>
        <w:tab/>
      </w:r>
      <w:r>
        <w:rPr>
          <w:rFonts w:ascii="Arial" w:cs="Arial" w:eastAsia="Arial" w:hAnsi="Arial"/>
          <w:sz w:val="14"/>
          <w:szCs w:val="14"/>
          <w:b w:val="1"/>
          <w:bCs w:val="1"/>
          <w:color w:val="auto"/>
        </w:rPr>
        <w:t>UNIVERSAL FOREST PRODUCTS, INC.</w:t>
      </w:r>
    </w:p>
    <w:p>
      <w:pPr>
        <w:spacing w:after="0" w:line="183" w:lineRule="exact"/>
        <w:rPr>
          <w:sz w:val="20"/>
          <w:szCs w:val="20"/>
          <w:color w:val="auto"/>
        </w:rPr>
      </w:pPr>
    </w:p>
    <w:p>
      <w:pPr>
        <w:ind w:left="4440"/>
        <w:spacing w:after="0"/>
        <w:tabs>
          <w:tab w:leader="none" w:pos="4800" w:val="left"/>
        </w:tabs>
        <w:rPr>
          <w:sz w:val="20"/>
          <w:szCs w:val="20"/>
          <w:color w:val="auto"/>
        </w:rPr>
      </w:pPr>
      <w:r>
        <w:rPr>
          <w:rFonts w:ascii="Arial" w:cs="Arial" w:eastAsia="Arial" w:hAnsi="Arial"/>
          <w:sz w:val="14"/>
          <w:szCs w:val="14"/>
          <w:color w:val="auto"/>
        </w:rPr>
        <w:t>By:</w:t>
        <w:tab/>
        <w:t>/s/ Matthew J. Missad</w:t>
      </w:r>
    </w:p>
    <w:p>
      <w:pPr>
        <w:spacing w:after="0" w:line="19" w:lineRule="exact"/>
        <w:rPr>
          <w:sz w:val="20"/>
          <w:szCs w:val="20"/>
          <w:color w:val="auto"/>
        </w:rPr>
      </w:pPr>
    </w:p>
    <w:p>
      <w:pPr>
        <w:ind w:left="4820"/>
        <w:spacing w:after="0"/>
        <w:rPr>
          <w:sz w:val="20"/>
          <w:szCs w:val="20"/>
          <w:color w:val="auto"/>
        </w:rPr>
      </w:pPr>
      <w:r>
        <w:rPr>
          <w:rFonts w:ascii="Arial" w:cs="Arial" w:eastAsia="Arial" w:hAnsi="Arial"/>
          <w:sz w:val="14"/>
          <w:szCs w:val="14"/>
          <w:b w:val="1"/>
          <w:bCs w:val="1"/>
          <w:color w:val="auto"/>
        </w:rPr>
        <w:t>Matthew J. Missad,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3063875</wp:posOffset>
            </wp:positionH>
            <wp:positionV relativeFrom="paragraph">
              <wp:posOffset>-101600</wp:posOffset>
            </wp:positionV>
            <wp:extent cx="2717800" cy="69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1">
                      <a:extLst>
                        <a:ext uri="{28A0092B-C50C-407E-A947-70E740481C1C}"/>
                      </a:extLst>
                    </a:blip>
                    <a:srcRect/>
                    <a:stretch>
                      <a:fillRect/>
                    </a:stretch>
                  </pic:blipFill>
                  <pic:spPr bwMode="auto">
                    <a:xfrm>
                      <a:off x="0" y="0"/>
                      <a:ext cx="2717800" cy="6985"/>
                    </a:xfrm>
                    <a:prstGeom prst="rect">
                      <a:avLst/>
                    </a:prstGeom>
                    <a:noFill/>
                  </pic:spPr>
                </pic:pic>
              </a:graphicData>
            </a:graphic>
          </wp:anchor>
        </w:drawing>
      </w:r>
    </w:p>
    <w:p>
      <w:pPr>
        <w:ind w:left="4820"/>
        <w:spacing w:after="0"/>
        <w:rPr>
          <w:sz w:val="20"/>
          <w:szCs w:val="20"/>
          <w:color w:val="auto"/>
        </w:rPr>
      </w:pPr>
      <w:r>
        <w:rPr>
          <w:rFonts w:ascii="Arial" w:cs="Arial" w:eastAsia="Arial" w:hAnsi="Arial"/>
          <w:sz w:val="14"/>
          <w:szCs w:val="14"/>
          <w:b w:val="1"/>
          <w:bCs w:val="1"/>
          <w:color w:val="auto"/>
        </w:rPr>
        <w:t>Chief Executive Officer and</w:t>
      </w:r>
    </w:p>
    <w:p>
      <w:pPr>
        <w:spacing w:after="0" w:line="9" w:lineRule="exact"/>
        <w:rPr>
          <w:sz w:val="20"/>
          <w:szCs w:val="20"/>
          <w:color w:val="auto"/>
        </w:rPr>
      </w:pPr>
    </w:p>
    <w:p>
      <w:pPr>
        <w:ind w:left="4820"/>
        <w:spacing w:after="0"/>
        <w:rPr>
          <w:sz w:val="20"/>
          <w:szCs w:val="20"/>
          <w:color w:val="auto"/>
        </w:rPr>
      </w:pPr>
      <w:r>
        <w:rPr>
          <w:rFonts w:ascii="Arial" w:cs="Arial" w:eastAsia="Arial" w:hAnsi="Arial"/>
          <w:sz w:val="14"/>
          <w:szCs w:val="14"/>
          <w:b w:val="1"/>
          <w:bCs w:val="1"/>
          <w:color w:val="auto"/>
        </w:rPr>
        <w:t>Principal Executive Officer</w:t>
      </w:r>
    </w:p>
    <w:p>
      <w:pPr>
        <w:spacing w:after="0" w:line="169" w:lineRule="exact"/>
        <w:rPr>
          <w:sz w:val="20"/>
          <w:szCs w:val="20"/>
          <w:color w:val="auto"/>
        </w:rPr>
      </w:pPr>
    </w:p>
    <w:p>
      <w:pPr>
        <w:jc w:val="both"/>
        <w:ind w:firstLine="510"/>
        <w:spacing w:after="0" w:line="281" w:lineRule="auto"/>
        <w:rPr>
          <w:sz w:val="20"/>
          <w:szCs w:val="20"/>
          <w:color w:val="auto"/>
        </w:rPr>
      </w:pPr>
      <w:r>
        <w:rPr>
          <w:rFonts w:ascii="Arial" w:cs="Arial" w:eastAsia="Arial" w:hAnsi="Arial"/>
          <w:sz w:val="14"/>
          <w:szCs w:val="14"/>
          <w:color w:val="auto"/>
        </w:rPr>
        <w:t>Pursuant to the requirements of the Securities Exchange Act of 1934, this report has been signed below on this 27th day of February, 2019, by the following persons on behalf of us and in the capacities indicated.</w:t>
      </w:r>
    </w:p>
    <w:p>
      <w:pPr>
        <w:spacing w:after="0" w:line="143" w:lineRule="exact"/>
        <w:rPr>
          <w:sz w:val="20"/>
          <w:szCs w:val="20"/>
          <w:color w:val="auto"/>
        </w:rPr>
      </w:pPr>
    </w:p>
    <w:p>
      <w:pPr>
        <w:ind w:left="4420"/>
        <w:spacing w:after="0"/>
        <w:tabs>
          <w:tab w:leader="none" w:pos="4780" w:val="left"/>
        </w:tabs>
        <w:rPr>
          <w:sz w:val="20"/>
          <w:szCs w:val="20"/>
          <w:color w:val="auto"/>
        </w:rPr>
      </w:pPr>
      <w:r>
        <w:rPr>
          <w:rFonts w:ascii="Arial" w:cs="Arial" w:eastAsia="Arial" w:hAnsi="Arial"/>
          <w:sz w:val="14"/>
          <w:szCs w:val="14"/>
          <w:color w:val="auto"/>
        </w:rPr>
        <w:t>By:</w:t>
        <w:tab/>
        <w:t>/s/ Matthew J. Missad</w:t>
      </w:r>
    </w:p>
    <w:p>
      <w:pPr>
        <w:spacing w:after="0" w:line="19" w:lineRule="exact"/>
        <w:rPr>
          <w:sz w:val="20"/>
          <w:szCs w:val="20"/>
          <w:color w:val="auto"/>
        </w:rPr>
      </w:pPr>
    </w:p>
    <w:p>
      <w:pPr>
        <w:ind w:left="4800"/>
        <w:spacing w:after="0"/>
        <w:rPr>
          <w:sz w:val="20"/>
          <w:szCs w:val="20"/>
          <w:color w:val="auto"/>
        </w:rPr>
      </w:pPr>
      <w:r>
        <w:rPr>
          <w:rFonts w:ascii="Arial" w:cs="Arial" w:eastAsia="Arial" w:hAnsi="Arial"/>
          <w:sz w:val="14"/>
          <w:szCs w:val="14"/>
          <w:b w:val="1"/>
          <w:bCs w:val="1"/>
          <w:color w:val="auto"/>
        </w:rPr>
        <w:t>Matthew J. Missad,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3050540</wp:posOffset>
            </wp:positionH>
            <wp:positionV relativeFrom="paragraph">
              <wp:posOffset>-101600</wp:posOffset>
            </wp:positionV>
            <wp:extent cx="2731135" cy="69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2">
                      <a:extLst>
                        <a:ext uri="{28A0092B-C50C-407E-A947-70E740481C1C}"/>
                      </a:extLst>
                    </a:blip>
                    <a:srcRect/>
                    <a:stretch>
                      <a:fillRect/>
                    </a:stretch>
                  </pic:blipFill>
                  <pic:spPr bwMode="auto">
                    <a:xfrm>
                      <a:off x="0" y="0"/>
                      <a:ext cx="2731135" cy="6985"/>
                    </a:xfrm>
                    <a:prstGeom prst="rect">
                      <a:avLst/>
                    </a:prstGeom>
                    <a:noFill/>
                  </pic:spPr>
                </pic:pic>
              </a:graphicData>
            </a:graphic>
          </wp:anchor>
        </w:drawing>
      </w:r>
    </w:p>
    <w:p>
      <w:pPr>
        <w:ind w:left="4800"/>
        <w:spacing w:after="0"/>
        <w:rPr>
          <w:sz w:val="20"/>
          <w:szCs w:val="20"/>
          <w:color w:val="auto"/>
        </w:rPr>
      </w:pPr>
      <w:r>
        <w:rPr>
          <w:rFonts w:ascii="Arial" w:cs="Arial" w:eastAsia="Arial" w:hAnsi="Arial"/>
          <w:sz w:val="14"/>
          <w:szCs w:val="14"/>
          <w:b w:val="1"/>
          <w:bCs w:val="1"/>
          <w:color w:val="auto"/>
        </w:rPr>
        <w:t>Chief Executive Officer and</w:t>
      </w:r>
    </w:p>
    <w:p>
      <w:pPr>
        <w:spacing w:after="0" w:line="9" w:lineRule="exact"/>
        <w:rPr>
          <w:sz w:val="20"/>
          <w:szCs w:val="20"/>
          <w:color w:val="auto"/>
        </w:rPr>
      </w:pPr>
    </w:p>
    <w:p>
      <w:pPr>
        <w:ind w:left="4800"/>
        <w:spacing w:after="0"/>
        <w:rPr>
          <w:sz w:val="20"/>
          <w:szCs w:val="20"/>
          <w:color w:val="auto"/>
        </w:rPr>
      </w:pPr>
      <w:r>
        <w:rPr>
          <w:rFonts w:ascii="Arial" w:cs="Arial" w:eastAsia="Arial" w:hAnsi="Arial"/>
          <w:sz w:val="14"/>
          <w:szCs w:val="14"/>
          <w:b w:val="1"/>
          <w:bCs w:val="1"/>
          <w:color w:val="auto"/>
        </w:rPr>
        <w:t>Principal Executive Officer</w:t>
      </w:r>
    </w:p>
    <w:p>
      <w:pPr>
        <w:spacing w:after="0" w:line="169" w:lineRule="exact"/>
        <w:rPr>
          <w:sz w:val="20"/>
          <w:szCs w:val="20"/>
          <w:color w:val="auto"/>
        </w:rPr>
      </w:pPr>
    </w:p>
    <w:p>
      <w:pPr>
        <w:ind w:left="4800"/>
        <w:spacing w:after="0"/>
        <w:rPr>
          <w:sz w:val="20"/>
          <w:szCs w:val="20"/>
          <w:color w:val="auto"/>
        </w:rPr>
      </w:pPr>
      <w:r>
        <w:rPr>
          <w:rFonts w:ascii="Arial" w:cs="Arial" w:eastAsia="Arial" w:hAnsi="Arial"/>
          <w:sz w:val="14"/>
          <w:szCs w:val="14"/>
          <w:color w:val="auto"/>
        </w:rPr>
        <w:t>/s/ Michael R. Cole</w:t>
      </w:r>
    </w:p>
    <w:p>
      <w:pPr>
        <w:spacing w:after="0" w:line="19" w:lineRule="exact"/>
        <w:rPr>
          <w:sz w:val="20"/>
          <w:szCs w:val="20"/>
          <w:color w:val="auto"/>
        </w:rPr>
      </w:pPr>
    </w:p>
    <w:p>
      <w:pPr>
        <w:ind w:left="4800"/>
        <w:spacing w:after="0"/>
        <w:rPr>
          <w:sz w:val="20"/>
          <w:szCs w:val="20"/>
          <w:color w:val="auto"/>
        </w:rPr>
      </w:pPr>
      <w:r>
        <w:rPr>
          <w:rFonts w:ascii="Arial" w:cs="Arial" w:eastAsia="Arial" w:hAnsi="Arial"/>
          <w:sz w:val="14"/>
          <w:szCs w:val="14"/>
          <w:b w:val="1"/>
          <w:bCs w:val="1"/>
          <w:color w:val="auto"/>
        </w:rPr>
        <w:t>Michael R. Cole,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3050540</wp:posOffset>
            </wp:positionH>
            <wp:positionV relativeFrom="paragraph">
              <wp:posOffset>-101600</wp:posOffset>
            </wp:positionV>
            <wp:extent cx="2731135" cy="69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3">
                      <a:extLst>
                        <a:ext uri="{28A0092B-C50C-407E-A947-70E740481C1C}"/>
                      </a:extLst>
                    </a:blip>
                    <a:srcRect/>
                    <a:stretch>
                      <a:fillRect/>
                    </a:stretch>
                  </pic:blipFill>
                  <pic:spPr bwMode="auto">
                    <a:xfrm>
                      <a:off x="0" y="0"/>
                      <a:ext cx="2731135" cy="6985"/>
                    </a:xfrm>
                    <a:prstGeom prst="rect">
                      <a:avLst/>
                    </a:prstGeom>
                    <a:noFill/>
                  </pic:spPr>
                </pic:pic>
              </a:graphicData>
            </a:graphic>
          </wp:anchor>
        </w:drawing>
      </w:r>
    </w:p>
    <w:p>
      <w:pPr>
        <w:ind w:left="4800"/>
        <w:spacing w:after="0"/>
        <w:rPr>
          <w:sz w:val="20"/>
          <w:szCs w:val="20"/>
          <w:color w:val="auto"/>
        </w:rPr>
      </w:pPr>
      <w:r>
        <w:rPr>
          <w:rFonts w:ascii="Arial" w:cs="Arial" w:eastAsia="Arial" w:hAnsi="Arial"/>
          <w:sz w:val="14"/>
          <w:szCs w:val="14"/>
          <w:b w:val="1"/>
          <w:bCs w:val="1"/>
          <w:color w:val="auto"/>
        </w:rPr>
        <w:t>Chief Financial Officer,</w:t>
      </w:r>
    </w:p>
    <w:p>
      <w:pPr>
        <w:spacing w:after="0" w:line="9" w:lineRule="exact"/>
        <w:rPr>
          <w:sz w:val="20"/>
          <w:szCs w:val="20"/>
          <w:color w:val="auto"/>
        </w:rPr>
      </w:pPr>
    </w:p>
    <w:p>
      <w:pPr>
        <w:ind w:left="4800"/>
        <w:spacing w:after="0"/>
        <w:rPr>
          <w:sz w:val="20"/>
          <w:szCs w:val="20"/>
          <w:color w:val="auto"/>
        </w:rPr>
      </w:pPr>
      <w:r>
        <w:rPr>
          <w:rFonts w:ascii="Arial" w:cs="Arial" w:eastAsia="Arial" w:hAnsi="Arial"/>
          <w:sz w:val="14"/>
          <w:szCs w:val="14"/>
          <w:b w:val="1"/>
          <w:bCs w:val="1"/>
          <w:color w:val="auto"/>
        </w:rPr>
        <w:t>Principal Financial Officer and</w:t>
      </w:r>
    </w:p>
    <w:p>
      <w:pPr>
        <w:spacing w:after="0" w:line="9" w:lineRule="exact"/>
        <w:rPr>
          <w:sz w:val="20"/>
          <w:szCs w:val="20"/>
          <w:color w:val="auto"/>
        </w:rPr>
      </w:pPr>
    </w:p>
    <w:p>
      <w:pPr>
        <w:ind w:left="4800"/>
        <w:spacing w:after="0"/>
        <w:rPr>
          <w:sz w:val="20"/>
          <w:szCs w:val="20"/>
          <w:color w:val="auto"/>
        </w:rPr>
      </w:pPr>
      <w:r>
        <w:rPr>
          <w:rFonts w:ascii="Arial" w:cs="Arial" w:eastAsia="Arial" w:hAnsi="Arial"/>
          <w:sz w:val="14"/>
          <w:szCs w:val="14"/>
          <w:b w:val="1"/>
          <w:bCs w:val="1"/>
          <w:color w:val="auto"/>
        </w:rPr>
        <w:t>Principal Accounting Officer</w:t>
      </w:r>
    </w:p>
    <w:p>
      <w:pPr>
        <w:spacing w:after="0" w:line="169" w:lineRule="exact"/>
        <w:rPr>
          <w:sz w:val="20"/>
          <w:szCs w:val="20"/>
          <w:color w:val="auto"/>
        </w:rPr>
      </w:pPr>
    </w:p>
    <w:p>
      <w:pPr>
        <w:jc w:val="both"/>
        <w:ind w:firstLine="510"/>
        <w:spacing w:after="0" w:line="174" w:lineRule="exact"/>
        <w:rPr>
          <w:sz w:val="20"/>
          <w:szCs w:val="20"/>
          <w:color w:val="auto"/>
        </w:rPr>
      </w:pPr>
      <w:r>
        <w:rPr>
          <w:rFonts w:ascii="Arial" w:cs="Arial" w:eastAsia="Arial" w:hAnsi="Arial"/>
          <w:sz w:val="14"/>
          <w:szCs w:val="14"/>
          <w:color w:val="auto"/>
        </w:rPr>
        <w:t>Each Director whose signature appears below hereby appoints Matthew J. Missad and Michael R. Cole, and each of them individually, as his or her attorney-in-fact to sign in his or her name and on his or her behalf as a Director, and to file with the Commission any and all amendments to this report on Form 10</w:t>
      </w:r>
      <w:r>
        <w:rPr>
          <w:rFonts w:ascii="MS PGothic" w:cs="MS PGothic" w:eastAsia="MS PGothic" w:hAnsi="MS PGothic"/>
          <w:sz w:val="14"/>
          <w:szCs w:val="14"/>
          <w:color w:val="auto"/>
        </w:rPr>
        <w:t>‑</w:t>
      </w:r>
      <w:r>
        <w:rPr>
          <w:rFonts w:ascii="Arial" w:cs="Arial" w:eastAsia="Arial" w:hAnsi="Arial"/>
          <w:sz w:val="14"/>
          <w:szCs w:val="14"/>
          <w:color w:val="auto"/>
        </w:rPr>
        <w:t>K to the same extent and with the same effect as if done personally.</w:t>
      </w:r>
    </w:p>
    <w:p>
      <w:pPr>
        <w:sectPr>
          <w:pgSz w:w="11900" w:h="16838" w:orient="portrait"/>
          <w:cols w:equalWidth="0" w:num="1">
            <w:col w:w="9100"/>
          </w:cols>
          <w:pgMar w:left="1400" w:top="125" w:right="1399" w:bottom="1440" w:gutter="0" w:footer="0" w:header="0"/>
        </w:sect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color w:val="auto"/>
        </w:rPr>
        <w:t>/s/ Joan A. Budden</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Joan A. Budden,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-101600</wp:posOffset>
            </wp:positionV>
            <wp:extent cx="2778125" cy="69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4">
                      <a:extLst>
                        <a:ext uri="{28A0092B-C50C-407E-A947-70E740481C1C}"/>
                      </a:extLst>
                    </a:blip>
                    <a:srcRect/>
                    <a:stretch>
                      <a:fillRect/>
                    </a:stretch>
                  </pic:blipFill>
                  <pic:spPr bwMode="auto">
                    <a:xfrm>
                      <a:off x="0" y="0"/>
                      <a:ext cx="2778125" cy="6985"/>
                    </a:xfrm>
                    <a:prstGeom prst="rect">
                      <a:avLst/>
                    </a:prstGeom>
                    <a:noFill/>
                  </pic:spPr>
                </pic:pic>
              </a:graphicData>
            </a:graphic>
          </wp:anchor>
        </w:drawing>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color w:val="auto"/>
        </w:rPr>
        <w:t>/s/ John M. Engler</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John M. Engler,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-101600</wp:posOffset>
            </wp:positionV>
            <wp:extent cx="2778125" cy="69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5">
                      <a:extLst>
                        <a:ext uri="{28A0092B-C50C-407E-A947-70E740481C1C}"/>
                      </a:extLst>
                    </a:blip>
                    <a:srcRect/>
                    <a:stretch>
                      <a:fillRect/>
                    </a:stretch>
                  </pic:blipFill>
                  <pic:spPr bwMode="auto">
                    <a:xfrm>
                      <a:off x="0" y="0"/>
                      <a:ext cx="2778125" cy="6985"/>
                    </a:xfrm>
                    <a:prstGeom prst="rect">
                      <a:avLst/>
                    </a:prstGeom>
                    <a:noFill/>
                  </pic:spPr>
                </pic:pic>
              </a:graphicData>
            </a:graphic>
          </wp:anchor>
        </w:drawing>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color w:val="auto"/>
        </w:rPr>
        <w:t>/s/ Matthew J. Missad</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Matthew J. Missad,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-101600</wp:posOffset>
            </wp:positionV>
            <wp:extent cx="2778125" cy="69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6">
                      <a:extLst>
                        <a:ext uri="{28A0092B-C50C-407E-A947-70E740481C1C}"/>
                      </a:extLst>
                    </a:blip>
                    <a:srcRect/>
                    <a:stretch>
                      <a:fillRect/>
                    </a:stretch>
                  </pic:blipFill>
                  <pic:spPr bwMode="auto">
                    <a:xfrm>
                      <a:off x="0" y="0"/>
                      <a:ext cx="2778125" cy="6985"/>
                    </a:xfrm>
                    <a:prstGeom prst="rect">
                      <a:avLst/>
                    </a:prstGeom>
                    <a:noFill/>
                  </pic:spPr>
                </pic:pic>
              </a:graphicData>
            </a:graphic>
          </wp:anchor>
        </w:drawing>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color w:val="auto"/>
        </w:rPr>
        <w:t>/s/ Mary E. Tuuk</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Mary E. Tuuk,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-101600</wp:posOffset>
            </wp:positionV>
            <wp:extent cx="2778125" cy="69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7">
                      <a:extLst>
                        <a:ext uri="{28A0092B-C50C-407E-A947-70E740481C1C}"/>
                      </a:extLst>
                    </a:blip>
                    <a:srcRect/>
                    <a:stretch>
                      <a:fillRect/>
                    </a:stretch>
                  </pic:blipFill>
                  <pic:spPr bwMode="auto">
                    <a:xfrm>
                      <a:off x="0" y="0"/>
                      <a:ext cx="2778125" cy="6985"/>
                    </a:xfrm>
                    <a:prstGeom prst="rect">
                      <a:avLst/>
                    </a:prstGeom>
                    <a:noFill/>
                  </pic:spPr>
                </pic:pic>
              </a:graphicData>
            </a:graphic>
          </wp:anchor>
        </w:drawing>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color w:val="auto"/>
        </w:rPr>
        <w:t>/s/ Michael G. Wooldridge</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Michael G. Wooldridge,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-93980</wp:posOffset>
            </wp:positionV>
            <wp:extent cx="2778125" cy="69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8">
                      <a:extLst>
                        <a:ext uri="{28A0092B-C50C-407E-A947-70E740481C1C}"/>
                      </a:extLst>
                    </a:blip>
                    <a:srcRect/>
                    <a:stretch>
                      <a:fillRect/>
                    </a:stretch>
                  </pic:blipFill>
                  <pic:spPr bwMode="auto">
                    <a:xfrm>
                      <a:off x="0" y="0"/>
                      <a:ext cx="2778125" cy="69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4"/>
          <w:szCs w:val="14"/>
          <w:color w:val="auto"/>
        </w:rPr>
        <w:t>/s/ William G. Currie</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William G. Currie,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-93980</wp:posOffset>
            </wp:positionV>
            <wp:extent cx="2731135" cy="69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9">
                      <a:extLst>
                        <a:ext uri="{28A0092B-C50C-407E-A947-70E740481C1C}"/>
                      </a:extLst>
                    </a:blip>
                    <a:srcRect/>
                    <a:stretch>
                      <a:fillRect/>
                    </a:stretch>
                  </pic:blipFill>
                  <pic:spPr bwMode="auto">
                    <a:xfrm>
                      <a:off x="0" y="0"/>
                      <a:ext cx="2731135" cy="6985"/>
                    </a:xfrm>
                    <a:prstGeom prst="rect">
                      <a:avLst/>
                    </a:prstGeom>
                    <a:noFill/>
                  </pic:spPr>
                </pic:pic>
              </a:graphicData>
            </a:graphic>
          </wp:anchor>
        </w:drawing>
      </w:r>
    </w:p>
    <w:p>
      <w:pPr>
        <w:spacing w:after="0" w:line="171" w:lineRule="exact"/>
        <w:rPr>
          <w:sz w:val="20"/>
          <w:szCs w:val="20"/>
          <w:color w:val="auto"/>
        </w:rPr>
      </w:pPr>
    </w:p>
    <w:p>
      <w:pPr>
        <w:spacing w:after="0"/>
        <w:rPr>
          <w:sz w:val="20"/>
          <w:szCs w:val="20"/>
          <w:color w:val="auto"/>
        </w:rPr>
      </w:pPr>
      <w:r>
        <w:rPr>
          <w:rFonts w:ascii="Arial" w:cs="Arial" w:eastAsia="Arial" w:hAnsi="Arial"/>
          <w:sz w:val="14"/>
          <w:szCs w:val="14"/>
          <w:color w:val="auto"/>
        </w:rPr>
        <w:t>/s/ Bruce A. Merino</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Bruce A. Merino,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-101600</wp:posOffset>
            </wp:positionV>
            <wp:extent cx="2731135" cy="69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0">
                      <a:extLst>
                        <a:ext uri="{28A0092B-C50C-407E-A947-70E740481C1C}"/>
                      </a:extLst>
                    </a:blip>
                    <a:srcRect/>
                    <a:stretch>
                      <a:fillRect/>
                    </a:stretch>
                  </pic:blipFill>
                  <pic:spPr bwMode="auto">
                    <a:xfrm>
                      <a:off x="0" y="0"/>
                      <a:ext cx="2731135" cy="6985"/>
                    </a:xfrm>
                    <a:prstGeom prst="rect">
                      <a:avLst/>
                    </a:prstGeom>
                    <a:noFill/>
                  </pic:spPr>
                </pic:pic>
              </a:graphicData>
            </a:graphic>
          </wp:anchor>
        </w:drawing>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color w:val="auto"/>
        </w:rPr>
        <w:t>/s/ Thomas W. Rhodes</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Thomas W. Rhodes,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-86995</wp:posOffset>
            </wp:positionV>
            <wp:extent cx="2731135" cy="69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1">
                      <a:extLst>
                        <a:ext uri="{28A0092B-C50C-407E-A947-70E740481C1C}"/>
                      </a:extLst>
                    </a:blip>
                    <a:srcRect/>
                    <a:stretch>
                      <a:fillRect/>
                    </a:stretch>
                  </pic:blipFill>
                  <pic:spPr bwMode="auto">
                    <a:xfrm>
                      <a:off x="0" y="0"/>
                      <a:ext cx="2731135" cy="698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color w:val="auto"/>
        </w:rPr>
        <w:t>/s/ Brian C. Walker</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Brian C. Walker,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-101600</wp:posOffset>
            </wp:positionV>
            <wp:extent cx="2731135" cy="69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2">
                      <a:extLst>
                        <a:ext uri="{28A0092B-C50C-407E-A947-70E740481C1C}"/>
                      </a:extLst>
                    </a:blip>
                    <a:srcRect/>
                    <a:stretch>
                      <a:fillRect/>
                    </a:stretch>
                  </pic:blipFill>
                  <pic:spPr bwMode="auto">
                    <a:xfrm>
                      <a:off x="0" y="0"/>
                      <a:ext cx="2731135" cy="6985"/>
                    </a:xfrm>
                    <a:prstGeom prst="rect">
                      <a:avLst/>
                    </a:prstGeom>
                    <a:noFill/>
                  </pic:spPr>
                </pic:pic>
              </a:graphicData>
            </a:graphic>
          </wp:anchor>
        </w:drawing>
      </w:r>
    </w:p>
    <w:p>
      <w:pPr>
        <w:spacing w:after="0" w:line="708" w:lineRule="exact"/>
        <w:rPr>
          <w:sz w:val="20"/>
          <w:szCs w:val="20"/>
          <w:color w:val="auto"/>
        </w:rPr>
      </w:pPr>
    </w:p>
    <w:p>
      <w:pPr>
        <w:sectPr>
          <w:pgSz w:w="11900" w:h="16838" w:orient="portrait"/>
          <w:cols w:equalWidth="0" w:num="2">
            <w:col w:w="4080" w:space="720"/>
            <w:col w:w="4300"/>
          </w:cols>
          <w:pgMar w:left="1400" w:top="125" w:right="1399" w:bottom="1440" w:gutter="0" w:footer="0" w:header="0"/>
          <w:type w:val="continuous"/>
        </w:sect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95885</wp:posOffset>
            </wp:positionV>
            <wp:extent cx="5779135" cy="203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3">
                      <a:extLst>
                        <a:ext uri="{28A0092B-C50C-407E-A947-70E740481C1C}"/>
                      </a:extLst>
                    </a:blip>
                    <a:srcRect/>
                    <a:stretch>
                      <a:fillRect/>
                    </a:stretch>
                  </pic:blipFill>
                  <pic:spPr bwMode="auto">
                    <a:xfrm>
                      <a:off x="0" y="0"/>
                      <a:ext cx="5779135" cy="20320"/>
                    </a:xfrm>
                    <a:prstGeom prst="rect">
                      <a:avLst/>
                    </a:prstGeom>
                    <a:noFill/>
                  </pic:spPr>
                </pic:pic>
              </a:graphicData>
            </a:graphic>
          </wp:anchor>
        </w:drawing>
      </w:r>
    </w:p>
    <w:p>
      <w:pPr>
        <w:sectPr>
          <w:pgSz w:w="11900" w:h="16838" w:orient="portrait"/>
          <w:cols w:equalWidth="0" w:num="1">
            <w:col w:w="9100"/>
          </w:cols>
          <w:pgMar w:left="1400" w:top="125" w:right="1399" w:bottom="1440" w:gutter="0" w:footer="0" w:header="0"/>
          <w:type w:val="continuous"/>
        </w:sectPr>
      </w:pPr>
    </w:p>
    <w:bookmarkStart w:id="16" w:name="page17"/>
    <w:bookmarkEnd w:id="16"/>
    <w:p>
      <w:pPr>
        <w:jc w:val="center"/>
        <w:ind w:right="-20"/>
        <w:spacing w:after="0"/>
        <w:rPr>
          <w:sz w:val="20"/>
          <w:szCs w:val="20"/>
          <w:color w:val="auto"/>
        </w:rPr>
      </w:pPr>
      <w:r>
        <w:rPr>
          <w:rFonts w:ascii="Arial" w:cs="Arial" w:eastAsia="Arial" w:hAnsi="Arial"/>
          <w:sz w:val="17"/>
          <w:szCs w:val="17"/>
          <w:b w:val="1"/>
          <w:bCs w:val="1"/>
          <w:color w:val="auto"/>
        </w:rPr>
        <w:t>UNIVERSAL FOREST PRODUCTS, INC.</w:t>
      </w:r>
    </w:p>
    <w:p>
      <w:pPr>
        <w:spacing w:after="0" w:line="14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4.20% SENIOR SERIES C NOTE DUE 14 JUNE 2028</w:t>
      </w:r>
    </w:p>
    <w:p>
      <w:pPr>
        <w:spacing w:after="0" w:line="307" w:lineRule="exact"/>
        <w:rPr>
          <w:sz w:val="20"/>
          <w:szCs w:val="20"/>
          <w:color w:val="auto"/>
        </w:rPr>
      </w:pPr>
    </w:p>
    <w:p>
      <w:pPr>
        <w:ind w:left="140"/>
        <w:spacing w:after="0"/>
        <w:rPr>
          <w:sz w:val="20"/>
          <w:szCs w:val="20"/>
          <w:color w:val="auto"/>
        </w:rPr>
      </w:pPr>
      <w:r>
        <w:rPr>
          <w:rFonts w:ascii="Arial" w:cs="Arial" w:eastAsia="Arial" w:hAnsi="Arial"/>
          <w:sz w:val="17"/>
          <w:szCs w:val="17"/>
          <w:color w:val="auto"/>
        </w:rPr>
        <w:t xml:space="preserve">No. </w:t>
      </w:r>
      <w:r>
        <w:rPr>
          <w:rFonts w:ascii="Arial" w:cs="Arial" w:eastAsia="Arial" w:hAnsi="Arial"/>
          <w:sz w:val="17"/>
          <w:szCs w:val="17"/>
          <w:b w:val="1"/>
          <w:bCs w:val="1"/>
          <w:color w:val="auto"/>
        </w:rPr>
        <w:t>C-1</w:t>
      </w:r>
    </w:p>
    <w:p>
      <w:pPr>
        <w:ind w:left="140"/>
        <w:spacing w:after="0" w:line="208" w:lineRule="auto"/>
        <w:rPr>
          <w:sz w:val="20"/>
          <w:szCs w:val="20"/>
          <w:color w:val="auto"/>
        </w:rPr>
      </w:pPr>
      <w:r>
        <w:rPr>
          <w:rFonts w:ascii="Arial" w:cs="Arial" w:eastAsia="Arial" w:hAnsi="Arial"/>
          <w:sz w:val="17"/>
          <w:szCs w:val="17"/>
          <w:color w:val="auto"/>
        </w:rPr>
        <w:t xml:space="preserve">ORIGINAL PRINCIPAL AMOUNT: </w:t>
      </w:r>
      <w:r>
        <w:rPr>
          <w:rFonts w:ascii="Arial" w:cs="Arial" w:eastAsia="Arial" w:hAnsi="Arial"/>
          <w:sz w:val="17"/>
          <w:szCs w:val="17"/>
          <w:b w:val="1"/>
          <w:bCs w:val="1"/>
          <w:color w:val="auto"/>
        </w:rPr>
        <w:t>$10,000,000</w:t>
      </w:r>
    </w:p>
    <w:p>
      <w:pPr>
        <w:ind w:left="140"/>
        <w:spacing w:after="0" w:line="209" w:lineRule="auto"/>
        <w:rPr>
          <w:sz w:val="20"/>
          <w:szCs w:val="20"/>
          <w:color w:val="auto"/>
        </w:rPr>
      </w:pPr>
      <w:r>
        <w:rPr>
          <w:rFonts w:ascii="Arial" w:cs="Arial" w:eastAsia="Arial" w:hAnsi="Arial"/>
          <w:sz w:val="17"/>
          <w:szCs w:val="17"/>
          <w:color w:val="auto"/>
        </w:rPr>
        <w:t xml:space="preserve">ORIGINAL ISSUE DATE: </w:t>
      </w:r>
      <w:r>
        <w:rPr>
          <w:rFonts w:ascii="Arial" w:cs="Arial" w:eastAsia="Arial" w:hAnsi="Arial"/>
          <w:sz w:val="17"/>
          <w:szCs w:val="17"/>
          <w:b w:val="1"/>
          <w:bCs w:val="1"/>
          <w:color w:val="auto"/>
        </w:rPr>
        <w:t>14 June 2018</w:t>
      </w:r>
    </w:p>
    <w:p>
      <w:pPr>
        <w:ind w:left="140"/>
        <w:spacing w:after="0" w:line="208" w:lineRule="auto"/>
        <w:rPr>
          <w:sz w:val="20"/>
          <w:szCs w:val="20"/>
          <w:color w:val="auto"/>
        </w:rPr>
      </w:pPr>
      <w:r>
        <w:rPr>
          <w:rFonts w:ascii="Arial" w:cs="Arial" w:eastAsia="Arial" w:hAnsi="Arial"/>
          <w:sz w:val="17"/>
          <w:szCs w:val="17"/>
          <w:color w:val="auto"/>
        </w:rPr>
        <w:t xml:space="preserve">INTEREST RATE: </w:t>
      </w:r>
      <w:r>
        <w:rPr>
          <w:rFonts w:ascii="Arial" w:cs="Arial" w:eastAsia="Arial" w:hAnsi="Arial"/>
          <w:sz w:val="17"/>
          <w:szCs w:val="17"/>
          <w:b w:val="1"/>
          <w:bCs w:val="1"/>
          <w:color w:val="auto"/>
        </w:rPr>
        <w:t>4.20%</w:t>
      </w:r>
    </w:p>
    <w:p>
      <w:pPr>
        <w:ind w:left="140"/>
        <w:spacing w:after="0" w:line="209" w:lineRule="auto"/>
        <w:rPr>
          <w:sz w:val="20"/>
          <w:szCs w:val="20"/>
          <w:color w:val="auto"/>
        </w:rPr>
      </w:pPr>
      <w:r>
        <w:rPr>
          <w:rFonts w:ascii="Arial" w:cs="Arial" w:eastAsia="Arial" w:hAnsi="Arial"/>
          <w:sz w:val="17"/>
          <w:szCs w:val="17"/>
          <w:color w:val="auto"/>
        </w:rPr>
        <w:t xml:space="preserve">INTEREST PAYMENT DATES: </w:t>
      </w:r>
      <w:r>
        <w:rPr>
          <w:rFonts w:ascii="Arial" w:cs="Arial" w:eastAsia="Arial" w:hAnsi="Arial"/>
          <w:sz w:val="17"/>
          <w:szCs w:val="17"/>
          <w:b w:val="1"/>
          <w:bCs w:val="1"/>
          <w:color w:val="auto"/>
        </w:rPr>
        <w:t>17 June and 17 December of each year, commencing on 17 December 2018</w:t>
      </w:r>
    </w:p>
    <w:p>
      <w:pPr>
        <w:ind w:left="140"/>
        <w:spacing w:after="0" w:line="209" w:lineRule="auto"/>
        <w:rPr>
          <w:sz w:val="20"/>
          <w:szCs w:val="20"/>
          <w:color w:val="auto"/>
        </w:rPr>
      </w:pPr>
      <w:r>
        <w:rPr>
          <w:rFonts w:ascii="Arial" w:cs="Arial" w:eastAsia="Arial" w:hAnsi="Arial"/>
          <w:sz w:val="17"/>
          <w:szCs w:val="17"/>
          <w:color w:val="auto"/>
        </w:rPr>
        <w:t xml:space="preserve">FINAL MATURITY DATE: </w:t>
      </w:r>
      <w:r>
        <w:rPr>
          <w:rFonts w:ascii="Arial" w:cs="Arial" w:eastAsia="Arial" w:hAnsi="Arial"/>
          <w:sz w:val="17"/>
          <w:szCs w:val="17"/>
          <w:b w:val="1"/>
          <w:bCs w:val="1"/>
          <w:color w:val="auto"/>
        </w:rPr>
        <w:t>14 June 2028</w:t>
      </w:r>
    </w:p>
    <w:p>
      <w:pPr>
        <w:ind w:left="140"/>
        <w:spacing w:after="0" w:line="208" w:lineRule="auto"/>
        <w:rPr>
          <w:sz w:val="20"/>
          <w:szCs w:val="20"/>
          <w:color w:val="auto"/>
        </w:rPr>
      </w:pPr>
      <w:r>
        <w:rPr>
          <w:rFonts w:ascii="Arial" w:cs="Arial" w:eastAsia="Arial" w:hAnsi="Arial"/>
          <w:sz w:val="17"/>
          <w:szCs w:val="17"/>
          <w:color w:val="auto"/>
        </w:rPr>
        <w:t xml:space="preserve">PRINCIPAL PREPAYMENT DATES AND AMOUNTS: </w:t>
      </w:r>
      <w:r>
        <w:rPr>
          <w:rFonts w:ascii="Arial" w:cs="Arial" w:eastAsia="Arial" w:hAnsi="Arial"/>
          <w:sz w:val="17"/>
          <w:szCs w:val="17"/>
          <w:b w:val="1"/>
          <w:bCs w:val="1"/>
          <w:color w:val="auto"/>
        </w:rPr>
        <w:t>None. Bullet due at maturity</w:t>
      </w:r>
    </w:p>
    <w:p>
      <w:pPr>
        <w:spacing w:after="0" w:line="1" w:lineRule="exact"/>
        <w:rPr>
          <w:sz w:val="20"/>
          <w:szCs w:val="20"/>
          <w:color w:val="auto"/>
        </w:rPr>
      </w:pPr>
    </w:p>
    <w:p>
      <w:pPr>
        <w:ind w:left="140"/>
        <w:spacing w:after="0"/>
        <w:rPr>
          <w:sz w:val="20"/>
          <w:szCs w:val="20"/>
          <w:color w:val="auto"/>
        </w:rPr>
      </w:pPr>
      <w:r>
        <w:rPr>
          <w:rFonts w:ascii="Arial" w:cs="Arial" w:eastAsia="Arial" w:hAnsi="Arial"/>
          <w:sz w:val="17"/>
          <w:szCs w:val="17"/>
          <w:color w:val="auto"/>
        </w:rPr>
        <w:t>PPN: 913543 C#9</w:t>
      </w:r>
    </w:p>
    <w:p>
      <w:pPr>
        <w:spacing w:after="0" w:line="130" w:lineRule="exact"/>
        <w:rPr>
          <w:sz w:val="20"/>
          <w:szCs w:val="20"/>
          <w:color w:val="auto"/>
        </w:rPr>
      </w:pPr>
    </w:p>
    <w:p>
      <w:pPr>
        <w:jc w:val="both"/>
        <w:ind w:left="140" w:right="119" w:firstLine="510"/>
        <w:spacing w:after="0" w:line="226" w:lineRule="auto"/>
        <w:rPr>
          <w:sz w:val="20"/>
          <w:szCs w:val="20"/>
          <w:color w:val="auto"/>
        </w:rPr>
      </w:pPr>
      <w:r>
        <w:rPr>
          <w:rFonts w:ascii="Arial" w:cs="Arial" w:eastAsia="Arial" w:hAnsi="Arial"/>
          <w:sz w:val="16"/>
          <w:szCs w:val="16"/>
          <w:color w:val="auto"/>
        </w:rPr>
        <w:t xml:space="preserve">FOR VALUE RECEIVED, the undersigned, Universal Forest Products, Inc., a corporation organized and existing under the laws of the State of Michigan (herein called the </w:t>
      </w:r>
      <w:r>
        <w:rPr>
          <w:rFonts w:ascii="Arial" w:cs="Arial" w:eastAsia="Arial" w:hAnsi="Arial"/>
          <w:sz w:val="16"/>
          <w:szCs w:val="16"/>
          <w:i w:val="1"/>
          <w:iCs w:val="1"/>
          <w:color w:val="auto"/>
        </w:rPr>
        <w:t>“Company”</w:t>
      </w:r>
      <w:r>
        <w:rPr>
          <w:rFonts w:ascii="Arial" w:cs="Arial" w:eastAsia="Arial" w:hAnsi="Arial"/>
          <w:sz w:val="16"/>
          <w:szCs w:val="16"/>
          <w:color w:val="auto"/>
        </w:rPr>
        <w:t xml:space="preserve">), hereby promises to pay to </w:t>
      </w:r>
      <w:r>
        <w:rPr>
          <w:rFonts w:ascii="Arial" w:cs="Arial" w:eastAsia="Arial" w:hAnsi="Arial"/>
          <w:sz w:val="16"/>
          <w:szCs w:val="16"/>
          <w:b w:val="1"/>
          <w:bCs w:val="1"/>
          <w:color w:val="auto"/>
        </w:rPr>
        <w:t>THE PRUDENTIAL</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INSURANCE COMPANY OF AMERICA, </w:t>
      </w:r>
      <w:r>
        <w:rPr>
          <w:rFonts w:ascii="Arial" w:cs="Arial" w:eastAsia="Arial" w:hAnsi="Arial"/>
          <w:sz w:val="16"/>
          <w:szCs w:val="16"/>
          <w:color w:val="auto"/>
        </w:rPr>
        <w:t>or registered assigns, the principal sum of</w:t>
      </w:r>
      <w:r>
        <w:rPr>
          <w:rFonts w:ascii="Arial" w:cs="Arial" w:eastAsia="Arial" w:hAnsi="Arial"/>
          <w:sz w:val="16"/>
          <w:szCs w:val="16"/>
          <w:b w:val="1"/>
          <w:bCs w:val="1"/>
          <w:color w:val="auto"/>
        </w:rPr>
        <w:t xml:space="preserve"> TEN MILLION DOLLARS </w:t>
      </w:r>
      <w:r>
        <w:rPr>
          <w:rFonts w:ascii="Arial" w:cs="Arial" w:eastAsia="Arial" w:hAnsi="Arial"/>
          <w:sz w:val="16"/>
          <w:szCs w:val="16"/>
          <w:color w:val="auto"/>
        </w:rPr>
        <w:t>on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Final Maturity Date specified above with interest (computed on the basis of a 360-day year—30-day month) on the unpaid balance thereof at the Interest Rate per annum specified above from the date hereof, payable on each Interest Payment Date specified above and on the Final Maturity Date specified above, commencing with the Interest Payment Date next succeeding the date hereof. The Company agrees to pay interest on overdue principal (including any overdue optional prepayment of principal) and premium, if any, and (to the extent legally enforceable) on any overdue installment of interest, at the Overdue Rate after the due date, whether by acceleration or otherwise, until paid. </w:t>
      </w:r>
      <w:r>
        <w:rPr>
          <w:rFonts w:ascii="Arial" w:cs="Arial" w:eastAsia="Arial" w:hAnsi="Arial"/>
          <w:sz w:val="16"/>
          <w:szCs w:val="16"/>
          <w:i w:val="1"/>
          <w:iCs w:val="1"/>
          <w:color w:val="auto"/>
        </w:rPr>
        <w:t>“Overdue Rate”</w:t>
      </w:r>
      <w:r>
        <w:rPr>
          <w:rFonts w:ascii="Arial" w:cs="Arial" w:eastAsia="Arial" w:hAnsi="Arial"/>
          <w:sz w:val="16"/>
          <w:szCs w:val="16"/>
          <w:color w:val="auto"/>
        </w:rPr>
        <w:t xml:space="preserve"> shall mean the lesser of (a) the maximum interest rate permitted by law, and (b) the greater of (ii) the Interest Rate specified above plus 2.00% per annum or (b) the rate of interest publicly announced by JPMorgan Chase Bank, National Association, from time to time in New York City as its Prime Rate plus 2.00% per annum.</w:t>
      </w:r>
    </w:p>
    <w:p>
      <w:pPr>
        <w:spacing w:after="0" w:line="130" w:lineRule="exact"/>
        <w:rPr>
          <w:sz w:val="20"/>
          <w:szCs w:val="20"/>
          <w:color w:val="auto"/>
        </w:rPr>
      </w:pPr>
    </w:p>
    <w:p>
      <w:pPr>
        <w:jc w:val="both"/>
        <w:ind w:left="140" w:right="119" w:firstLine="510"/>
        <w:spacing w:after="0" w:line="227" w:lineRule="auto"/>
        <w:rPr>
          <w:sz w:val="20"/>
          <w:szCs w:val="20"/>
          <w:color w:val="auto"/>
        </w:rPr>
      </w:pPr>
      <w:r>
        <w:rPr>
          <w:rFonts w:ascii="Arial" w:cs="Arial" w:eastAsia="Arial" w:hAnsi="Arial"/>
          <w:sz w:val="16"/>
          <w:szCs w:val="16"/>
          <w:color w:val="auto"/>
        </w:rPr>
        <w:t xml:space="preserve">Both the principal hereof and interest hereon are payable at the principal office of the Company in Grand Rapids, Michigan in coin or currency of the United States of America which at the time of payment shall be legal tender for the payment of public and private debts. If any amount of principal, premium, if any, or interest on or in respect of this Note becomes due and payable on any date which is not a Business Day, such amount shall be payable on the immediately succeeding Business Day without including the additional days elapsed in the computation of the interest payable on such next succeeding Business Day;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the maturity date of this Note is a date other than a Business Day, the payment otherwise due on such maturity date shall be made on the next succeeding Business Day and shall include the additional days elapsed in the computation of interest payable on such next succeeding Business Day. </w:t>
      </w:r>
      <w:r>
        <w:rPr>
          <w:rFonts w:ascii="Arial" w:cs="Arial" w:eastAsia="Arial" w:hAnsi="Arial"/>
          <w:sz w:val="16"/>
          <w:szCs w:val="16"/>
          <w:i w:val="1"/>
          <w:iCs w:val="1"/>
          <w:color w:val="auto"/>
        </w:rPr>
        <w:t>“Business Day”</w:t>
      </w:r>
      <w:r>
        <w:rPr>
          <w:rFonts w:ascii="Arial" w:cs="Arial" w:eastAsia="Arial" w:hAnsi="Arial"/>
          <w:sz w:val="16"/>
          <w:szCs w:val="16"/>
          <w:color w:val="auto"/>
        </w:rPr>
        <w:t xml:space="preserve"> means any day other than a Saturday, Sunday or other day on which banks in either Grand Rapids, Michigan or New York, New York are required by law to close or are customarily closed.</w:t>
      </w:r>
    </w:p>
    <w:p>
      <w:pPr>
        <w:spacing w:after="0" w:line="129" w:lineRule="exact"/>
        <w:rPr>
          <w:sz w:val="20"/>
          <w:szCs w:val="20"/>
          <w:color w:val="auto"/>
        </w:rPr>
      </w:pPr>
    </w:p>
    <w:p>
      <w:pPr>
        <w:jc w:val="both"/>
        <w:ind w:left="140" w:right="119" w:firstLine="510"/>
        <w:spacing w:after="0" w:line="227" w:lineRule="auto"/>
        <w:rPr>
          <w:sz w:val="20"/>
          <w:szCs w:val="20"/>
          <w:color w:val="auto"/>
        </w:rPr>
      </w:pPr>
      <w:r>
        <w:rPr>
          <w:rFonts w:ascii="Arial" w:cs="Arial" w:eastAsia="Arial" w:hAnsi="Arial"/>
          <w:sz w:val="17"/>
          <w:szCs w:val="17"/>
          <w:color w:val="auto"/>
        </w:rPr>
        <w:t>This Note is one of the 4.20% Series C Senior Notes, due 14 June 2028 of the Company in the original aggregate principal amount of $40,000,000, which, together with the 3.89% Series A Senior Notes, due December 17, 2022, of the Company in the original aggregate principal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85090</wp:posOffset>
            </wp:positionH>
            <wp:positionV relativeFrom="paragraph">
              <wp:posOffset>96520</wp:posOffset>
            </wp:positionV>
            <wp:extent cx="5563235" cy="203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4">
                      <a:extLst>
                        <a:ext uri="{28A0092B-C50C-407E-A947-70E740481C1C}"/>
                      </a:extLst>
                    </a:blip>
                    <a:srcRect/>
                    <a:stretch>
                      <a:fillRect/>
                    </a:stretch>
                  </pic:blipFill>
                  <pic:spPr bwMode="auto">
                    <a:xfrm>
                      <a:off x="0" y="0"/>
                      <a:ext cx="5563235" cy="2032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17" w:name="page18"/>
    <w:bookmarkEnd w:id="17"/>
    <w:p>
      <w:pPr>
        <w:jc w:val="both"/>
        <w:ind w:left="140" w:right="119"/>
        <w:spacing w:after="0" w:line="243" w:lineRule="auto"/>
        <w:rPr>
          <w:sz w:val="20"/>
          <w:szCs w:val="20"/>
          <w:color w:val="auto"/>
        </w:rPr>
      </w:pPr>
      <w:r>
        <w:rPr>
          <w:rFonts w:ascii="Arial" w:cs="Arial" w:eastAsia="Arial" w:hAnsi="Arial"/>
          <w:sz w:val="15"/>
          <w:szCs w:val="15"/>
          <w:color w:val="auto"/>
        </w:rPr>
        <w:t xml:space="preserve">of $35,000,000, the 3.98% Series B Senior Notes, due December 17, 2024, of the Company in the original aggregate principal amount of $40,000,000, the 4.27% Series D Senior Notes, due June 14, 2030 of the Company in the original aggregate principal amount of $35,000,000, and any other Shelf Notes (as defined in the Note Agreement hereafter mentioned), are issued or to be issued under and pursuant to the terms and provisions of the Note Purchase and Private Shelf Agreement, dated as of December 17, 2012 (as amended, the </w:t>
      </w:r>
      <w:r>
        <w:rPr>
          <w:rFonts w:ascii="Arial" w:cs="Arial" w:eastAsia="Arial" w:hAnsi="Arial"/>
          <w:sz w:val="15"/>
          <w:szCs w:val="15"/>
          <w:i w:val="1"/>
          <w:iCs w:val="1"/>
          <w:color w:val="auto"/>
        </w:rPr>
        <w:t>“Note Agreement”</w:t>
      </w:r>
      <w:r>
        <w:rPr>
          <w:rFonts w:ascii="Arial" w:cs="Arial" w:eastAsia="Arial" w:hAnsi="Arial"/>
          <w:sz w:val="15"/>
          <w:szCs w:val="15"/>
          <w:color w:val="auto"/>
        </w:rPr>
        <w:t>), between the Company, on the one hand, and PGIM, Inc. (formally known as Prudential Investment Management, Inc.), the Initial Purchasers named in the Purchaser Schedule attached thereto and each Prudential Affiliate which becomes party thereto, on the other hand, and the holder hereof is entitled equally and ratably with the holders of all other Notes outstanding under the Note Agreement to all the benefits provided for thereby or referred to therein. Reference is hereby made to the Note Agreement for a statement of such rights and benefits.</w:t>
      </w:r>
    </w:p>
    <w:p>
      <w:pPr>
        <w:spacing w:after="0" w:line="128" w:lineRule="exact"/>
        <w:rPr>
          <w:sz w:val="20"/>
          <w:szCs w:val="20"/>
          <w:color w:val="auto"/>
        </w:rPr>
      </w:pPr>
    </w:p>
    <w:p>
      <w:pPr>
        <w:jc w:val="both"/>
        <w:ind w:left="140" w:right="119" w:firstLine="510"/>
        <w:spacing w:after="0" w:line="227" w:lineRule="auto"/>
        <w:rPr>
          <w:sz w:val="20"/>
          <w:szCs w:val="20"/>
          <w:color w:val="auto"/>
        </w:rPr>
      </w:pPr>
      <w:r>
        <w:rPr>
          <w:rFonts w:ascii="Arial" w:cs="Arial" w:eastAsia="Arial" w:hAnsi="Arial"/>
          <w:sz w:val="17"/>
          <w:szCs w:val="17"/>
          <w:color w:val="auto"/>
        </w:rPr>
        <w:t>This Note and the other Notes outstanding under the Note Agreement may be declared due prior to their expressed maturity dates and certain prepayments are required to be made thereon, all in the events, on the terms and in the manner and amounts as provided in the Note Agreements.</w:t>
      </w:r>
    </w:p>
    <w:p>
      <w:pPr>
        <w:spacing w:after="0" w:line="125" w:lineRule="exact"/>
        <w:rPr>
          <w:sz w:val="20"/>
          <w:szCs w:val="20"/>
          <w:color w:val="auto"/>
        </w:rPr>
      </w:pPr>
    </w:p>
    <w:p>
      <w:pPr>
        <w:jc w:val="both"/>
        <w:ind w:left="140" w:right="119" w:firstLine="510"/>
        <w:spacing w:after="0" w:line="296" w:lineRule="auto"/>
        <w:rPr>
          <w:sz w:val="20"/>
          <w:szCs w:val="20"/>
          <w:color w:val="auto"/>
        </w:rPr>
      </w:pPr>
      <w:r>
        <w:rPr>
          <w:rFonts w:ascii="Arial" w:cs="Arial" w:eastAsia="Arial" w:hAnsi="Arial"/>
          <w:sz w:val="15"/>
          <w:szCs w:val="15"/>
          <w:color w:val="auto"/>
        </w:rPr>
        <w:t>The Notes are not subject to prepayment or redemption at the option of the Company prior to their expressed maturity dates except on the terms and conditions and in the amounts and with the premium, if any, set forth in the Note Agreement.</w:t>
      </w:r>
    </w:p>
    <w:p>
      <w:pPr>
        <w:spacing w:after="0" w:line="84" w:lineRule="exact"/>
        <w:rPr>
          <w:sz w:val="20"/>
          <w:szCs w:val="20"/>
          <w:color w:val="auto"/>
        </w:rPr>
      </w:pPr>
    </w:p>
    <w:p>
      <w:pPr>
        <w:jc w:val="both"/>
        <w:ind w:left="140" w:right="139" w:firstLine="510"/>
        <w:spacing w:after="0" w:line="222" w:lineRule="auto"/>
        <w:rPr>
          <w:sz w:val="20"/>
          <w:szCs w:val="20"/>
          <w:color w:val="auto"/>
        </w:rPr>
      </w:pPr>
      <w:r>
        <w:rPr>
          <w:rFonts w:ascii="Arial" w:cs="Arial" w:eastAsia="Arial" w:hAnsi="Arial"/>
          <w:sz w:val="17"/>
          <w:szCs w:val="17"/>
          <w:color w:val="auto"/>
        </w:rPr>
        <w:t>This Note is registered on the books of the Company and is transferable only by surrender thereof at the principal office of the Company duly endorsed or accompanied by a written instrument of transfer duly executed by the registered holder of this Note or its attorney duly authorized in writing. Payment of or on account of principal, premium, if any, and interest on this Note shall be made only to or upon the order in writing of the registered holder.</w:t>
      </w:r>
    </w:p>
    <w:p>
      <w:pPr>
        <w:spacing w:after="0" w:line="126"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Signature Page Follows</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85090</wp:posOffset>
            </wp:positionH>
            <wp:positionV relativeFrom="paragraph">
              <wp:posOffset>534035</wp:posOffset>
            </wp:positionV>
            <wp:extent cx="5563235" cy="203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5">
                      <a:extLst>
                        <a:ext uri="{28A0092B-C50C-407E-A947-70E740481C1C}"/>
                      </a:extLst>
                    </a:blip>
                    <a:srcRect/>
                    <a:stretch>
                      <a:fillRect/>
                    </a:stretch>
                  </pic:blipFill>
                  <pic:spPr bwMode="auto">
                    <a:xfrm>
                      <a:off x="0" y="0"/>
                      <a:ext cx="5563235" cy="20320"/>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18" w:name="page19"/>
    <w:bookmarkEnd w:id="18"/>
    <w:p>
      <w:pPr>
        <w:jc w:val="both"/>
        <w:ind w:left="140" w:right="119" w:firstLine="510"/>
        <w:spacing w:after="0" w:line="245" w:lineRule="auto"/>
        <w:rPr>
          <w:sz w:val="20"/>
          <w:szCs w:val="20"/>
          <w:color w:val="auto"/>
        </w:rPr>
      </w:pPr>
      <w:r>
        <w:rPr>
          <w:rFonts w:ascii="Arial" w:cs="Arial" w:eastAsia="Arial" w:hAnsi="Arial"/>
          <w:sz w:val="16"/>
          <w:szCs w:val="16"/>
          <w:b w:val="1"/>
          <w:bCs w:val="1"/>
          <w:color w:val="auto"/>
        </w:rPr>
        <w:t>This Note and said Note Agreement are governed by and construed in accordance with the law of Illinois (excluding any conflicts of law rules which would otherwise cause this note to be construed or enforced in accordance with the laws of any other jurisdiction), including all matters of construction, validity and performance.</w:t>
      </w:r>
    </w:p>
    <w:p>
      <w:pPr>
        <w:spacing w:after="0" w:line="121" w:lineRule="exact"/>
        <w:rPr>
          <w:sz w:val="20"/>
          <w:szCs w:val="20"/>
          <w:color w:val="auto"/>
        </w:rPr>
      </w:pPr>
    </w:p>
    <w:p>
      <w:pPr>
        <w:ind w:left="3200"/>
        <w:spacing w:after="0"/>
        <w:rPr>
          <w:sz w:val="20"/>
          <w:szCs w:val="20"/>
          <w:color w:val="auto"/>
        </w:rPr>
      </w:pPr>
      <w:r>
        <w:rPr>
          <w:rFonts w:ascii="Arial" w:cs="Arial" w:eastAsia="Arial" w:hAnsi="Arial"/>
          <w:sz w:val="17"/>
          <w:szCs w:val="17"/>
          <w:color w:val="auto"/>
        </w:rPr>
        <w:t>Universal Forest Products, Inc.</w:t>
      </w:r>
    </w:p>
    <w:p>
      <w:pPr>
        <w:spacing w:after="0" w:line="200" w:lineRule="exact"/>
        <w:rPr>
          <w:sz w:val="20"/>
          <w:szCs w:val="20"/>
          <w:color w:val="auto"/>
        </w:rPr>
      </w:pPr>
    </w:p>
    <w:p>
      <w:pPr>
        <w:spacing w:after="0" w:line="273" w:lineRule="exact"/>
        <w:rPr>
          <w:sz w:val="20"/>
          <w:szCs w:val="20"/>
          <w:color w:val="auto"/>
        </w:rPr>
      </w:pPr>
    </w:p>
    <w:p>
      <w:pPr>
        <w:ind w:left="3200"/>
        <w:spacing w:after="0"/>
        <w:rPr>
          <w:sz w:val="20"/>
          <w:szCs w:val="20"/>
          <w:color w:val="auto"/>
        </w:rPr>
      </w:pPr>
      <w:r>
        <w:rPr>
          <w:rFonts w:ascii="Arial" w:cs="Arial" w:eastAsia="Arial" w:hAnsi="Arial"/>
          <w:sz w:val="17"/>
          <w:szCs w:val="17"/>
          <w:color w:val="auto"/>
        </w:rPr>
        <w:t>By:_________________________________________________</w:t>
      </w:r>
    </w:p>
    <w:p>
      <w:pPr>
        <w:ind w:left="370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85090</wp:posOffset>
            </wp:positionH>
            <wp:positionV relativeFrom="paragraph">
              <wp:posOffset>417195</wp:posOffset>
            </wp:positionV>
            <wp:extent cx="5563235" cy="203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6">
                      <a:extLst>
                        <a:ext uri="{28A0092B-C50C-407E-A947-70E740481C1C}"/>
                      </a:extLst>
                    </a:blip>
                    <a:srcRect/>
                    <a:stretch>
                      <a:fillRect/>
                    </a:stretch>
                  </pic:blipFill>
                  <pic:spPr bwMode="auto">
                    <a:xfrm>
                      <a:off x="0" y="0"/>
                      <a:ext cx="5563235" cy="2032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19" w:name="page20"/>
    <w:bookmarkEnd w:id="19"/>
    <w:p>
      <w:pPr>
        <w:jc w:val="center"/>
        <w:ind w:right="-20"/>
        <w:spacing w:after="0"/>
        <w:rPr>
          <w:sz w:val="20"/>
          <w:szCs w:val="20"/>
          <w:color w:val="auto"/>
        </w:rPr>
      </w:pPr>
      <w:r>
        <w:rPr>
          <w:rFonts w:ascii="Arial" w:cs="Arial" w:eastAsia="Arial" w:hAnsi="Arial"/>
          <w:sz w:val="17"/>
          <w:szCs w:val="17"/>
          <w:b w:val="1"/>
          <w:bCs w:val="1"/>
          <w:color w:val="auto"/>
        </w:rPr>
        <w:t>UNIVERSAL FOREST PRODUCTS, INC.</w:t>
      </w:r>
    </w:p>
    <w:p>
      <w:pPr>
        <w:spacing w:after="0" w:line="14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4.20% SENIOR SERIES C NOTE DUE 14 JUNE 2028</w:t>
      </w:r>
    </w:p>
    <w:p>
      <w:pPr>
        <w:spacing w:after="0" w:line="307" w:lineRule="exact"/>
        <w:rPr>
          <w:sz w:val="20"/>
          <w:szCs w:val="20"/>
          <w:color w:val="auto"/>
        </w:rPr>
      </w:pPr>
    </w:p>
    <w:p>
      <w:pPr>
        <w:ind w:left="140"/>
        <w:spacing w:after="0"/>
        <w:rPr>
          <w:sz w:val="20"/>
          <w:szCs w:val="20"/>
          <w:color w:val="auto"/>
        </w:rPr>
      </w:pPr>
      <w:r>
        <w:rPr>
          <w:rFonts w:ascii="Arial" w:cs="Arial" w:eastAsia="Arial" w:hAnsi="Arial"/>
          <w:sz w:val="17"/>
          <w:szCs w:val="17"/>
          <w:color w:val="auto"/>
        </w:rPr>
        <w:t xml:space="preserve">No. </w:t>
      </w:r>
      <w:r>
        <w:rPr>
          <w:rFonts w:ascii="Arial" w:cs="Arial" w:eastAsia="Arial" w:hAnsi="Arial"/>
          <w:sz w:val="17"/>
          <w:szCs w:val="17"/>
          <w:b w:val="1"/>
          <w:bCs w:val="1"/>
          <w:color w:val="auto"/>
        </w:rPr>
        <w:t>C-2</w:t>
      </w:r>
    </w:p>
    <w:p>
      <w:pPr>
        <w:ind w:left="140"/>
        <w:spacing w:after="0" w:line="208" w:lineRule="auto"/>
        <w:rPr>
          <w:sz w:val="20"/>
          <w:szCs w:val="20"/>
          <w:color w:val="auto"/>
        </w:rPr>
      </w:pPr>
      <w:r>
        <w:rPr>
          <w:rFonts w:ascii="Arial" w:cs="Arial" w:eastAsia="Arial" w:hAnsi="Arial"/>
          <w:sz w:val="17"/>
          <w:szCs w:val="17"/>
          <w:color w:val="auto"/>
        </w:rPr>
        <w:t xml:space="preserve">ORIGINAL PRINCIPAL AMOUNT: </w:t>
      </w:r>
      <w:r>
        <w:rPr>
          <w:rFonts w:ascii="Arial" w:cs="Arial" w:eastAsia="Arial" w:hAnsi="Arial"/>
          <w:sz w:val="17"/>
          <w:szCs w:val="17"/>
          <w:b w:val="1"/>
          <w:bCs w:val="1"/>
          <w:color w:val="auto"/>
        </w:rPr>
        <w:t>$1,000,000</w:t>
      </w:r>
    </w:p>
    <w:p>
      <w:pPr>
        <w:ind w:left="140"/>
        <w:spacing w:after="0" w:line="209" w:lineRule="auto"/>
        <w:rPr>
          <w:sz w:val="20"/>
          <w:szCs w:val="20"/>
          <w:color w:val="auto"/>
        </w:rPr>
      </w:pPr>
      <w:r>
        <w:rPr>
          <w:rFonts w:ascii="Arial" w:cs="Arial" w:eastAsia="Arial" w:hAnsi="Arial"/>
          <w:sz w:val="17"/>
          <w:szCs w:val="17"/>
          <w:color w:val="auto"/>
        </w:rPr>
        <w:t xml:space="preserve">ORIGINAL ISSUE DATE: </w:t>
      </w:r>
      <w:r>
        <w:rPr>
          <w:rFonts w:ascii="Arial" w:cs="Arial" w:eastAsia="Arial" w:hAnsi="Arial"/>
          <w:sz w:val="17"/>
          <w:szCs w:val="17"/>
          <w:b w:val="1"/>
          <w:bCs w:val="1"/>
          <w:color w:val="auto"/>
        </w:rPr>
        <w:t>14 June 2018</w:t>
      </w:r>
    </w:p>
    <w:p>
      <w:pPr>
        <w:ind w:left="140"/>
        <w:spacing w:after="0" w:line="208" w:lineRule="auto"/>
        <w:rPr>
          <w:sz w:val="20"/>
          <w:szCs w:val="20"/>
          <w:color w:val="auto"/>
        </w:rPr>
      </w:pPr>
      <w:r>
        <w:rPr>
          <w:rFonts w:ascii="Arial" w:cs="Arial" w:eastAsia="Arial" w:hAnsi="Arial"/>
          <w:sz w:val="17"/>
          <w:szCs w:val="17"/>
          <w:color w:val="auto"/>
        </w:rPr>
        <w:t xml:space="preserve">INTEREST RATE: </w:t>
      </w:r>
      <w:r>
        <w:rPr>
          <w:rFonts w:ascii="Arial" w:cs="Arial" w:eastAsia="Arial" w:hAnsi="Arial"/>
          <w:sz w:val="17"/>
          <w:szCs w:val="17"/>
          <w:b w:val="1"/>
          <w:bCs w:val="1"/>
          <w:color w:val="auto"/>
        </w:rPr>
        <w:t>4.20%</w:t>
      </w:r>
    </w:p>
    <w:p>
      <w:pPr>
        <w:ind w:left="140"/>
        <w:spacing w:after="0" w:line="209" w:lineRule="auto"/>
        <w:rPr>
          <w:sz w:val="20"/>
          <w:szCs w:val="20"/>
          <w:color w:val="auto"/>
        </w:rPr>
      </w:pPr>
      <w:r>
        <w:rPr>
          <w:rFonts w:ascii="Arial" w:cs="Arial" w:eastAsia="Arial" w:hAnsi="Arial"/>
          <w:sz w:val="17"/>
          <w:szCs w:val="17"/>
          <w:color w:val="auto"/>
        </w:rPr>
        <w:t xml:space="preserve">INTEREST PAYMENT DATES: </w:t>
      </w:r>
      <w:r>
        <w:rPr>
          <w:rFonts w:ascii="Arial" w:cs="Arial" w:eastAsia="Arial" w:hAnsi="Arial"/>
          <w:sz w:val="17"/>
          <w:szCs w:val="17"/>
          <w:b w:val="1"/>
          <w:bCs w:val="1"/>
          <w:color w:val="auto"/>
        </w:rPr>
        <w:t>17 June and 17 December of each year, commencing on 17 December 2018</w:t>
      </w:r>
    </w:p>
    <w:p>
      <w:pPr>
        <w:ind w:left="140"/>
        <w:spacing w:after="0" w:line="209" w:lineRule="auto"/>
        <w:rPr>
          <w:sz w:val="20"/>
          <w:szCs w:val="20"/>
          <w:color w:val="auto"/>
        </w:rPr>
      </w:pPr>
      <w:r>
        <w:rPr>
          <w:rFonts w:ascii="Arial" w:cs="Arial" w:eastAsia="Arial" w:hAnsi="Arial"/>
          <w:sz w:val="17"/>
          <w:szCs w:val="17"/>
          <w:color w:val="auto"/>
        </w:rPr>
        <w:t xml:space="preserve">FINAL MATURITY DATE: </w:t>
      </w:r>
      <w:r>
        <w:rPr>
          <w:rFonts w:ascii="Arial" w:cs="Arial" w:eastAsia="Arial" w:hAnsi="Arial"/>
          <w:sz w:val="17"/>
          <w:szCs w:val="17"/>
          <w:b w:val="1"/>
          <w:bCs w:val="1"/>
          <w:color w:val="auto"/>
        </w:rPr>
        <w:t>14 June 2028</w:t>
      </w:r>
    </w:p>
    <w:p>
      <w:pPr>
        <w:ind w:left="140"/>
        <w:spacing w:after="0" w:line="208" w:lineRule="auto"/>
        <w:rPr>
          <w:sz w:val="20"/>
          <w:szCs w:val="20"/>
          <w:color w:val="auto"/>
        </w:rPr>
      </w:pPr>
      <w:r>
        <w:rPr>
          <w:rFonts w:ascii="Arial" w:cs="Arial" w:eastAsia="Arial" w:hAnsi="Arial"/>
          <w:sz w:val="17"/>
          <w:szCs w:val="17"/>
          <w:color w:val="auto"/>
        </w:rPr>
        <w:t xml:space="preserve">PRINCIPAL PREPAYMENT DATES AND AMOUNTS: </w:t>
      </w:r>
      <w:r>
        <w:rPr>
          <w:rFonts w:ascii="Arial" w:cs="Arial" w:eastAsia="Arial" w:hAnsi="Arial"/>
          <w:sz w:val="17"/>
          <w:szCs w:val="17"/>
          <w:b w:val="1"/>
          <w:bCs w:val="1"/>
          <w:color w:val="auto"/>
        </w:rPr>
        <w:t>None. Bullet due at maturity</w:t>
      </w:r>
    </w:p>
    <w:p>
      <w:pPr>
        <w:spacing w:after="0" w:line="1" w:lineRule="exact"/>
        <w:rPr>
          <w:sz w:val="20"/>
          <w:szCs w:val="20"/>
          <w:color w:val="auto"/>
        </w:rPr>
      </w:pPr>
    </w:p>
    <w:p>
      <w:pPr>
        <w:ind w:left="140"/>
        <w:spacing w:after="0"/>
        <w:rPr>
          <w:sz w:val="20"/>
          <w:szCs w:val="20"/>
          <w:color w:val="auto"/>
        </w:rPr>
      </w:pPr>
      <w:r>
        <w:rPr>
          <w:rFonts w:ascii="Arial" w:cs="Arial" w:eastAsia="Arial" w:hAnsi="Arial"/>
          <w:sz w:val="17"/>
          <w:szCs w:val="17"/>
          <w:color w:val="auto"/>
        </w:rPr>
        <w:t>PPN: 913543 C#9</w:t>
      </w:r>
    </w:p>
    <w:p>
      <w:pPr>
        <w:spacing w:after="0" w:line="130" w:lineRule="exact"/>
        <w:rPr>
          <w:sz w:val="20"/>
          <w:szCs w:val="20"/>
          <w:color w:val="auto"/>
        </w:rPr>
      </w:pPr>
    </w:p>
    <w:p>
      <w:pPr>
        <w:jc w:val="both"/>
        <w:ind w:left="140" w:right="119" w:firstLine="510"/>
        <w:spacing w:after="0" w:line="226" w:lineRule="auto"/>
        <w:rPr>
          <w:sz w:val="20"/>
          <w:szCs w:val="20"/>
          <w:color w:val="auto"/>
        </w:rPr>
      </w:pPr>
      <w:r>
        <w:rPr>
          <w:rFonts w:ascii="Arial" w:cs="Arial" w:eastAsia="Arial" w:hAnsi="Arial"/>
          <w:sz w:val="16"/>
          <w:szCs w:val="16"/>
          <w:color w:val="auto"/>
        </w:rPr>
        <w:t xml:space="preserve">FOR VALUE RECEIVED, the undersigned, Universal Forest Products, Inc., a corporation organized and existing under the laws of the State of Michigan (herein called the </w:t>
      </w:r>
      <w:r>
        <w:rPr>
          <w:rFonts w:ascii="Arial" w:cs="Arial" w:eastAsia="Arial" w:hAnsi="Arial"/>
          <w:sz w:val="16"/>
          <w:szCs w:val="16"/>
          <w:i w:val="1"/>
          <w:iCs w:val="1"/>
          <w:color w:val="auto"/>
        </w:rPr>
        <w:t>“Company”</w:t>
      </w:r>
      <w:r>
        <w:rPr>
          <w:rFonts w:ascii="Arial" w:cs="Arial" w:eastAsia="Arial" w:hAnsi="Arial"/>
          <w:sz w:val="16"/>
          <w:szCs w:val="16"/>
          <w:color w:val="auto"/>
        </w:rPr>
        <w:t xml:space="preserve">), hereby promises to pay to </w:t>
      </w:r>
      <w:r>
        <w:rPr>
          <w:rFonts w:ascii="Arial" w:cs="Arial" w:eastAsia="Arial" w:hAnsi="Arial"/>
          <w:sz w:val="16"/>
          <w:szCs w:val="16"/>
          <w:b w:val="1"/>
          <w:bCs w:val="1"/>
          <w:color w:val="auto"/>
        </w:rPr>
        <w:t>THE PRUDENTIAL</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INSURANCE COMPANY OF AMERICA, </w:t>
      </w:r>
      <w:r>
        <w:rPr>
          <w:rFonts w:ascii="Arial" w:cs="Arial" w:eastAsia="Arial" w:hAnsi="Arial"/>
          <w:sz w:val="16"/>
          <w:szCs w:val="16"/>
          <w:color w:val="auto"/>
        </w:rPr>
        <w:t>or registered assigns, the principal sum of</w:t>
      </w:r>
      <w:r>
        <w:rPr>
          <w:rFonts w:ascii="Arial" w:cs="Arial" w:eastAsia="Arial" w:hAnsi="Arial"/>
          <w:sz w:val="16"/>
          <w:szCs w:val="16"/>
          <w:b w:val="1"/>
          <w:bCs w:val="1"/>
          <w:color w:val="auto"/>
        </w:rPr>
        <w:t xml:space="preserve"> ONE MILLION DOLLARS </w:t>
      </w:r>
      <w:r>
        <w:rPr>
          <w:rFonts w:ascii="Arial" w:cs="Arial" w:eastAsia="Arial" w:hAnsi="Arial"/>
          <w:sz w:val="16"/>
          <w:szCs w:val="16"/>
          <w:color w:val="auto"/>
        </w:rPr>
        <w:t>on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Final Maturity Date specified above with interest (computed on the basis of a 360-day year—30-day month) on the unpaid balance thereof at the Interest Rate per annum specified above from the date hereof, payable on each Interest Payment Date specified above and on the Final Maturity Date specified above, commencing with the Interest Payment Date next succeeding the date hereof. The Company agrees to pay interest on overdue principal (including any overdue optional prepayment of principal) and premium, if any, and (to the extent legally enforceable) on any overdue installment of interest, at the Overdue Rate after the due date, whether by acceleration or otherwise, until paid. </w:t>
      </w:r>
      <w:r>
        <w:rPr>
          <w:rFonts w:ascii="Arial" w:cs="Arial" w:eastAsia="Arial" w:hAnsi="Arial"/>
          <w:sz w:val="16"/>
          <w:szCs w:val="16"/>
          <w:i w:val="1"/>
          <w:iCs w:val="1"/>
          <w:color w:val="auto"/>
        </w:rPr>
        <w:t>“Overdue Rate”</w:t>
      </w:r>
      <w:r>
        <w:rPr>
          <w:rFonts w:ascii="Arial" w:cs="Arial" w:eastAsia="Arial" w:hAnsi="Arial"/>
          <w:sz w:val="16"/>
          <w:szCs w:val="16"/>
          <w:color w:val="auto"/>
        </w:rPr>
        <w:t xml:space="preserve"> shall mean the lesser of (a) the maximum interest rate permitted by law, and (b) the greater of (ii) the Interest Rate specified above plus 2.00% per annum or (b) the rate of interest publicly announced by JPMorgan Chase Bank, National Association, from time to time in New York City as its Prime Rate plus 2.00% per annum.</w:t>
      </w:r>
    </w:p>
    <w:p>
      <w:pPr>
        <w:spacing w:after="0" w:line="130" w:lineRule="exact"/>
        <w:rPr>
          <w:sz w:val="20"/>
          <w:szCs w:val="20"/>
          <w:color w:val="auto"/>
        </w:rPr>
      </w:pPr>
    </w:p>
    <w:p>
      <w:pPr>
        <w:jc w:val="both"/>
        <w:ind w:left="140" w:right="119" w:firstLine="510"/>
        <w:spacing w:after="0" w:line="227" w:lineRule="auto"/>
        <w:rPr>
          <w:sz w:val="20"/>
          <w:szCs w:val="20"/>
          <w:color w:val="auto"/>
        </w:rPr>
      </w:pPr>
      <w:r>
        <w:rPr>
          <w:rFonts w:ascii="Arial" w:cs="Arial" w:eastAsia="Arial" w:hAnsi="Arial"/>
          <w:sz w:val="16"/>
          <w:szCs w:val="16"/>
          <w:color w:val="auto"/>
        </w:rPr>
        <w:t xml:space="preserve">Both the principal hereof and interest hereon are payable at the principal office of the Company in Grand Rapids, Michigan in coin or currency of the United States of America which at the time of payment shall be legal tender for the payment of public and private debts. If any amount of principal, premium, if any, or interest on or in respect of this Note becomes due and payable on any date which is not a Business Day, such amount shall be payable on the immediately succeeding Business Day without including the additional days elapsed in the computation of the interest payable on such next succeeding Business Day;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the maturity date of this Note is a date other than a Business Day, the payment otherwise due on such maturity date shall be made on the next succeeding Business Day and shall include the additional days elapsed in the computation of interest payable on such next succeeding Business Day. </w:t>
      </w:r>
      <w:r>
        <w:rPr>
          <w:rFonts w:ascii="Arial" w:cs="Arial" w:eastAsia="Arial" w:hAnsi="Arial"/>
          <w:sz w:val="16"/>
          <w:szCs w:val="16"/>
          <w:i w:val="1"/>
          <w:iCs w:val="1"/>
          <w:color w:val="auto"/>
        </w:rPr>
        <w:t>“Business Day”</w:t>
      </w:r>
      <w:r>
        <w:rPr>
          <w:rFonts w:ascii="Arial" w:cs="Arial" w:eastAsia="Arial" w:hAnsi="Arial"/>
          <w:sz w:val="16"/>
          <w:szCs w:val="16"/>
          <w:color w:val="auto"/>
        </w:rPr>
        <w:t xml:space="preserve"> means any day other than a Saturday, Sunday or other day on which banks in either Grand Rapids, Michigan or New York, New York are required by law to close or are customarily closed.</w:t>
      </w:r>
    </w:p>
    <w:p>
      <w:pPr>
        <w:spacing w:after="0" w:line="129" w:lineRule="exact"/>
        <w:rPr>
          <w:sz w:val="20"/>
          <w:szCs w:val="20"/>
          <w:color w:val="auto"/>
        </w:rPr>
      </w:pPr>
    </w:p>
    <w:p>
      <w:pPr>
        <w:jc w:val="both"/>
        <w:ind w:left="140" w:right="119" w:firstLine="510"/>
        <w:spacing w:after="0" w:line="227" w:lineRule="auto"/>
        <w:rPr>
          <w:sz w:val="20"/>
          <w:szCs w:val="20"/>
          <w:color w:val="auto"/>
        </w:rPr>
      </w:pPr>
      <w:r>
        <w:rPr>
          <w:rFonts w:ascii="Arial" w:cs="Arial" w:eastAsia="Arial" w:hAnsi="Arial"/>
          <w:sz w:val="17"/>
          <w:szCs w:val="17"/>
          <w:color w:val="auto"/>
        </w:rPr>
        <w:t>This Note is one of the 4.20% Series C Senior Notes, due 14 June 2028 of the Company in the original aggregate principal amount of $40,000,000, which, together with the 3.89% Series A Senior Notes, due December 17, 2022, of the Company in the original aggregate principal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85090</wp:posOffset>
            </wp:positionH>
            <wp:positionV relativeFrom="paragraph">
              <wp:posOffset>96520</wp:posOffset>
            </wp:positionV>
            <wp:extent cx="5563235" cy="203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7">
                      <a:extLst>
                        <a:ext uri="{28A0092B-C50C-407E-A947-70E740481C1C}"/>
                      </a:extLst>
                    </a:blip>
                    <a:srcRect/>
                    <a:stretch>
                      <a:fillRect/>
                    </a:stretch>
                  </pic:blipFill>
                  <pic:spPr bwMode="auto">
                    <a:xfrm>
                      <a:off x="0" y="0"/>
                      <a:ext cx="5563235" cy="2032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20" w:name="page21"/>
    <w:bookmarkEnd w:id="20"/>
    <w:p>
      <w:pPr>
        <w:jc w:val="both"/>
        <w:ind w:left="140" w:right="119"/>
        <w:spacing w:after="0" w:line="243" w:lineRule="auto"/>
        <w:rPr>
          <w:sz w:val="20"/>
          <w:szCs w:val="20"/>
          <w:color w:val="auto"/>
        </w:rPr>
      </w:pPr>
      <w:r>
        <w:rPr>
          <w:rFonts w:ascii="Arial" w:cs="Arial" w:eastAsia="Arial" w:hAnsi="Arial"/>
          <w:sz w:val="15"/>
          <w:szCs w:val="15"/>
          <w:color w:val="auto"/>
        </w:rPr>
        <w:t xml:space="preserve">of $35,000,000, the 3.98% Series B Senior Notes, due December 17, 2024, of the Company in the original aggregate principal amount of $40,000,000, the 4.27% Series D Senior Notes, due June 14, 2030 of the Company in the original aggregate principal amount of $35,000,000, and any other Shelf Notes (as defined in the Note Agreement hereafter mentioned), are issued or to be issued under and pursuant to the terms and provisions of the Note Purchase and Private Shelf Agreement, dated as of December 17, 2012 (as amended, the </w:t>
      </w:r>
      <w:r>
        <w:rPr>
          <w:rFonts w:ascii="Arial" w:cs="Arial" w:eastAsia="Arial" w:hAnsi="Arial"/>
          <w:sz w:val="15"/>
          <w:szCs w:val="15"/>
          <w:i w:val="1"/>
          <w:iCs w:val="1"/>
          <w:color w:val="auto"/>
        </w:rPr>
        <w:t>“Note Agreement”</w:t>
      </w:r>
      <w:r>
        <w:rPr>
          <w:rFonts w:ascii="Arial" w:cs="Arial" w:eastAsia="Arial" w:hAnsi="Arial"/>
          <w:sz w:val="15"/>
          <w:szCs w:val="15"/>
          <w:color w:val="auto"/>
        </w:rPr>
        <w:t>), between the Company, on the one hand, and PGIM, Inc. (formally known as Prudential Investment Management, Inc.), the Initial Purchasers named in the Purchaser Schedule attached thereto and each Prudential Affiliate which becomes party thereto, on the other hand, and the holder hereof is entitled equally and ratably with the holders of all other Notes outstanding under the Note Agreement to all the benefits provided for thereby or referred to therein. Reference is hereby made to the Note Agreement for a statement of such rights and benefits.</w:t>
      </w:r>
    </w:p>
    <w:p>
      <w:pPr>
        <w:spacing w:after="0" w:line="128" w:lineRule="exact"/>
        <w:rPr>
          <w:sz w:val="20"/>
          <w:szCs w:val="20"/>
          <w:color w:val="auto"/>
        </w:rPr>
      </w:pPr>
    </w:p>
    <w:p>
      <w:pPr>
        <w:jc w:val="both"/>
        <w:ind w:left="140" w:right="119" w:firstLine="510"/>
        <w:spacing w:after="0" w:line="227" w:lineRule="auto"/>
        <w:rPr>
          <w:sz w:val="20"/>
          <w:szCs w:val="20"/>
          <w:color w:val="auto"/>
        </w:rPr>
      </w:pPr>
      <w:r>
        <w:rPr>
          <w:rFonts w:ascii="Arial" w:cs="Arial" w:eastAsia="Arial" w:hAnsi="Arial"/>
          <w:sz w:val="17"/>
          <w:szCs w:val="17"/>
          <w:color w:val="auto"/>
        </w:rPr>
        <w:t>This Note and the other Notes outstanding under the Note Agreement may be declared due prior to their expressed maturity dates and certain prepayments are required to be made thereon, all in the events, on the terms and in the manner and amounts as provided in the Note Agreements.</w:t>
      </w:r>
    </w:p>
    <w:p>
      <w:pPr>
        <w:spacing w:after="0" w:line="125" w:lineRule="exact"/>
        <w:rPr>
          <w:sz w:val="20"/>
          <w:szCs w:val="20"/>
          <w:color w:val="auto"/>
        </w:rPr>
      </w:pPr>
    </w:p>
    <w:p>
      <w:pPr>
        <w:jc w:val="both"/>
        <w:ind w:left="140" w:right="119" w:firstLine="510"/>
        <w:spacing w:after="0" w:line="296" w:lineRule="auto"/>
        <w:rPr>
          <w:sz w:val="20"/>
          <w:szCs w:val="20"/>
          <w:color w:val="auto"/>
        </w:rPr>
      </w:pPr>
      <w:r>
        <w:rPr>
          <w:rFonts w:ascii="Arial" w:cs="Arial" w:eastAsia="Arial" w:hAnsi="Arial"/>
          <w:sz w:val="15"/>
          <w:szCs w:val="15"/>
          <w:color w:val="auto"/>
        </w:rPr>
        <w:t>The Notes are not subject to prepayment or redemption at the option of the Company prior to their expressed maturity dates except on the terms and conditions and in the amounts and with the premium, if any, set forth in the Note Agreement.</w:t>
      </w:r>
    </w:p>
    <w:p>
      <w:pPr>
        <w:spacing w:after="0" w:line="84" w:lineRule="exact"/>
        <w:rPr>
          <w:sz w:val="20"/>
          <w:szCs w:val="20"/>
          <w:color w:val="auto"/>
        </w:rPr>
      </w:pPr>
    </w:p>
    <w:p>
      <w:pPr>
        <w:jc w:val="both"/>
        <w:ind w:left="140" w:right="139" w:firstLine="510"/>
        <w:spacing w:after="0" w:line="222" w:lineRule="auto"/>
        <w:rPr>
          <w:sz w:val="20"/>
          <w:szCs w:val="20"/>
          <w:color w:val="auto"/>
        </w:rPr>
      </w:pPr>
      <w:r>
        <w:rPr>
          <w:rFonts w:ascii="Arial" w:cs="Arial" w:eastAsia="Arial" w:hAnsi="Arial"/>
          <w:sz w:val="17"/>
          <w:szCs w:val="17"/>
          <w:color w:val="auto"/>
        </w:rPr>
        <w:t>This Note is registered on the books of the Company and is transferable only by surrender thereof at the principal office of the Company duly endorsed or accompanied by a written instrument of transfer duly executed by the registered holder of this Note or its attorney duly authorized in writing. Payment of or on account of principal, premium, if any, and interest on this Note shall be made only to or upon the order in writing of the registered holder.</w:t>
      </w:r>
    </w:p>
    <w:p>
      <w:pPr>
        <w:spacing w:after="0" w:line="126"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Signature Page Follows</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85090</wp:posOffset>
            </wp:positionH>
            <wp:positionV relativeFrom="paragraph">
              <wp:posOffset>534035</wp:posOffset>
            </wp:positionV>
            <wp:extent cx="5563235" cy="203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8">
                      <a:extLst>
                        <a:ext uri="{28A0092B-C50C-407E-A947-70E740481C1C}"/>
                      </a:extLst>
                    </a:blip>
                    <a:srcRect/>
                    <a:stretch>
                      <a:fillRect/>
                    </a:stretch>
                  </pic:blipFill>
                  <pic:spPr bwMode="auto">
                    <a:xfrm>
                      <a:off x="0" y="0"/>
                      <a:ext cx="5563235" cy="20320"/>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21" w:name="page22"/>
    <w:bookmarkEnd w:id="21"/>
    <w:p>
      <w:pPr>
        <w:jc w:val="both"/>
        <w:ind w:left="140" w:right="119" w:firstLine="510"/>
        <w:spacing w:after="0" w:line="245" w:lineRule="auto"/>
        <w:rPr>
          <w:sz w:val="20"/>
          <w:szCs w:val="20"/>
          <w:color w:val="auto"/>
        </w:rPr>
      </w:pPr>
      <w:r>
        <w:rPr>
          <w:rFonts w:ascii="Arial" w:cs="Arial" w:eastAsia="Arial" w:hAnsi="Arial"/>
          <w:sz w:val="16"/>
          <w:szCs w:val="16"/>
          <w:b w:val="1"/>
          <w:bCs w:val="1"/>
          <w:color w:val="auto"/>
        </w:rPr>
        <w:t>This Note and said Note Agreement are governed by and construed in accordance with the law of Illinois (excluding any conflicts of law rules which would otherwise cause this note to be construed or enforced in accordance with the laws of any other jurisdiction), including all matters of construction, validity and performance.</w:t>
      </w:r>
    </w:p>
    <w:p>
      <w:pPr>
        <w:spacing w:after="0" w:line="121" w:lineRule="exact"/>
        <w:rPr>
          <w:sz w:val="20"/>
          <w:szCs w:val="20"/>
          <w:color w:val="auto"/>
        </w:rPr>
      </w:pPr>
    </w:p>
    <w:p>
      <w:pPr>
        <w:ind w:left="3200"/>
        <w:spacing w:after="0"/>
        <w:rPr>
          <w:sz w:val="20"/>
          <w:szCs w:val="20"/>
          <w:color w:val="auto"/>
        </w:rPr>
      </w:pPr>
      <w:r>
        <w:rPr>
          <w:rFonts w:ascii="Arial" w:cs="Arial" w:eastAsia="Arial" w:hAnsi="Arial"/>
          <w:sz w:val="17"/>
          <w:szCs w:val="17"/>
          <w:color w:val="auto"/>
        </w:rPr>
        <w:t>Universal Forest Products, Inc.</w:t>
      </w:r>
    </w:p>
    <w:p>
      <w:pPr>
        <w:spacing w:after="0" w:line="200" w:lineRule="exact"/>
        <w:rPr>
          <w:sz w:val="20"/>
          <w:szCs w:val="20"/>
          <w:color w:val="auto"/>
        </w:rPr>
      </w:pPr>
    </w:p>
    <w:p>
      <w:pPr>
        <w:spacing w:after="0" w:line="273" w:lineRule="exact"/>
        <w:rPr>
          <w:sz w:val="20"/>
          <w:szCs w:val="20"/>
          <w:color w:val="auto"/>
        </w:rPr>
      </w:pPr>
    </w:p>
    <w:p>
      <w:pPr>
        <w:ind w:left="3200"/>
        <w:spacing w:after="0"/>
        <w:rPr>
          <w:sz w:val="20"/>
          <w:szCs w:val="20"/>
          <w:color w:val="auto"/>
        </w:rPr>
      </w:pPr>
      <w:r>
        <w:rPr>
          <w:rFonts w:ascii="Arial" w:cs="Arial" w:eastAsia="Arial" w:hAnsi="Arial"/>
          <w:sz w:val="17"/>
          <w:szCs w:val="17"/>
          <w:color w:val="auto"/>
        </w:rPr>
        <w:t>By:_________________________________________________</w:t>
      </w:r>
    </w:p>
    <w:p>
      <w:pPr>
        <w:ind w:left="370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85090</wp:posOffset>
            </wp:positionH>
            <wp:positionV relativeFrom="paragraph">
              <wp:posOffset>592455</wp:posOffset>
            </wp:positionV>
            <wp:extent cx="5563235" cy="133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9">
                      <a:extLst>
                        <a:ext uri="{28A0092B-C50C-407E-A947-70E740481C1C}"/>
                      </a:extLst>
                    </a:blip>
                    <a:srcRect/>
                    <a:stretch>
                      <a:fillRect/>
                    </a:stretch>
                  </pic:blipFill>
                  <pic:spPr bwMode="auto">
                    <a:xfrm>
                      <a:off x="0" y="0"/>
                      <a:ext cx="5563235" cy="133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22" w:name="page23"/>
    <w:bookmarkEnd w:id="22"/>
    <w:p>
      <w:pPr>
        <w:jc w:val="center"/>
        <w:ind w:right="-20"/>
        <w:spacing w:after="0"/>
        <w:rPr>
          <w:sz w:val="20"/>
          <w:szCs w:val="20"/>
          <w:color w:val="auto"/>
        </w:rPr>
      </w:pPr>
      <w:r>
        <w:rPr>
          <w:rFonts w:ascii="Arial" w:cs="Arial" w:eastAsia="Arial" w:hAnsi="Arial"/>
          <w:sz w:val="17"/>
          <w:szCs w:val="17"/>
          <w:b w:val="1"/>
          <w:bCs w:val="1"/>
          <w:color w:val="auto"/>
        </w:rPr>
        <w:t>UNIVERSAL FOREST PRODUCTS, INC.</w:t>
      </w:r>
    </w:p>
    <w:p>
      <w:pPr>
        <w:spacing w:after="0" w:line="14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4.20% SENIOR SERIES C NOTE DUE 14 JUNE 2028</w:t>
      </w:r>
    </w:p>
    <w:p>
      <w:pPr>
        <w:spacing w:after="0" w:line="307" w:lineRule="exact"/>
        <w:rPr>
          <w:sz w:val="20"/>
          <w:szCs w:val="20"/>
          <w:color w:val="auto"/>
        </w:rPr>
      </w:pPr>
    </w:p>
    <w:p>
      <w:pPr>
        <w:ind w:left="140"/>
        <w:spacing w:after="0"/>
        <w:rPr>
          <w:sz w:val="20"/>
          <w:szCs w:val="20"/>
          <w:color w:val="auto"/>
        </w:rPr>
      </w:pPr>
      <w:r>
        <w:rPr>
          <w:rFonts w:ascii="Arial" w:cs="Arial" w:eastAsia="Arial" w:hAnsi="Arial"/>
          <w:sz w:val="17"/>
          <w:szCs w:val="17"/>
          <w:color w:val="auto"/>
        </w:rPr>
        <w:t xml:space="preserve">No. </w:t>
      </w:r>
      <w:r>
        <w:rPr>
          <w:rFonts w:ascii="Arial" w:cs="Arial" w:eastAsia="Arial" w:hAnsi="Arial"/>
          <w:sz w:val="17"/>
          <w:szCs w:val="17"/>
          <w:b w:val="1"/>
          <w:bCs w:val="1"/>
          <w:color w:val="auto"/>
        </w:rPr>
        <w:t>C-3</w:t>
      </w:r>
    </w:p>
    <w:p>
      <w:pPr>
        <w:ind w:left="140"/>
        <w:spacing w:after="0" w:line="208" w:lineRule="auto"/>
        <w:rPr>
          <w:sz w:val="20"/>
          <w:szCs w:val="20"/>
          <w:color w:val="auto"/>
        </w:rPr>
      </w:pPr>
      <w:r>
        <w:rPr>
          <w:rFonts w:ascii="Arial" w:cs="Arial" w:eastAsia="Arial" w:hAnsi="Arial"/>
          <w:sz w:val="17"/>
          <w:szCs w:val="17"/>
          <w:color w:val="auto"/>
        </w:rPr>
        <w:t xml:space="preserve">ORIGINAL PRINCIPAL AMOUNT: </w:t>
      </w:r>
      <w:r>
        <w:rPr>
          <w:rFonts w:ascii="Arial" w:cs="Arial" w:eastAsia="Arial" w:hAnsi="Arial"/>
          <w:sz w:val="17"/>
          <w:szCs w:val="17"/>
          <w:b w:val="1"/>
          <w:bCs w:val="1"/>
          <w:color w:val="auto"/>
        </w:rPr>
        <w:t>$19,000,000</w:t>
      </w:r>
    </w:p>
    <w:p>
      <w:pPr>
        <w:ind w:left="140"/>
        <w:spacing w:after="0" w:line="209" w:lineRule="auto"/>
        <w:rPr>
          <w:sz w:val="20"/>
          <w:szCs w:val="20"/>
          <w:color w:val="auto"/>
        </w:rPr>
      </w:pPr>
      <w:r>
        <w:rPr>
          <w:rFonts w:ascii="Arial" w:cs="Arial" w:eastAsia="Arial" w:hAnsi="Arial"/>
          <w:sz w:val="17"/>
          <w:szCs w:val="17"/>
          <w:color w:val="auto"/>
        </w:rPr>
        <w:t xml:space="preserve">ORIGINAL ISSUE DATE: </w:t>
      </w:r>
      <w:r>
        <w:rPr>
          <w:rFonts w:ascii="Arial" w:cs="Arial" w:eastAsia="Arial" w:hAnsi="Arial"/>
          <w:sz w:val="17"/>
          <w:szCs w:val="17"/>
          <w:b w:val="1"/>
          <w:bCs w:val="1"/>
          <w:color w:val="auto"/>
        </w:rPr>
        <w:t>14 June 2018</w:t>
      </w:r>
    </w:p>
    <w:p>
      <w:pPr>
        <w:ind w:left="140"/>
        <w:spacing w:after="0" w:line="208" w:lineRule="auto"/>
        <w:rPr>
          <w:sz w:val="20"/>
          <w:szCs w:val="20"/>
          <w:color w:val="auto"/>
        </w:rPr>
      </w:pPr>
      <w:r>
        <w:rPr>
          <w:rFonts w:ascii="Arial" w:cs="Arial" w:eastAsia="Arial" w:hAnsi="Arial"/>
          <w:sz w:val="17"/>
          <w:szCs w:val="17"/>
          <w:color w:val="auto"/>
        </w:rPr>
        <w:t xml:space="preserve">INTEREST RATE: </w:t>
      </w:r>
      <w:r>
        <w:rPr>
          <w:rFonts w:ascii="Arial" w:cs="Arial" w:eastAsia="Arial" w:hAnsi="Arial"/>
          <w:sz w:val="17"/>
          <w:szCs w:val="17"/>
          <w:b w:val="1"/>
          <w:bCs w:val="1"/>
          <w:color w:val="auto"/>
        </w:rPr>
        <w:t>4.20%</w:t>
      </w:r>
    </w:p>
    <w:p>
      <w:pPr>
        <w:ind w:left="140"/>
        <w:spacing w:after="0" w:line="209" w:lineRule="auto"/>
        <w:rPr>
          <w:sz w:val="20"/>
          <w:szCs w:val="20"/>
          <w:color w:val="auto"/>
        </w:rPr>
      </w:pPr>
      <w:r>
        <w:rPr>
          <w:rFonts w:ascii="Arial" w:cs="Arial" w:eastAsia="Arial" w:hAnsi="Arial"/>
          <w:sz w:val="17"/>
          <w:szCs w:val="17"/>
          <w:color w:val="auto"/>
        </w:rPr>
        <w:t xml:space="preserve">INTEREST PAYMENT DATES: </w:t>
      </w:r>
      <w:r>
        <w:rPr>
          <w:rFonts w:ascii="Arial" w:cs="Arial" w:eastAsia="Arial" w:hAnsi="Arial"/>
          <w:sz w:val="17"/>
          <w:szCs w:val="17"/>
          <w:b w:val="1"/>
          <w:bCs w:val="1"/>
          <w:color w:val="auto"/>
        </w:rPr>
        <w:t>17 June and 17 December of each year, commencing on 17 December 2018</w:t>
      </w:r>
    </w:p>
    <w:p>
      <w:pPr>
        <w:ind w:left="140"/>
        <w:spacing w:after="0" w:line="209" w:lineRule="auto"/>
        <w:rPr>
          <w:sz w:val="20"/>
          <w:szCs w:val="20"/>
          <w:color w:val="auto"/>
        </w:rPr>
      </w:pPr>
      <w:r>
        <w:rPr>
          <w:rFonts w:ascii="Arial" w:cs="Arial" w:eastAsia="Arial" w:hAnsi="Arial"/>
          <w:sz w:val="17"/>
          <w:szCs w:val="17"/>
          <w:color w:val="auto"/>
        </w:rPr>
        <w:t xml:space="preserve">FINAL MATURITY DATE: </w:t>
      </w:r>
      <w:r>
        <w:rPr>
          <w:rFonts w:ascii="Arial" w:cs="Arial" w:eastAsia="Arial" w:hAnsi="Arial"/>
          <w:sz w:val="17"/>
          <w:szCs w:val="17"/>
          <w:b w:val="1"/>
          <w:bCs w:val="1"/>
          <w:color w:val="auto"/>
        </w:rPr>
        <w:t>14 June 2028</w:t>
      </w:r>
    </w:p>
    <w:p>
      <w:pPr>
        <w:ind w:left="140"/>
        <w:spacing w:after="0" w:line="208" w:lineRule="auto"/>
        <w:rPr>
          <w:sz w:val="20"/>
          <w:szCs w:val="20"/>
          <w:color w:val="auto"/>
        </w:rPr>
      </w:pPr>
      <w:r>
        <w:rPr>
          <w:rFonts w:ascii="Arial" w:cs="Arial" w:eastAsia="Arial" w:hAnsi="Arial"/>
          <w:sz w:val="17"/>
          <w:szCs w:val="17"/>
          <w:color w:val="auto"/>
        </w:rPr>
        <w:t xml:space="preserve">PRINCIPAL PREPAYMENT DATES AND AMOUNTS: </w:t>
      </w:r>
      <w:r>
        <w:rPr>
          <w:rFonts w:ascii="Arial" w:cs="Arial" w:eastAsia="Arial" w:hAnsi="Arial"/>
          <w:sz w:val="17"/>
          <w:szCs w:val="17"/>
          <w:b w:val="1"/>
          <w:bCs w:val="1"/>
          <w:color w:val="auto"/>
        </w:rPr>
        <w:t>None. Bullet due at maturity</w:t>
      </w:r>
    </w:p>
    <w:p>
      <w:pPr>
        <w:spacing w:after="0" w:line="1" w:lineRule="exact"/>
        <w:rPr>
          <w:sz w:val="20"/>
          <w:szCs w:val="20"/>
          <w:color w:val="auto"/>
        </w:rPr>
      </w:pPr>
    </w:p>
    <w:p>
      <w:pPr>
        <w:ind w:left="140"/>
        <w:spacing w:after="0"/>
        <w:rPr>
          <w:sz w:val="20"/>
          <w:szCs w:val="20"/>
          <w:color w:val="auto"/>
        </w:rPr>
      </w:pPr>
      <w:r>
        <w:rPr>
          <w:rFonts w:ascii="Arial" w:cs="Arial" w:eastAsia="Arial" w:hAnsi="Arial"/>
          <w:sz w:val="17"/>
          <w:szCs w:val="17"/>
          <w:color w:val="auto"/>
        </w:rPr>
        <w:t>PPN: 913543 C#9</w:t>
      </w:r>
    </w:p>
    <w:p>
      <w:pPr>
        <w:spacing w:after="0" w:line="130" w:lineRule="exact"/>
        <w:rPr>
          <w:sz w:val="20"/>
          <w:szCs w:val="20"/>
          <w:color w:val="auto"/>
        </w:rPr>
      </w:pPr>
    </w:p>
    <w:p>
      <w:pPr>
        <w:jc w:val="both"/>
        <w:ind w:left="140" w:right="119" w:firstLine="510"/>
        <w:spacing w:after="0" w:line="226" w:lineRule="auto"/>
        <w:rPr>
          <w:sz w:val="20"/>
          <w:szCs w:val="20"/>
          <w:color w:val="auto"/>
        </w:rPr>
      </w:pPr>
      <w:r>
        <w:rPr>
          <w:rFonts w:ascii="Arial" w:cs="Arial" w:eastAsia="Arial" w:hAnsi="Arial"/>
          <w:sz w:val="16"/>
          <w:szCs w:val="16"/>
          <w:color w:val="auto"/>
        </w:rPr>
        <w:t xml:space="preserve">FOR VALUE RECEIVED, the undersigned, Universal Forest Products, Inc., a corporation organized and existing under the laws of the State of Michigan (herein called the </w:t>
      </w:r>
      <w:r>
        <w:rPr>
          <w:rFonts w:ascii="Arial" w:cs="Arial" w:eastAsia="Arial" w:hAnsi="Arial"/>
          <w:sz w:val="16"/>
          <w:szCs w:val="16"/>
          <w:i w:val="1"/>
          <w:iCs w:val="1"/>
          <w:color w:val="auto"/>
        </w:rPr>
        <w:t>“Company”</w:t>
      </w:r>
      <w:r>
        <w:rPr>
          <w:rFonts w:ascii="Arial" w:cs="Arial" w:eastAsia="Arial" w:hAnsi="Arial"/>
          <w:sz w:val="16"/>
          <w:szCs w:val="16"/>
          <w:color w:val="auto"/>
        </w:rPr>
        <w:t xml:space="preserve">), hereby promises to pay to </w:t>
      </w:r>
      <w:r>
        <w:rPr>
          <w:rFonts w:ascii="Arial" w:cs="Arial" w:eastAsia="Arial" w:hAnsi="Arial"/>
          <w:sz w:val="16"/>
          <w:szCs w:val="16"/>
          <w:b w:val="1"/>
          <w:bCs w:val="1"/>
          <w:color w:val="auto"/>
        </w:rPr>
        <w:t>THE GIBRALTAR LIFE</w:t>
      </w:r>
      <w:r>
        <w:rPr>
          <w:rFonts w:ascii="Arial" w:cs="Arial" w:eastAsia="Arial" w:hAnsi="Arial"/>
          <w:sz w:val="16"/>
          <w:szCs w:val="16"/>
          <w:color w:val="auto"/>
        </w:rPr>
        <w:t xml:space="preserve"> </w:t>
      </w:r>
      <w:r>
        <w:rPr>
          <w:rFonts w:ascii="Arial" w:cs="Arial" w:eastAsia="Arial" w:hAnsi="Arial"/>
          <w:sz w:val="16"/>
          <w:szCs w:val="16"/>
          <w:b w:val="1"/>
          <w:bCs w:val="1"/>
          <w:color w:val="auto"/>
        </w:rPr>
        <w:t>INSURANCE CO., LTD</w:t>
      </w:r>
      <w:r>
        <w:rPr>
          <w:rFonts w:ascii="Arial" w:cs="Arial" w:eastAsia="Arial" w:hAnsi="Arial"/>
          <w:sz w:val="16"/>
          <w:szCs w:val="16"/>
          <w:color w:val="auto"/>
        </w:rPr>
        <w:t>., or registered assigns, the principal sum of</w:t>
      </w:r>
      <w:r>
        <w:rPr>
          <w:rFonts w:ascii="Arial" w:cs="Arial" w:eastAsia="Arial" w:hAnsi="Arial"/>
          <w:sz w:val="16"/>
          <w:szCs w:val="16"/>
          <w:b w:val="1"/>
          <w:bCs w:val="1"/>
          <w:color w:val="auto"/>
        </w:rPr>
        <w:t xml:space="preserve"> NINETEEN MILLION DOLLARS </w:t>
      </w:r>
      <w:r>
        <w:rPr>
          <w:rFonts w:ascii="Arial" w:cs="Arial" w:eastAsia="Arial" w:hAnsi="Arial"/>
          <w:sz w:val="16"/>
          <w:szCs w:val="16"/>
          <w:color w:val="auto"/>
        </w:rPr>
        <w:t>on the Final</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Maturity Date specified above with interest (computed on the basis of a 360-day year—30-day month) on the unpaid balance thereof at the Interest Rate per annum specified above from the date hereof, payable on each Interest Payment Date specified above and on the Final Maturity Date specified above, commencing with the Interest Payment Date next succeeding the date hereof. The Company agrees to pay interest on overdue principal (including any overdue optional prepayment of principal) and premium, if any, and (to the extent legally enforceable) on any overdue installment of interest, at the Overdue Rate after the due date, whether by acceleration or otherwise, until paid. </w:t>
      </w:r>
      <w:r>
        <w:rPr>
          <w:rFonts w:ascii="Arial" w:cs="Arial" w:eastAsia="Arial" w:hAnsi="Arial"/>
          <w:sz w:val="16"/>
          <w:szCs w:val="16"/>
          <w:i w:val="1"/>
          <w:iCs w:val="1"/>
          <w:color w:val="auto"/>
        </w:rPr>
        <w:t>“Overdue Rate”</w:t>
      </w:r>
      <w:r>
        <w:rPr>
          <w:rFonts w:ascii="Arial" w:cs="Arial" w:eastAsia="Arial" w:hAnsi="Arial"/>
          <w:sz w:val="16"/>
          <w:szCs w:val="16"/>
          <w:color w:val="auto"/>
        </w:rPr>
        <w:t xml:space="preserve"> shall mean the lesser of (a) the maximum interest rate permitted by law, and (b) the greater of (ii) the Interest Rate specified above plus 2.00% per annum or (b) the rate of interest publicly announced by JPMorgan Chase Bank, National Association, from time to time in New York City as its Prime Rate plus 2.00% per annum.</w:t>
      </w:r>
    </w:p>
    <w:p>
      <w:pPr>
        <w:spacing w:after="0" w:line="130" w:lineRule="exact"/>
        <w:rPr>
          <w:sz w:val="20"/>
          <w:szCs w:val="20"/>
          <w:color w:val="auto"/>
        </w:rPr>
      </w:pPr>
    </w:p>
    <w:p>
      <w:pPr>
        <w:jc w:val="both"/>
        <w:ind w:left="140" w:right="119" w:firstLine="510"/>
        <w:spacing w:after="0" w:line="227" w:lineRule="auto"/>
        <w:rPr>
          <w:sz w:val="20"/>
          <w:szCs w:val="20"/>
          <w:color w:val="auto"/>
        </w:rPr>
      </w:pPr>
      <w:r>
        <w:rPr>
          <w:rFonts w:ascii="Arial" w:cs="Arial" w:eastAsia="Arial" w:hAnsi="Arial"/>
          <w:sz w:val="16"/>
          <w:szCs w:val="16"/>
          <w:color w:val="auto"/>
        </w:rPr>
        <w:t xml:space="preserve">Both the principal hereof and interest hereon are payable at the principal office of the Company in Grand Rapids, Michigan in coin or currency of the United States of America which at the time of payment shall be legal tender for the payment of public and private debts. If any amount of principal, premium, if any, or interest on or in respect of this Note becomes due and payable on any date which is not a Business Day, such amount shall be payable on the immediately succeeding Business Day without including the additional days elapsed in the computation of the interest payable on such next succeeding Business Day;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the maturity date of this Note is a date other than a Business Day, the payment otherwise due on such maturity date shall be made on the next succeeding Business Day and shall include the additional days elapsed in the computation of interest payable on such next succeeding Business Day. </w:t>
      </w:r>
      <w:r>
        <w:rPr>
          <w:rFonts w:ascii="Arial" w:cs="Arial" w:eastAsia="Arial" w:hAnsi="Arial"/>
          <w:sz w:val="16"/>
          <w:szCs w:val="16"/>
          <w:i w:val="1"/>
          <w:iCs w:val="1"/>
          <w:color w:val="auto"/>
        </w:rPr>
        <w:t>“Business Day”</w:t>
      </w:r>
      <w:r>
        <w:rPr>
          <w:rFonts w:ascii="Arial" w:cs="Arial" w:eastAsia="Arial" w:hAnsi="Arial"/>
          <w:sz w:val="16"/>
          <w:szCs w:val="16"/>
          <w:color w:val="auto"/>
        </w:rPr>
        <w:t xml:space="preserve"> means any day other than a Saturday, Sunday or other day on which banks in either Grand Rapids, Michigan or New York, New York are required by law to close or are customarily 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85090</wp:posOffset>
            </wp:positionH>
            <wp:positionV relativeFrom="paragraph">
              <wp:posOffset>99060</wp:posOffset>
            </wp:positionV>
            <wp:extent cx="5563235" cy="203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0">
                      <a:extLst>
                        <a:ext uri="{28A0092B-C50C-407E-A947-70E740481C1C}"/>
                      </a:extLst>
                    </a:blip>
                    <a:srcRect/>
                    <a:stretch>
                      <a:fillRect/>
                    </a:stretch>
                  </pic:blipFill>
                  <pic:spPr bwMode="auto">
                    <a:xfrm>
                      <a:off x="0" y="0"/>
                      <a:ext cx="5563235" cy="20320"/>
                    </a:xfrm>
                    <a:prstGeom prst="rect">
                      <a:avLst/>
                    </a:prstGeom>
                    <a:noFill/>
                  </pic:spPr>
                </pic:pic>
              </a:graphicData>
            </a:graphic>
          </wp:anchor>
        </w:drawing>
      </w:r>
    </w:p>
    <w:p>
      <w:pPr>
        <w:sectPr>
          <w:pgSz w:w="11900" w:h="16838" w:orient="portrait"/>
          <w:cols w:equalWidth="0" w:num="1">
            <w:col w:w="9019"/>
          </w:cols>
          <w:pgMar w:left="1440" w:top="522" w:right="1440" w:bottom="1440" w:gutter="0" w:footer="0" w:header="0"/>
        </w:sectPr>
      </w:pPr>
    </w:p>
    <w:bookmarkStart w:id="23" w:name="page24"/>
    <w:bookmarkEnd w:id="23"/>
    <w:p>
      <w:pPr>
        <w:jc w:val="both"/>
        <w:ind w:left="140" w:right="119" w:firstLine="510"/>
        <w:spacing w:after="0" w:line="226" w:lineRule="auto"/>
        <w:rPr>
          <w:sz w:val="20"/>
          <w:szCs w:val="20"/>
          <w:color w:val="auto"/>
        </w:rPr>
      </w:pPr>
      <w:r>
        <w:rPr>
          <w:rFonts w:ascii="Arial" w:cs="Arial" w:eastAsia="Arial" w:hAnsi="Arial"/>
          <w:sz w:val="16"/>
          <w:szCs w:val="16"/>
          <w:color w:val="auto"/>
        </w:rPr>
        <w:t xml:space="preserve">This Note is one of the 4.20% Series C Senior Notes, due 14 June 2028 of the Company in the original aggregate principal amount of $40,000,000, which, together with the 3.89% Series A Senior Notes, due December 17, 2022, of the Company in the original aggregate principal amount of $35,000,000, the 3.98% Series B Senior Notes, due December 17, 2024, of the Company in the original aggregate principal amount of $40,000,000, the 4.27% Series D Senior Notes, due June 14, 2030 of the Company in the original aggregate principal amount of $35,000,000, and any other Shelf Notes (as defined in the Note Agreement hereafter mentioned), are issued or to be issued under and pursuant to the terms and provisions of the Note Purchase and Private Shelf Agreement, dated as of December 17, 2012 (as amended, the </w:t>
      </w:r>
      <w:r>
        <w:rPr>
          <w:rFonts w:ascii="Arial" w:cs="Arial" w:eastAsia="Arial" w:hAnsi="Arial"/>
          <w:sz w:val="16"/>
          <w:szCs w:val="16"/>
          <w:i w:val="1"/>
          <w:iCs w:val="1"/>
          <w:color w:val="auto"/>
        </w:rPr>
        <w:t>“Note Agreement”</w:t>
      </w:r>
      <w:r>
        <w:rPr>
          <w:rFonts w:ascii="Arial" w:cs="Arial" w:eastAsia="Arial" w:hAnsi="Arial"/>
          <w:sz w:val="16"/>
          <w:szCs w:val="16"/>
          <w:color w:val="auto"/>
        </w:rPr>
        <w:t>), between the Company, on the one hand, and PGIM, Inc. (formally known as Prudential Investment Management, Inc.), the Initial Purchasers named in the Purchaser Schedule attached thereto and each Prudential Affiliate which becomes party thereto, on the other hand, and the holder hereof is entitled equally and ratably with the holders of all other Notes outstanding under the Note Agreement to all the benefits provided for thereby or referred to therein. Reference is hereby made to the Note Agreement for a statement of such rights and benefits.</w:t>
      </w:r>
    </w:p>
    <w:p>
      <w:pPr>
        <w:spacing w:after="0" w:line="130" w:lineRule="exact"/>
        <w:rPr>
          <w:sz w:val="20"/>
          <w:szCs w:val="20"/>
          <w:color w:val="auto"/>
        </w:rPr>
      </w:pPr>
    </w:p>
    <w:p>
      <w:pPr>
        <w:jc w:val="both"/>
        <w:ind w:left="140" w:right="119" w:firstLine="510"/>
        <w:spacing w:after="0" w:line="227" w:lineRule="auto"/>
        <w:rPr>
          <w:sz w:val="20"/>
          <w:szCs w:val="20"/>
          <w:color w:val="auto"/>
        </w:rPr>
      </w:pPr>
      <w:r>
        <w:rPr>
          <w:rFonts w:ascii="Arial" w:cs="Arial" w:eastAsia="Arial" w:hAnsi="Arial"/>
          <w:sz w:val="17"/>
          <w:szCs w:val="17"/>
          <w:color w:val="auto"/>
        </w:rPr>
        <w:t>This Note and the other Notes outstanding under the Note Agreement may be declared due prior to their expressed maturity dates and certain prepayments are required to be made thereon, all in the events, on the terms and in the manner and amounts as provided in the Note Agreements.</w:t>
      </w:r>
    </w:p>
    <w:p>
      <w:pPr>
        <w:spacing w:after="0" w:line="125" w:lineRule="exact"/>
        <w:rPr>
          <w:sz w:val="20"/>
          <w:szCs w:val="20"/>
          <w:color w:val="auto"/>
        </w:rPr>
      </w:pPr>
    </w:p>
    <w:p>
      <w:pPr>
        <w:jc w:val="both"/>
        <w:ind w:left="140" w:right="119" w:firstLine="510"/>
        <w:spacing w:after="0" w:line="296" w:lineRule="auto"/>
        <w:rPr>
          <w:sz w:val="20"/>
          <w:szCs w:val="20"/>
          <w:color w:val="auto"/>
        </w:rPr>
      </w:pPr>
      <w:r>
        <w:rPr>
          <w:rFonts w:ascii="Arial" w:cs="Arial" w:eastAsia="Arial" w:hAnsi="Arial"/>
          <w:sz w:val="15"/>
          <w:szCs w:val="15"/>
          <w:color w:val="auto"/>
        </w:rPr>
        <w:t>The Notes are not subject to prepayment or redemption at the option of the Company prior to their expressed maturity dates except on the terms and conditions and in the amounts and with the premium, if any, set forth in the Note Agreement.</w:t>
      </w:r>
    </w:p>
    <w:p>
      <w:pPr>
        <w:spacing w:after="0" w:line="84" w:lineRule="exact"/>
        <w:rPr>
          <w:sz w:val="20"/>
          <w:szCs w:val="20"/>
          <w:color w:val="auto"/>
        </w:rPr>
      </w:pPr>
    </w:p>
    <w:p>
      <w:pPr>
        <w:jc w:val="both"/>
        <w:ind w:left="140" w:right="139" w:firstLine="510"/>
        <w:spacing w:after="0" w:line="222" w:lineRule="auto"/>
        <w:rPr>
          <w:sz w:val="20"/>
          <w:szCs w:val="20"/>
          <w:color w:val="auto"/>
        </w:rPr>
      </w:pPr>
      <w:r>
        <w:rPr>
          <w:rFonts w:ascii="Arial" w:cs="Arial" w:eastAsia="Arial" w:hAnsi="Arial"/>
          <w:sz w:val="17"/>
          <w:szCs w:val="17"/>
          <w:color w:val="auto"/>
        </w:rPr>
        <w:t>This Note is registered on the books of the Company and is transferable only by surrender thereof at the principal office of the Company duly endorsed or accompanied by a written instrument of transfer duly executed by the registered holder of this Note or its attorney duly authorized in writing. Payment of or on account of principal, premium, if any, and interest on this Note shall be made only to or upon the order in writing of the registered holder.</w:t>
      </w:r>
    </w:p>
    <w:p>
      <w:pPr>
        <w:spacing w:after="0" w:line="126"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Signature Page Follows</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85090</wp:posOffset>
            </wp:positionH>
            <wp:positionV relativeFrom="paragraph">
              <wp:posOffset>534035</wp:posOffset>
            </wp:positionV>
            <wp:extent cx="5563235" cy="203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1">
                      <a:extLst>
                        <a:ext uri="{28A0092B-C50C-407E-A947-70E740481C1C}"/>
                      </a:extLst>
                    </a:blip>
                    <a:srcRect/>
                    <a:stretch>
                      <a:fillRect/>
                    </a:stretch>
                  </pic:blipFill>
                  <pic:spPr bwMode="auto">
                    <a:xfrm>
                      <a:off x="0" y="0"/>
                      <a:ext cx="5563235" cy="20320"/>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24" w:name="page25"/>
    <w:bookmarkEnd w:id="24"/>
    <w:p>
      <w:pPr>
        <w:jc w:val="both"/>
        <w:ind w:left="140" w:right="119" w:firstLine="510"/>
        <w:spacing w:after="0" w:line="245" w:lineRule="auto"/>
        <w:rPr>
          <w:sz w:val="20"/>
          <w:szCs w:val="20"/>
          <w:color w:val="auto"/>
        </w:rPr>
      </w:pPr>
      <w:r>
        <w:rPr>
          <w:rFonts w:ascii="Arial" w:cs="Arial" w:eastAsia="Arial" w:hAnsi="Arial"/>
          <w:sz w:val="16"/>
          <w:szCs w:val="16"/>
          <w:b w:val="1"/>
          <w:bCs w:val="1"/>
          <w:color w:val="auto"/>
        </w:rPr>
        <w:t>This Note and said Note Agreement are governed by and construed in accordance with the law of Illinois (excluding any conflicts of law rules which would otherwise cause this note to be construed or enforced in accordance with the laws of any other jurisdiction), including all matters of construction, validity and performance.</w:t>
      </w:r>
    </w:p>
    <w:p>
      <w:pPr>
        <w:spacing w:after="0" w:line="121" w:lineRule="exact"/>
        <w:rPr>
          <w:sz w:val="20"/>
          <w:szCs w:val="20"/>
          <w:color w:val="auto"/>
        </w:rPr>
      </w:pPr>
    </w:p>
    <w:p>
      <w:pPr>
        <w:ind w:left="3200"/>
        <w:spacing w:after="0"/>
        <w:rPr>
          <w:sz w:val="20"/>
          <w:szCs w:val="20"/>
          <w:color w:val="auto"/>
        </w:rPr>
      </w:pPr>
      <w:r>
        <w:rPr>
          <w:rFonts w:ascii="Arial" w:cs="Arial" w:eastAsia="Arial" w:hAnsi="Arial"/>
          <w:sz w:val="17"/>
          <w:szCs w:val="17"/>
          <w:color w:val="auto"/>
        </w:rPr>
        <w:t>Universal Forest Products, Inc.</w:t>
      </w:r>
    </w:p>
    <w:p>
      <w:pPr>
        <w:spacing w:after="0" w:line="200" w:lineRule="exact"/>
        <w:rPr>
          <w:sz w:val="20"/>
          <w:szCs w:val="20"/>
          <w:color w:val="auto"/>
        </w:rPr>
      </w:pPr>
    </w:p>
    <w:p>
      <w:pPr>
        <w:spacing w:after="0" w:line="273" w:lineRule="exact"/>
        <w:rPr>
          <w:sz w:val="20"/>
          <w:szCs w:val="20"/>
          <w:color w:val="auto"/>
        </w:rPr>
      </w:pPr>
    </w:p>
    <w:p>
      <w:pPr>
        <w:ind w:left="3200"/>
        <w:spacing w:after="0"/>
        <w:rPr>
          <w:sz w:val="20"/>
          <w:szCs w:val="20"/>
          <w:color w:val="auto"/>
        </w:rPr>
      </w:pPr>
      <w:r>
        <w:rPr>
          <w:rFonts w:ascii="Arial" w:cs="Arial" w:eastAsia="Arial" w:hAnsi="Arial"/>
          <w:sz w:val="17"/>
          <w:szCs w:val="17"/>
          <w:color w:val="auto"/>
        </w:rPr>
        <w:t>By:_________________________________________________</w:t>
      </w:r>
    </w:p>
    <w:p>
      <w:pPr>
        <w:ind w:left="370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85090</wp:posOffset>
            </wp:positionH>
            <wp:positionV relativeFrom="paragraph">
              <wp:posOffset>592455</wp:posOffset>
            </wp:positionV>
            <wp:extent cx="5563235" cy="133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2">
                      <a:extLst>
                        <a:ext uri="{28A0092B-C50C-407E-A947-70E740481C1C}"/>
                      </a:extLst>
                    </a:blip>
                    <a:srcRect/>
                    <a:stretch>
                      <a:fillRect/>
                    </a:stretch>
                  </pic:blipFill>
                  <pic:spPr bwMode="auto">
                    <a:xfrm>
                      <a:off x="0" y="0"/>
                      <a:ext cx="5563235" cy="133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25" w:name="page26"/>
    <w:bookmarkEnd w:id="25"/>
    <w:p>
      <w:pPr>
        <w:jc w:val="center"/>
        <w:ind w:right="-20"/>
        <w:spacing w:after="0"/>
        <w:rPr>
          <w:sz w:val="20"/>
          <w:szCs w:val="20"/>
          <w:color w:val="auto"/>
        </w:rPr>
      </w:pPr>
      <w:r>
        <w:rPr>
          <w:rFonts w:ascii="Arial" w:cs="Arial" w:eastAsia="Arial" w:hAnsi="Arial"/>
          <w:sz w:val="17"/>
          <w:szCs w:val="17"/>
          <w:b w:val="1"/>
          <w:bCs w:val="1"/>
          <w:color w:val="auto"/>
        </w:rPr>
        <w:t>UNIVERSAL FOREST PRODUCTS, INC.</w:t>
      </w:r>
    </w:p>
    <w:p>
      <w:pPr>
        <w:spacing w:after="0" w:line="14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4.20% SENIOR SERIES C NOTE DUE 14 JUNE 2028</w:t>
      </w:r>
    </w:p>
    <w:p>
      <w:pPr>
        <w:spacing w:after="0" w:line="307" w:lineRule="exact"/>
        <w:rPr>
          <w:sz w:val="20"/>
          <w:szCs w:val="20"/>
          <w:color w:val="auto"/>
        </w:rPr>
      </w:pPr>
    </w:p>
    <w:p>
      <w:pPr>
        <w:ind w:left="140"/>
        <w:spacing w:after="0"/>
        <w:rPr>
          <w:sz w:val="20"/>
          <w:szCs w:val="20"/>
          <w:color w:val="auto"/>
        </w:rPr>
      </w:pPr>
      <w:r>
        <w:rPr>
          <w:rFonts w:ascii="Arial" w:cs="Arial" w:eastAsia="Arial" w:hAnsi="Arial"/>
          <w:sz w:val="17"/>
          <w:szCs w:val="17"/>
          <w:color w:val="auto"/>
        </w:rPr>
        <w:t xml:space="preserve">No. </w:t>
      </w:r>
      <w:r>
        <w:rPr>
          <w:rFonts w:ascii="Arial" w:cs="Arial" w:eastAsia="Arial" w:hAnsi="Arial"/>
          <w:sz w:val="17"/>
          <w:szCs w:val="17"/>
          <w:b w:val="1"/>
          <w:bCs w:val="1"/>
          <w:color w:val="auto"/>
        </w:rPr>
        <w:t>C-4</w:t>
      </w:r>
    </w:p>
    <w:p>
      <w:pPr>
        <w:ind w:left="140"/>
        <w:spacing w:after="0" w:line="208" w:lineRule="auto"/>
        <w:rPr>
          <w:sz w:val="20"/>
          <w:szCs w:val="20"/>
          <w:color w:val="auto"/>
        </w:rPr>
      </w:pPr>
      <w:r>
        <w:rPr>
          <w:rFonts w:ascii="Arial" w:cs="Arial" w:eastAsia="Arial" w:hAnsi="Arial"/>
          <w:sz w:val="17"/>
          <w:szCs w:val="17"/>
          <w:color w:val="auto"/>
        </w:rPr>
        <w:t xml:space="preserve">ORIGINAL PRINCIPAL AMOUNT: </w:t>
      </w:r>
      <w:r>
        <w:rPr>
          <w:rFonts w:ascii="Arial" w:cs="Arial" w:eastAsia="Arial" w:hAnsi="Arial"/>
          <w:sz w:val="17"/>
          <w:szCs w:val="17"/>
          <w:b w:val="1"/>
          <w:bCs w:val="1"/>
          <w:color w:val="auto"/>
        </w:rPr>
        <w:t>$5,000,000</w:t>
      </w:r>
    </w:p>
    <w:p>
      <w:pPr>
        <w:ind w:left="140"/>
        <w:spacing w:after="0" w:line="209" w:lineRule="auto"/>
        <w:rPr>
          <w:sz w:val="20"/>
          <w:szCs w:val="20"/>
          <w:color w:val="auto"/>
        </w:rPr>
      </w:pPr>
      <w:r>
        <w:rPr>
          <w:rFonts w:ascii="Arial" w:cs="Arial" w:eastAsia="Arial" w:hAnsi="Arial"/>
          <w:sz w:val="17"/>
          <w:szCs w:val="17"/>
          <w:color w:val="auto"/>
        </w:rPr>
        <w:t xml:space="preserve">ORIGINAL ISSUE DATE: </w:t>
      </w:r>
      <w:r>
        <w:rPr>
          <w:rFonts w:ascii="Arial" w:cs="Arial" w:eastAsia="Arial" w:hAnsi="Arial"/>
          <w:sz w:val="17"/>
          <w:szCs w:val="17"/>
          <w:b w:val="1"/>
          <w:bCs w:val="1"/>
          <w:color w:val="auto"/>
        </w:rPr>
        <w:t>14 June 2018</w:t>
      </w:r>
    </w:p>
    <w:p>
      <w:pPr>
        <w:ind w:left="140"/>
        <w:spacing w:after="0" w:line="208" w:lineRule="auto"/>
        <w:rPr>
          <w:sz w:val="20"/>
          <w:szCs w:val="20"/>
          <w:color w:val="auto"/>
        </w:rPr>
      </w:pPr>
      <w:r>
        <w:rPr>
          <w:rFonts w:ascii="Arial" w:cs="Arial" w:eastAsia="Arial" w:hAnsi="Arial"/>
          <w:sz w:val="17"/>
          <w:szCs w:val="17"/>
          <w:color w:val="auto"/>
        </w:rPr>
        <w:t xml:space="preserve">INTEREST RATE: </w:t>
      </w:r>
      <w:r>
        <w:rPr>
          <w:rFonts w:ascii="Arial" w:cs="Arial" w:eastAsia="Arial" w:hAnsi="Arial"/>
          <w:sz w:val="17"/>
          <w:szCs w:val="17"/>
          <w:b w:val="1"/>
          <w:bCs w:val="1"/>
          <w:color w:val="auto"/>
        </w:rPr>
        <w:t>4.20%</w:t>
      </w:r>
    </w:p>
    <w:p>
      <w:pPr>
        <w:ind w:left="140"/>
        <w:spacing w:after="0" w:line="209" w:lineRule="auto"/>
        <w:rPr>
          <w:sz w:val="20"/>
          <w:szCs w:val="20"/>
          <w:color w:val="auto"/>
        </w:rPr>
      </w:pPr>
      <w:r>
        <w:rPr>
          <w:rFonts w:ascii="Arial" w:cs="Arial" w:eastAsia="Arial" w:hAnsi="Arial"/>
          <w:sz w:val="17"/>
          <w:szCs w:val="17"/>
          <w:color w:val="auto"/>
        </w:rPr>
        <w:t xml:space="preserve">INTEREST PAYMENT DATES: </w:t>
      </w:r>
      <w:r>
        <w:rPr>
          <w:rFonts w:ascii="Arial" w:cs="Arial" w:eastAsia="Arial" w:hAnsi="Arial"/>
          <w:sz w:val="17"/>
          <w:szCs w:val="17"/>
          <w:b w:val="1"/>
          <w:bCs w:val="1"/>
          <w:color w:val="auto"/>
        </w:rPr>
        <w:t>17 June and 17 December of each year, commencing on 17 December 2018</w:t>
      </w:r>
    </w:p>
    <w:p>
      <w:pPr>
        <w:ind w:left="140"/>
        <w:spacing w:after="0" w:line="209" w:lineRule="auto"/>
        <w:rPr>
          <w:sz w:val="20"/>
          <w:szCs w:val="20"/>
          <w:color w:val="auto"/>
        </w:rPr>
      </w:pPr>
      <w:r>
        <w:rPr>
          <w:rFonts w:ascii="Arial" w:cs="Arial" w:eastAsia="Arial" w:hAnsi="Arial"/>
          <w:sz w:val="17"/>
          <w:szCs w:val="17"/>
          <w:color w:val="auto"/>
        </w:rPr>
        <w:t xml:space="preserve">FINAL MATURITY DATE: </w:t>
      </w:r>
      <w:r>
        <w:rPr>
          <w:rFonts w:ascii="Arial" w:cs="Arial" w:eastAsia="Arial" w:hAnsi="Arial"/>
          <w:sz w:val="17"/>
          <w:szCs w:val="17"/>
          <w:b w:val="1"/>
          <w:bCs w:val="1"/>
          <w:color w:val="auto"/>
        </w:rPr>
        <w:t>14 June 2028</w:t>
      </w:r>
    </w:p>
    <w:p>
      <w:pPr>
        <w:ind w:left="140"/>
        <w:spacing w:after="0" w:line="208" w:lineRule="auto"/>
        <w:rPr>
          <w:sz w:val="20"/>
          <w:szCs w:val="20"/>
          <w:color w:val="auto"/>
        </w:rPr>
      </w:pPr>
      <w:r>
        <w:rPr>
          <w:rFonts w:ascii="Arial" w:cs="Arial" w:eastAsia="Arial" w:hAnsi="Arial"/>
          <w:sz w:val="17"/>
          <w:szCs w:val="17"/>
          <w:color w:val="auto"/>
        </w:rPr>
        <w:t xml:space="preserve">PRINCIPAL PREPAYMENT DATES AND AMOUNTS: </w:t>
      </w:r>
      <w:r>
        <w:rPr>
          <w:rFonts w:ascii="Arial" w:cs="Arial" w:eastAsia="Arial" w:hAnsi="Arial"/>
          <w:sz w:val="17"/>
          <w:szCs w:val="17"/>
          <w:b w:val="1"/>
          <w:bCs w:val="1"/>
          <w:color w:val="auto"/>
        </w:rPr>
        <w:t>None. Bullet due at maturity</w:t>
      </w:r>
    </w:p>
    <w:p>
      <w:pPr>
        <w:spacing w:after="0" w:line="1" w:lineRule="exact"/>
        <w:rPr>
          <w:sz w:val="20"/>
          <w:szCs w:val="20"/>
          <w:color w:val="auto"/>
        </w:rPr>
      </w:pPr>
    </w:p>
    <w:p>
      <w:pPr>
        <w:ind w:left="140"/>
        <w:spacing w:after="0"/>
        <w:rPr>
          <w:sz w:val="20"/>
          <w:szCs w:val="20"/>
          <w:color w:val="auto"/>
        </w:rPr>
      </w:pPr>
      <w:r>
        <w:rPr>
          <w:rFonts w:ascii="Arial" w:cs="Arial" w:eastAsia="Arial" w:hAnsi="Arial"/>
          <w:sz w:val="17"/>
          <w:szCs w:val="17"/>
          <w:color w:val="auto"/>
        </w:rPr>
        <w:t>PPN: 913543 C#9</w:t>
      </w:r>
    </w:p>
    <w:p>
      <w:pPr>
        <w:spacing w:after="0" w:line="130" w:lineRule="exact"/>
        <w:rPr>
          <w:sz w:val="20"/>
          <w:szCs w:val="20"/>
          <w:color w:val="auto"/>
        </w:rPr>
      </w:pPr>
    </w:p>
    <w:p>
      <w:pPr>
        <w:jc w:val="both"/>
        <w:ind w:left="140" w:right="119" w:firstLine="510"/>
        <w:spacing w:after="0" w:line="226" w:lineRule="auto"/>
        <w:rPr>
          <w:sz w:val="20"/>
          <w:szCs w:val="20"/>
          <w:color w:val="auto"/>
        </w:rPr>
      </w:pPr>
      <w:r>
        <w:rPr>
          <w:rFonts w:ascii="Arial" w:cs="Arial" w:eastAsia="Arial" w:hAnsi="Arial"/>
          <w:sz w:val="16"/>
          <w:szCs w:val="16"/>
          <w:color w:val="auto"/>
        </w:rPr>
        <w:t xml:space="preserve">FOR VALUE RECEIVED, the undersigned, Universal Forest Products, Inc., a corporation organized and existing under the laws of the State of Michigan (herein called the </w:t>
      </w:r>
      <w:r>
        <w:rPr>
          <w:rFonts w:ascii="Arial" w:cs="Arial" w:eastAsia="Arial" w:hAnsi="Arial"/>
          <w:sz w:val="16"/>
          <w:szCs w:val="16"/>
          <w:i w:val="1"/>
          <w:iCs w:val="1"/>
          <w:color w:val="auto"/>
        </w:rPr>
        <w:t>“Company”</w:t>
      </w:r>
      <w:r>
        <w:rPr>
          <w:rFonts w:ascii="Arial" w:cs="Arial" w:eastAsia="Arial" w:hAnsi="Arial"/>
          <w:sz w:val="16"/>
          <w:szCs w:val="16"/>
          <w:color w:val="auto"/>
        </w:rPr>
        <w:t xml:space="preserve">), hereby promises to pay to </w:t>
      </w:r>
      <w:r>
        <w:rPr>
          <w:rFonts w:ascii="Arial" w:cs="Arial" w:eastAsia="Arial" w:hAnsi="Arial"/>
          <w:sz w:val="16"/>
          <w:szCs w:val="16"/>
          <w:b w:val="1"/>
          <w:bCs w:val="1"/>
          <w:color w:val="auto"/>
        </w:rPr>
        <w:t>MUTUAL OF OMAHA</w:t>
      </w:r>
      <w:r>
        <w:rPr>
          <w:rFonts w:ascii="Arial" w:cs="Arial" w:eastAsia="Arial" w:hAnsi="Arial"/>
          <w:sz w:val="16"/>
          <w:szCs w:val="16"/>
          <w:color w:val="auto"/>
        </w:rPr>
        <w:t xml:space="preserve"> </w:t>
      </w:r>
      <w:r>
        <w:rPr>
          <w:rFonts w:ascii="Arial" w:cs="Arial" w:eastAsia="Arial" w:hAnsi="Arial"/>
          <w:sz w:val="16"/>
          <w:szCs w:val="16"/>
          <w:b w:val="1"/>
          <w:bCs w:val="1"/>
          <w:color w:val="auto"/>
        </w:rPr>
        <w:t>INSURANCE COMPANY</w:t>
      </w:r>
      <w:r>
        <w:rPr>
          <w:rFonts w:ascii="Arial" w:cs="Arial" w:eastAsia="Arial" w:hAnsi="Arial"/>
          <w:sz w:val="16"/>
          <w:szCs w:val="16"/>
          <w:color w:val="auto"/>
        </w:rPr>
        <w:t>, or registered assigns, the principal sum of</w:t>
      </w:r>
      <w:r>
        <w:rPr>
          <w:rFonts w:ascii="Arial" w:cs="Arial" w:eastAsia="Arial" w:hAnsi="Arial"/>
          <w:sz w:val="16"/>
          <w:szCs w:val="16"/>
          <w:b w:val="1"/>
          <w:bCs w:val="1"/>
          <w:color w:val="auto"/>
        </w:rPr>
        <w:t xml:space="preserve"> FIVE MILLION DOLLARS </w:t>
      </w:r>
      <w:r>
        <w:rPr>
          <w:rFonts w:ascii="Arial" w:cs="Arial" w:eastAsia="Arial" w:hAnsi="Arial"/>
          <w:sz w:val="16"/>
          <w:szCs w:val="16"/>
          <w:color w:val="auto"/>
        </w:rPr>
        <w:t>on the Final Maturity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Date specified above with interest (computed on the basis of a 360-day year—30-day month) on the unpaid balance thereof at the Interest Rate per annum specified above from the date hereof, payable on each Interest Payment Date specified above and on the Final Maturity Date specified above, commencing with the Interest Payment Date next succeeding the date hereof. The Company agrees to pay interest on overdue principal (including any overdue optional prepayment of principal) and premium, if any, and (to the extent legally enforceable) on any overdue installment of interest, at the Overdue Rate after the due date, whether by acceleration or otherwise, until paid. </w:t>
      </w:r>
      <w:r>
        <w:rPr>
          <w:rFonts w:ascii="Arial" w:cs="Arial" w:eastAsia="Arial" w:hAnsi="Arial"/>
          <w:sz w:val="16"/>
          <w:szCs w:val="16"/>
          <w:i w:val="1"/>
          <w:iCs w:val="1"/>
          <w:color w:val="auto"/>
        </w:rPr>
        <w:t>“Overdue Rate”</w:t>
      </w:r>
      <w:r>
        <w:rPr>
          <w:rFonts w:ascii="Arial" w:cs="Arial" w:eastAsia="Arial" w:hAnsi="Arial"/>
          <w:sz w:val="16"/>
          <w:szCs w:val="16"/>
          <w:color w:val="auto"/>
        </w:rPr>
        <w:t xml:space="preserve"> shall mean the lesser of (a) the maximum interest rate permitted by law, and (b) the greater of (ii) the Interest Rate specified above plus 2.00% per annum or (b) the rate of interest publicly announced by JPMorgan Chase Bank, National Association, from time to time in New York City as its Prime Rate plus 2.00% per annum.</w:t>
      </w:r>
    </w:p>
    <w:p>
      <w:pPr>
        <w:spacing w:after="0" w:line="130" w:lineRule="exact"/>
        <w:rPr>
          <w:sz w:val="20"/>
          <w:szCs w:val="20"/>
          <w:color w:val="auto"/>
        </w:rPr>
      </w:pPr>
    </w:p>
    <w:p>
      <w:pPr>
        <w:jc w:val="both"/>
        <w:ind w:left="140" w:right="119" w:firstLine="510"/>
        <w:spacing w:after="0" w:line="227" w:lineRule="auto"/>
        <w:rPr>
          <w:sz w:val="20"/>
          <w:szCs w:val="20"/>
          <w:color w:val="auto"/>
        </w:rPr>
      </w:pPr>
      <w:r>
        <w:rPr>
          <w:rFonts w:ascii="Arial" w:cs="Arial" w:eastAsia="Arial" w:hAnsi="Arial"/>
          <w:sz w:val="16"/>
          <w:szCs w:val="16"/>
          <w:color w:val="auto"/>
        </w:rPr>
        <w:t xml:space="preserve">Both the principal hereof and interest hereon are payable at the principal office of the Company in Grand Rapids, Michigan in coin or currency of the United States of America which at the time of payment shall be legal tender for the payment of public and private debts. If any amount of principal, premium, if any, or interest on or in respect of this Note becomes due and payable on any date which is not a Business Day, such amount shall be payable on the immediately succeeding Business Day without including the additional days elapsed in the computation of the interest payable on such next succeeding Business Day;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the maturity date of this Note is a date other than a Business Day, the payment otherwise due on such maturity date shall be made on the next succeeding Business Day and shall include the additional days elapsed in the computation of interest payable on such next succeeding Business Day. </w:t>
      </w:r>
      <w:r>
        <w:rPr>
          <w:rFonts w:ascii="Arial" w:cs="Arial" w:eastAsia="Arial" w:hAnsi="Arial"/>
          <w:sz w:val="16"/>
          <w:szCs w:val="16"/>
          <w:i w:val="1"/>
          <w:iCs w:val="1"/>
          <w:color w:val="auto"/>
        </w:rPr>
        <w:t>“Business Day”</w:t>
      </w:r>
      <w:r>
        <w:rPr>
          <w:rFonts w:ascii="Arial" w:cs="Arial" w:eastAsia="Arial" w:hAnsi="Arial"/>
          <w:sz w:val="16"/>
          <w:szCs w:val="16"/>
          <w:color w:val="auto"/>
        </w:rPr>
        <w:t xml:space="preserve"> means any day other than a Saturday, Sunday or other day on which banks in either Grand Rapids, Michigan or New York, New York are required by law to close or are customarily closed.</w:t>
      </w:r>
    </w:p>
    <w:p>
      <w:pPr>
        <w:spacing w:after="0" w:line="129" w:lineRule="exact"/>
        <w:rPr>
          <w:sz w:val="20"/>
          <w:szCs w:val="20"/>
          <w:color w:val="auto"/>
        </w:rPr>
      </w:pPr>
    </w:p>
    <w:p>
      <w:pPr>
        <w:jc w:val="both"/>
        <w:ind w:left="140" w:right="119" w:firstLine="510"/>
        <w:spacing w:after="0" w:line="227" w:lineRule="auto"/>
        <w:rPr>
          <w:sz w:val="20"/>
          <w:szCs w:val="20"/>
          <w:color w:val="auto"/>
        </w:rPr>
      </w:pPr>
      <w:r>
        <w:rPr>
          <w:rFonts w:ascii="Arial" w:cs="Arial" w:eastAsia="Arial" w:hAnsi="Arial"/>
          <w:sz w:val="17"/>
          <w:szCs w:val="17"/>
          <w:color w:val="auto"/>
        </w:rPr>
        <w:t>This Note is one of the 4.20% Series C Senior Notes, due 14 June 2028 of the Company in the original aggregate principal amount of $40,000,000, which, together with the 3.89% Series A Senior Notes, due December 17, 2022, of the Company in the original aggregate principal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85090</wp:posOffset>
            </wp:positionH>
            <wp:positionV relativeFrom="paragraph">
              <wp:posOffset>96520</wp:posOffset>
            </wp:positionV>
            <wp:extent cx="5563235" cy="203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3">
                      <a:extLst>
                        <a:ext uri="{28A0092B-C50C-407E-A947-70E740481C1C}"/>
                      </a:extLst>
                    </a:blip>
                    <a:srcRect/>
                    <a:stretch>
                      <a:fillRect/>
                    </a:stretch>
                  </pic:blipFill>
                  <pic:spPr bwMode="auto">
                    <a:xfrm>
                      <a:off x="0" y="0"/>
                      <a:ext cx="5563235" cy="2032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26" w:name="page27"/>
    <w:bookmarkEnd w:id="26"/>
    <w:p>
      <w:pPr>
        <w:jc w:val="both"/>
        <w:ind w:left="140" w:right="119"/>
        <w:spacing w:after="0" w:line="243" w:lineRule="auto"/>
        <w:rPr>
          <w:sz w:val="20"/>
          <w:szCs w:val="20"/>
          <w:color w:val="auto"/>
        </w:rPr>
      </w:pPr>
      <w:r>
        <w:rPr>
          <w:rFonts w:ascii="Arial" w:cs="Arial" w:eastAsia="Arial" w:hAnsi="Arial"/>
          <w:sz w:val="15"/>
          <w:szCs w:val="15"/>
          <w:color w:val="auto"/>
        </w:rPr>
        <w:t xml:space="preserve">of $35,000,000, the 3.98% Series B Senior Notes, due December 17, 2024, of the Company in the original aggregate principal amount of $40,000,000, the 4.27% Series D Senior Notes, due June 14, 2030 of the Company in the original aggregate principal amount of $35,000,000, and any other Shelf Notes (as defined in the Note Agreement hereafter mentioned), are issued or to be issued under and pursuant to the terms and provisions of the Note Purchase and Private Shelf Agreement, dated as of December 17, 2012 (as amended, the </w:t>
      </w:r>
      <w:r>
        <w:rPr>
          <w:rFonts w:ascii="Arial" w:cs="Arial" w:eastAsia="Arial" w:hAnsi="Arial"/>
          <w:sz w:val="15"/>
          <w:szCs w:val="15"/>
          <w:i w:val="1"/>
          <w:iCs w:val="1"/>
          <w:color w:val="auto"/>
        </w:rPr>
        <w:t>“Note Agreement”</w:t>
      </w:r>
      <w:r>
        <w:rPr>
          <w:rFonts w:ascii="Arial" w:cs="Arial" w:eastAsia="Arial" w:hAnsi="Arial"/>
          <w:sz w:val="15"/>
          <w:szCs w:val="15"/>
          <w:color w:val="auto"/>
        </w:rPr>
        <w:t>), between the Company, on the one hand, and PGIM, Inc. (formally known as Prudential Investment Management, Inc.), the Initial Purchasers named in the Purchaser Schedule attached thereto and each Prudential Affiliate which becomes party thereto, on the other hand, and the holder hereof is entitled equally and ratably with the holders of all other Notes outstanding under the Note Agreement to all the benefits provided for thereby or referred to therein. Reference is hereby made to the Note Agreement for a statement of such rights and benefits.</w:t>
      </w:r>
    </w:p>
    <w:p>
      <w:pPr>
        <w:spacing w:after="0" w:line="128" w:lineRule="exact"/>
        <w:rPr>
          <w:sz w:val="20"/>
          <w:szCs w:val="20"/>
          <w:color w:val="auto"/>
        </w:rPr>
      </w:pPr>
    </w:p>
    <w:p>
      <w:pPr>
        <w:jc w:val="both"/>
        <w:ind w:left="140" w:right="119" w:firstLine="510"/>
        <w:spacing w:after="0" w:line="227" w:lineRule="auto"/>
        <w:rPr>
          <w:sz w:val="20"/>
          <w:szCs w:val="20"/>
          <w:color w:val="auto"/>
        </w:rPr>
      </w:pPr>
      <w:r>
        <w:rPr>
          <w:rFonts w:ascii="Arial" w:cs="Arial" w:eastAsia="Arial" w:hAnsi="Arial"/>
          <w:sz w:val="17"/>
          <w:szCs w:val="17"/>
          <w:color w:val="auto"/>
        </w:rPr>
        <w:t>This Note and the other Notes outstanding under the Note Agreement may be declared due prior to their expressed maturity dates and certain prepayments are required to be made thereon, all in the events, on the terms and in the manner and amounts as provided in the Note Agreements.</w:t>
      </w:r>
    </w:p>
    <w:p>
      <w:pPr>
        <w:spacing w:after="0" w:line="125" w:lineRule="exact"/>
        <w:rPr>
          <w:sz w:val="20"/>
          <w:szCs w:val="20"/>
          <w:color w:val="auto"/>
        </w:rPr>
      </w:pPr>
    </w:p>
    <w:p>
      <w:pPr>
        <w:jc w:val="both"/>
        <w:ind w:left="140" w:right="119" w:firstLine="510"/>
        <w:spacing w:after="0" w:line="296" w:lineRule="auto"/>
        <w:rPr>
          <w:sz w:val="20"/>
          <w:szCs w:val="20"/>
          <w:color w:val="auto"/>
        </w:rPr>
      </w:pPr>
      <w:r>
        <w:rPr>
          <w:rFonts w:ascii="Arial" w:cs="Arial" w:eastAsia="Arial" w:hAnsi="Arial"/>
          <w:sz w:val="15"/>
          <w:szCs w:val="15"/>
          <w:color w:val="auto"/>
        </w:rPr>
        <w:t>The Notes are not subject to prepayment or redemption at the option of the Company prior to their expressed maturity dates except on the terms and conditions and in the amounts and with the premium, if any, set forth in the Note Agreement.</w:t>
      </w:r>
    </w:p>
    <w:p>
      <w:pPr>
        <w:spacing w:after="0" w:line="84" w:lineRule="exact"/>
        <w:rPr>
          <w:sz w:val="20"/>
          <w:szCs w:val="20"/>
          <w:color w:val="auto"/>
        </w:rPr>
      </w:pPr>
    </w:p>
    <w:p>
      <w:pPr>
        <w:jc w:val="both"/>
        <w:ind w:left="140" w:right="139" w:firstLine="510"/>
        <w:spacing w:after="0" w:line="222" w:lineRule="auto"/>
        <w:rPr>
          <w:sz w:val="20"/>
          <w:szCs w:val="20"/>
          <w:color w:val="auto"/>
        </w:rPr>
      </w:pPr>
      <w:r>
        <w:rPr>
          <w:rFonts w:ascii="Arial" w:cs="Arial" w:eastAsia="Arial" w:hAnsi="Arial"/>
          <w:sz w:val="17"/>
          <w:szCs w:val="17"/>
          <w:color w:val="auto"/>
        </w:rPr>
        <w:t>This Note is registered on the books of the Company and is transferable only by surrender thereof at the principal office of the Company duly endorsed or accompanied by a written instrument of transfer duly executed by the registered holder of this Note or its attorney duly authorized in writing. Payment of or on account of principal, premium, if any, and interest on this Note shall be made only to or upon the order in writing of the registered holder.</w:t>
      </w:r>
    </w:p>
    <w:p>
      <w:pPr>
        <w:spacing w:after="0" w:line="126"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Signature Page Follows</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85090</wp:posOffset>
            </wp:positionH>
            <wp:positionV relativeFrom="paragraph">
              <wp:posOffset>534035</wp:posOffset>
            </wp:positionV>
            <wp:extent cx="5563235" cy="203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4">
                      <a:extLst>
                        <a:ext uri="{28A0092B-C50C-407E-A947-70E740481C1C}"/>
                      </a:extLst>
                    </a:blip>
                    <a:srcRect/>
                    <a:stretch>
                      <a:fillRect/>
                    </a:stretch>
                  </pic:blipFill>
                  <pic:spPr bwMode="auto">
                    <a:xfrm>
                      <a:off x="0" y="0"/>
                      <a:ext cx="5563235" cy="20320"/>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27" w:name="page28"/>
    <w:bookmarkEnd w:id="27"/>
    <w:p>
      <w:pPr>
        <w:jc w:val="both"/>
        <w:ind w:left="140" w:right="119" w:firstLine="510"/>
        <w:spacing w:after="0" w:line="245" w:lineRule="auto"/>
        <w:rPr>
          <w:sz w:val="20"/>
          <w:szCs w:val="20"/>
          <w:color w:val="auto"/>
        </w:rPr>
      </w:pPr>
      <w:r>
        <w:rPr>
          <w:rFonts w:ascii="Arial" w:cs="Arial" w:eastAsia="Arial" w:hAnsi="Arial"/>
          <w:sz w:val="16"/>
          <w:szCs w:val="16"/>
          <w:b w:val="1"/>
          <w:bCs w:val="1"/>
          <w:color w:val="auto"/>
        </w:rPr>
        <w:t>This Note and said Note Agreement are governed by and construed in accordance with the law of Illinois (excluding any conflicts of law rules which would otherwise cause this note to be construed or enforced in accordance with the laws of any other jurisdiction), including all matters of construction, validity and performance.</w:t>
      </w:r>
    </w:p>
    <w:p>
      <w:pPr>
        <w:spacing w:after="0" w:line="121" w:lineRule="exact"/>
        <w:rPr>
          <w:sz w:val="20"/>
          <w:szCs w:val="20"/>
          <w:color w:val="auto"/>
        </w:rPr>
      </w:pPr>
    </w:p>
    <w:p>
      <w:pPr>
        <w:ind w:left="3200"/>
        <w:spacing w:after="0"/>
        <w:rPr>
          <w:sz w:val="20"/>
          <w:szCs w:val="20"/>
          <w:color w:val="auto"/>
        </w:rPr>
      </w:pPr>
      <w:r>
        <w:rPr>
          <w:rFonts w:ascii="Arial" w:cs="Arial" w:eastAsia="Arial" w:hAnsi="Arial"/>
          <w:sz w:val="17"/>
          <w:szCs w:val="17"/>
          <w:color w:val="auto"/>
        </w:rPr>
        <w:t>Universal Forest Products, Inc.</w:t>
      </w:r>
    </w:p>
    <w:p>
      <w:pPr>
        <w:spacing w:after="0" w:line="200" w:lineRule="exact"/>
        <w:rPr>
          <w:sz w:val="20"/>
          <w:szCs w:val="20"/>
          <w:color w:val="auto"/>
        </w:rPr>
      </w:pPr>
    </w:p>
    <w:p>
      <w:pPr>
        <w:spacing w:after="0" w:line="273" w:lineRule="exact"/>
        <w:rPr>
          <w:sz w:val="20"/>
          <w:szCs w:val="20"/>
          <w:color w:val="auto"/>
        </w:rPr>
      </w:pPr>
    </w:p>
    <w:p>
      <w:pPr>
        <w:ind w:left="3200"/>
        <w:spacing w:after="0"/>
        <w:rPr>
          <w:sz w:val="20"/>
          <w:szCs w:val="20"/>
          <w:color w:val="auto"/>
        </w:rPr>
      </w:pPr>
      <w:r>
        <w:rPr>
          <w:rFonts w:ascii="Arial" w:cs="Arial" w:eastAsia="Arial" w:hAnsi="Arial"/>
          <w:sz w:val="17"/>
          <w:szCs w:val="17"/>
          <w:color w:val="auto"/>
        </w:rPr>
        <w:t>By:_________________________________________________</w:t>
      </w:r>
    </w:p>
    <w:p>
      <w:pPr>
        <w:ind w:left="370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85090</wp:posOffset>
            </wp:positionH>
            <wp:positionV relativeFrom="paragraph">
              <wp:posOffset>592455</wp:posOffset>
            </wp:positionV>
            <wp:extent cx="5563235" cy="133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5">
                      <a:extLst>
                        <a:ext uri="{28A0092B-C50C-407E-A947-70E740481C1C}"/>
                      </a:extLst>
                    </a:blip>
                    <a:srcRect/>
                    <a:stretch>
                      <a:fillRect/>
                    </a:stretch>
                  </pic:blipFill>
                  <pic:spPr bwMode="auto">
                    <a:xfrm>
                      <a:off x="0" y="0"/>
                      <a:ext cx="5563235" cy="133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28" w:name="page29"/>
    <w:bookmarkEnd w:id="28"/>
    <w:p>
      <w:pPr>
        <w:jc w:val="center"/>
        <w:ind w:right="-20"/>
        <w:spacing w:after="0"/>
        <w:rPr>
          <w:sz w:val="20"/>
          <w:szCs w:val="20"/>
          <w:color w:val="auto"/>
        </w:rPr>
      </w:pPr>
      <w:r>
        <w:rPr>
          <w:rFonts w:ascii="Arial" w:cs="Arial" w:eastAsia="Arial" w:hAnsi="Arial"/>
          <w:sz w:val="17"/>
          <w:szCs w:val="17"/>
          <w:b w:val="1"/>
          <w:bCs w:val="1"/>
          <w:color w:val="auto"/>
        </w:rPr>
        <w:t>UNIVERSAL FOREST PRODUCTS, INC.</w:t>
      </w:r>
    </w:p>
    <w:p>
      <w:pPr>
        <w:spacing w:after="0" w:line="14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4.20% SENIOR SERIES C NOTE DUE 14 JUNE 2028</w:t>
      </w:r>
    </w:p>
    <w:p>
      <w:pPr>
        <w:spacing w:after="0" w:line="307" w:lineRule="exact"/>
        <w:rPr>
          <w:sz w:val="20"/>
          <w:szCs w:val="20"/>
          <w:color w:val="auto"/>
        </w:rPr>
      </w:pPr>
    </w:p>
    <w:p>
      <w:pPr>
        <w:ind w:left="140"/>
        <w:spacing w:after="0"/>
        <w:rPr>
          <w:sz w:val="20"/>
          <w:szCs w:val="20"/>
          <w:color w:val="auto"/>
        </w:rPr>
      </w:pPr>
      <w:r>
        <w:rPr>
          <w:rFonts w:ascii="Arial" w:cs="Arial" w:eastAsia="Arial" w:hAnsi="Arial"/>
          <w:sz w:val="17"/>
          <w:szCs w:val="17"/>
          <w:color w:val="auto"/>
        </w:rPr>
        <w:t xml:space="preserve">No. </w:t>
      </w:r>
      <w:r>
        <w:rPr>
          <w:rFonts w:ascii="Arial" w:cs="Arial" w:eastAsia="Arial" w:hAnsi="Arial"/>
          <w:sz w:val="17"/>
          <w:szCs w:val="17"/>
          <w:b w:val="1"/>
          <w:bCs w:val="1"/>
          <w:color w:val="auto"/>
        </w:rPr>
        <w:t>C-5</w:t>
      </w:r>
    </w:p>
    <w:p>
      <w:pPr>
        <w:ind w:left="140"/>
        <w:spacing w:after="0" w:line="208" w:lineRule="auto"/>
        <w:rPr>
          <w:sz w:val="20"/>
          <w:szCs w:val="20"/>
          <w:color w:val="auto"/>
        </w:rPr>
      </w:pPr>
      <w:r>
        <w:rPr>
          <w:rFonts w:ascii="Arial" w:cs="Arial" w:eastAsia="Arial" w:hAnsi="Arial"/>
          <w:sz w:val="17"/>
          <w:szCs w:val="17"/>
          <w:color w:val="auto"/>
        </w:rPr>
        <w:t xml:space="preserve">ORIGINAL PRINCIPAL AMOUNT: </w:t>
      </w:r>
      <w:r>
        <w:rPr>
          <w:rFonts w:ascii="Arial" w:cs="Arial" w:eastAsia="Arial" w:hAnsi="Arial"/>
          <w:sz w:val="17"/>
          <w:szCs w:val="17"/>
          <w:b w:val="1"/>
          <w:bCs w:val="1"/>
          <w:color w:val="auto"/>
        </w:rPr>
        <w:t>$5,000,000</w:t>
      </w:r>
    </w:p>
    <w:p>
      <w:pPr>
        <w:ind w:left="140"/>
        <w:spacing w:after="0" w:line="209" w:lineRule="auto"/>
        <w:rPr>
          <w:sz w:val="20"/>
          <w:szCs w:val="20"/>
          <w:color w:val="auto"/>
        </w:rPr>
      </w:pPr>
      <w:r>
        <w:rPr>
          <w:rFonts w:ascii="Arial" w:cs="Arial" w:eastAsia="Arial" w:hAnsi="Arial"/>
          <w:sz w:val="17"/>
          <w:szCs w:val="17"/>
          <w:color w:val="auto"/>
        </w:rPr>
        <w:t xml:space="preserve">ORIGINAL ISSUE DATE: </w:t>
      </w:r>
      <w:r>
        <w:rPr>
          <w:rFonts w:ascii="Arial" w:cs="Arial" w:eastAsia="Arial" w:hAnsi="Arial"/>
          <w:sz w:val="17"/>
          <w:szCs w:val="17"/>
          <w:b w:val="1"/>
          <w:bCs w:val="1"/>
          <w:color w:val="auto"/>
        </w:rPr>
        <w:t>14 June 2018</w:t>
      </w:r>
    </w:p>
    <w:p>
      <w:pPr>
        <w:ind w:left="140"/>
        <w:spacing w:after="0" w:line="208" w:lineRule="auto"/>
        <w:rPr>
          <w:sz w:val="20"/>
          <w:szCs w:val="20"/>
          <w:color w:val="auto"/>
        </w:rPr>
      </w:pPr>
      <w:r>
        <w:rPr>
          <w:rFonts w:ascii="Arial" w:cs="Arial" w:eastAsia="Arial" w:hAnsi="Arial"/>
          <w:sz w:val="17"/>
          <w:szCs w:val="17"/>
          <w:color w:val="auto"/>
        </w:rPr>
        <w:t xml:space="preserve">INTEREST RATE: </w:t>
      </w:r>
      <w:r>
        <w:rPr>
          <w:rFonts w:ascii="Arial" w:cs="Arial" w:eastAsia="Arial" w:hAnsi="Arial"/>
          <w:sz w:val="17"/>
          <w:szCs w:val="17"/>
          <w:b w:val="1"/>
          <w:bCs w:val="1"/>
          <w:color w:val="auto"/>
        </w:rPr>
        <w:t>4.20%</w:t>
      </w:r>
    </w:p>
    <w:p>
      <w:pPr>
        <w:ind w:left="140"/>
        <w:spacing w:after="0" w:line="209" w:lineRule="auto"/>
        <w:rPr>
          <w:sz w:val="20"/>
          <w:szCs w:val="20"/>
          <w:color w:val="auto"/>
        </w:rPr>
      </w:pPr>
      <w:r>
        <w:rPr>
          <w:rFonts w:ascii="Arial" w:cs="Arial" w:eastAsia="Arial" w:hAnsi="Arial"/>
          <w:sz w:val="17"/>
          <w:szCs w:val="17"/>
          <w:color w:val="auto"/>
        </w:rPr>
        <w:t xml:space="preserve">INTEREST PAYMENT DATES: </w:t>
      </w:r>
      <w:r>
        <w:rPr>
          <w:rFonts w:ascii="Arial" w:cs="Arial" w:eastAsia="Arial" w:hAnsi="Arial"/>
          <w:sz w:val="17"/>
          <w:szCs w:val="17"/>
          <w:b w:val="1"/>
          <w:bCs w:val="1"/>
          <w:color w:val="auto"/>
        </w:rPr>
        <w:t>17 June and 17 December of each year, commencing on 17 December 2018</w:t>
      </w:r>
    </w:p>
    <w:p>
      <w:pPr>
        <w:ind w:left="140"/>
        <w:spacing w:after="0" w:line="209" w:lineRule="auto"/>
        <w:rPr>
          <w:sz w:val="20"/>
          <w:szCs w:val="20"/>
          <w:color w:val="auto"/>
        </w:rPr>
      </w:pPr>
      <w:r>
        <w:rPr>
          <w:rFonts w:ascii="Arial" w:cs="Arial" w:eastAsia="Arial" w:hAnsi="Arial"/>
          <w:sz w:val="17"/>
          <w:szCs w:val="17"/>
          <w:color w:val="auto"/>
        </w:rPr>
        <w:t xml:space="preserve">FINAL MATURITY DATE: </w:t>
      </w:r>
      <w:r>
        <w:rPr>
          <w:rFonts w:ascii="Arial" w:cs="Arial" w:eastAsia="Arial" w:hAnsi="Arial"/>
          <w:sz w:val="17"/>
          <w:szCs w:val="17"/>
          <w:b w:val="1"/>
          <w:bCs w:val="1"/>
          <w:color w:val="auto"/>
        </w:rPr>
        <w:t>14 June 2028</w:t>
      </w:r>
    </w:p>
    <w:p>
      <w:pPr>
        <w:ind w:left="140"/>
        <w:spacing w:after="0" w:line="208" w:lineRule="auto"/>
        <w:rPr>
          <w:sz w:val="20"/>
          <w:szCs w:val="20"/>
          <w:color w:val="auto"/>
        </w:rPr>
      </w:pPr>
      <w:r>
        <w:rPr>
          <w:rFonts w:ascii="Arial" w:cs="Arial" w:eastAsia="Arial" w:hAnsi="Arial"/>
          <w:sz w:val="17"/>
          <w:szCs w:val="17"/>
          <w:color w:val="auto"/>
        </w:rPr>
        <w:t xml:space="preserve">PRINCIPAL PREPAYMENT DATES AND AMOUNTS: </w:t>
      </w:r>
      <w:r>
        <w:rPr>
          <w:rFonts w:ascii="Arial" w:cs="Arial" w:eastAsia="Arial" w:hAnsi="Arial"/>
          <w:sz w:val="17"/>
          <w:szCs w:val="17"/>
          <w:b w:val="1"/>
          <w:bCs w:val="1"/>
          <w:color w:val="auto"/>
        </w:rPr>
        <w:t>None. Bullet due at maturity</w:t>
      </w:r>
    </w:p>
    <w:p>
      <w:pPr>
        <w:spacing w:after="0" w:line="1" w:lineRule="exact"/>
        <w:rPr>
          <w:sz w:val="20"/>
          <w:szCs w:val="20"/>
          <w:color w:val="auto"/>
        </w:rPr>
      </w:pPr>
    </w:p>
    <w:p>
      <w:pPr>
        <w:ind w:left="140"/>
        <w:spacing w:after="0"/>
        <w:rPr>
          <w:sz w:val="20"/>
          <w:szCs w:val="20"/>
          <w:color w:val="auto"/>
        </w:rPr>
      </w:pPr>
      <w:r>
        <w:rPr>
          <w:rFonts w:ascii="Arial" w:cs="Arial" w:eastAsia="Arial" w:hAnsi="Arial"/>
          <w:sz w:val="17"/>
          <w:szCs w:val="17"/>
          <w:color w:val="auto"/>
        </w:rPr>
        <w:t>PPN: 913543 C#9</w:t>
      </w:r>
    </w:p>
    <w:p>
      <w:pPr>
        <w:spacing w:after="0" w:line="130" w:lineRule="exact"/>
        <w:rPr>
          <w:sz w:val="20"/>
          <w:szCs w:val="20"/>
          <w:color w:val="auto"/>
        </w:rPr>
      </w:pPr>
    </w:p>
    <w:p>
      <w:pPr>
        <w:jc w:val="both"/>
        <w:ind w:left="140" w:right="119" w:firstLine="510"/>
        <w:spacing w:after="0" w:line="226" w:lineRule="auto"/>
        <w:rPr>
          <w:sz w:val="20"/>
          <w:szCs w:val="20"/>
          <w:color w:val="auto"/>
        </w:rPr>
      </w:pPr>
      <w:r>
        <w:rPr>
          <w:rFonts w:ascii="Arial" w:cs="Arial" w:eastAsia="Arial" w:hAnsi="Arial"/>
          <w:sz w:val="16"/>
          <w:szCs w:val="16"/>
          <w:color w:val="auto"/>
        </w:rPr>
        <w:t xml:space="preserve">FOR VALUE RECEIVED, the undersigned, Universal Forest Products, Inc., a corporation organized and existing under the laws of the State of Michigan (herein called the </w:t>
      </w:r>
      <w:r>
        <w:rPr>
          <w:rFonts w:ascii="Arial" w:cs="Arial" w:eastAsia="Arial" w:hAnsi="Arial"/>
          <w:sz w:val="16"/>
          <w:szCs w:val="16"/>
          <w:i w:val="1"/>
          <w:iCs w:val="1"/>
          <w:color w:val="auto"/>
        </w:rPr>
        <w:t>“Company”</w:t>
      </w:r>
      <w:r>
        <w:rPr>
          <w:rFonts w:ascii="Arial" w:cs="Arial" w:eastAsia="Arial" w:hAnsi="Arial"/>
          <w:sz w:val="16"/>
          <w:szCs w:val="16"/>
          <w:color w:val="auto"/>
        </w:rPr>
        <w:t xml:space="preserve">), hereby promises to pay to </w:t>
      </w:r>
      <w:r>
        <w:rPr>
          <w:rFonts w:ascii="Arial" w:cs="Arial" w:eastAsia="Arial" w:hAnsi="Arial"/>
          <w:sz w:val="16"/>
          <w:szCs w:val="16"/>
          <w:b w:val="1"/>
          <w:bCs w:val="1"/>
          <w:color w:val="auto"/>
        </w:rPr>
        <w:t>UNITED OF OMAHA LIFE</w:t>
      </w:r>
      <w:r>
        <w:rPr>
          <w:rFonts w:ascii="Arial" w:cs="Arial" w:eastAsia="Arial" w:hAnsi="Arial"/>
          <w:sz w:val="16"/>
          <w:szCs w:val="16"/>
          <w:color w:val="auto"/>
        </w:rPr>
        <w:t xml:space="preserve"> </w:t>
      </w:r>
      <w:r>
        <w:rPr>
          <w:rFonts w:ascii="Arial" w:cs="Arial" w:eastAsia="Arial" w:hAnsi="Arial"/>
          <w:sz w:val="16"/>
          <w:szCs w:val="16"/>
          <w:b w:val="1"/>
          <w:bCs w:val="1"/>
          <w:color w:val="auto"/>
        </w:rPr>
        <w:t>INSURANCE COMPANY</w:t>
      </w:r>
      <w:r>
        <w:rPr>
          <w:rFonts w:ascii="Arial" w:cs="Arial" w:eastAsia="Arial" w:hAnsi="Arial"/>
          <w:sz w:val="16"/>
          <w:szCs w:val="16"/>
          <w:color w:val="auto"/>
        </w:rPr>
        <w:t>, or registered assigns, the principal sum of</w:t>
      </w:r>
      <w:r>
        <w:rPr>
          <w:rFonts w:ascii="Arial" w:cs="Arial" w:eastAsia="Arial" w:hAnsi="Arial"/>
          <w:sz w:val="16"/>
          <w:szCs w:val="16"/>
          <w:b w:val="1"/>
          <w:bCs w:val="1"/>
          <w:color w:val="auto"/>
        </w:rPr>
        <w:t xml:space="preserve"> FIVE MILLION DOLLARS </w:t>
      </w:r>
      <w:r>
        <w:rPr>
          <w:rFonts w:ascii="Arial" w:cs="Arial" w:eastAsia="Arial" w:hAnsi="Arial"/>
          <w:sz w:val="16"/>
          <w:szCs w:val="16"/>
          <w:color w:val="auto"/>
        </w:rPr>
        <w:t>on the Final Maturity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Date specified above with interest (computed on the basis of a 360-day year—30-day month) on the unpaid balance thereof at the Interest Rate per annum specified above from the date hereof, payable on each Interest Payment Date specified above and on the Final Maturity Date specified above, commencing with the Interest Payment Date next succeeding the date hereof. The Company agrees to pay interest on overdue principal (including any overdue optional prepayment of principal) and premium, if any, and (to the extent legally enforceable) on any overdue installment of interest, at the Overdue Rate after the due date, whether by acceleration or otherwise, until paid. </w:t>
      </w:r>
      <w:r>
        <w:rPr>
          <w:rFonts w:ascii="Arial" w:cs="Arial" w:eastAsia="Arial" w:hAnsi="Arial"/>
          <w:sz w:val="16"/>
          <w:szCs w:val="16"/>
          <w:i w:val="1"/>
          <w:iCs w:val="1"/>
          <w:color w:val="auto"/>
        </w:rPr>
        <w:t>“Overdue Rate”</w:t>
      </w:r>
      <w:r>
        <w:rPr>
          <w:rFonts w:ascii="Arial" w:cs="Arial" w:eastAsia="Arial" w:hAnsi="Arial"/>
          <w:sz w:val="16"/>
          <w:szCs w:val="16"/>
          <w:color w:val="auto"/>
        </w:rPr>
        <w:t xml:space="preserve"> shall mean the lesser of (a) the maximum interest rate permitted by law, and (b) the greater of (ii) the Interest Rate specified above plus 2.00% per annum or (b) the rate of interest publicly announced by JPMorgan Chase Bank, National Association, from time to time in New York City as its Prime Rate plus 2.00% per annum.</w:t>
      </w:r>
    </w:p>
    <w:p>
      <w:pPr>
        <w:spacing w:after="0" w:line="130" w:lineRule="exact"/>
        <w:rPr>
          <w:sz w:val="20"/>
          <w:szCs w:val="20"/>
          <w:color w:val="auto"/>
        </w:rPr>
      </w:pPr>
    </w:p>
    <w:p>
      <w:pPr>
        <w:jc w:val="both"/>
        <w:ind w:left="140" w:right="119" w:firstLine="510"/>
        <w:spacing w:after="0" w:line="227" w:lineRule="auto"/>
        <w:rPr>
          <w:sz w:val="20"/>
          <w:szCs w:val="20"/>
          <w:color w:val="auto"/>
        </w:rPr>
      </w:pPr>
      <w:r>
        <w:rPr>
          <w:rFonts w:ascii="Arial" w:cs="Arial" w:eastAsia="Arial" w:hAnsi="Arial"/>
          <w:sz w:val="16"/>
          <w:szCs w:val="16"/>
          <w:color w:val="auto"/>
        </w:rPr>
        <w:t xml:space="preserve">Both the principal hereof and interest hereon are payable at the principal office of the Company in Grand Rapids, Michigan in coin or currency of the United States of America which at the time of payment shall be legal tender for the payment of public and private debts. If any amount of principal, premium, if any, or interest on or in respect of this Note becomes due and payable on any date which is not a Business Day, such amount shall be payable on the immediately succeeding Business Day without including the additional days elapsed in the computation of the interest payable on such next succeeding Business Day;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the maturity date of this Note is a date other than a Business Day, the payment otherwise due on such maturity date shall be made on the next succeeding Business Day and shall include the additional days elapsed in the computation of interest payable on such next succeeding Business Day. </w:t>
      </w:r>
      <w:r>
        <w:rPr>
          <w:rFonts w:ascii="Arial" w:cs="Arial" w:eastAsia="Arial" w:hAnsi="Arial"/>
          <w:sz w:val="16"/>
          <w:szCs w:val="16"/>
          <w:i w:val="1"/>
          <w:iCs w:val="1"/>
          <w:color w:val="auto"/>
        </w:rPr>
        <w:t>“Business Day”</w:t>
      </w:r>
      <w:r>
        <w:rPr>
          <w:rFonts w:ascii="Arial" w:cs="Arial" w:eastAsia="Arial" w:hAnsi="Arial"/>
          <w:sz w:val="16"/>
          <w:szCs w:val="16"/>
          <w:color w:val="auto"/>
        </w:rPr>
        <w:t xml:space="preserve"> means any day other than a Saturday, Sunday or other day on which banks in either Grand Rapids, Michigan or New York, New York are required by law to close or are customarily closed.</w:t>
      </w:r>
    </w:p>
    <w:p>
      <w:pPr>
        <w:spacing w:after="0" w:line="129" w:lineRule="exact"/>
        <w:rPr>
          <w:sz w:val="20"/>
          <w:szCs w:val="20"/>
          <w:color w:val="auto"/>
        </w:rPr>
      </w:pPr>
    </w:p>
    <w:p>
      <w:pPr>
        <w:jc w:val="both"/>
        <w:ind w:left="140" w:right="119" w:firstLine="510"/>
        <w:spacing w:after="0" w:line="227" w:lineRule="auto"/>
        <w:rPr>
          <w:sz w:val="20"/>
          <w:szCs w:val="20"/>
          <w:color w:val="auto"/>
        </w:rPr>
      </w:pPr>
      <w:r>
        <w:rPr>
          <w:rFonts w:ascii="Arial" w:cs="Arial" w:eastAsia="Arial" w:hAnsi="Arial"/>
          <w:sz w:val="17"/>
          <w:szCs w:val="17"/>
          <w:color w:val="auto"/>
        </w:rPr>
        <w:t>This Note is one of the 4.20% Series C Senior Notes, due 14 June 2028 of the Company in the original aggregate principal amount of $40,000,000, which, together with the 3.89% Series A Senior Notes, due December 17, 2022, of the Company in the original aggregate principal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85090</wp:posOffset>
            </wp:positionH>
            <wp:positionV relativeFrom="paragraph">
              <wp:posOffset>96520</wp:posOffset>
            </wp:positionV>
            <wp:extent cx="5563235" cy="203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6">
                      <a:extLst>
                        <a:ext uri="{28A0092B-C50C-407E-A947-70E740481C1C}"/>
                      </a:extLst>
                    </a:blip>
                    <a:srcRect/>
                    <a:stretch>
                      <a:fillRect/>
                    </a:stretch>
                  </pic:blipFill>
                  <pic:spPr bwMode="auto">
                    <a:xfrm>
                      <a:off x="0" y="0"/>
                      <a:ext cx="5563235" cy="2032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29" w:name="page30"/>
    <w:bookmarkEnd w:id="29"/>
    <w:p>
      <w:pPr>
        <w:jc w:val="both"/>
        <w:ind w:left="140" w:right="119"/>
        <w:spacing w:after="0" w:line="243" w:lineRule="auto"/>
        <w:rPr>
          <w:sz w:val="20"/>
          <w:szCs w:val="20"/>
          <w:color w:val="auto"/>
        </w:rPr>
      </w:pPr>
      <w:r>
        <w:rPr>
          <w:rFonts w:ascii="Arial" w:cs="Arial" w:eastAsia="Arial" w:hAnsi="Arial"/>
          <w:sz w:val="15"/>
          <w:szCs w:val="15"/>
          <w:color w:val="auto"/>
        </w:rPr>
        <w:t xml:space="preserve">of $35,000,000, the 3.98% Series B Senior Notes, due December 17, 2024, of the Company in the original aggregate principal amount of $40,000,000, the 4.27% Series D Senior Notes, due June 14, 2030 of the Company in the original aggregate principal amount of $35,000,000, and any other Shelf Notes (as defined in the Note Agreement hereafter mentioned), are issued or to be issued under and pursuant to the terms and provisions of the Note Purchase and Private Shelf Agreement, dated as of December 17, 2012 (as amended, the </w:t>
      </w:r>
      <w:r>
        <w:rPr>
          <w:rFonts w:ascii="Arial" w:cs="Arial" w:eastAsia="Arial" w:hAnsi="Arial"/>
          <w:sz w:val="15"/>
          <w:szCs w:val="15"/>
          <w:i w:val="1"/>
          <w:iCs w:val="1"/>
          <w:color w:val="auto"/>
        </w:rPr>
        <w:t>“Note Agreement”</w:t>
      </w:r>
      <w:r>
        <w:rPr>
          <w:rFonts w:ascii="Arial" w:cs="Arial" w:eastAsia="Arial" w:hAnsi="Arial"/>
          <w:sz w:val="15"/>
          <w:szCs w:val="15"/>
          <w:color w:val="auto"/>
        </w:rPr>
        <w:t>), between the Company, on the one hand, and PGIM, Inc. (formally known as Prudential Investment Management, Inc.), the Initial Purchasers named in the Purchaser Schedule attached thereto and each Prudential Affiliate which becomes party thereto, on the other hand, and the holder hereof is entitled equally and ratably with the holders of all other Notes outstanding under the Note Agreement to all the benefits provided for thereby or referred to therein. Reference is hereby made to the Note Agreement for a statement of such rights and benefits.</w:t>
      </w:r>
    </w:p>
    <w:p>
      <w:pPr>
        <w:spacing w:after="0" w:line="128" w:lineRule="exact"/>
        <w:rPr>
          <w:sz w:val="20"/>
          <w:szCs w:val="20"/>
          <w:color w:val="auto"/>
        </w:rPr>
      </w:pPr>
    </w:p>
    <w:p>
      <w:pPr>
        <w:jc w:val="both"/>
        <w:ind w:left="140" w:right="119" w:firstLine="510"/>
        <w:spacing w:after="0" w:line="227" w:lineRule="auto"/>
        <w:rPr>
          <w:sz w:val="20"/>
          <w:szCs w:val="20"/>
          <w:color w:val="auto"/>
        </w:rPr>
      </w:pPr>
      <w:r>
        <w:rPr>
          <w:rFonts w:ascii="Arial" w:cs="Arial" w:eastAsia="Arial" w:hAnsi="Arial"/>
          <w:sz w:val="17"/>
          <w:szCs w:val="17"/>
          <w:color w:val="auto"/>
        </w:rPr>
        <w:t>This Note and the other Notes outstanding under the Note Agreement may be declared due prior to their expressed maturity dates and certain prepayments are required to be made thereon, all in the events, on the terms and in the manner and amounts as provided in the Note Agreements.</w:t>
      </w:r>
    </w:p>
    <w:p>
      <w:pPr>
        <w:spacing w:after="0" w:line="125" w:lineRule="exact"/>
        <w:rPr>
          <w:sz w:val="20"/>
          <w:szCs w:val="20"/>
          <w:color w:val="auto"/>
        </w:rPr>
      </w:pPr>
    </w:p>
    <w:p>
      <w:pPr>
        <w:jc w:val="both"/>
        <w:ind w:left="140" w:right="119" w:firstLine="510"/>
        <w:spacing w:after="0" w:line="296" w:lineRule="auto"/>
        <w:rPr>
          <w:sz w:val="20"/>
          <w:szCs w:val="20"/>
          <w:color w:val="auto"/>
        </w:rPr>
      </w:pPr>
      <w:r>
        <w:rPr>
          <w:rFonts w:ascii="Arial" w:cs="Arial" w:eastAsia="Arial" w:hAnsi="Arial"/>
          <w:sz w:val="15"/>
          <w:szCs w:val="15"/>
          <w:color w:val="auto"/>
        </w:rPr>
        <w:t>The Notes are not subject to prepayment or redemption at the option of the Company prior to their expressed maturity dates except on the terms and conditions and in the amounts and with the premium, if any, set forth in the Note Agreement.</w:t>
      </w:r>
    </w:p>
    <w:p>
      <w:pPr>
        <w:spacing w:after="0" w:line="84" w:lineRule="exact"/>
        <w:rPr>
          <w:sz w:val="20"/>
          <w:szCs w:val="20"/>
          <w:color w:val="auto"/>
        </w:rPr>
      </w:pPr>
    </w:p>
    <w:p>
      <w:pPr>
        <w:jc w:val="both"/>
        <w:ind w:left="140" w:right="139" w:firstLine="510"/>
        <w:spacing w:after="0" w:line="222" w:lineRule="auto"/>
        <w:rPr>
          <w:sz w:val="20"/>
          <w:szCs w:val="20"/>
          <w:color w:val="auto"/>
        </w:rPr>
      </w:pPr>
      <w:r>
        <w:rPr>
          <w:rFonts w:ascii="Arial" w:cs="Arial" w:eastAsia="Arial" w:hAnsi="Arial"/>
          <w:sz w:val="17"/>
          <w:szCs w:val="17"/>
          <w:color w:val="auto"/>
        </w:rPr>
        <w:t>This Note is registered on the books of the Company and is transferable only by surrender thereof at the principal office of the Company duly endorsed or accompanied by a written instrument of transfer duly executed by the registered holder of this Note or its attorney duly authorized in writing. Payment of or on account of principal, premium, if any, and interest on this Note shall be made only to or upon the order in writing of the registered holder.</w:t>
      </w:r>
    </w:p>
    <w:p>
      <w:pPr>
        <w:spacing w:after="0" w:line="126"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Signature Page Follows</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85090</wp:posOffset>
            </wp:positionH>
            <wp:positionV relativeFrom="paragraph">
              <wp:posOffset>534035</wp:posOffset>
            </wp:positionV>
            <wp:extent cx="5563235" cy="203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7">
                      <a:extLst>
                        <a:ext uri="{28A0092B-C50C-407E-A947-70E740481C1C}"/>
                      </a:extLst>
                    </a:blip>
                    <a:srcRect/>
                    <a:stretch>
                      <a:fillRect/>
                    </a:stretch>
                  </pic:blipFill>
                  <pic:spPr bwMode="auto">
                    <a:xfrm>
                      <a:off x="0" y="0"/>
                      <a:ext cx="5563235" cy="20320"/>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30" w:name="page31"/>
    <w:bookmarkEnd w:id="30"/>
    <w:p>
      <w:pPr>
        <w:jc w:val="both"/>
        <w:ind w:left="140" w:right="119" w:firstLine="510"/>
        <w:spacing w:after="0" w:line="245" w:lineRule="auto"/>
        <w:rPr>
          <w:sz w:val="20"/>
          <w:szCs w:val="20"/>
          <w:color w:val="auto"/>
        </w:rPr>
      </w:pPr>
      <w:r>
        <w:rPr>
          <w:rFonts w:ascii="Arial" w:cs="Arial" w:eastAsia="Arial" w:hAnsi="Arial"/>
          <w:sz w:val="16"/>
          <w:szCs w:val="16"/>
          <w:b w:val="1"/>
          <w:bCs w:val="1"/>
          <w:color w:val="auto"/>
        </w:rPr>
        <w:t>This Note and said Note Agreement are governed by and construed in accordance with the law of Illinois (excluding any conflicts of law rules which would otherwise cause this note to be construed or enforced in accordance with the laws of any other jurisdiction), including all matters of construction, validity and performance.</w:t>
      </w:r>
    </w:p>
    <w:p>
      <w:pPr>
        <w:spacing w:after="0" w:line="121" w:lineRule="exact"/>
        <w:rPr>
          <w:sz w:val="20"/>
          <w:szCs w:val="20"/>
          <w:color w:val="auto"/>
        </w:rPr>
      </w:pPr>
    </w:p>
    <w:p>
      <w:pPr>
        <w:ind w:left="3200"/>
        <w:spacing w:after="0"/>
        <w:rPr>
          <w:sz w:val="20"/>
          <w:szCs w:val="20"/>
          <w:color w:val="auto"/>
        </w:rPr>
      </w:pPr>
      <w:r>
        <w:rPr>
          <w:rFonts w:ascii="Arial" w:cs="Arial" w:eastAsia="Arial" w:hAnsi="Arial"/>
          <w:sz w:val="17"/>
          <w:szCs w:val="17"/>
          <w:color w:val="auto"/>
        </w:rPr>
        <w:t>Universal Forest Products, Inc.</w:t>
      </w:r>
    </w:p>
    <w:p>
      <w:pPr>
        <w:spacing w:after="0" w:line="200" w:lineRule="exact"/>
        <w:rPr>
          <w:sz w:val="20"/>
          <w:szCs w:val="20"/>
          <w:color w:val="auto"/>
        </w:rPr>
      </w:pPr>
    </w:p>
    <w:p>
      <w:pPr>
        <w:spacing w:after="0" w:line="273" w:lineRule="exact"/>
        <w:rPr>
          <w:sz w:val="20"/>
          <w:szCs w:val="20"/>
          <w:color w:val="auto"/>
        </w:rPr>
      </w:pPr>
    </w:p>
    <w:p>
      <w:pPr>
        <w:ind w:left="3200"/>
        <w:spacing w:after="0"/>
        <w:rPr>
          <w:sz w:val="20"/>
          <w:szCs w:val="20"/>
          <w:color w:val="auto"/>
        </w:rPr>
      </w:pPr>
      <w:r>
        <w:rPr>
          <w:rFonts w:ascii="Arial" w:cs="Arial" w:eastAsia="Arial" w:hAnsi="Arial"/>
          <w:sz w:val="17"/>
          <w:szCs w:val="17"/>
          <w:color w:val="auto"/>
        </w:rPr>
        <w:t>By:_________________________________________________</w:t>
      </w:r>
    </w:p>
    <w:p>
      <w:pPr>
        <w:ind w:left="370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85090</wp:posOffset>
            </wp:positionH>
            <wp:positionV relativeFrom="paragraph">
              <wp:posOffset>417195</wp:posOffset>
            </wp:positionV>
            <wp:extent cx="5563235" cy="203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8">
                      <a:extLst>
                        <a:ext uri="{28A0092B-C50C-407E-A947-70E740481C1C}"/>
                      </a:extLst>
                    </a:blip>
                    <a:srcRect/>
                    <a:stretch>
                      <a:fillRect/>
                    </a:stretch>
                  </pic:blipFill>
                  <pic:spPr bwMode="auto">
                    <a:xfrm>
                      <a:off x="0" y="0"/>
                      <a:ext cx="5563235" cy="2032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31" w:name="page32"/>
    <w:bookmarkEnd w:id="31"/>
    <w:p>
      <w:pPr>
        <w:jc w:val="center"/>
        <w:ind w:right="-20"/>
        <w:spacing w:after="0"/>
        <w:rPr>
          <w:sz w:val="20"/>
          <w:szCs w:val="20"/>
          <w:color w:val="auto"/>
        </w:rPr>
      </w:pPr>
      <w:r>
        <w:rPr>
          <w:rFonts w:ascii="Arial" w:cs="Arial" w:eastAsia="Arial" w:hAnsi="Arial"/>
          <w:sz w:val="17"/>
          <w:szCs w:val="17"/>
          <w:b w:val="1"/>
          <w:bCs w:val="1"/>
          <w:color w:val="auto"/>
        </w:rPr>
        <w:t>UNIVERSAL FOREST PRODUCTS, INC.</w:t>
      </w:r>
    </w:p>
    <w:p>
      <w:pPr>
        <w:spacing w:after="0" w:line="14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4.27% SENIOR SERIES D NOTE DUE 14 JUNE 2030</w:t>
      </w:r>
    </w:p>
    <w:p>
      <w:pPr>
        <w:spacing w:after="0" w:line="307" w:lineRule="exact"/>
        <w:rPr>
          <w:sz w:val="20"/>
          <w:szCs w:val="20"/>
          <w:color w:val="auto"/>
        </w:rPr>
      </w:pPr>
    </w:p>
    <w:p>
      <w:pPr>
        <w:ind w:left="140"/>
        <w:spacing w:after="0"/>
        <w:rPr>
          <w:sz w:val="20"/>
          <w:szCs w:val="20"/>
          <w:color w:val="auto"/>
        </w:rPr>
      </w:pPr>
      <w:r>
        <w:rPr>
          <w:rFonts w:ascii="Arial" w:cs="Arial" w:eastAsia="Arial" w:hAnsi="Arial"/>
          <w:sz w:val="17"/>
          <w:szCs w:val="17"/>
          <w:color w:val="auto"/>
        </w:rPr>
        <w:t xml:space="preserve">No. </w:t>
      </w:r>
      <w:r>
        <w:rPr>
          <w:rFonts w:ascii="Arial" w:cs="Arial" w:eastAsia="Arial" w:hAnsi="Arial"/>
          <w:sz w:val="17"/>
          <w:szCs w:val="17"/>
          <w:b w:val="1"/>
          <w:bCs w:val="1"/>
          <w:color w:val="auto"/>
        </w:rPr>
        <w:t>D-1</w:t>
      </w:r>
    </w:p>
    <w:p>
      <w:pPr>
        <w:ind w:left="140"/>
        <w:spacing w:after="0" w:line="208" w:lineRule="auto"/>
        <w:rPr>
          <w:sz w:val="20"/>
          <w:szCs w:val="20"/>
          <w:color w:val="auto"/>
        </w:rPr>
      </w:pPr>
      <w:r>
        <w:rPr>
          <w:rFonts w:ascii="Arial" w:cs="Arial" w:eastAsia="Arial" w:hAnsi="Arial"/>
          <w:sz w:val="17"/>
          <w:szCs w:val="17"/>
          <w:color w:val="auto"/>
        </w:rPr>
        <w:t xml:space="preserve">ORIGINAL PRINCIPAL AMOUNT: </w:t>
      </w:r>
      <w:r>
        <w:rPr>
          <w:rFonts w:ascii="Arial" w:cs="Arial" w:eastAsia="Arial" w:hAnsi="Arial"/>
          <w:sz w:val="17"/>
          <w:szCs w:val="17"/>
          <w:b w:val="1"/>
          <w:bCs w:val="1"/>
          <w:color w:val="auto"/>
        </w:rPr>
        <w:t>$1,000,000</w:t>
      </w:r>
    </w:p>
    <w:p>
      <w:pPr>
        <w:ind w:left="140"/>
        <w:spacing w:after="0" w:line="209" w:lineRule="auto"/>
        <w:rPr>
          <w:sz w:val="20"/>
          <w:szCs w:val="20"/>
          <w:color w:val="auto"/>
        </w:rPr>
      </w:pPr>
      <w:r>
        <w:rPr>
          <w:rFonts w:ascii="Arial" w:cs="Arial" w:eastAsia="Arial" w:hAnsi="Arial"/>
          <w:sz w:val="17"/>
          <w:szCs w:val="17"/>
          <w:color w:val="auto"/>
        </w:rPr>
        <w:t xml:space="preserve">ORIGINAL ISSUE DATE: </w:t>
      </w:r>
      <w:r>
        <w:rPr>
          <w:rFonts w:ascii="Arial" w:cs="Arial" w:eastAsia="Arial" w:hAnsi="Arial"/>
          <w:sz w:val="17"/>
          <w:szCs w:val="17"/>
          <w:b w:val="1"/>
          <w:bCs w:val="1"/>
          <w:color w:val="auto"/>
        </w:rPr>
        <w:t>14 June 2018</w:t>
      </w:r>
    </w:p>
    <w:p>
      <w:pPr>
        <w:ind w:left="140"/>
        <w:spacing w:after="0" w:line="208" w:lineRule="auto"/>
        <w:rPr>
          <w:sz w:val="20"/>
          <w:szCs w:val="20"/>
          <w:color w:val="auto"/>
        </w:rPr>
      </w:pPr>
      <w:r>
        <w:rPr>
          <w:rFonts w:ascii="Arial" w:cs="Arial" w:eastAsia="Arial" w:hAnsi="Arial"/>
          <w:sz w:val="17"/>
          <w:szCs w:val="17"/>
          <w:color w:val="auto"/>
        </w:rPr>
        <w:t xml:space="preserve">INTEREST RATE: </w:t>
      </w:r>
      <w:r>
        <w:rPr>
          <w:rFonts w:ascii="Arial" w:cs="Arial" w:eastAsia="Arial" w:hAnsi="Arial"/>
          <w:sz w:val="17"/>
          <w:szCs w:val="17"/>
          <w:b w:val="1"/>
          <w:bCs w:val="1"/>
          <w:color w:val="auto"/>
        </w:rPr>
        <w:t>4.27%</w:t>
      </w:r>
    </w:p>
    <w:p>
      <w:pPr>
        <w:ind w:left="140"/>
        <w:spacing w:after="0" w:line="209" w:lineRule="auto"/>
        <w:rPr>
          <w:sz w:val="20"/>
          <w:szCs w:val="20"/>
          <w:color w:val="auto"/>
        </w:rPr>
      </w:pPr>
      <w:r>
        <w:rPr>
          <w:rFonts w:ascii="Arial" w:cs="Arial" w:eastAsia="Arial" w:hAnsi="Arial"/>
          <w:sz w:val="17"/>
          <w:szCs w:val="17"/>
          <w:color w:val="auto"/>
        </w:rPr>
        <w:t xml:space="preserve">INTEREST PAYMENT DATES: </w:t>
      </w:r>
      <w:r>
        <w:rPr>
          <w:rFonts w:ascii="Arial" w:cs="Arial" w:eastAsia="Arial" w:hAnsi="Arial"/>
          <w:sz w:val="17"/>
          <w:szCs w:val="17"/>
          <w:b w:val="1"/>
          <w:bCs w:val="1"/>
          <w:color w:val="auto"/>
        </w:rPr>
        <w:t>17 June and 17 December of each year, commencing on 17 December 2018</w:t>
      </w:r>
    </w:p>
    <w:p>
      <w:pPr>
        <w:ind w:left="140"/>
        <w:spacing w:after="0" w:line="209" w:lineRule="auto"/>
        <w:rPr>
          <w:sz w:val="20"/>
          <w:szCs w:val="20"/>
          <w:color w:val="auto"/>
        </w:rPr>
      </w:pPr>
      <w:r>
        <w:rPr>
          <w:rFonts w:ascii="Arial" w:cs="Arial" w:eastAsia="Arial" w:hAnsi="Arial"/>
          <w:sz w:val="17"/>
          <w:szCs w:val="17"/>
          <w:color w:val="auto"/>
        </w:rPr>
        <w:t xml:space="preserve">FINAL MATURITY DATE: </w:t>
      </w:r>
      <w:r>
        <w:rPr>
          <w:rFonts w:ascii="Arial" w:cs="Arial" w:eastAsia="Arial" w:hAnsi="Arial"/>
          <w:sz w:val="17"/>
          <w:szCs w:val="17"/>
          <w:b w:val="1"/>
          <w:bCs w:val="1"/>
          <w:color w:val="auto"/>
        </w:rPr>
        <w:t>14 June 2030</w:t>
      </w:r>
    </w:p>
    <w:p>
      <w:pPr>
        <w:ind w:left="140"/>
        <w:spacing w:after="0" w:line="208" w:lineRule="auto"/>
        <w:rPr>
          <w:sz w:val="20"/>
          <w:szCs w:val="20"/>
          <w:color w:val="auto"/>
        </w:rPr>
      </w:pPr>
      <w:r>
        <w:rPr>
          <w:rFonts w:ascii="Arial" w:cs="Arial" w:eastAsia="Arial" w:hAnsi="Arial"/>
          <w:sz w:val="17"/>
          <w:szCs w:val="17"/>
          <w:color w:val="auto"/>
        </w:rPr>
        <w:t xml:space="preserve">PRINCIPAL PREPAYMENT DATES AND AMOUNTS: </w:t>
      </w:r>
      <w:r>
        <w:rPr>
          <w:rFonts w:ascii="Arial" w:cs="Arial" w:eastAsia="Arial" w:hAnsi="Arial"/>
          <w:sz w:val="17"/>
          <w:szCs w:val="17"/>
          <w:b w:val="1"/>
          <w:bCs w:val="1"/>
          <w:color w:val="auto"/>
        </w:rPr>
        <w:t>None. Bullet due at maturity</w:t>
      </w:r>
    </w:p>
    <w:p>
      <w:pPr>
        <w:spacing w:after="0" w:line="1" w:lineRule="exact"/>
        <w:rPr>
          <w:sz w:val="20"/>
          <w:szCs w:val="20"/>
          <w:color w:val="auto"/>
        </w:rPr>
      </w:pPr>
    </w:p>
    <w:p>
      <w:pPr>
        <w:ind w:left="140"/>
        <w:spacing w:after="0"/>
        <w:rPr>
          <w:sz w:val="20"/>
          <w:szCs w:val="20"/>
          <w:color w:val="auto"/>
        </w:rPr>
      </w:pPr>
      <w:r>
        <w:rPr>
          <w:rFonts w:ascii="Arial" w:cs="Arial" w:eastAsia="Arial" w:hAnsi="Arial"/>
          <w:sz w:val="17"/>
          <w:szCs w:val="17"/>
          <w:color w:val="auto"/>
        </w:rPr>
        <w:t>PPN: 913543 D*2</w:t>
      </w:r>
    </w:p>
    <w:p>
      <w:pPr>
        <w:spacing w:after="0" w:line="130" w:lineRule="exact"/>
        <w:rPr>
          <w:sz w:val="20"/>
          <w:szCs w:val="20"/>
          <w:color w:val="auto"/>
        </w:rPr>
      </w:pPr>
    </w:p>
    <w:p>
      <w:pPr>
        <w:jc w:val="both"/>
        <w:ind w:left="140" w:right="119" w:firstLine="510"/>
        <w:spacing w:after="0" w:line="226" w:lineRule="auto"/>
        <w:rPr>
          <w:sz w:val="20"/>
          <w:szCs w:val="20"/>
          <w:color w:val="auto"/>
        </w:rPr>
      </w:pPr>
      <w:r>
        <w:rPr>
          <w:rFonts w:ascii="Arial" w:cs="Arial" w:eastAsia="Arial" w:hAnsi="Arial"/>
          <w:sz w:val="16"/>
          <w:szCs w:val="16"/>
          <w:color w:val="auto"/>
        </w:rPr>
        <w:t xml:space="preserve">FOR VALUE RECEIVED, the undersigned, Universal Forest Products, Inc., a corporation organized and existing under the laws of the State of Michigan (herein called the </w:t>
      </w:r>
      <w:r>
        <w:rPr>
          <w:rFonts w:ascii="Arial" w:cs="Arial" w:eastAsia="Arial" w:hAnsi="Arial"/>
          <w:sz w:val="16"/>
          <w:szCs w:val="16"/>
          <w:i w:val="1"/>
          <w:iCs w:val="1"/>
          <w:color w:val="auto"/>
        </w:rPr>
        <w:t>“Company”</w:t>
      </w:r>
      <w:r>
        <w:rPr>
          <w:rFonts w:ascii="Arial" w:cs="Arial" w:eastAsia="Arial" w:hAnsi="Arial"/>
          <w:sz w:val="16"/>
          <w:szCs w:val="16"/>
          <w:color w:val="auto"/>
        </w:rPr>
        <w:t xml:space="preserve">), hereby promises to pay to </w:t>
      </w:r>
      <w:r>
        <w:rPr>
          <w:rFonts w:ascii="Arial" w:cs="Arial" w:eastAsia="Arial" w:hAnsi="Arial"/>
          <w:sz w:val="16"/>
          <w:szCs w:val="16"/>
          <w:b w:val="1"/>
          <w:bCs w:val="1"/>
          <w:color w:val="auto"/>
        </w:rPr>
        <w:t>PRUDENTIAL LEGACY</w:t>
      </w:r>
      <w:r>
        <w:rPr>
          <w:rFonts w:ascii="Arial" w:cs="Arial" w:eastAsia="Arial" w:hAnsi="Arial"/>
          <w:sz w:val="16"/>
          <w:szCs w:val="16"/>
          <w:color w:val="auto"/>
        </w:rPr>
        <w:t xml:space="preserve"> </w:t>
      </w:r>
      <w:r>
        <w:rPr>
          <w:rFonts w:ascii="Arial" w:cs="Arial" w:eastAsia="Arial" w:hAnsi="Arial"/>
          <w:sz w:val="16"/>
          <w:szCs w:val="16"/>
          <w:b w:val="1"/>
          <w:bCs w:val="1"/>
          <w:color w:val="auto"/>
        </w:rPr>
        <w:t>INSURANCE COMPANY OF NEW JERSEY</w:t>
      </w:r>
      <w:r>
        <w:rPr>
          <w:rFonts w:ascii="Arial" w:cs="Arial" w:eastAsia="Arial" w:hAnsi="Arial"/>
          <w:sz w:val="16"/>
          <w:szCs w:val="16"/>
          <w:color w:val="auto"/>
        </w:rPr>
        <w:t>, or registered assigns, the principal sum of</w:t>
      </w:r>
      <w:r>
        <w:rPr>
          <w:rFonts w:ascii="Arial" w:cs="Arial" w:eastAsia="Arial" w:hAnsi="Arial"/>
          <w:sz w:val="16"/>
          <w:szCs w:val="16"/>
          <w:b w:val="1"/>
          <w:bCs w:val="1"/>
          <w:color w:val="auto"/>
        </w:rPr>
        <w:t xml:space="preserve"> ONE MILLION DOLLARS </w:t>
      </w:r>
      <w:r>
        <w:rPr>
          <w:rFonts w:ascii="Arial" w:cs="Arial" w:eastAsia="Arial" w:hAnsi="Arial"/>
          <w:sz w:val="16"/>
          <w:szCs w:val="16"/>
          <w:color w:val="auto"/>
        </w:rPr>
        <w:t>on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the Final Maturity Date specified above with interest (computed on the basis of a 360-day year—30-day month) on the unpaid balance thereof at the Interest Rate per annum specified above from the date hereof, payable on each Interest Payment Date specified above and on the Final Maturity Date specified above, commencing with the Interest Payment Date next succeeding the date hereof. The Company agrees to pay interest on overdue principal (including any overdue optional prepayment of principal) and premium, if any, and (to the extent legally enforceable) on any overdue installment of interest, at the Overdue Rate after the due date, whether by acceleration or otherwise, until paid. </w:t>
      </w:r>
      <w:r>
        <w:rPr>
          <w:rFonts w:ascii="Arial" w:cs="Arial" w:eastAsia="Arial" w:hAnsi="Arial"/>
          <w:sz w:val="16"/>
          <w:szCs w:val="16"/>
          <w:i w:val="1"/>
          <w:iCs w:val="1"/>
          <w:color w:val="auto"/>
        </w:rPr>
        <w:t>“Overdue Rate”</w:t>
      </w:r>
      <w:r>
        <w:rPr>
          <w:rFonts w:ascii="Arial" w:cs="Arial" w:eastAsia="Arial" w:hAnsi="Arial"/>
          <w:sz w:val="16"/>
          <w:szCs w:val="16"/>
          <w:color w:val="auto"/>
        </w:rPr>
        <w:t xml:space="preserve"> shall mean the lesser of (a) the maximum interest rate permitted by law, and (b) the greater of (ii) the Interest Rate specified above plus 2.00% per annum or (b) the rate of interest publicly announced by JPMorgan Chase Bank, National Association, from time to time in New York City as its Prime Rate plus 2.00% per annum.</w:t>
      </w:r>
    </w:p>
    <w:p>
      <w:pPr>
        <w:spacing w:after="0" w:line="130" w:lineRule="exact"/>
        <w:rPr>
          <w:sz w:val="20"/>
          <w:szCs w:val="20"/>
          <w:color w:val="auto"/>
        </w:rPr>
      </w:pPr>
    </w:p>
    <w:p>
      <w:pPr>
        <w:jc w:val="both"/>
        <w:ind w:left="140" w:right="119" w:firstLine="510"/>
        <w:spacing w:after="0" w:line="227" w:lineRule="auto"/>
        <w:rPr>
          <w:sz w:val="20"/>
          <w:szCs w:val="20"/>
          <w:color w:val="auto"/>
        </w:rPr>
      </w:pPr>
      <w:r>
        <w:rPr>
          <w:rFonts w:ascii="Arial" w:cs="Arial" w:eastAsia="Arial" w:hAnsi="Arial"/>
          <w:sz w:val="16"/>
          <w:szCs w:val="16"/>
          <w:color w:val="auto"/>
        </w:rPr>
        <w:t xml:space="preserve">Both the principal hereof and interest hereon are payable at the principal office of the Company in Grand Rapids, Michigan in coin or currency of the United States of America which at the time of payment shall be legal tender for the payment of public and private debts. If any amount of principal, premium, if any, or interest on or in respect of this Note becomes due and payable on any date which is not a Business Day, such amount shall be payable on the immediately succeeding Business Day without including the additional days elapsed in the computation of the interest payable on such next succeeding Business Day;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the maturity date of this Note is a date other than a Business Day, the payment otherwise due on such maturity date shall be made on the next succeeding Business Day and shall include the additional days elapsed in the computation of interest payable on such next succeeding Business Day. </w:t>
      </w:r>
      <w:r>
        <w:rPr>
          <w:rFonts w:ascii="Arial" w:cs="Arial" w:eastAsia="Arial" w:hAnsi="Arial"/>
          <w:sz w:val="16"/>
          <w:szCs w:val="16"/>
          <w:i w:val="1"/>
          <w:iCs w:val="1"/>
          <w:color w:val="auto"/>
        </w:rPr>
        <w:t>“Business Day”</w:t>
      </w:r>
      <w:r>
        <w:rPr>
          <w:rFonts w:ascii="Arial" w:cs="Arial" w:eastAsia="Arial" w:hAnsi="Arial"/>
          <w:sz w:val="16"/>
          <w:szCs w:val="16"/>
          <w:color w:val="auto"/>
        </w:rPr>
        <w:t xml:space="preserve"> means any day other than a Saturday, Sunday or other day on which banks in either Grand Rapids, Michigan or New York, New York are required by law to close or are customarily closed.</w:t>
      </w:r>
    </w:p>
    <w:p>
      <w:pPr>
        <w:spacing w:after="0" w:line="129" w:lineRule="exact"/>
        <w:rPr>
          <w:sz w:val="20"/>
          <w:szCs w:val="20"/>
          <w:color w:val="auto"/>
        </w:rPr>
      </w:pPr>
    </w:p>
    <w:p>
      <w:pPr>
        <w:jc w:val="both"/>
        <w:ind w:left="140" w:right="119" w:firstLine="510"/>
        <w:spacing w:after="0" w:line="227" w:lineRule="auto"/>
        <w:rPr>
          <w:sz w:val="20"/>
          <w:szCs w:val="20"/>
          <w:color w:val="auto"/>
        </w:rPr>
      </w:pPr>
      <w:r>
        <w:rPr>
          <w:rFonts w:ascii="Arial" w:cs="Arial" w:eastAsia="Arial" w:hAnsi="Arial"/>
          <w:sz w:val="17"/>
          <w:szCs w:val="17"/>
          <w:color w:val="auto"/>
        </w:rPr>
        <w:t>This Note is one of the 4.27% Series D Senior Notes, due 14 June 2030 of the Company in the original aggregate principal amount of $35,000,000, which, together with the 3.89% Series A Senior Notes, due December 17, 2022, of the Company in the original aggregate principal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85090</wp:posOffset>
            </wp:positionH>
            <wp:positionV relativeFrom="paragraph">
              <wp:posOffset>96520</wp:posOffset>
            </wp:positionV>
            <wp:extent cx="5563235" cy="203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9">
                      <a:extLst>
                        <a:ext uri="{28A0092B-C50C-407E-A947-70E740481C1C}"/>
                      </a:extLst>
                    </a:blip>
                    <a:srcRect/>
                    <a:stretch>
                      <a:fillRect/>
                    </a:stretch>
                  </pic:blipFill>
                  <pic:spPr bwMode="auto">
                    <a:xfrm>
                      <a:off x="0" y="0"/>
                      <a:ext cx="5563235" cy="2032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32" w:name="page33"/>
    <w:bookmarkEnd w:id="32"/>
    <w:p>
      <w:pPr>
        <w:jc w:val="both"/>
        <w:ind w:left="140" w:right="119"/>
        <w:spacing w:after="0" w:line="243" w:lineRule="auto"/>
        <w:rPr>
          <w:sz w:val="20"/>
          <w:szCs w:val="20"/>
          <w:color w:val="auto"/>
        </w:rPr>
      </w:pPr>
      <w:r>
        <w:rPr>
          <w:rFonts w:ascii="Arial" w:cs="Arial" w:eastAsia="Arial" w:hAnsi="Arial"/>
          <w:sz w:val="15"/>
          <w:szCs w:val="15"/>
          <w:color w:val="auto"/>
        </w:rPr>
        <w:t xml:space="preserve">of $35,000,000, the 3.98% Series B Senior Notes, due December 17, 2024, of the Company in the original aggregate principal amount of $40,000,000, the 4.20% Series C Senior Notes, due June 14, 2028 of the Company in the original aggregate principal amount of $40,000,000, and any other Shelf Notes (as defined in the Note Agreement hereafter mentioned), are issued or to be issued under and pursuant to the terms and provisions of the Note Purchase and Private Shelf Agreement, dated as of December 17, 2012 (as amended, the </w:t>
      </w:r>
      <w:r>
        <w:rPr>
          <w:rFonts w:ascii="Arial" w:cs="Arial" w:eastAsia="Arial" w:hAnsi="Arial"/>
          <w:sz w:val="15"/>
          <w:szCs w:val="15"/>
          <w:i w:val="1"/>
          <w:iCs w:val="1"/>
          <w:color w:val="auto"/>
        </w:rPr>
        <w:t>“Note Agreement”</w:t>
      </w:r>
      <w:r>
        <w:rPr>
          <w:rFonts w:ascii="Arial" w:cs="Arial" w:eastAsia="Arial" w:hAnsi="Arial"/>
          <w:sz w:val="15"/>
          <w:szCs w:val="15"/>
          <w:color w:val="auto"/>
        </w:rPr>
        <w:t>), between the Company, on the one hand, and PGIM, Inc. (formally known as Prudential Investment Management, Inc.), the Initial Purchasers named in the Purchaser Schedule attached thereto and each Prudential Affiliate which becomes party thereto, on the other hand, and the holder hereof is entitled equally and ratably with the holders of all other Notes outstanding under the Note Agreement to all the benefits provided for thereby or referred to therein. Reference is hereby made to the Note Agreement for a statement of such rights and benefits.</w:t>
      </w:r>
    </w:p>
    <w:p>
      <w:pPr>
        <w:spacing w:after="0" w:line="128" w:lineRule="exact"/>
        <w:rPr>
          <w:sz w:val="20"/>
          <w:szCs w:val="20"/>
          <w:color w:val="auto"/>
        </w:rPr>
      </w:pPr>
    </w:p>
    <w:p>
      <w:pPr>
        <w:jc w:val="both"/>
        <w:ind w:left="140" w:right="119" w:firstLine="510"/>
        <w:spacing w:after="0" w:line="227" w:lineRule="auto"/>
        <w:rPr>
          <w:sz w:val="20"/>
          <w:szCs w:val="20"/>
          <w:color w:val="auto"/>
        </w:rPr>
      </w:pPr>
      <w:r>
        <w:rPr>
          <w:rFonts w:ascii="Arial" w:cs="Arial" w:eastAsia="Arial" w:hAnsi="Arial"/>
          <w:sz w:val="17"/>
          <w:szCs w:val="17"/>
          <w:color w:val="auto"/>
        </w:rPr>
        <w:t>This Note and the other Notes outstanding under the Note Agreement may be declared due prior to their expressed maturity dates and certain prepayments are required to be made thereon, all in the events, on the terms and in the manner and amounts as provided in the Note Agreements.</w:t>
      </w:r>
    </w:p>
    <w:p>
      <w:pPr>
        <w:spacing w:after="0" w:line="125" w:lineRule="exact"/>
        <w:rPr>
          <w:sz w:val="20"/>
          <w:szCs w:val="20"/>
          <w:color w:val="auto"/>
        </w:rPr>
      </w:pPr>
    </w:p>
    <w:p>
      <w:pPr>
        <w:jc w:val="both"/>
        <w:ind w:left="140" w:right="119" w:firstLine="510"/>
        <w:spacing w:after="0" w:line="296" w:lineRule="auto"/>
        <w:rPr>
          <w:sz w:val="20"/>
          <w:szCs w:val="20"/>
          <w:color w:val="auto"/>
        </w:rPr>
      </w:pPr>
      <w:r>
        <w:rPr>
          <w:rFonts w:ascii="Arial" w:cs="Arial" w:eastAsia="Arial" w:hAnsi="Arial"/>
          <w:sz w:val="15"/>
          <w:szCs w:val="15"/>
          <w:color w:val="auto"/>
        </w:rPr>
        <w:t>The Notes are not subject to prepayment or redemption at the option of the Company prior to their expressed maturity dates except on the terms and conditions and in the amounts and with the premium, if any, set forth in the Note Agreement.</w:t>
      </w:r>
    </w:p>
    <w:p>
      <w:pPr>
        <w:spacing w:after="0" w:line="84" w:lineRule="exact"/>
        <w:rPr>
          <w:sz w:val="20"/>
          <w:szCs w:val="20"/>
          <w:color w:val="auto"/>
        </w:rPr>
      </w:pPr>
    </w:p>
    <w:p>
      <w:pPr>
        <w:jc w:val="both"/>
        <w:ind w:left="140" w:right="139" w:firstLine="510"/>
        <w:spacing w:after="0" w:line="222" w:lineRule="auto"/>
        <w:rPr>
          <w:sz w:val="20"/>
          <w:szCs w:val="20"/>
          <w:color w:val="auto"/>
        </w:rPr>
      </w:pPr>
      <w:r>
        <w:rPr>
          <w:rFonts w:ascii="Arial" w:cs="Arial" w:eastAsia="Arial" w:hAnsi="Arial"/>
          <w:sz w:val="17"/>
          <w:szCs w:val="17"/>
          <w:color w:val="auto"/>
        </w:rPr>
        <w:t>This Note is registered on the books of the Company and is transferable only by surrender thereof at the principal office of the Company duly endorsed or accompanied by a written instrument of transfer duly executed by the registered holder of this Note or its attorney duly authorized in writing. Payment of or on account of principal, premium, if any, and interest on this Note shall be made only to or upon the order in writing of the registered holder.</w:t>
      </w:r>
    </w:p>
    <w:p>
      <w:pPr>
        <w:spacing w:after="0" w:line="126"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Signature Page Follows</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85090</wp:posOffset>
            </wp:positionH>
            <wp:positionV relativeFrom="paragraph">
              <wp:posOffset>534035</wp:posOffset>
            </wp:positionV>
            <wp:extent cx="5563235" cy="203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0">
                      <a:extLst>
                        <a:ext uri="{28A0092B-C50C-407E-A947-70E740481C1C}"/>
                      </a:extLst>
                    </a:blip>
                    <a:srcRect/>
                    <a:stretch>
                      <a:fillRect/>
                    </a:stretch>
                  </pic:blipFill>
                  <pic:spPr bwMode="auto">
                    <a:xfrm>
                      <a:off x="0" y="0"/>
                      <a:ext cx="5563235" cy="20320"/>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33" w:name="page34"/>
    <w:bookmarkEnd w:id="33"/>
    <w:p>
      <w:pPr>
        <w:jc w:val="both"/>
        <w:ind w:left="140" w:right="119" w:firstLine="510"/>
        <w:spacing w:after="0" w:line="245" w:lineRule="auto"/>
        <w:rPr>
          <w:sz w:val="20"/>
          <w:szCs w:val="20"/>
          <w:color w:val="auto"/>
        </w:rPr>
      </w:pPr>
      <w:r>
        <w:rPr>
          <w:rFonts w:ascii="Arial" w:cs="Arial" w:eastAsia="Arial" w:hAnsi="Arial"/>
          <w:sz w:val="16"/>
          <w:szCs w:val="16"/>
          <w:b w:val="1"/>
          <w:bCs w:val="1"/>
          <w:color w:val="auto"/>
        </w:rPr>
        <w:t>This Note and said Note Agreement are governed by and construed in accordance with the law of Illinois (excluding any conflicts of law rules which would otherwise cause this note to be construed or enforced in accordance with the laws of any other jurisdiction), including all matters of construction, validity and performance.</w:t>
      </w:r>
    </w:p>
    <w:p>
      <w:pPr>
        <w:spacing w:after="0" w:line="121" w:lineRule="exact"/>
        <w:rPr>
          <w:sz w:val="20"/>
          <w:szCs w:val="20"/>
          <w:color w:val="auto"/>
        </w:rPr>
      </w:pPr>
    </w:p>
    <w:p>
      <w:pPr>
        <w:ind w:left="3200"/>
        <w:spacing w:after="0"/>
        <w:rPr>
          <w:sz w:val="20"/>
          <w:szCs w:val="20"/>
          <w:color w:val="auto"/>
        </w:rPr>
      </w:pPr>
      <w:r>
        <w:rPr>
          <w:rFonts w:ascii="Arial" w:cs="Arial" w:eastAsia="Arial" w:hAnsi="Arial"/>
          <w:sz w:val="17"/>
          <w:szCs w:val="17"/>
          <w:color w:val="auto"/>
        </w:rPr>
        <w:t>Universal Forest Products, Inc.</w:t>
      </w:r>
    </w:p>
    <w:p>
      <w:pPr>
        <w:spacing w:after="0" w:line="200" w:lineRule="exact"/>
        <w:rPr>
          <w:sz w:val="20"/>
          <w:szCs w:val="20"/>
          <w:color w:val="auto"/>
        </w:rPr>
      </w:pPr>
    </w:p>
    <w:p>
      <w:pPr>
        <w:spacing w:after="0" w:line="273" w:lineRule="exact"/>
        <w:rPr>
          <w:sz w:val="20"/>
          <w:szCs w:val="20"/>
          <w:color w:val="auto"/>
        </w:rPr>
      </w:pPr>
    </w:p>
    <w:p>
      <w:pPr>
        <w:ind w:left="3200"/>
        <w:spacing w:after="0"/>
        <w:rPr>
          <w:sz w:val="20"/>
          <w:szCs w:val="20"/>
          <w:color w:val="auto"/>
        </w:rPr>
      </w:pPr>
      <w:r>
        <w:rPr>
          <w:rFonts w:ascii="Arial" w:cs="Arial" w:eastAsia="Arial" w:hAnsi="Arial"/>
          <w:sz w:val="17"/>
          <w:szCs w:val="17"/>
          <w:color w:val="auto"/>
        </w:rPr>
        <w:t>By:_________________________________________________</w:t>
      </w:r>
    </w:p>
    <w:p>
      <w:pPr>
        <w:ind w:left="370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85090</wp:posOffset>
            </wp:positionH>
            <wp:positionV relativeFrom="paragraph">
              <wp:posOffset>592455</wp:posOffset>
            </wp:positionV>
            <wp:extent cx="5563235" cy="133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1">
                      <a:extLst>
                        <a:ext uri="{28A0092B-C50C-407E-A947-70E740481C1C}"/>
                      </a:extLst>
                    </a:blip>
                    <a:srcRect/>
                    <a:stretch>
                      <a:fillRect/>
                    </a:stretch>
                  </pic:blipFill>
                  <pic:spPr bwMode="auto">
                    <a:xfrm>
                      <a:off x="0" y="0"/>
                      <a:ext cx="5563235" cy="133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34" w:name="page35"/>
    <w:bookmarkEnd w:id="34"/>
    <w:p>
      <w:pPr>
        <w:jc w:val="center"/>
        <w:ind w:right="-20"/>
        <w:spacing w:after="0"/>
        <w:rPr>
          <w:sz w:val="20"/>
          <w:szCs w:val="20"/>
          <w:color w:val="auto"/>
        </w:rPr>
      </w:pPr>
      <w:r>
        <w:rPr>
          <w:rFonts w:ascii="Arial" w:cs="Arial" w:eastAsia="Arial" w:hAnsi="Arial"/>
          <w:sz w:val="17"/>
          <w:szCs w:val="17"/>
          <w:b w:val="1"/>
          <w:bCs w:val="1"/>
          <w:color w:val="auto"/>
        </w:rPr>
        <w:t>UNIVERSAL FOREST PRODUCTS, INC.</w:t>
      </w:r>
    </w:p>
    <w:p>
      <w:pPr>
        <w:spacing w:after="0" w:line="14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4.27% SENIOR SERIES D NOTE DUE 14 JUNE 2030</w:t>
      </w:r>
    </w:p>
    <w:p>
      <w:pPr>
        <w:spacing w:after="0" w:line="307" w:lineRule="exact"/>
        <w:rPr>
          <w:sz w:val="20"/>
          <w:szCs w:val="20"/>
          <w:color w:val="auto"/>
        </w:rPr>
      </w:pPr>
    </w:p>
    <w:p>
      <w:pPr>
        <w:ind w:left="140"/>
        <w:spacing w:after="0"/>
        <w:rPr>
          <w:sz w:val="20"/>
          <w:szCs w:val="20"/>
          <w:color w:val="auto"/>
        </w:rPr>
      </w:pPr>
      <w:r>
        <w:rPr>
          <w:rFonts w:ascii="Arial" w:cs="Arial" w:eastAsia="Arial" w:hAnsi="Arial"/>
          <w:sz w:val="17"/>
          <w:szCs w:val="17"/>
          <w:color w:val="auto"/>
        </w:rPr>
        <w:t xml:space="preserve">No. </w:t>
      </w:r>
      <w:r>
        <w:rPr>
          <w:rFonts w:ascii="Arial" w:cs="Arial" w:eastAsia="Arial" w:hAnsi="Arial"/>
          <w:sz w:val="17"/>
          <w:szCs w:val="17"/>
          <w:b w:val="1"/>
          <w:bCs w:val="1"/>
          <w:color w:val="auto"/>
        </w:rPr>
        <w:t>D-2</w:t>
      </w:r>
    </w:p>
    <w:p>
      <w:pPr>
        <w:ind w:left="140"/>
        <w:spacing w:after="0" w:line="208" w:lineRule="auto"/>
        <w:rPr>
          <w:sz w:val="20"/>
          <w:szCs w:val="20"/>
          <w:color w:val="auto"/>
        </w:rPr>
      </w:pPr>
      <w:r>
        <w:rPr>
          <w:rFonts w:ascii="Arial" w:cs="Arial" w:eastAsia="Arial" w:hAnsi="Arial"/>
          <w:sz w:val="17"/>
          <w:szCs w:val="17"/>
          <w:color w:val="auto"/>
        </w:rPr>
        <w:t xml:space="preserve">ORIGINAL PRINCIPAL AMOUNT: </w:t>
      </w:r>
      <w:r>
        <w:rPr>
          <w:rFonts w:ascii="Arial" w:cs="Arial" w:eastAsia="Arial" w:hAnsi="Arial"/>
          <w:sz w:val="17"/>
          <w:szCs w:val="17"/>
          <w:b w:val="1"/>
          <w:bCs w:val="1"/>
          <w:color w:val="auto"/>
        </w:rPr>
        <w:t>$8,450,000</w:t>
      </w:r>
    </w:p>
    <w:p>
      <w:pPr>
        <w:ind w:left="140"/>
        <w:spacing w:after="0" w:line="209" w:lineRule="auto"/>
        <w:rPr>
          <w:sz w:val="20"/>
          <w:szCs w:val="20"/>
          <w:color w:val="auto"/>
        </w:rPr>
      </w:pPr>
      <w:r>
        <w:rPr>
          <w:rFonts w:ascii="Arial" w:cs="Arial" w:eastAsia="Arial" w:hAnsi="Arial"/>
          <w:sz w:val="17"/>
          <w:szCs w:val="17"/>
          <w:color w:val="auto"/>
        </w:rPr>
        <w:t xml:space="preserve">ORIGINAL ISSUE DATE: </w:t>
      </w:r>
      <w:r>
        <w:rPr>
          <w:rFonts w:ascii="Arial" w:cs="Arial" w:eastAsia="Arial" w:hAnsi="Arial"/>
          <w:sz w:val="17"/>
          <w:szCs w:val="17"/>
          <w:b w:val="1"/>
          <w:bCs w:val="1"/>
          <w:color w:val="auto"/>
        </w:rPr>
        <w:t>14 June 2018</w:t>
      </w:r>
    </w:p>
    <w:p>
      <w:pPr>
        <w:ind w:left="140"/>
        <w:spacing w:after="0" w:line="208" w:lineRule="auto"/>
        <w:rPr>
          <w:sz w:val="20"/>
          <w:szCs w:val="20"/>
          <w:color w:val="auto"/>
        </w:rPr>
      </w:pPr>
      <w:r>
        <w:rPr>
          <w:rFonts w:ascii="Arial" w:cs="Arial" w:eastAsia="Arial" w:hAnsi="Arial"/>
          <w:sz w:val="17"/>
          <w:szCs w:val="17"/>
          <w:color w:val="auto"/>
        </w:rPr>
        <w:t xml:space="preserve">INTEREST RATE: </w:t>
      </w:r>
      <w:r>
        <w:rPr>
          <w:rFonts w:ascii="Arial" w:cs="Arial" w:eastAsia="Arial" w:hAnsi="Arial"/>
          <w:sz w:val="17"/>
          <w:szCs w:val="17"/>
          <w:b w:val="1"/>
          <w:bCs w:val="1"/>
          <w:color w:val="auto"/>
        </w:rPr>
        <w:t>4.27%</w:t>
      </w:r>
    </w:p>
    <w:p>
      <w:pPr>
        <w:ind w:left="140"/>
        <w:spacing w:after="0" w:line="209" w:lineRule="auto"/>
        <w:rPr>
          <w:sz w:val="20"/>
          <w:szCs w:val="20"/>
          <w:color w:val="auto"/>
        </w:rPr>
      </w:pPr>
      <w:r>
        <w:rPr>
          <w:rFonts w:ascii="Arial" w:cs="Arial" w:eastAsia="Arial" w:hAnsi="Arial"/>
          <w:sz w:val="17"/>
          <w:szCs w:val="17"/>
          <w:color w:val="auto"/>
        </w:rPr>
        <w:t xml:space="preserve">INTEREST PAYMENT DATES: </w:t>
      </w:r>
      <w:r>
        <w:rPr>
          <w:rFonts w:ascii="Arial" w:cs="Arial" w:eastAsia="Arial" w:hAnsi="Arial"/>
          <w:sz w:val="17"/>
          <w:szCs w:val="17"/>
          <w:b w:val="1"/>
          <w:bCs w:val="1"/>
          <w:color w:val="auto"/>
        </w:rPr>
        <w:t>17 June and 17 December of each year, commencing on 17 December 2018</w:t>
      </w:r>
    </w:p>
    <w:p>
      <w:pPr>
        <w:ind w:left="140"/>
        <w:spacing w:after="0" w:line="209" w:lineRule="auto"/>
        <w:rPr>
          <w:sz w:val="20"/>
          <w:szCs w:val="20"/>
          <w:color w:val="auto"/>
        </w:rPr>
      </w:pPr>
      <w:r>
        <w:rPr>
          <w:rFonts w:ascii="Arial" w:cs="Arial" w:eastAsia="Arial" w:hAnsi="Arial"/>
          <w:sz w:val="17"/>
          <w:szCs w:val="17"/>
          <w:color w:val="auto"/>
        </w:rPr>
        <w:t xml:space="preserve">FINAL MATURITY DATE: </w:t>
      </w:r>
      <w:r>
        <w:rPr>
          <w:rFonts w:ascii="Arial" w:cs="Arial" w:eastAsia="Arial" w:hAnsi="Arial"/>
          <w:sz w:val="17"/>
          <w:szCs w:val="17"/>
          <w:b w:val="1"/>
          <w:bCs w:val="1"/>
          <w:color w:val="auto"/>
        </w:rPr>
        <w:t>14 June 2030</w:t>
      </w:r>
    </w:p>
    <w:p>
      <w:pPr>
        <w:ind w:left="140"/>
        <w:spacing w:after="0" w:line="208" w:lineRule="auto"/>
        <w:rPr>
          <w:sz w:val="20"/>
          <w:szCs w:val="20"/>
          <w:color w:val="auto"/>
        </w:rPr>
      </w:pPr>
      <w:r>
        <w:rPr>
          <w:rFonts w:ascii="Arial" w:cs="Arial" w:eastAsia="Arial" w:hAnsi="Arial"/>
          <w:sz w:val="17"/>
          <w:szCs w:val="17"/>
          <w:color w:val="auto"/>
        </w:rPr>
        <w:t xml:space="preserve">PRINCIPAL PREPAYMENT DATES AND AMOUNTS: </w:t>
      </w:r>
      <w:r>
        <w:rPr>
          <w:rFonts w:ascii="Arial" w:cs="Arial" w:eastAsia="Arial" w:hAnsi="Arial"/>
          <w:sz w:val="17"/>
          <w:szCs w:val="17"/>
          <w:b w:val="1"/>
          <w:bCs w:val="1"/>
          <w:color w:val="auto"/>
        </w:rPr>
        <w:t>None. Bullet due at maturity</w:t>
      </w:r>
    </w:p>
    <w:p>
      <w:pPr>
        <w:spacing w:after="0" w:line="1" w:lineRule="exact"/>
        <w:rPr>
          <w:sz w:val="20"/>
          <w:szCs w:val="20"/>
          <w:color w:val="auto"/>
        </w:rPr>
      </w:pPr>
    </w:p>
    <w:p>
      <w:pPr>
        <w:ind w:left="140"/>
        <w:spacing w:after="0"/>
        <w:rPr>
          <w:sz w:val="20"/>
          <w:szCs w:val="20"/>
          <w:color w:val="auto"/>
        </w:rPr>
      </w:pPr>
      <w:r>
        <w:rPr>
          <w:rFonts w:ascii="Arial" w:cs="Arial" w:eastAsia="Arial" w:hAnsi="Arial"/>
          <w:sz w:val="17"/>
          <w:szCs w:val="17"/>
          <w:color w:val="auto"/>
        </w:rPr>
        <w:t>PPN: 913543 D*2</w:t>
      </w:r>
    </w:p>
    <w:p>
      <w:pPr>
        <w:spacing w:after="0" w:line="130" w:lineRule="exact"/>
        <w:rPr>
          <w:sz w:val="20"/>
          <w:szCs w:val="20"/>
          <w:color w:val="auto"/>
        </w:rPr>
      </w:pPr>
    </w:p>
    <w:p>
      <w:pPr>
        <w:jc w:val="both"/>
        <w:ind w:left="140" w:right="119" w:firstLine="510"/>
        <w:spacing w:after="0" w:line="226" w:lineRule="auto"/>
        <w:rPr>
          <w:sz w:val="20"/>
          <w:szCs w:val="20"/>
          <w:color w:val="auto"/>
        </w:rPr>
      </w:pPr>
      <w:r>
        <w:rPr>
          <w:rFonts w:ascii="Arial" w:cs="Arial" w:eastAsia="Arial" w:hAnsi="Arial"/>
          <w:sz w:val="16"/>
          <w:szCs w:val="16"/>
          <w:color w:val="auto"/>
        </w:rPr>
        <w:t xml:space="preserve">FOR VALUE RECEIVED, the undersigned, Universal Forest Products, Inc., a corporation organized and existing under the laws of the State of Michigan (herein called the </w:t>
      </w:r>
      <w:r>
        <w:rPr>
          <w:rFonts w:ascii="Arial" w:cs="Arial" w:eastAsia="Arial" w:hAnsi="Arial"/>
          <w:sz w:val="16"/>
          <w:szCs w:val="16"/>
          <w:i w:val="1"/>
          <w:iCs w:val="1"/>
          <w:color w:val="auto"/>
        </w:rPr>
        <w:t>“Company”</w:t>
      </w:r>
      <w:r>
        <w:rPr>
          <w:rFonts w:ascii="Arial" w:cs="Arial" w:eastAsia="Arial" w:hAnsi="Arial"/>
          <w:sz w:val="16"/>
          <w:szCs w:val="16"/>
          <w:color w:val="auto"/>
        </w:rPr>
        <w:t xml:space="preserve">), hereby promises to pay to </w:t>
      </w:r>
      <w:r>
        <w:rPr>
          <w:rFonts w:ascii="Arial" w:cs="Arial" w:eastAsia="Arial" w:hAnsi="Arial"/>
          <w:sz w:val="16"/>
          <w:szCs w:val="16"/>
          <w:b w:val="1"/>
          <w:bCs w:val="1"/>
          <w:color w:val="auto"/>
        </w:rPr>
        <w:t>THE GIBRALTAR LIFE</w:t>
      </w:r>
      <w:r>
        <w:rPr>
          <w:rFonts w:ascii="Arial" w:cs="Arial" w:eastAsia="Arial" w:hAnsi="Arial"/>
          <w:sz w:val="16"/>
          <w:szCs w:val="16"/>
          <w:color w:val="auto"/>
        </w:rPr>
        <w:t xml:space="preserve"> </w:t>
      </w:r>
      <w:r>
        <w:rPr>
          <w:rFonts w:ascii="Arial" w:cs="Arial" w:eastAsia="Arial" w:hAnsi="Arial"/>
          <w:sz w:val="16"/>
          <w:szCs w:val="16"/>
          <w:b w:val="1"/>
          <w:bCs w:val="1"/>
          <w:color w:val="auto"/>
        </w:rPr>
        <w:t>INSURANCE CO., LTD.</w:t>
      </w:r>
      <w:r>
        <w:rPr>
          <w:rFonts w:ascii="Arial" w:cs="Arial" w:eastAsia="Arial" w:hAnsi="Arial"/>
          <w:sz w:val="16"/>
          <w:szCs w:val="16"/>
          <w:color w:val="auto"/>
        </w:rPr>
        <w:t>, or registered assigns, the principal sum of</w:t>
      </w:r>
      <w:r>
        <w:rPr>
          <w:rFonts w:ascii="Arial" w:cs="Arial" w:eastAsia="Arial" w:hAnsi="Arial"/>
          <w:sz w:val="16"/>
          <w:szCs w:val="16"/>
          <w:b w:val="1"/>
          <w:bCs w:val="1"/>
          <w:color w:val="auto"/>
        </w:rPr>
        <w:t xml:space="preserve"> EIGHT MILLION FOUR HUNDRED FIFTY THOUSAND DOLLARS </w:t>
      </w:r>
      <w:r>
        <w:rPr>
          <w:rFonts w:ascii="Arial" w:cs="Arial" w:eastAsia="Arial" w:hAnsi="Arial"/>
          <w:sz w:val="16"/>
          <w:szCs w:val="16"/>
          <w:color w:val="auto"/>
        </w:rPr>
        <w:t>on the Final Maturity Date specified above with interest (computed on the basis of a 360-day year—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30-day month) on the unpaid balance thereof at the Interest Rate per annum specified above from the date hereof, payable on each Interest Payment Date specified above and on the Final Maturity Date specified above, commencing with the Interest Payment Date next succeeding the date hereof. The Company agrees to pay interest on overdue principal (including any overdue optional prepayment of principal) and premium, if any, and (to the extent legally enforceable) on any overdue installment of interest, at the Overdue Rate after the due date, whether by acceleration or otherwise, until paid. </w:t>
      </w:r>
      <w:r>
        <w:rPr>
          <w:rFonts w:ascii="Arial" w:cs="Arial" w:eastAsia="Arial" w:hAnsi="Arial"/>
          <w:sz w:val="16"/>
          <w:szCs w:val="16"/>
          <w:i w:val="1"/>
          <w:iCs w:val="1"/>
          <w:color w:val="auto"/>
        </w:rPr>
        <w:t>“Overdue Rate”</w:t>
      </w:r>
      <w:r>
        <w:rPr>
          <w:rFonts w:ascii="Arial" w:cs="Arial" w:eastAsia="Arial" w:hAnsi="Arial"/>
          <w:sz w:val="16"/>
          <w:szCs w:val="16"/>
          <w:color w:val="auto"/>
        </w:rPr>
        <w:t xml:space="preserve"> shall mean the lesser of (a) the maximum interest rate permitted by law, and (b) the greater of (ii) the Interest Rate specified above plus 2.00% per annum or (b) the rate of interest publicly announced by JPMorgan Chase Bank, National Association, from time to time in New York City as its Prime Rate plus 2.00% per annum.</w:t>
      </w:r>
    </w:p>
    <w:p>
      <w:pPr>
        <w:spacing w:after="0" w:line="130" w:lineRule="exact"/>
        <w:rPr>
          <w:sz w:val="20"/>
          <w:szCs w:val="20"/>
          <w:color w:val="auto"/>
        </w:rPr>
      </w:pPr>
    </w:p>
    <w:p>
      <w:pPr>
        <w:jc w:val="both"/>
        <w:ind w:left="140" w:right="119" w:firstLine="510"/>
        <w:spacing w:after="0" w:line="227" w:lineRule="auto"/>
        <w:rPr>
          <w:sz w:val="20"/>
          <w:szCs w:val="20"/>
          <w:color w:val="auto"/>
        </w:rPr>
      </w:pPr>
      <w:r>
        <w:rPr>
          <w:rFonts w:ascii="Arial" w:cs="Arial" w:eastAsia="Arial" w:hAnsi="Arial"/>
          <w:sz w:val="16"/>
          <w:szCs w:val="16"/>
          <w:color w:val="auto"/>
        </w:rPr>
        <w:t xml:space="preserve">Both the principal hereof and interest hereon are payable at the principal office of the Company in Grand Rapids, Michigan in coin or currency of the United States of America which at the time of payment shall be legal tender for the payment of public and private debts. If any amount of principal, premium, if any, or interest on or in respect of this Note becomes due and payable on any date which is not a Business Day, such amount shall be payable on the immediately succeeding Business Day without including the additional days elapsed in the computation of the interest payable on such next succeeding Business Day;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the maturity date of this Note is a date other than a Business Day, the payment otherwise due on such maturity date shall be made on the next succeeding Business Day and shall include the additional days elapsed in the computation of interest payable on such next succeeding Business Day. </w:t>
      </w:r>
      <w:r>
        <w:rPr>
          <w:rFonts w:ascii="Arial" w:cs="Arial" w:eastAsia="Arial" w:hAnsi="Arial"/>
          <w:sz w:val="16"/>
          <w:szCs w:val="16"/>
          <w:i w:val="1"/>
          <w:iCs w:val="1"/>
          <w:color w:val="auto"/>
        </w:rPr>
        <w:t>“Business Day”</w:t>
      </w:r>
      <w:r>
        <w:rPr>
          <w:rFonts w:ascii="Arial" w:cs="Arial" w:eastAsia="Arial" w:hAnsi="Arial"/>
          <w:sz w:val="16"/>
          <w:szCs w:val="16"/>
          <w:color w:val="auto"/>
        </w:rPr>
        <w:t xml:space="preserve"> means any day other than a Saturday, Sunday or other day on which banks in either Grand Rapids, Michigan or New York, New York are required by law to close or are customarily closed.</w:t>
      </w:r>
    </w:p>
    <w:p>
      <w:pPr>
        <w:spacing w:after="0" w:line="129" w:lineRule="exact"/>
        <w:rPr>
          <w:sz w:val="20"/>
          <w:szCs w:val="20"/>
          <w:color w:val="auto"/>
        </w:rPr>
      </w:pPr>
    </w:p>
    <w:p>
      <w:pPr>
        <w:jc w:val="both"/>
        <w:ind w:left="140" w:right="119" w:firstLine="510"/>
        <w:spacing w:after="0" w:line="227" w:lineRule="auto"/>
        <w:rPr>
          <w:sz w:val="20"/>
          <w:szCs w:val="20"/>
          <w:color w:val="auto"/>
        </w:rPr>
      </w:pPr>
      <w:r>
        <w:rPr>
          <w:rFonts w:ascii="Arial" w:cs="Arial" w:eastAsia="Arial" w:hAnsi="Arial"/>
          <w:sz w:val="17"/>
          <w:szCs w:val="17"/>
          <w:color w:val="auto"/>
        </w:rPr>
        <w:t>This Note is one of the 4.27% Series D Senior Notes, due 14 June 2030 of the Company in the original aggregate principal amount of $35,000,000, which, together with the 3.89% Series A Senior Notes, due December 17, 2022, of the Company in the original aggregate principal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85090</wp:posOffset>
            </wp:positionH>
            <wp:positionV relativeFrom="paragraph">
              <wp:posOffset>96520</wp:posOffset>
            </wp:positionV>
            <wp:extent cx="5563235" cy="203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2">
                      <a:extLst>
                        <a:ext uri="{28A0092B-C50C-407E-A947-70E740481C1C}"/>
                      </a:extLst>
                    </a:blip>
                    <a:srcRect/>
                    <a:stretch>
                      <a:fillRect/>
                    </a:stretch>
                  </pic:blipFill>
                  <pic:spPr bwMode="auto">
                    <a:xfrm>
                      <a:off x="0" y="0"/>
                      <a:ext cx="5563235" cy="2032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35" w:name="page36"/>
    <w:bookmarkEnd w:id="35"/>
    <w:p>
      <w:pPr>
        <w:jc w:val="both"/>
        <w:ind w:left="140" w:right="119"/>
        <w:spacing w:after="0" w:line="243" w:lineRule="auto"/>
        <w:rPr>
          <w:sz w:val="20"/>
          <w:szCs w:val="20"/>
          <w:color w:val="auto"/>
        </w:rPr>
      </w:pPr>
      <w:r>
        <w:rPr>
          <w:rFonts w:ascii="Arial" w:cs="Arial" w:eastAsia="Arial" w:hAnsi="Arial"/>
          <w:sz w:val="15"/>
          <w:szCs w:val="15"/>
          <w:color w:val="auto"/>
        </w:rPr>
        <w:t xml:space="preserve">of $35,000,000, the 3.98% Series B Senior Notes, due December 17, 2024, of the Company in the original aggregate principal amount of $40,000,000, the 4.20% Series C Senior Notes, due June 14, 2028 of the Company in the original aggregate principal amount of $40,000,000, and any other Shelf Notes (as defined in the Note Agreement hereafter mentioned), are issued or to be issued under and pursuant to the terms and provisions of the Note Purchase and Private Shelf Agreement, dated as of December 17, 2012 (as amended, the </w:t>
      </w:r>
      <w:r>
        <w:rPr>
          <w:rFonts w:ascii="Arial" w:cs="Arial" w:eastAsia="Arial" w:hAnsi="Arial"/>
          <w:sz w:val="15"/>
          <w:szCs w:val="15"/>
          <w:i w:val="1"/>
          <w:iCs w:val="1"/>
          <w:color w:val="auto"/>
        </w:rPr>
        <w:t>“Note Agreement”</w:t>
      </w:r>
      <w:r>
        <w:rPr>
          <w:rFonts w:ascii="Arial" w:cs="Arial" w:eastAsia="Arial" w:hAnsi="Arial"/>
          <w:sz w:val="15"/>
          <w:szCs w:val="15"/>
          <w:color w:val="auto"/>
        </w:rPr>
        <w:t>), between the Company, on the one hand, and PGIM, Inc. (formally known as Prudential Investment Management, Inc.), the Initial Purchasers named in the Purchaser Schedule attached thereto and each Prudential Affiliate which becomes party thereto, on the other hand, and the holder hereof is entitled equally and ratably with the holders of all other Notes outstanding under the Note Agreement to all the benefits provided for thereby or referred to therein. Reference is hereby made to the Note Agreement for a statement of such rights and benefits.</w:t>
      </w:r>
    </w:p>
    <w:p>
      <w:pPr>
        <w:spacing w:after="0" w:line="128" w:lineRule="exact"/>
        <w:rPr>
          <w:sz w:val="20"/>
          <w:szCs w:val="20"/>
          <w:color w:val="auto"/>
        </w:rPr>
      </w:pPr>
    </w:p>
    <w:p>
      <w:pPr>
        <w:jc w:val="both"/>
        <w:ind w:left="140" w:right="119" w:firstLine="510"/>
        <w:spacing w:after="0" w:line="227" w:lineRule="auto"/>
        <w:rPr>
          <w:sz w:val="20"/>
          <w:szCs w:val="20"/>
          <w:color w:val="auto"/>
        </w:rPr>
      </w:pPr>
      <w:r>
        <w:rPr>
          <w:rFonts w:ascii="Arial" w:cs="Arial" w:eastAsia="Arial" w:hAnsi="Arial"/>
          <w:sz w:val="17"/>
          <w:szCs w:val="17"/>
          <w:color w:val="auto"/>
        </w:rPr>
        <w:t>This Note and the other Notes outstanding under the Note Agreement may be declared due prior to their expressed maturity dates and certain prepayments are required to be made thereon, all in the events, on the terms and in the manner and amounts as provided in the Note Agreements.</w:t>
      </w:r>
    </w:p>
    <w:p>
      <w:pPr>
        <w:spacing w:after="0" w:line="125" w:lineRule="exact"/>
        <w:rPr>
          <w:sz w:val="20"/>
          <w:szCs w:val="20"/>
          <w:color w:val="auto"/>
        </w:rPr>
      </w:pPr>
    </w:p>
    <w:p>
      <w:pPr>
        <w:jc w:val="both"/>
        <w:ind w:left="140" w:right="119" w:firstLine="510"/>
        <w:spacing w:after="0" w:line="296" w:lineRule="auto"/>
        <w:rPr>
          <w:sz w:val="20"/>
          <w:szCs w:val="20"/>
          <w:color w:val="auto"/>
        </w:rPr>
      </w:pPr>
      <w:r>
        <w:rPr>
          <w:rFonts w:ascii="Arial" w:cs="Arial" w:eastAsia="Arial" w:hAnsi="Arial"/>
          <w:sz w:val="15"/>
          <w:szCs w:val="15"/>
          <w:color w:val="auto"/>
        </w:rPr>
        <w:t>The Notes are not subject to prepayment or redemption at the option of the Company prior to their expressed maturity dates except on the terms and conditions and in the amounts and with the premium, if any, set forth in the Note Agreement.</w:t>
      </w:r>
    </w:p>
    <w:p>
      <w:pPr>
        <w:spacing w:after="0" w:line="84" w:lineRule="exact"/>
        <w:rPr>
          <w:sz w:val="20"/>
          <w:szCs w:val="20"/>
          <w:color w:val="auto"/>
        </w:rPr>
      </w:pPr>
    </w:p>
    <w:p>
      <w:pPr>
        <w:jc w:val="both"/>
        <w:ind w:left="140" w:right="139" w:firstLine="510"/>
        <w:spacing w:after="0" w:line="222" w:lineRule="auto"/>
        <w:rPr>
          <w:sz w:val="20"/>
          <w:szCs w:val="20"/>
          <w:color w:val="auto"/>
        </w:rPr>
      </w:pPr>
      <w:r>
        <w:rPr>
          <w:rFonts w:ascii="Arial" w:cs="Arial" w:eastAsia="Arial" w:hAnsi="Arial"/>
          <w:sz w:val="17"/>
          <w:szCs w:val="17"/>
          <w:color w:val="auto"/>
        </w:rPr>
        <w:t>This Note is registered on the books of the Company and is transferable only by surrender thereof at the principal office of the Company duly endorsed or accompanied by a written instrument of transfer duly executed by the registered holder of this Note or its attorney duly authorized in writing. Payment of or on account of principal, premium, if any, and interest on this Note shall be made only to or upon the order in writing of the registered holder.</w:t>
      </w:r>
    </w:p>
    <w:p>
      <w:pPr>
        <w:spacing w:after="0" w:line="126"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Signature Page Follows</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85090</wp:posOffset>
            </wp:positionH>
            <wp:positionV relativeFrom="paragraph">
              <wp:posOffset>534035</wp:posOffset>
            </wp:positionV>
            <wp:extent cx="5563235" cy="203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3">
                      <a:extLst>
                        <a:ext uri="{28A0092B-C50C-407E-A947-70E740481C1C}"/>
                      </a:extLst>
                    </a:blip>
                    <a:srcRect/>
                    <a:stretch>
                      <a:fillRect/>
                    </a:stretch>
                  </pic:blipFill>
                  <pic:spPr bwMode="auto">
                    <a:xfrm>
                      <a:off x="0" y="0"/>
                      <a:ext cx="5563235" cy="20320"/>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36" w:name="page37"/>
    <w:bookmarkEnd w:id="36"/>
    <w:p>
      <w:pPr>
        <w:jc w:val="both"/>
        <w:ind w:left="140" w:right="119" w:firstLine="510"/>
        <w:spacing w:after="0" w:line="245" w:lineRule="auto"/>
        <w:rPr>
          <w:sz w:val="20"/>
          <w:szCs w:val="20"/>
          <w:color w:val="auto"/>
        </w:rPr>
      </w:pPr>
      <w:r>
        <w:rPr>
          <w:rFonts w:ascii="Arial" w:cs="Arial" w:eastAsia="Arial" w:hAnsi="Arial"/>
          <w:sz w:val="16"/>
          <w:szCs w:val="16"/>
          <w:b w:val="1"/>
          <w:bCs w:val="1"/>
          <w:color w:val="auto"/>
        </w:rPr>
        <w:t>This Note and said Note Agreement are governed by and construed in accordance with the law of Illinois (excluding any conflicts of law rules which would otherwise cause this note to be construed or enforced in accordance with the laws of any other jurisdiction), including all matters of construction, validity and performance.</w:t>
      </w:r>
    </w:p>
    <w:p>
      <w:pPr>
        <w:spacing w:after="0" w:line="121" w:lineRule="exact"/>
        <w:rPr>
          <w:sz w:val="20"/>
          <w:szCs w:val="20"/>
          <w:color w:val="auto"/>
        </w:rPr>
      </w:pPr>
    </w:p>
    <w:p>
      <w:pPr>
        <w:ind w:left="3200"/>
        <w:spacing w:after="0"/>
        <w:rPr>
          <w:sz w:val="20"/>
          <w:szCs w:val="20"/>
          <w:color w:val="auto"/>
        </w:rPr>
      </w:pPr>
      <w:r>
        <w:rPr>
          <w:rFonts w:ascii="Arial" w:cs="Arial" w:eastAsia="Arial" w:hAnsi="Arial"/>
          <w:sz w:val="17"/>
          <w:szCs w:val="17"/>
          <w:color w:val="auto"/>
        </w:rPr>
        <w:t>Universal Forest Products, Inc.</w:t>
      </w:r>
    </w:p>
    <w:p>
      <w:pPr>
        <w:spacing w:after="0" w:line="200" w:lineRule="exact"/>
        <w:rPr>
          <w:sz w:val="20"/>
          <w:szCs w:val="20"/>
          <w:color w:val="auto"/>
        </w:rPr>
      </w:pPr>
    </w:p>
    <w:p>
      <w:pPr>
        <w:spacing w:after="0" w:line="273" w:lineRule="exact"/>
        <w:rPr>
          <w:sz w:val="20"/>
          <w:szCs w:val="20"/>
          <w:color w:val="auto"/>
        </w:rPr>
      </w:pPr>
    </w:p>
    <w:p>
      <w:pPr>
        <w:ind w:left="3200"/>
        <w:spacing w:after="0"/>
        <w:rPr>
          <w:sz w:val="20"/>
          <w:szCs w:val="20"/>
          <w:color w:val="auto"/>
        </w:rPr>
      </w:pPr>
      <w:r>
        <w:rPr>
          <w:rFonts w:ascii="Arial" w:cs="Arial" w:eastAsia="Arial" w:hAnsi="Arial"/>
          <w:sz w:val="17"/>
          <w:szCs w:val="17"/>
          <w:color w:val="auto"/>
        </w:rPr>
        <w:t>By:_________________________________________________</w:t>
      </w:r>
    </w:p>
    <w:p>
      <w:pPr>
        <w:ind w:left="370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85090</wp:posOffset>
            </wp:positionH>
            <wp:positionV relativeFrom="paragraph">
              <wp:posOffset>417195</wp:posOffset>
            </wp:positionV>
            <wp:extent cx="5563235" cy="203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4">
                      <a:extLst>
                        <a:ext uri="{28A0092B-C50C-407E-A947-70E740481C1C}"/>
                      </a:extLst>
                    </a:blip>
                    <a:srcRect/>
                    <a:stretch>
                      <a:fillRect/>
                    </a:stretch>
                  </pic:blipFill>
                  <pic:spPr bwMode="auto">
                    <a:xfrm>
                      <a:off x="0" y="0"/>
                      <a:ext cx="5563235" cy="2032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37" w:name="page38"/>
    <w:bookmarkEnd w:id="37"/>
    <w:p>
      <w:pPr>
        <w:jc w:val="center"/>
        <w:ind w:right="-20"/>
        <w:spacing w:after="0"/>
        <w:rPr>
          <w:sz w:val="20"/>
          <w:szCs w:val="20"/>
          <w:color w:val="auto"/>
        </w:rPr>
      </w:pPr>
      <w:r>
        <w:rPr>
          <w:rFonts w:ascii="Arial" w:cs="Arial" w:eastAsia="Arial" w:hAnsi="Arial"/>
          <w:sz w:val="17"/>
          <w:szCs w:val="17"/>
          <w:b w:val="1"/>
          <w:bCs w:val="1"/>
          <w:color w:val="auto"/>
        </w:rPr>
        <w:t>UNIVERSAL FOREST PRODUCTS, INC.</w:t>
      </w:r>
    </w:p>
    <w:p>
      <w:pPr>
        <w:spacing w:after="0" w:line="14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4.27% SENIOR SERIES D NOTE DUE 14 JUNE 2030</w:t>
      </w:r>
    </w:p>
    <w:p>
      <w:pPr>
        <w:spacing w:after="0" w:line="307" w:lineRule="exact"/>
        <w:rPr>
          <w:sz w:val="20"/>
          <w:szCs w:val="20"/>
          <w:color w:val="auto"/>
        </w:rPr>
      </w:pPr>
    </w:p>
    <w:p>
      <w:pPr>
        <w:ind w:left="140"/>
        <w:spacing w:after="0"/>
        <w:rPr>
          <w:sz w:val="20"/>
          <w:szCs w:val="20"/>
          <w:color w:val="auto"/>
        </w:rPr>
      </w:pPr>
      <w:r>
        <w:rPr>
          <w:rFonts w:ascii="Arial" w:cs="Arial" w:eastAsia="Arial" w:hAnsi="Arial"/>
          <w:sz w:val="17"/>
          <w:szCs w:val="17"/>
          <w:color w:val="auto"/>
        </w:rPr>
        <w:t xml:space="preserve">No. </w:t>
      </w:r>
      <w:r>
        <w:rPr>
          <w:rFonts w:ascii="Arial" w:cs="Arial" w:eastAsia="Arial" w:hAnsi="Arial"/>
          <w:sz w:val="17"/>
          <w:szCs w:val="17"/>
          <w:b w:val="1"/>
          <w:bCs w:val="1"/>
          <w:color w:val="auto"/>
        </w:rPr>
        <w:t>D-3</w:t>
      </w:r>
    </w:p>
    <w:p>
      <w:pPr>
        <w:ind w:left="140"/>
        <w:spacing w:after="0" w:line="208" w:lineRule="auto"/>
        <w:rPr>
          <w:sz w:val="20"/>
          <w:szCs w:val="20"/>
          <w:color w:val="auto"/>
        </w:rPr>
      </w:pPr>
      <w:r>
        <w:rPr>
          <w:rFonts w:ascii="Arial" w:cs="Arial" w:eastAsia="Arial" w:hAnsi="Arial"/>
          <w:sz w:val="17"/>
          <w:szCs w:val="17"/>
          <w:color w:val="auto"/>
        </w:rPr>
        <w:t xml:space="preserve">ORIGINAL PRINCIPAL AMOUNT: </w:t>
      </w:r>
      <w:r>
        <w:rPr>
          <w:rFonts w:ascii="Arial" w:cs="Arial" w:eastAsia="Arial" w:hAnsi="Arial"/>
          <w:sz w:val="17"/>
          <w:szCs w:val="17"/>
          <w:b w:val="1"/>
          <w:bCs w:val="1"/>
          <w:color w:val="auto"/>
        </w:rPr>
        <w:t>$8,050,000</w:t>
      </w:r>
    </w:p>
    <w:p>
      <w:pPr>
        <w:ind w:left="140"/>
        <w:spacing w:after="0" w:line="209" w:lineRule="auto"/>
        <w:rPr>
          <w:sz w:val="20"/>
          <w:szCs w:val="20"/>
          <w:color w:val="auto"/>
        </w:rPr>
      </w:pPr>
      <w:r>
        <w:rPr>
          <w:rFonts w:ascii="Arial" w:cs="Arial" w:eastAsia="Arial" w:hAnsi="Arial"/>
          <w:sz w:val="17"/>
          <w:szCs w:val="17"/>
          <w:color w:val="auto"/>
        </w:rPr>
        <w:t xml:space="preserve">ORIGINAL ISSUE DATE: </w:t>
      </w:r>
      <w:r>
        <w:rPr>
          <w:rFonts w:ascii="Arial" w:cs="Arial" w:eastAsia="Arial" w:hAnsi="Arial"/>
          <w:sz w:val="17"/>
          <w:szCs w:val="17"/>
          <w:b w:val="1"/>
          <w:bCs w:val="1"/>
          <w:color w:val="auto"/>
        </w:rPr>
        <w:t>14 June 2018</w:t>
      </w:r>
    </w:p>
    <w:p>
      <w:pPr>
        <w:ind w:left="140"/>
        <w:spacing w:after="0" w:line="208" w:lineRule="auto"/>
        <w:rPr>
          <w:sz w:val="20"/>
          <w:szCs w:val="20"/>
          <w:color w:val="auto"/>
        </w:rPr>
      </w:pPr>
      <w:r>
        <w:rPr>
          <w:rFonts w:ascii="Arial" w:cs="Arial" w:eastAsia="Arial" w:hAnsi="Arial"/>
          <w:sz w:val="17"/>
          <w:szCs w:val="17"/>
          <w:color w:val="auto"/>
        </w:rPr>
        <w:t xml:space="preserve">INTEREST RATE: </w:t>
      </w:r>
      <w:r>
        <w:rPr>
          <w:rFonts w:ascii="Arial" w:cs="Arial" w:eastAsia="Arial" w:hAnsi="Arial"/>
          <w:sz w:val="17"/>
          <w:szCs w:val="17"/>
          <w:b w:val="1"/>
          <w:bCs w:val="1"/>
          <w:color w:val="auto"/>
        </w:rPr>
        <w:t>4.27%</w:t>
      </w:r>
    </w:p>
    <w:p>
      <w:pPr>
        <w:ind w:left="140"/>
        <w:spacing w:after="0" w:line="209" w:lineRule="auto"/>
        <w:rPr>
          <w:sz w:val="20"/>
          <w:szCs w:val="20"/>
          <w:color w:val="auto"/>
        </w:rPr>
      </w:pPr>
      <w:r>
        <w:rPr>
          <w:rFonts w:ascii="Arial" w:cs="Arial" w:eastAsia="Arial" w:hAnsi="Arial"/>
          <w:sz w:val="17"/>
          <w:szCs w:val="17"/>
          <w:color w:val="auto"/>
        </w:rPr>
        <w:t xml:space="preserve">INTEREST PAYMENT DATES: </w:t>
      </w:r>
      <w:r>
        <w:rPr>
          <w:rFonts w:ascii="Arial" w:cs="Arial" w:eastAsia="Arial" w:hAnsi="Arial"/>
          <w:sz w:val="17"/>
          <w:szCs w:val="17"/>
          <w:b w:val="1"/>
          <w:bCs w:val="1"/>
          <w:color w:val="auto"/>
        </w:rPr>
        <w:t>17 June and 17 December of each year, commencing on 17 December 2018</w:t>
      </w:r>
    </w:p>
    <w:p>
      <w:pPr>
        <w:ind w:left="140"/>
        <w:spacing w:after="0" w:line="209" w:lineRule="auto"/>
        <w:rPr>
          <w:sz w:val="20"/>
          <w:szCs w:val="20"/>
          <w:color w:val="auto"/>
        </w:rPr>
      </w:pPr>
      <w:r>
        <w:rPr>
          <w:rFonts w:ascii="Arial" w:cs="Arial" w:eastAsia="Arial" w:hAnsi="Arial"/>
          <w:sz w:val="17"/>
          <w:szCs w:val="17"/>
          <w:color w:val="auto"/>
        </w:rPr>
        <w:t xml:space="preserve">FINAL MATURITY DATE: </w:t>
      </w:r>
      <w:r>
        <w:rPr>
          <w:rFonts w:ascii="Arial" w:cs="Arial" w:eastAsia="Arial" w:hAnsi="Arial"/>
          <w:sz w:val="17"/>
          <w:szCs w:val="17"/>
          <w:b w:val="1"/>
          <w:bCs w:val="1"/>
          <w:color w:val="auto"/>
        </w:rPr>
        <w:t>14 June 2030</w:t>
      </w:r>
    </w:p>
    <w:p>
      <w:pPr>
        <w:ind w:left="140"/>
        <w:spacing w:after="0" w:line="208" w:lineRule="auto"/>
        <w:rPr>
          <w:sz w:val="20"/>
          <w:szCs w:val="20"/>
          <w:color w:val="auto"/>
        </w:rPr>
      </w:pPr>
      <w:r>
        <w:rPr>
          <w:rFonts w:ascii="Arial" w:cs="Arial" w:eastAsia="Arial" w:hAnsi="Arial"/>
          <w:sz w:val="17"/>
          <w:szCs w:val="17"/>
          <w:color w:val="auto"/>
        </w:rPr>
        <w:t xml:space="preserve">PRINCIPAL PREPAYMENT DATES AND AMOUNTS: </w:t>
      </w:r>
      <w:r>
        <w:rPr>
          <w:rFonts w:ascii="Arial" w:cs="Arial" w:eastAsia="Arial" w:hAnsi="Arial"/>
          <w:sz w:val="17"/>
          <w:szCs w:val="17"/>
          <w:b w:val="1"/>
          <w:bCs w:val="1"/>
          <w:color w:val="auto"/>
        </w:rPr>
        <w:t>None. Bullet due at maturity</w:t>
      </w:r>
    </w:p>
    <w:p>
      <w:pPr>
        <w:spacing w:after="0" w:line="1" w:lineRule="exact"/>
        <w:rPr>
          <w:sz w:val="20"/>
          <w:szCs w:val="20"/>
          <w:color w:val="auto"/>
        </w:rPr>
      </w:pPr>
    </w:p>
    <w:p>
      <w:pPr>
        <w:ind w:left="140"/>
        <w:spacing w:after="0"/>
        <w:rPr>
          <w:sz w:val="20"/>
          <w:szCs w:val="20"/>
          <w:color w:val="auto"/>
        </w:rPr>
      </w:pPr>
      <w:r>
        <w:rPr>
          <w:rFonts w:ascii="Arial" w:cs="Arial" w:eastAsia="Arial" w:hAnsi="Arial"/>
          <w:sz w:val="17"/>
          <w:szCs w:val="17"/>
          <w:color w:val="auto"/>
        </w:rPr>
        <w:t>PPN: 913543 D*2</w:t>
      </w:r>
    </w:p>
    <w:p>
      <w:pPr>
        <w:spacing w:after="0" w:line="130" w:lineRule="exact"/>
        <w:rPr>
          <w:sz w:val="20"/>
          <w:szCs w:val="20"/>
          <w:color w:val="auto"/>
        </w:rPr>
      </w:pPr>
    </w:p>
    <w:p>
      <w:pPr>
        <w:jc w:val="both"/>
        <w:ind w:left="140" w:right="119" w:firstLine="510"/>
        <w:spacing w:after="0" w:line="226" w:lineRule="auto"/>
        <w:rPr>
          <w:sz w:val="20"/>
          <w:szCs w:val="20"/>
          <w:color w:val="auto"/>
        </w:rPr>
      </w:pPr>
      <w:r>
        <w:rPr>
          <w:rFonts w:ascii="Arial" w:cs="Arial" w:eastAsia="Arial" w:hAnsi="Arial"/>
          <w:sz w:val="16"/>
          <w:szCs w:val="16"/>
          <w:color w:val="auto"/>
        </w:rPr>
        <w:t xml:space="preserve">FOR VALUE RECEIVED, the undersigned, Universal Forest Products, Inc., a corporation organized and existing under the laws of the State of Michigan (herein called the </w:t>
      </w:r>
      <w:r>
        <w:rPr>
          <w:rFonts w:ascii="Arial" w:cs="Arial" w:eastAsia="Arial" w:hAnsi="Arial"/>
          <w:sz w:val="16"/>
          <w:szCs w:val="16"/>
          <w:i w:val="1"/>
          <w:iCs w:val="1"/>
          <w:color w:val="auto"/>
        </w:rPr>
        <w:t>“Company”</w:t>
      </w:r>
      <w:r>
        <w:rPr>
          <w:rFonts w:ascii="Arial" w:cs="Arial" w:eastAsia="Arial" w:hAnsi="Arial"/>
          <w:sz w:val="16"/>
          <w:szCs w:val="16"/>
          <w:color w:val="auto"/>
        </w:rPr>
        <w:t xml:space="preserve">), hereby promises to pay to </w:t>
      </w:r>
      <w:r>
        <w:rPr>
          <w:rFonts w:ascii="Arial" w:cs="Arial" w:eastAsia="Arial" w:hAnsi="Arial"/>
          <w:sz w:val="16"/>
          <w:szCs w:val="16"/>
          <w:b w:val="1"/>
          <w:bCs w:val="1"/>
          <w:color w:val="auto"/>
        </w:rPr>
        <w:t>THE PRUDENTIAL LIFE</w:t>
      </w:r>
      <w:r>
        <w:rPr>
          <w:rFonts w:ascii="Arial" w:cs="Arial" w:eastAsia="Arial" w:hAnsi="Arial"/>
          <w:sz w:val="16"/>
          <w:szCs w:val="16"/>
          <w:color w:val="auto"/>
        </w:rPr>
        <w:t xml:space="preserve"> </w:t>
      </w:r>
      <w:r>
        <w:rPr>
          <w:rFonts w:ascii="Arial" w:cs="Arial" w:eastAsia="Arial" w:hAnsi="Arial"/>
          <w:sz w:val="16"/>
          <w:szCs w:val="16"/>
          <w:b w:val="1"/>
          <w:bCs w:val="1"/>
          <w:color w:val="auto"/>
        </w:rPr>
        <w:t>INSURANCE COMPANY, LTD.</w:t>
      </w:r>
      <w:r>
        <w:rPr>
          <w:rFonts w:ascii="Arial" w:cs="Arial" w:eastAsia="Arial" w:hAnsi="Arial"/>
          <w:sz w:val="16"/>
          <w:szCs w:val="16"/>
          <w:color w:val="auto"/>
        </w:rPr>
        <w:t>, or registered assigns, the principal sum of</w:t>
      </w:r>
      <w:r>
        <w:rPr>
          <w:rFonts w:ascii="Arial" w:cs="Arial" w:eastAsia="Arial" w:hAnsi="Arial"/>
          <w:sz w:val="16"/>
          <w:szCs w:val="16"/>
          <w:b w:val="1"/>
          <w:bCs w:val="1"/>
          <w:color w:val="auto"/>
        </w:rPr>
        <w:t xml:space="preserve"> EIGHT MILLION FIFTY THOUSAND DOLLARS </w:t>
      </w:r>
      <w:r>
        <w:rPr>
          <w:rFonts w:ascii="Arial" w:cs="Arial" w:eastAsia="Arial" w:hAnsi="Arial"/>
          <w:sz w:val="16"/>
          <w:szCs w:val="16"/>
          <w:color w:val="auto"/>
        </w:rPr>
        <w:t>on the Final Maturity Date specified above with interest (computed on the basis of a 360-day year—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30-day month) on the unpaid balance thereof at the Interest Rate per annum specified above from the date hereof, payable on each Interest Payment Date specified above and on the Final Maturity Date specified above, commencing with the Interest Payment Date next succeeding the date hereof. The Company agrees to pay interest on overdue principal (including any overdue optional prepayment of principal) and premium, if any, and (to the extent legally enforceable) on any overdue installment of interest, at the Overdue Rate after the due date, whether by acceleration or otherwise, until paid. </w:t>
      </w:r>
      <w:r>
        <w:rPr>
          <w:rFonts w:ascii="Arial" w:cs="Arial" w:eastAsia="Arial" w:hAnsi="Arial"/>
          <w:sz w:val="16"/>
          <w:szCs w:val="16"/>
          <w:i w:val="1"/>
          <w:iCs w:val="1"/>
          <w:color w:val="auto"/>
        </w:rPr>
        <w:t>“Overdue Rate”</w:t>
      </w:r>
      <w:r>
        <w:rPr>
          <w:rFonts w:ascii="Arial" w:cs="Arial" w:eastAsia="Arial" w:hAnsi="Arial"/>
          <w:sz w:val="16"/>
          <w:szCs w:val="16"/>
          <w:color w:val="auto"/>
        </w:rPr>
        <w:t xml:space="preserve"> shall mean the lesser of (a) the maximum interest rate permitted by law, and (b) the greater of (ii) the Interest Rate specified above plus 2.00% per annum or (b) the rate of interest publicly announced by JPMorgan Chase Bank, National Association, from time to time in New York City as its Prime Rate plus 2.00% per annum.</w:t>
      </w:r>
    </w:p>
    <w:p>
      <w:pPr>
        <w:spacing w:after="0" w:line="130" w:lineRule="exact"/>
        <w:rPr>
          <w:sz w:val="20"/>
          <w:szCs w:val="20"/>
          <w:color w:val="auto"/>
        </w:rPr>
      </w:pPr>
    </w:p>
    <w:p>
      <w:pPr>
        <w:jc w:val="both"/>
        <w:ind w:left="140" w:right="119" w:firstLine="510"/>
        <w:spacing w:after="0" w:line="227" w:lineRule="auto"/>
        <w:rPr>
          <w:sz w:val="20"/>
          <w:szCs w:val="20"/>
          <w:color w:val="auto"/>
        </w:rPr>
      </w:pPr>
      <w:r>
        <w:rPr>
          <w:rFonts w:ascii="Arial" w:cs="Arial" w:eastAsia="Arial" w:hAnsi="Arial"/>
          <w:sz w:val="16"/>
          <w:szCs w:val="16"/>
          <w:color w:val="auto"/>
        </w:rPr>
        <w:t xml:space="preserve">Both the principal hereof and interest hereon are payable at the principal office of the Company in Grand Rapids, Michigan in coin or currency of the United States of America which at the time of payment shall be legal tender for the payment of public and private debts. If any amount of principal, premium, if any, or interest on or in respect of this Note becomes due and payable on any date which is not a Business Day, such amount shall be payable on the immediately succeeding Business Day without including the additional days elapsed in the computation of the interest payable on such next succeeding Business Day;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the maturity date of this Note is a date other than a Business Day, the payment otherwise due on such maturity date shall be made on the next succeeding Business Day and shall include the additional days elapsed in the computation of interest payable on such next succeeding Business Day. </w:t>
      </w:r>
      <w:r>
        <w:rPr>
          <w:rFonts w:ascii="Arial" w:cs="Arial" w:eastAsia="Arial" w:hAnsi="Arial"/>
          <w:sz w:val="16"/>
          <w:szCs w:val="16"/>
          <w:i w:val="1"/>
          <w:iCs w:val="1"/>
          <w:color w:val="auto"/>
        </w:rPr>
        <w:t>“Business Day”</w:t>
      </w:r>
      <w:r>
        <w:rPr>
          <w:rFonts w:ascii="Arial" w:cs="Arial" w:eastAsia="Arial" w:hAnsi="Arial"/>
          <w:sz w:val="16"/>
          <w:szCs w:val="16"/>
          <w:color w:val="auto"/>
        </w:rPr>
        <w:t xml:space="preserve"> means any day other than a Saturday, Sunday or other day on which banks in either Grand Rapids, Michigan or New York, New York are required by law to close or are customarily closed.</w:t>
      </w:r>
    </w:p>
    <w:p>
      <w:pPr>
        <w:spacing w:after="0" w:line="129" w:lineRule="exact"/>
        <w:rPr>
          <w:sz w:val="20"/>
          <w:szCs w:val="20"/>
          <w:color w:val="auto"/>
        </w:rPr>
      </w:pPr>
    </w:p>
    <w:p>
      <w:pPr>
        <w:jc w:val="both"/>
        <w:ind w:left="140" w:right="119" w:firstLine="510"/>
        <w:spacing w:after="0" w:line="227" w:lineRule="auto"/>
        <w:rPr>
          <w:sz w:val="20"/>
          <w:szCs w:val="20"/>
          <w:color w:val="auto"/>
        </w:rPr>
      </w:pPr>
      <w:r>
        <w:rPr>
          <w:rFonts w:ascii="Arial" w:cs="Arial" w:eastAsia="Arial" w:hAnsi="Arial"/>
          <w:sz w:val="17"/>
          <w:szCs w:val="17"/>
          <w:color w:val="auto"/>
        </w:rPr>
        <w:t>This Note is one of the 4.27% Series D Senior Notes, due 14 June 2030 of the Company in the original aggregate principal amount of $35,000,000, which, together with the 3.89% Series A Senior Notes, due December 17, 2022, of the Company in the original aggregate principal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85090</wp:posOffset>
            </wp:positionH>
            <wp:positionV relativeFrom="paragraph">
              <wp:posOffset>96520</wp:posOffset>
            </wp:positionV>
            <wp:extent cx="5563235" cy="203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5">
                      <a:extLst>
                        <a:ext uri="{28A0092B-C50C-407E-A947-70E740481C1C}"/>
                      </a:extLst>
                    </a:blip>
                    <a:srcRect/>
                    <a:stretch>
                      <a:fillRect/>
                    </a:stretch>
                  </pic:blipFill>
                  <pic:spPr bwMode="auto">
                    <a:xfrm>
                      <a:off x="0" y="0"/>
                      <a:ext cx="5563235" cy="2032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38" w:name="page39"/>
    <w:bookmarkEnd w:id="38"/>
    <w:p>
      <w:pPr>
        <w:jc w:val="both"/>
        <w:ind w:left="140" w:right="119"/>
        <w:spacing w:after="0" w:line="243" w:lineRule="auto"/>
        <w:rPr>
          <w:sz w:val="20"/>
          <w:szCs w:val="20"/>
          <w:color w:val="auto"/>
        </w:rPr>
      </w:pPr>
      <w:r>
        <w:rPr>
          <w:rFonts w:ascii="Arial" w:cs="Arial" w:eastAsia="Arial" w:hAnsi="Arial"/>
          <w:sz w:val="15"/>
          <w:szCs w:val="15"/>
          <w:color w:val="auto"/>
        </w:rPr>
        <w:t xml:space="preserve">of $35,000,000, the 3.98% Series B Senior Notes, due December 17, 2024, of the Company in the original aggregate principal amount of $40,000,000, the 4.20% Series C Senior Notes, due June 14, 2028 of the Company in the original aggregate principal amount of $40,000,000, and any other Shelf Notes (as defined in the Note Agreement hereafter mentioned), are issued or to be issued under and pursuant to the terms and provisions of the Note Purchase and Private Shelf Agreement, dated as of December 17, 2012 (as amended, the </w:t>
      </w:r>
      <w:r>
        <w:rPr>
          <w:rFonts w:ascii="Arial" w:cs="Arial" w:eastAsia="Arial" w:hAnsi="Arial"/>
          <w:sz w:val="15"/>
          <w:szCs w:val="15"/>
          <w:i w:val="1"/>
          <w:iCs w:val="1"/>
          <w:color w:val="auto"/>
        </w:rPr>
        <w:t>“Note Agreement”</w:t>
      </w:r>
      <w:r>
        <w:rPr>
          <w:rFonts w:ascii="Arial" w:cs="Arial" w:eastAsia="Arial" w:hAnsi="Arial"/>
          <w:sz w:val="15"/>
          <w:szCs w:val="15"/>
          <w:color w:val="auto"/>
        </w:rPr>
        <w:t>), between the Company, on the one hand, and PGIM, Inc. (formally known as Prudential Investment Management, Inc.), the Initial Purchasers named in the Purchaser Schedule attached thereto and each Prudential Affiliate which becomes party thereto, on the other hand, and the holder hereof is entitled equally and ratably with the holders of all other Notes outstanding under the Note Agreement to all the benefits provided for thereby or referred to therein. Reference is hereby made to the Note Agreement for a statement of such rights and benefits.</w:t>
      </w:r>
    </w:p>
    <w:p>
      <w:pPr>
        <w:spacing w:after="0" w:line="128" w:lineRule="exact"/>
        <w:rPr>
          <w:sz w:val="20"/>
          <w:szCs w:val="20"/>
          <w:color w:val="auto"/>
        </w:rPr>
      </w:pPr>
    </w:p>
    <w:p>
      <w:pPr>
        <w:jc w:val="both"/>
        <w:ind w:left="140" w:right="119" w:firstLine="510"/>
        <w:spacing w:after="0" w:line="227" w:lineRule="auto"/>
        <w:rPr>
          <w:sz w:val="20"/>
          <w:szCs w:val="20"/>
          <w:color w:val="auto"/>
        </w:rPr>
      </w:pPr>
      <w:r>
        <w:rPr>
          <w:rFonts w:ascii="Arial" w:cs="Arial" w:eastAsia="Arial" w:hAnsi="Arial"/>
          <w:sz w:val="17"/>
          <w:szCs w:val="17"/>
          <w:color w:val="auto"/>
        </w:rPr>
        <w:t>This Note and the other Notes outstanding under the Note Agreement may be declared due prior to their expressed maturity dates and certain prepayments are required to be made thereon, all in the events, on the terms and in the manner and amounts as provided in the Note Agreements.</w:t>
      </w:r>
    </w:p>
    <w:p>
      <w:pPr>
        <w:spacing w:after="0" w:line="125" w:lineRule="exact"/>
        <w:rPr>
          <w:sz w:val="20"/>
          <w:szCs w:val="20"/>
          <w:color w:val="auto"/>
        </w:rPr>
      </w:pPr>
    </w:p>
    <w:p>
      <w:pPr>
        <w:jc w:val="both"/>
        <w:ind w:left="140" w:right="119" w:firstLine="510"/>
        <w:spacing w:after="0" w:line="296" w:lineRule="auto"/>
        <w:rPr>
          <w:sz w:val="20"/>
          <w:szCs w:val="20"/>
          <w:color w:val="auto"/>
        </w:rPr>
      </w:pPr>
      <w:r>
        <w:rPr>
          <w:rFonts w:ascii="Arial" w:cs="Arial" w:eastAsia="Arial" w:hAnsi="Arial"/>
          <w:sz w:val="15"/>
          <w:szCs w:val="15"/>
          <w:color w:val="auto"/>
        </w:rPr>
        <w:t>The Notes are not subject to prepayment or redemption at the option of the Company prior to their expressed maturity dates except on the terms and conditions and in the amounts and with the premium, if any, set forth in the Note Agreement.</w:t>
      </w:r>
    </w:p>
    <w:p>
      <w:pPr>
        <w:spacing w:after="0" w:line="84" w:lineRule="exact"/>
        <w:rPr>
          <w:sz w:val="20"/>
          <w:szCs w:val="20"/>
          <w:color w:val="auto"/>
        </w:rPr>
      </w:pPr>
    </w:p>
    <w:p>
      <w:pPr>
        <w:jc w:val="both"/>
        <w:ind w:left="140" w:right="139" w:firstLine="510"/>
        <w:spacing w:after="0" w:line="222" w:lineRule="auto"/>
        <w:rPr>
          <w:sz w:val="20"/>
          <w:szCs w:val="20"/>
          <w:color w:val="auto"/>
        </w:rPr>
      </w:pPr>
      <w:r>
        <w:rPr>
          <w:rFonts w:ascii="Arial" w:cs="Arial" w:eastAsia="Arial" w:hAnsi="Arial"/>
          <w:sz w:val="17"/>
          <w:szCs w:val="17"/>
          <w:color w:val="auto"/>
        </w:rPr>
        <w:t>This Note is registered on the books of the Company and is transferable only by surrender thereof at the principal office of the Company duly endorsed or accompanied by a written instrument of transfer duly executed by the registered holder of this Note or its attorney duly authorized in writing. Payment of or on account of principal, premium, if any, and interest on this Note shall be made only to or upon the order in writing of the registered holder.</w:t>
      </w:r>
    </w:p>
    <w:p>
      <w:pPr>
        <w:spacing w:after="0" w:line="126"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Signature Page Follows</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85090</wp:posOffset>
            </wp:positionH>
            <wp:positionV relativeFrom="paragraph">
              <wp:posOffset>534035</wp:posOffset>
            </wp:positionV>
            <wp:extent cx="5563235" cy="203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6">
                      <a:extLst>
                        <a:ext uri="{28A0092B-C50C-407E-A947-70E740481C1C}"/>
                      </a:extLst>
                    </a:blip>
                    <a:srcRect/>
                    <a:stretch>
                      <a:fillRect/>
                    </a:stretch>
                  </pic:blipFill>
                  <pic:spPr bwMode="auto">
                    <a:xfrm>
                      <a:off x="0" y="0"/>
                      <a:ext cx="5563235" cy="20320"/>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39" w:name="page40"/>
    <w:bookmarkEnd w:id="39"/>
    <w:p>
      <w:pPr>
        <w:jc w:val="both"/>
        <w:ind w:left="140" w:right="119" w:firstLine="510"/>
        <w:spacing w:after="0" w:line="245" w:lineRule="auto"/>
        <w:rPr>
          <w:sz w:val="20"/>
          <w:szCs w:val="20"/>
          <w:color w:val="auto"/>
        </w:rPr>
      </w:pPr>
      <w:r>
        <w:rPr>
          <w:rFonts w:ascii="Arial" w:cs="Arial" w:eastAsia="Arial" w:hAnsi="Arial"/>
          <w:sz w:val="16"/>
          <w:szCs w:val="16"/>
          <w:b w:val="1"/>
          <w:bCs w:val="1"/>
          <w:color w:val="auto"/>
        </w:rPr>
        <w:t>This Note and said Note Agreement are governed by and construed in accordance with the law of Illinois (excluding any conflicts of law rules which would otherwise cause this note to be construed or enforced in accordance with the laws of any other jurisdiction), including all matters of construction, validity and performance.</w:t>
      </w:r>
    </w:p>
    <w:p>
      <w:pPr>
        <w:spacing w:after="0" w:line="121" w:lineRule="exact"/>
        <w:rPr>
          <w:sz w:val="20"/>
          <w:szCs w:val="20"/>
          <w:color w:val="auto"/>
        </w:rPr>
      </w:pPr>
    </w:p>
    <w:p>
      <w:pPr>
        <w:ind w:left="3200"/>
        <w:spacing w:after="0"/>
        <w:rPr>
          <w:sz w:val="20"/>
          <w:szCs w:val="20"/>
          <w:color w:val="auto"/>
        </w:rPr>
      </w:pPr>
      <w:r>
        <w:rPr>
          <w:rFonts w:ascii="Arial" w:cs="Arial" w:eastAsia="Arial" w:hAnsi="Arial"/>
          <w:sz w:val="17"/>
          <w:szCs w:val="17"/>
          <w:color w:val="auto"/>
        </w:rPr>
        <w:t>Universal Forest Products, Inc.</w:t>
      </w:r>
    </w:p>
    <w:p>
      <w:pPr>
        <w:spacing w:after="0" w:line="200" w:lineRule="exact"/>
        <w:rPr>
          <w:sz w:val="20"/>
          <w:szCs w:val="20"/>
          <w:color w:val="auto"/>
        </w:rPr>
      </w:pPr>
    </w:p>
    <w:p>
      <w:pPr>
        <w:spacing w:after="0" w:line="273" w:lineRule="exact"/>
        <w:rPr>
          <w:sz w:val="20"/>
          <w:szCs w:val="20"/>
          <w:color w:val="auto"/>
        </w:rPr>
      </w:pPr>
    </w:p>
    <w:p>
      <w:pPr>
        <w:ind w:left="3200"/>
        <w:spacing w:after="0"/>
        <w:rPr>
          <w:sz w:val="20"/>
          <w:szCs w:val="20"/>
          <w:color w:val="auto"/>
        </w:rPr>
      </w:pPr>
      <w:r>
        <w:rPr>
          <w:rFonts w:ascii="Arial" w:cs="Arial" w:eastAsia="Arial" w:hAnsi="Arial"/>
          <w:sz w:val="17"/>
          <w:szCs w:val="17"/>
          <w:color w:val="auto"/>
        </w:rPr>
        <w:t>By:_________________________________________________</w:t>
      </w:r>
    </w:p>
    <w:p>
      <w:pPr>
        <w:ind w:left="370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85090</wp:posOffset>
            </wp:positionH>
            <wp:positionV relativeFrom="paragraph">
              <wp:posOffset>417195</wp:posOffset>
            </wp:positionV>
            <wp:extent cx="5563235" cy="203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7">
                      <a:extLst>
                        <a:ext uri="{28A0092B-C50C-407E-A947-70E740481C1C}"/>
                      </a:extLst>
                    </a:blip>
                    <a:srcRect/>
                    <a:stretch>
                      <a:fillRect/>
                    </a:stretch>
                  </pic:blipFill>
                  <pic:spPr bwMode="auto">
                    <a:xfrm>
                      <a:off x="0" y="0"/>
                      <a:ext cx="5563235" cy="2032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40" w:name="page41"/>
    <w:bookmarkEnd w:id="40"/>
    <w:p>
      <w:pPr>
        <w:jc w:val="center"/>
        <w:ind w:right="-20"/>
        <w:spacing w:after="0"/>
        <w:rPr>
          <w:sz w:val="20"/>
          <w:szCs w:val="20"/>
          <w:color w:val="auto"/>
        </w:rPr>
      </w:pPr>
      <w:r>
        <w:rPr>
          <w:rFonts w:ascii="Arial" w:cs="Arial" w:eastAsia="Arial" w:hAnsi="Arial"/>
          <w:sz w:val="17"/>
          <w:szCs w:val="17"/>
          <w:b w:val="1"/>
          <w:bCs w:val="1"/>
          <w:color w:val="auto"/>
        </w:rPr>
        <w:t>UNIVERSAL FOREST PRODUCTS, INC.</w:t>
      </w:r>
    </w:p>
    <w:p>
      <w:pPr>
        <w:spacing w:after="0" w:line="14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4.27% SENIOR SERIES D NOTE DUE 14 JUNE 2030</w:t>
      </w:r>
    </w:p>
    <w:p>
      <w:pPr>
        <w:spacing w:after="0" w:line="307" w:lineRule="exact"/>
        <w:rPr>
          <w:sz w:val="20"/>
          <w:szCs w:val="20"/>
          <w:color w:val="auto"/>
        </w:rPr>
      </w:pPr>
    </w:p>
    <w:p>
      <w:pPr>
        <w:ind w:left="140"/>
        <w:spacing w:after="0"/>
        <w:rPr>
          <w:sz w:val="20"/>
          <w:szCs w:val="20"/>
          <w:color w:val="auto"/>
        </w:rPr>
      </w:pPr>
      <w:r>
        <w:rPr>
          <w:rFonts w:ascii="Arial" w:cs="Arial" w:eastAsia="Arial" w:hAnsi="Arial"/>
          <w:sz w:val="17"/>
          <w:szCs w:val="17"/>
          <w:color w:val="auto"/>
        </w:rPr>
        <w:t xml:space="preserve">No. </w:t>
      </w:r>
      <w:r>
        <w:rPr>
          <w:rFonts w:ascii="Arial" w:cs="Arial" w:eastAsia="Arial" w:hAnsi="Arial"/>
          <w:sz w:val="17"/>
          <w:szCs w:val="17"/>
          <w:b w:val="1"/>
          <w:bCs w:val="1"/>
          <w:color w:val="auto"/>
        </w:rPr>
        <w:t>D-4</w:t>
      </w:r>
    </w:p>
    <w:p>
      <w:pPr>
        <w:ind w:left="140"/>
        <w:spacing w:after="0" w:line="208" w:lineRule="auto"/>
        <w:rPr>
          <w:sz w:val="20"/>
          <w:szCs w:val="20"/>
          <w:color w:val="auto"/>
        </w:rPr>
      </w:pPr>
      <w:r>
        <w:rPr>
          <w:rFonts w:ascii="Arial" w:cs="Arial" w:eastAsia="Arial" w:hAnsi="Arial"/>
          <w:sz w:val="17"/>
          <w:szCs w:val="17"/>
          <w:color w:val="auto"/>
        </w:rPr>
        <w:t xml:space="preserve">ORIGINAL PRINCIPAL AMOUNT: </w:t>
      </w:r>
      <w:r>
        <w:rPr>
          <w:rFonts w:ascii="Arial" w:cs="Arial" w:eastAsia="Arial" w:hAnsi="Arial"/>
          <w:sz w:val="17"/>
          <w:szCs w:val="17"/>
          <w:b w:val="1"/>
          <w:bCs w:val="1"/>
          <w:color w:val="auto"/>
        </w:rPr>
        <w:t>$17,500,000</w:t>
      </w:r>
    </w:p>
    <w:p>
      <w:pPr>
        <w:ind w:left="140"/>
        <w:spacing w:after="0" w:line="209" w:lineRule="auto"/>
        <w:rPr>
          <w:sz w:val="20"/>
          <w:szCs w:val="20"/>
          <w:color w:val="auto"/>
        </w:rPr>
      </w:pPr>
      <w:r>
        <w:rPr>
          <w:rFonts w:ascii="Arial" w:cs="Arial" w:eastAsia="Arial" w:hAnsi="Arial"/>
          <w:sz w:val="17"/>
          <w:szCs w:val="17"/>
          <w:color w:val="auto"/>
        </w:rPr>
        <w:t xml:space="preserve">ORIGINAL ISSUE DATE: </w:t>
      </w:r>
      <w:r>
        <w:rPr>
          <w:rFonts w:ascii="Arial" w:cs="Arial" w:eastAsia="Arial" w:hAnsi="Arial"/>
          <w:sz w:val="17"/>
          <w:szCs w:val="17"/>
          <w:b w:val="1"/>
          <w:bCs w:val="1"/>
          <w:color w:val="auto"/>
        </w:rPr>
        <w:t>14 June 2018</w:t>
      </w:r>
    </w:p>
    <w:p>
      <w:pPr>
        <w:ind w:left="140"/>
        <w:spacing w:after="0" w:line="208" w:lineRule="auto"/>
        <w:rPr>
          <w:sz w:val="20"/>
          <w:szCs w:val="20"/>
          <w:color w:val="auto"/>
        </w:rPr>
      </w:pPr>
      <w:r>
        <w:rPr>
          <w:rFonts w:ascii="Arial" w:cs="Arial" w:eastAsia="Arial" w:hAnsi="Arial"/>
          <w:sz w:val="17"/>
          <w:szCs w:val="17"/>
          <w:color w:val="auto"/>
        </w:rPr>
        <w:t xml:space="preserve">INTEREST RATE: </w:t>
      </w:r>
      <w:r>
        <w:rPr>
          <w:rFonts w:ascii="Arial" w:cs="Arial" w:eastAsia="Arial" w:hAnsi="Arial"/>
          <w:sz w:val="17"/>
          <w:szCs w:val="17"/>
          <w:b w:val="1"/>
          <w:bCs w:val="1"/>
          <w:color w:val="auto"/>
        </w:rPr>
        <w:t>4.27%</w:t>
      </w:r>
    </w:p>
    <w:p>
      <w:pPr>
        <w:ind w:left="140"/>
        <w:spacing w:after="0" w:line="209" w:lineRule="auto"/>
        <w:rPr>
          <w:sz w:val="20"/>
          <w:szCs w:val="20"/>
          <w:color w:val="auto"/>
        </w:rPr>
      </w:pPr>
      <w:r>
        <w:rPr>
          <w:rFonts w:ascii="Arial" w:cs="Arial" w:eastAsia="Arial" w:hAnsi="Arial"/>
          <w:sz w:val="17"/>
          <w:szCs w:val="17"/>
          <w:color w:val="auto"/>
        </w:rPr>
        <w:t xml:space="preserve">INTEREST PAYMENT DATES: </w:t>
      </w:r>
      <w:r>
        <w:rPr>
          <w:rFonts w:ascii="Arial" w:cs="Arial" w:eastAsia="Arial" w:hAnsi="Arial"/>
          <w:sz w:val="17"/>
          <w:szCs w:val="17"/>
          <w:b w:val="1"/>
          <w:bCs w:val="1"/>
          <w:color w:val="auto"/>
        </w:rPr>
        <w:t>17 June and 17 December of each year, commencing on 17 December 2018</w:t>
      </w:r>
    </w:p>
    <w:p>
      <w:pPr>
        <w:ind w:left="140"/>
        <w:spacing w:after="0" w:line="209" w:lineRule="auto"/>
        <w:rPr>
          <w:sz w:val="20"/>
          <w:szCs w:val="20"/>
          <w:color w:val="auto"/>
        </w:rPr>
      </w:pPr>
      <w:r>
        <w:rPr>
          <w:rFonts w:ascii="Arial" w:cs="Arial" w:eastAsia="Arial" w:hAnsi="Arial"/>
          <w:sz w:val="17"/>
          <w:szCs w:val="17"/>
          <w:color w:val="auto"/>
        </w:rPr>
        <w:t xml:space="preserve">FINAL MATURITY DATE: </w:t>
      </w:r>
      <w:r>
        <w:rPr>
          <w:rFonts w:ascii="Arial" w:cs="Arial" w:eastAsia="Arial" w:hAnsi="Arial"/>
          <w:sz w:val="17"/>
          <w:szCs w:val="17"/>
          <w:b w:val="1"/>
          <w:bCs w:val="1"/>
          <w:color w:val="auto"/>
        </w:rPr>
        <w:t>14 June 2030</w:t>
      </w:r>
    </w:p>
    <w:p>
      <w:pPr>
        <w:ind w:left="140"/>
        <w:spacing w:after="0" w:line="208" w:lineRule="auto"/>
        <w:rPr>
          <w:sz w:val="20"/>
          <w:szCs w:val="20"/>
          <w:color w:val="auto"/>
        </w:rPr>
      </w:pPr>
      <w:r>
        <w:rPr>
          <w:rFonts w:ascii="Arial" w:cs="Arial" w:eastAsia="Arial" w:hAnsi="Arial"/>
          <w:sz w:val="17"/>
          <w:szCs w:val="17"/>
          <w:color w:val="auto"/>
        </w:rPr>
        <w:t xml:space="preserve">PRINCIPAL PREPAYMENT DATES AND AMOUNTS: </w:t>
      </w:r>
      <w:r>
        <w:rPr>
          <w:rFonts w:ascii="Arial" w:cs="Arial" w:eastAsia="Arial" w:hAnsi="Arial"/>
          <w:sz w:val="17"/>
          <w:szCs w:val="17"/>
          <w:b w:val="1"/>
          <w:bCs w:val="1"/>
          <w:color w:val="auto"/>
        </w:rPr>
        <w:t>None. Bullet due at maturity</w:t>
      </w:r>
    </w:p>
    <w:p>
      <w:pPr>
        <w:spacing w:after="0" w:line="1" w:lineRule="exact"/>
        <w:rPr>
          <w:sz w:val="20"/>
          <w:szCs w:val="20"/>
          <w:color w:val="auto"/>
        </w:rPr>
      </w:pPr>
    </w:p>
    <w:p>
      <w:pPr>
        <w:ind w:left="140"/>
        <w:spacing w:after="0"/>
        <w:rPr>
          <w:sz w:val="20"/>
          <w:szCs w:val="20"/>
          <w:color w:val="auto"/>
        </w:rPr>
      </w:pPr>
      <w:r>
        <w:rPr>
          <w:rFonts w:ascii="Arial" w:cs="Arial" w:eastAsia="Arial" w:hAnsi="Arial"/>
          <w:sz w:val="17"/>
          <w:szCs w:val="17"/>
          <w:color w:val="auto"/>
        </w:rPr>
        <w:t>PPN: 913543 D*2</w:t>
      </w:r>
    </w:p>
    <w:p>
      <w:pPr>
        <w:spacing w:after="0" w:line="130" w:lineRule="exact"/>
        <w:rPr>
          <w:sz w:val="20"/>
          <w:szCs w:val="20"/>
          <w:color w:val="auto"/>
        </w:rPr>
      </w:pPr>
    </w:p>
    <w:p>
      <w:pPr>
        <w:jc w:val="both"/>
        <w:ind w:left="140" w:right="119" w:firstLine="510"/>
        <w:spacing w:after="0" w:line="226" w:lineRule="auto"/>
        <w:rPr>
          <w:sz w:val="20"/>
          <w:szCs w:val="20"/>
          <w:color w:val="auto"/>
        </w:rPr>
      </w:pPr>
      <w:r>
        <w:rPr>
          <w:rFonts w:ascii="Arial" w:cs="Arial" w:eastAsia="Arial" w:hAnsi="Arial"/>
          <w:sz w:val="16"/>
          <w:szCs w:val="16"/>
          <w:color w:val="auto"/>
        </w:rPr>
        <w:t xml:space="preserve">FOR VALUE RECEIVED, the undersigned, Universal Forest Products, Inc., a corporation organized and existing under the laws of the State of Michigan (herein called the </w:t>
      </w:r>
      <w:r>
        <w:rPr>
          <w:rFonts w:ascii="Arial" w:cs="Arial" w:eastAsia="Arial" w:hAnsi="Arial"/>
          <w:sz w:val="16"/>
          <w:szCs w:val="16"/>
          <w:i w:val="1"/>
          <w:iCs w:val="1"/>
          <w:color w:val="auto"/>
        </w:rPr>
        <w:t>“Company”</w:t>
      </w:r>
      <w:r>
        <w:rPr>
          <w:rFonts w:ascii="Arial" w:cs="Arial" w:eastAsia="Arial" w:hAnsi="Arial"/>
          <w:sz w:val="16"/>
          <w:szCs w:val="16"/>
          <w:color w:val="auto"/>
        </w:rPr>
        <w:t xml:space="preserve">), hereby promises to pay to </w:t>
      </w:r>
      <w:r>
        <w:rPr>
          <w:rFonts w:ascii="Arial" w:cs="Arial" w:eastAsia="Arial" w:hAnsi="Arial"/>
          <w:sz w:val="16"/>
          <w:szCs w:val="16"/>
          <w:b w:val="1"/>
          <w:bCs w:val="1"/>
          <w:color w:val="auto"/>
        </w:rPr>
        <w:t>THE LINCOLN NATIONAL</w:t>
      </w:r>
      <w:r>
        <w:rPr>
          <w:rFonts w:ascii="Arial" w:cs="Arial" w:eastAsia="Arial" w:hAnsi="Arial"/>
          <w:sz w:val="16"/>
          <w:szCs w:val="16"/>
          <w:color w:val="auto"/>
        </w:rPr>
        <w:t xml:space="preserve"> </w:t>
      </w:r>
      <w:r>
        <w:rPr>
          <w:rFonts w:ascii="Arial" w:cs="Arial" w:eastAsia="Arial" w:hAnsi="Arial"/>
          <w:sz w:val="16"/>
          <w:szCs w:val="16"/>
          <w:b w:val="1"/>
          <w:bCs w:val="1"/>
          <w:color w:val="auto"/>
        </w:rPr>
        <w:t>LIFE INSURANCE COMPANY</w:t>
      </w:r>
      <w:r>
        <w:rPr>
          <w:rFonts w:ascii="Arial" w:cs="Arial" w:eastAsia="Arial" w:hAnsi="Arial"/>
          <w:sz w:val="16"/>
          <w:szCs w:val="16"/>
          <w:color w:val="auto"/>
        </w:rPr>
        <w:t>, or registered assigns, the principal sum of</w:t>
      </w:r>
      <w:r>
        <w:rPr>
          <w:rFonts w:ascii="Arial" w:cs="Arial" w:eastAsia="Arial" w:hAnsi="Arial"/>
          <w:sz w:val="16"/>
          <w:szCs w:val="16"/>
          <w:b w:val="1"/>
          <w:bCs w:val="1"/>
          <w:color w:val="auto"/>
        </w:rPr>
        <w:t xml:space="preserve"> SEVENTEEN MILLION FIVE HUNDRED THOUSAND DOLLARS </w:t>
      </w:r>
      <w:r>
        <w:rPr>
          <w:rFonts w:ascii="Arial" w:cs="Arial" w:eastAsia="Arial" w:hAnsi="Arial"/>
          <w:sz w:val="16"/>
          <w:szCs w:val="16"/>
          <w:color w:val="auto"/>
        </w:rPr>
        <w:t>on the Final Maturity Date specified above with interest (computed on the basis of a 360-day year—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30-day month) on the unpaid balance thereof at the Interest Rate per annum specified above from the date hereof, payable on each Interest Payment Date specified above and on the Final Maturity Date specified above, commencing with the Interest Payment Date next succeeding the date hereof. The Company agrees to pay interest on overdue principal (including any overdue optional prepayment of principal) and premium, if any, and (to the extent legally enforceable) on any overdue installment of interest, at the Overdue Rate after the due date, whether by acceleration or otherwise, until paid. </w:t>
      </w:r>
      <w:r>
        <w:rPr>
          <w:rFonts w:ascii="Arial" w:cs="Arial" w:eastAsia="Arial" w:hAnsi="Arial"/>
          <w:sz w:val="16"/>
          <w:szCs w:val="16"/>
          <w:i w:val="1"/>
          <w:iCs w:val="1"/>
          <w:color w:val="auto"/>
        </w:rPr>
        <w:t>“Overdue Rate”</w:t>
      </w:r>
      <w:r>
        <w:rPr>
          <w:rFonts w:ascii="Arial" w:cs="Arial" w:eastAsia="Arial" w:hAnsi="Arial"/>
          <w:sz w:val="16"/>
          <w:szCs w:val="16"/>
          <w:color w:val="auto"/>
        </w:rPr>
        <w:t xml:space="preserve"> shall mean the lesser of (a) the maximum interest rate permitted by law, and (b) the greater of (ii) the Interest Rate specified above plus 2.00% per annum or (b) the rate of interest publicly announced by JPMorgan Chase Bank, National Association, from time to time in New York City as its Prime Rate plus 2.00% per annum.</w:t>
      </w:r>
    </w:p>
    <w:p>
      <w:pPr>
        <w:spacing w:after="0" w:line="130" w:lineRule="exact"/>
        <w:rPr>
          <w:sz w:val="20"/>
          <w:szCs w:val="20"/>
          <w:color w:val="auto"/>
        </w:rPr>
      </w:pPr>
    </w:p>
    <w:p>
      <w:pPr>
        <w:jc w:val="both"/>
        <w:ind w:left="140" w:right="119" w:firstLine="510"/>
        <w:spacing w:after="0" w:line="227" w:lineRule="auto"/>
        <w:rPr>
          <w:sz w:val="20"/>
          <w:szCs w:val="20"/>
          <w:color w:val="auto"/>
        </w:rPr>
      </w:pPr>
      <w:r>
        <w:rPr>
          <w:rFonts w:ascii="Arial" w:cs="Arial" w:eastAsia="Arial" w:hAnsi="Arial"/>
          <w:sz w:val="16"/>
          <w:szCs w:val="16"/>
          <w:color w:val="auto"/>
        </w:rPr>
        <w:t xml:space="preserve">Both the principal hereof and interest hereon are payable at the principal office of the Company in Grand Rapids, Michigan in coin or currency of the United States of America which at the time of payment shall be legal tender for the payment of public and private debts. If any amount of principal, premium, if any, or interest on or in respect of this Note becomes due and payable on any date which is not a Business Day, such amount shall be payable on the immediately succeeding Business Day without including the additional days elapsed in the computation of the interest payable on such next succeeding Business Day;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the maturity date of this Note is a date other than a Business Day, the payment otherwise due on such maturity date shall be made on the next succeeding Business Day and shall include the additional days elapsed in the computation of interest payable on such next succeeding Business Day. </w:t>
      </w:r>
      <w:r>
        <w:rPr>
          <w:rFonts w:ascii="Arial" w:cs="Arial" w:eastAsia="Arial" w:hAnsi="Arial"/>
          <w:sz w:val="16"/>
          <w:szCs w:val="16"/>
          <w:i w:val="1"/>
          <w:iCs w:val="1"/>
          <w:color w:val="auto"/>
        </w:rPr>
        <w:t>“Business Day”</w:t>
      </w:r>
      <w:r>
        <w:rPr>
          <w:rFonts w:ascii="Arial" w:cs="Arial" w:eastAsia="Arial" w:hAnsi="Arial"/>
          <w:sz w:val="16"/>
          <w:szCs w:val="16"/>
          <w:color w:val="auto"/>
        </w:rPr>
        <w:t xml:space="preserve"> means any day other than a Saturday, Sunday or other day on which banks in either Grand Rapids, Michigan or New York, New York are required by law to close or are customarily closed.</w:t>
      </w:r>
    </w:p>
    <w:p>
      <w:pPr>
        <w:spacing w:after="0" w:line="129" w:lineRule="exact"/>
        <w:rPr>
          <w:sz w:val="20"/>
          <w:szCs w:val="20"/>
          <w:color w:val="auto"/>
        </w:rPr>
      </w:pPr>
    </w:p>
    <w:p>
      <w:pPr>
        <w:jc w:val="both"/>
        <w:ind w:left="140" w:right="119" w:firstLine="510"/>
        <w:spacing w:after="0" w:line="227" w:lineRule="auto"/>
        <w:rPr>
          <w:sz w:val="20"/>
          <w:szCs w:val="20"/>
          <w:color w:val="auto"/>
        </w:rPr>
      </w:pPr>
      <w:r>
        <w:rPr>
          <w:rFonts w:ascii="Arial" w:cs="Arial" w:eastAsia="Arial" w:hAnsi="Arial"/>
          <w:sz w:val="17"/>
          <w:szCs w:val="17"/>
          <w:color w:val="auto"/>
        </w:rPr>
        <w:t>This Note is one of the 4.27% Series D Senior Notes, due 14 June 2030 of the Company in the original aggregate principal amount of $35,000,000, which, together with the 3.89% Series A Senior Notes, due December 17, 2022, of the Company in the original aggregate principal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85090</wp:posOffset>
            </wp:positionH>
            <wp:positionV relativeFrom="paragraph">
              <wp:posOffset>96520</wp:posOffset>
            </wp:positionV>
            <wp:extent cx="5563235" cy="203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8">
                      <a:extLst>
                        <a:ext uri="{28A0092B-C50C-407E-A947-70E740481C1C}"/>
                      </a:extLst>
                    </a:blip>
                    <a:srcRect/>
                    <a:stretch>
                      <a:fillRect/>
                    </a:stretch>
                  </pic:blipFill>
                  <pic:spPr bwMode="auto">
                    <a:xfrm>
                      <a:off x="0" y="0"/>
                      <a:ext cx="5563235" cy="2032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41" w:name="page42"/>
    <w:bookmarkEnd w:id="41"/>
    <w:p>
      <w:pPr>
        <w:jc w:val="both"/>
        <w:ind w:left="140" w:right="119"/>
        <w:spacing w:after="0" w:line="243" w:lineRule="auto"/>
        <w:rPr>
          <w:sz w:val="20"/>
          <w:szCs w:val="20"/>
          <w:color w:val="auto"/>
        </w:rPr>
      </w:pPr>
      <w:r>
        <w:rPr>
          <w:rFonts w:ascii="Arial" w:cs="Arial" w:eastAsia="Arial" w:hAnsi="Arial"/>
          <w:sz w:val="15"/>
          <w:szCs w:val="15"/>
          <w:color w:val="auto"/>
        </w:rPr>
        <w:t xml:space="preserve">of $35,000,000, the 3.98% Series B Senior Notes, due December 17, 2024, of the Company in the original aggregate principal amount of $40,000,000, the 4.20% Series C Senior Notes, due June 14, 2028 of the Company in the original aggregate principal amount of $40,000,000, and any other Shelf Notes (as defined in the Note Agreement hereafter mentioned), are issued or to be issued under and pursuant to the terms and provisions of the Note Purchase and Private Shelf Agreement, dated as of December 17, 2012 (as amended, the </w:t>
      </w:r>
      <w:r>
        <w:rPr>
          <w:rFonts w:ascii="Arial" w:cs="Arial" w:eastAsia="Arial" w:hAnsi="Arial"/>
          <w:sz w:val="15"/>
          <w:szCs w:val="15"/>
          <w:i w:val="1"/>
          <w:iCs w:val="1"/>
          <w:color w:val="auto"/>
        </w:rPr>
        <w:t>“Note Agreement”</w:t>
      </w:r>
      <w:r>
        <w:rPr>
          <w:rFonts w:ascii="Arial" w:cs="Arial" w:eastAsia="Arial" w:hAnsi="Arial"/>
          <w:sz w:val="15"/>
          <w:szCs w:val="15"/>
          <w:color w:val="auto"/>
        </w:rPr>
        <w:t>), between the Company, on the one hand, and PGIM, Inc. (formally known as Prudential Investment Management, Inc.), the Initial Purchasers named in the Purchaser Schedule attached thereto and each Prudential Affiliate which becomes party thereto, on the other hand, and the holder hereof is entitled equally and ratably with the holders of all other Notes outstanding under the Note Agreement to all the benefits provided for thereby or referred to therein. Reference is hereby made to the Note Agreement for a statement of such rights and benefits.</w:t>
      </w:r>
    </w:p>
    <w:p>
      <w:pPr>
        <w:spacing w:after="0" w:line="128" w:lineRule="exact"/>
        <w:rPr>
          <w:sz w:val="20"/>
          <w:szCs w:val="20"/>
          <w:color w:val="auto"/>
        </w:rPr>
      </w:pPr>
    </w:p>
    <w:p>
      <w:pPr>
        <w:jc w:val="both"/>
        <w:ind w:left="140" w:right="119" w:firstLine="510"/>
        <w:spacing w:after="0" w:line="227" w:lineRule="auto"/>
        <w:rPr>
          <w:sz w:val="20"/>
          <w:szCs w:val="20"/>
          <w:color w:val="auto"/>
        </w:rPr>
      </w:pPr>
      <w:r>
        <w:rPr>
          <w:rFonts w:ascii="Arial" w:cs="Arial" w:eastAsia="Arial" w:hAnsi="Arial"/>
          <w:sz w:val="17"/>
          <w:szCs w:val="17"/>
          <w:color w:val="auto"/>
        </w:rPr>
        <w:t>This Note and the other Notes outstanding under the Note Agreement may be declared due prior to their expressed maturity dates and certain prepayments are required to be made thereon, all in the events, on the terms and in the manner and amounts as provided in the Note Agreements.</w:t>
      </w:r>
    </w:p>
    <w:p>
      <w:pPr>
        <w:spacing w:after="0" w:line="125" w:lineRule="exact"/>
        <w:rPr>
          <w:sz w:val="20"/>
          <w:szCs w:val="20"/>
          <w:color w:val="auto"/>
        </w:rPr>
      </w:pPr>
    </w:p>
    <w:p>
      <w:pPr>
        <w:jc w:val="both"/>
        <w:ind w:left="140" w:right="119" w:firstLine="510"/>
        <w:spacing w:after="0" w:line="296" w:lineRule="auto"/>
        <w:rPr>
          <w:sz w:val="20"/>
          <w:szCs w:val="20"/>
          <w:color w:val="auto"/>
        </w:rPr>
      </w:pPr>
      <w:r>
        <w:rPr>
          <w:rFonts w:ascii="Arial" w:cs="Arial" w:eastAsia="Arial" w:hAnsi="Arial"/>
          <w:sz w:val="15"/>
          <w:szCs w:val="15"/>
          <w:color w:val="auto"/>
        </w:rPr>
        <w:t>The Notes are not subject to prepayment or redemption at the option of the Company prior to their expressed maturity dates except on the terms and conditions and in the amounts and with the premium, if any, set forth in the Note Agreement.</w:t>
      </w:r>
    </w:p>
    <w:p>
      <w:pPr>
        <w:spacing w:after="0" w:line="84" w:lineRule="exact"/>
        <w:rPr>
          <w:sz w:val="20"/>
          <w:szCs w:val="20"/>
          <w:color w:val="auto"/>
        </w:rPr>
      </w:pPr>
    </w:p>
    <w:p>
      <w:pPr>
        <w:jc w:val="both"/>
        <w:ind w:left="140" w:right="139" w:firstLine="510"/>
        <w:spacing w:after="0" w:line="222" w:lineRule="auto"/>
        <w:rPr>
          <w:sz w:val="20"/>
          <w:szCs w:val="20"/>
          <w:color w:val="auto"/>
        </w:rPr>
      </w:pPr>
      <w:r>
        <w:rPr>
          <w:rFonts w:ascii="Arial" w:cs="Arial" w:eastAsia="Arial" w:hAnsi="Arial"/>
          <w:sz w:val="17"/>
          <w:szCs w:val="17"/>
          <w:color w:val="auto"/>
        </w:rPr>
        <w:t>This Note is registered on the books of the Company and is transferable only by surrender thereof at the principal office of the Company duly endorsed or accompanied by a written instrument of transfer duly executed by the registered holder of this Note or its attorney duly authorized in writing. Payment of or on account of principal, premium, if any, and interest on this Note shall be made only to or upon the order in writing of the registered holder.</w:t>
      </w:r>
    </w:p>
    <w:p>
      <w:pPr>
        <w:spacing w:after="0" w:line="126"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Signature Page Follows</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85090</wp:posOffset>
            </wp:positionH>
            <wp:positionV relativeFrom="paragraph">
              <wp:posOffset>534035</wp:posOffset>
            </wp:positionV>
            <wp:extent cx="5563235" cy="203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9">
                      <a:extLst>
                        <a:ext uri="{28A0092B-C50C-407E-A947-70E740481C1C}"/>
                      </a:extLst>
                    </a:blip>
                    <a:srcRect/>
                    <a:stretch>
                      <a:fillRect/>
                    </a:stretch>
                  </pic:blipFill>
                  <pic:spPr bwMode="auto">
                    <a:xfrm>
                      <a:off x="0" y="0"/>
                      <a:ext cx="5563235" cy="20320"/>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42" w:name="page43"/>
    <w:bookmarkEnd w:id="42"/>
    <w:p>
      <w:pPr>
        <w:jc w:val="both"/>
        <w:ind w:left="140" w:right="119" w:firstLine="510"/>
        <w:spacing w:after="0" w:line="245" w:lineRule="auto"/>
        <w:rPr>
          <w:sz w:val="20"/>
          <w:szCs w:val="20"/>
          <w:color w:val="auto"/>
        </w:rPr>
      </w:pPr>
      <w:r>
        <w:rPr>
          <w:rFonts w:ascii="Arial" w:cs="Arial" w:eastAsia="Arial" w:hAnsi="Arial"/>
          <w:sz w:val="16"/>
          <w:szCs w:val="16"/>
          <w:b w:val="1"/>
          <w:bCs w:val="1"/>
          <w:color w:val="auto"/>
        </w:rPr>
        <w:t>This Note and said Note Agreement are governed by and construed in accordance with the law of Illinois (excluding any conflicts of law rules which would otherwise cause this note to be construed or enforced in accordance with the laws of any other jurisdiction), including all matters of construction, validity and performance.</w:t>
      </w:r>
    </w:p>
    <w:p>
      <w:pPr>
        <w:spacing w:after="0" w:line="121" w:lineRule="exact"/>
        <w:rPr>
          <w:sz w:val="20"/>
          <w:szCs w:val="20"/>
          <w:color w:val="auto"/>
        </w:rPr>
      </w:pPr>
    </w:p>
    <w:p>
      <w:pPr>
        <w:ind w:left="3200"/>
        <w:spacing w:after="0"/>
        <w:rPr>
          <w:sz w:val="20"/>
          <w:szCs w:val="20"/>
          <w:color w:val="auto"/>
        </w:rPr>
      </w:pPr>
      <w:r>
        <w:rPr>
          <w:rFonts w:ascii="Arial" w:cs="Arial" w:eastAsia="Arial" w:hAnsi="Arial"/>
          <w:sz w:val="17"/>
          <w:szCs w:val="17"/>
          <w:color w:val="auto"/>
        </w:rPr>
        <w:t>Universal Forest Products, Inc.</w:t>
      </w:r>
    </w:p>
    <w:p>
      <w:pPr>
        <w:spacing w:after="0" w:line="200" w:lineRule="exact"/>
        <w:rPr>
          <w:sz w:val="20"/>
          <w:szCs w:val="20"/>
          <w:color w:val="auto"/>
        </w:rPr>
      </w:pPr>
    </w:p>
    <w:p>
      <w:pPr>
        <w:spacing w:after="0" w:line="273" w:lineRule="exact"/>
        <w:rPr>
          <w:sz w:val="20"/>
          <w:szCs w:val="20"/>
          <w:color w:val="auto"/>
        </w:rPr>
      </w:pPr>
    </w:p>
    <w:p>
      <w:pPr>
        <w:ind w:left="3200"/>
        <w:spacing w:after="0"/>
        <w:rPr>
          <w:sz w:val="20"/>
          <w:szCs w:val="20"/>
          <w:color w:val="auto"/>
        </w:rPr>
      </w:pPr>
      <w:r>
        <w:rPr>
          <w:rFonts w:ascii="Arial" w:cs="Arial" w:eastAsia="Arial" w:hAnsi="Arial"/>
          <w:sz w:val="17"/>
          <w:szCs w:val="17"/>
          <w:color w:val="auto"/>
        </w:rPr>
        <w:t>By:_________________________________________________</w:t>
      </w:r>
    </w:p>
    <w:p>
      <w:pPr>
        <w:ind w:left="370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85090</wp:posOffset>
            </wp:positionH>
            <wp:positionV relativeFrom="paragraph">
              <wp:posOffset>417195</wp:posOffset>
            </wp:positionV>
            <wp:extent cx="5563235" cy="203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0">
                      <a:extLst>
                        <a:ext uri="{28A0092B-C50C-407E-A947-70E740481C1C}"/>
                      </a:extLst>
                    </a:blip>
                    <a:srcRect/>
                    <a:stretch>
                      <a:fillRect/>
                    </a:stretch>
                  </pic:blipFill>
                  <pic:spPr bwMode="auto">
                    <a:xfrm>
                      <a:off x="0" y="0"/>
                      <a:ext cx="5563235" cy="2032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161"/>
        </w:trPr>
        <w:tc>
          <w:tcPr>
            <w:tcW w:w="8400" w:type="dxa"/>
            <w:vAlign w:val="bottom"/>
            <w:gridSpan w:val="17"/>
          </w:tcPr>
          <w:p>
            <w:pPr>
              <w:spacing w:after="0"/>
              <w:rPr>
                <w:rFonts w:ascii="Arial" w:cs="Arial" w:eastAsia="Arial" w:hAnsi="Arial"/>
                <w:sz w:val="14"/>
                <w:szCs w:val="14"/>
                <w:color w:val="0563C1"/>
              </w:rPr>
            </w:pPr>
            <w:hyperlink w:anchor="page2">
              <w:r>
                <w:rPr>
                  <w:rFonts w:ascii="Arial" w:cs="Arial" w:eastAsia="Arial" w:hAnsi="Arial"/>
                  <w:sz w:val="14"/>
                  <w:szCs w:val="14"/>
                  <w:color w:val="0563C1"/>
                </w:rPr>
                <w:t>Table of Contents</w:t>
              </w:r>
            </w:hyperlink>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06"/>
        </w:trPr>
        <w:tc>
          <w:tcPr>
            <w:tcW w:w="120" w:type="dxa"/>
            <w:vAlign w:val="bottom"/>
            <w:tcBorders>
              <w:top w:val="single" w:sz="8" w:color="0563C1"/>
            </w:tcBorders>
          </w:tcPr>
          <w:p>
            <w:pPr>
              <w:spacing w:after="0"/>
              <w:rPr>
                <w:sz w:val="24"/>
                <w:szCs w:val="24"/>
                <w:color w:val="auto"/>
              </w:rPr>
            </w:pPr>
          </w:p>
        </w:tc>
        <w:tc>
          <w:tcPr>
            <w:tcW w:w="280" w:type="dxa"/>
            <w:vAlign w:val="bottom"/>
            <w:tcBorders>
              <w:top w:val="single" w:sz="8" w:color="0563C1"/>
            </w:tcBorders>
          </w:tcPr>
          <w:p>
            <w:pPr>
              <w:spacing w:after="0"/>
              <w:rPr>
                <w:sz w:val="24"/>
                <w:szCs w:val="24"/>
                <w:color w:val="auto"/>
              </w:rPr>
            </w:pPr>
          </w:p>
        </w:tc>
        <w:tc>
          <w:tcPr>
            <w:tcW w:w="600" w:type="dxa"/>
            <w:vAlign w:val="bottom"/>
            <w:tcBorders>
              <w:top w:val="single" w:sz="8" w:color="0563C1"/>
            </w:tcBorders>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Exhibit 13</w:t>
            </w:r>
          </w:p>
        </w:tc>
        <w:tc>
          <w:tcPr>
            <w:tcW w:w="0" w:type="dxa"/>
            <w:vAlign w:val="bottom"/>
          </w:tcPr>
          <w:p>
            <w:pPr>
              <w:spacing w:after="0"/>
              <w:rPr>
                <w:sz w:val="1"/>
                <w:szCs w:val="1"/>
                <w:color w:val="auto"/>
              </w:rPr>
            </w:pPr>
          </w:p>
        </w:tc>
      </w:tr>
      <w:tr>
        <w:trPr>
          <w:trHeight w:val="326"/>
        </w:trPr>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900" w:type="dxa"/>
            <w:vAlign w:val="bottom"/>
            <w:gridSpan w:val="8"/>
          </w:tcPr>
          <w:p>
            <w:pPr>
              <w:jc w:val="center"/>
              <w:ind w:right="1800"/>
              <w:spacing w:after="0"/>
              <w:rPr>
                <w:sz w:val="20"/>
                <w:szCs w:val="20"/>
                <w:color w:val="auto"/>
              </w:rPr>
            </w:pPr>
            <w:r>
              <w:rPr>
                <w:rFonts w:ascii="Arial" w:cs="Arial" w:eastAsia="Arial" w:hAnsi="Arial"/>
                <w:sz w:val="14"/>
                <w:szCs w:val="14"/>
                <w:b w:val="1"/>
                <w:bCs w:val="1"/>
                <w:color w:val="auto"/>
              </w:rPr>
              <w:t>UNIVERSAL FOREST PRODUCTS, INC.</w:t>
            </w: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80" w:type="dxa"/>
            <w:vAlign w:val="bottom"/>
            <w:gridSpan w:val="7"/>
          </w:tcPr>
          <w:p>
            <w:pPr>
              <w:jc w:val="center"/>
              <w:ind w:right="2600"/>
              <w:spacing w:after="0"/>
              <w:rPr>
                <w:sz w:val="20"/>
                <w:szCs w:val="20"/>
                <w:color w:val="auto"/>
              </w:rPr>
            </w:pPr>
            <w:r>
              <w:rPr>
                <w:rFonts w:ascii="Arial" w:cs="Arial" w:eastAsia="Arial" w:hAnsi="Arial"/>
                <w:sz w:val="14"/>
                <w:szCs w:val="14"/>
                <w:b w:val="1"/>
                <w:bCs w:val="1"/>
                <w:color w:val="auto"/>
              </w:rPr>
              <w:t>FINANCIAL INFORMATION</w:t>
            </w: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0"/>
        </w:trPr>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080" w:type="dxa"/>
            <w:vAlign w:val="bottom"/>
            <w:gridSpan w:val="7"/>
          </w:tcPr>
          <w:p>
            <w:pPr>
              <w:jc w:val="center"/>
              <w:ind w:right="2620"/>
              <w:spacing w:after="0"/>
              <w:rPr>
                <w:sz w:val="20"/>
                <w:szCs w:val="20"/>
                <w:color w:val="auto"/>
              </w:rPr>
            </w:pPr>
            <w:r>
              <w:rPr>
                <w:rFonts w:ascii="Arial" w:cs="Arial" w:eastAsia="Arial" w:hAnsi="Arial"/>
                <w:sz w:val="14"/>
                <w:szCs w:val="14"/>
                <w:b w:val="1"/>
                <w:bCs w:val="1"/>
                <w:color w:val="auto"/>
                <w:w w:val="89"/>
              </w:rPr>
              <w:t>Table of Contents</w:t>
            </w: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1360" w:type="dxa"/>
            <w:vAlign w:val="bottom"/>
            <w:tcBorders>
              <w:bottom w:val="single" w:sz="8" w:color="0000EE"/>
            </w:tcBorders>
            <w:gridSpan w:val="4"/>
          </w:tcPr>
          <w:p>
            <w:pPr>
              <w:spacing w:after="0"/>
              <w:rPr>
                <w:rFonts w:ascii="Arial" w:cs="Arial" w:eastAsia="Arial" w:hAnsi="Arial"/>
                <w:sz w:val="14"/>
                <w:szCs w:val="14"/>
                <w:color w:val="0000EE"/>
                <w:w w:val="90"/>
              </w:rPr>
            </w:pPr>
            <w:hyperlink w:anchor="page45">
              <w:r>
                <w:rPr>
                  <w:rFonts w:ascii="Arial" w:cs="Arial" w:eastAsia="Arial" w:hAnsi="Arial"/>
                  <w:sz w:val="14"/>
                  <w:szCs w:val="14"/>
                  <w:color w:val="0000EE"/>
                  <w:w w:val="90"/>
                </w:rPr>
                <w:t>Selected Financial Data</w:t>
              </w:r>
            </w:hyperlink>
          </w:p>
        </w:tc>
        <w:tc>
          <w:tcPr>
            <w:tcW w:w="7040" w:type="dxa"/>
            <w:vAlign w:val="bottom"/>
            <w:gridSpan w:val="13"/>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426"/>
        </w:trPr>
        <w:tc>
          <w:tcPr>
            <w:tcW w:w="8400" w:type="dxa"/>
            <w:vAlign w:val="bottom"/>
            <w:gridSpan w:val="17"/>
          </w:tcPr>
          <w:p>
            <w:pPr>
              <w:spacing w:after="0"/>
              <w:rPr>
                <w:rFonts w:ascii="Arial" w:cs="Arial" w:eastAsia="Arial" w:hAnsi="Arial"/>
                <w:sz w:val="14"/>
                <w:szCs w:val="14"/>
                <w:color w:val="0000EE"/>
              </w:rPr>
            </w:pPr>
            <w:hyperlink w:anchor="page46">
              <w:r>
                <w:rPr>
                  <w:rFonts w:ascii="Arial" w:cs="Arial" w:eastAsia="Arial" w:hAnsi="Arial"/>
                  <w:sz w:val="14"/>
                  <w:szCs w:val="14"/>
                  <w:color w:val="0000EE"/>
                </w:rPr>
                <w:t>Management’s Discussion and Analysis of Financial Condition and Results of Operations</w:t>
              </w:r>
            </w:hyperlink>
          </w:p>
        </w:tc>
        <w:tc>
          <w:tcPr>
            <w:tcW w:w="700" w:type="dxa"/>
            <w:vAlign w:val="bottom"/>
          </w:tcPr>
          <w:p>
            <w:pPr>
              <w:jc w:val="right"/>
              <w:spacing w:after="0"/>
              <w:rPr>
                <w:sz w:val="20"/>
                <w:szCs w:val="20"/>
                <w:color w:val="auto"/>
              </w:rPr>
            </w:pPr>
            <w:r>
              <w:rPr>
                <w:rFonts w:ascii="Arial" w:cs="Arial" w:eastAsia="Arial" w:hAnsi="Arial"/>
                <w:sz w:val="14"/>
                <w:szCs w:val="14"/>
                <w:color w:val="auto"/>
              </w:rPr>
              <w:t>3-24</w:t>
            </w:r>
          </w:p>
        </w:tc>
        <w:tc>
          <w:tcPr>
            <w:tcW w:w="0" w:type="dxa"/>
            <w:vAlign w:val="bottom"/>
          </w:tcPr>
          <w:p>
            <w:pPr>
              <w:spacing w:after="0"/>
              <w:rPr>
                <w:sz w:val="1"/>
                <w:szCs w:val="1"/>
                <w:color w:val="auto"/>
              </w:rPr>
            </w:pPr>
          </w:p>
        </w:tc>
      </w:tr>
      <w:tr>
        <w:trPr>
          <w:trHeight w:val="426"/>
        </w:trPr>
        <w:tc>
          <w:tcPr>
            <w:tcW w:w="4320" w:type="dxa"/>
            <w:vAlign w:val="bottom"/>
            <w:tcBorders>
              <w:top w:val="single" w:sz="8" w:color="0000EE"/>
              <w:bottom w:val="single" w:sz="8" w:color="0000EE"/>
            </w:tcBorders>
            <w:gridSpan w:val="11"/>
          </w:tcPr>
          <w:p>
            <w:pPr>
              <w:spacing w:after="0"/>
              <w:rPr>
                <w:rFonts w:ascii="Arial" w:cs="Arial" w:eastAsia="Arial" w:hAnsi="Arial"/>
                <w:sz w:val="14"/>
                <w:szCs w:val="14"/>
                <w:color w:val="0000EE"/>
                <w:w w:val="92"/>
              </w:rPr>
            </w:pPr>
            <w:hyperlink w:anchor="page68">
              <w:r>
                <w:rPr>
                  <w:rFonts w:ascii="Arial" w:cs="Arial" w:eastAsia="Arial" w:hAnsi="Arial"/>
                  <w:sz w:val="14"/>
                  <w:szCs w:val="14"/>
                  <w:color w:val="0000EE"/>
                  <w:w w:val="92"/>
                </w:rPr>
                <w:t>Management’s Annual Report on Internal Control Over Financial Reporting</w:t>
              </w:r>
            </w:hyperlink>
          </w:p>
        </w:tc>
        <w:tc>
          <w:tcPr>
            <w:tcW w:w="760" w:type="dxa"/>
            <w:vAlign w:val="bottom"/>
            <w:tcBorders>
              <w:top w:val="single" w:sz="8" w:color="0000EE"/>
            </w:tcBorders>
            <w:gridSpan w:val="2"/>
          </w:tcPr>
          <w:p>
            <w:pPr>
              <w:spacing w:after="0"/>
              <w:rPr>
                <w:sz w:val="24"/>
                <w:szCs w:val="24"/>
                <w:color w:val="auto"/>
              </w:rPr>
            </w:pPr>
          </w:p>
        </w:tc>
        <w:tc>
          <w:tcPr>
            <w:tcW w:w="3320" w:type="dxa"/>
            <w:vAlign w:val="bottom"/>
            <w:gridSpan w:val="4"/>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426"/>
        </w:trPr>
        <w:tc>
          <w:tcPr>
            <w:tcW w:w="8400" w:type="dxa"/>
            <w:vAlign w:val="bottom"/>
            <w:gridSpan w:val="17"/>
          </w:tcPr>
          <w:p>
            <w:pPr>
              <w:spacing w:after="0"/>
              <w:rPr>
                <w:rFonts w:ascii="Arial" w:cs="Arial" w:eastAsia="Arial" w:hAnsi="Arial"/>
                <w:sz w:val="14"/>
                <w:szCs w:val="14"/>
                <w:color w:val="0000EE"/>
              </w:rPr>
            </w:pPr>
            <w:hyperlink w:anchor="page69">
              <w:r>
                <w:rPr>
                  <w:rFonts w:ascii="Arial" w:cs="Arial" w:eastAsia="Arial" w:hAnsi="Arial"/>
                  <w:sz w:val="14"/>
                  <w:szCs w:val="14"/>
                  <w:color w:val="0000EE"/>
                </w:rPr>
                <w:t>Report of Independent Registered Public Accounting Firm</w:t>
              </w:r>
            </w:hyperlink>
          </w:p>
        </w:tc>
        <w:tc>
          <w:tcPr>
            <w:tcW w:w="700" w:type="dxa"/>
            <w:vAlign w:val="bottom"/>
          </w:tcPr>
          <w:p>
            <w:pPr>
              <w:jc w:val="right"/>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20"/>
        </w:trPr>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26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27</w:t>
            </w:r>
          </w:p>
        </w:tc>
        <w:tc>
          <w:tcPr>
            <w:tcW w:w="0" w:type="dxa"/>
            <w:vAlign w:val="bottom"/>
          </w:tcPr>
          <w:p>
            <w:pPr>
              <w:spacing w:after="0" w:line="20" w:lineRule="exact"/>
              <w:rPr>
                <w:sz w:val="1"/>
                <w:szCs w:val="1"/>
                <w:color w:val="auto"/>
              </w:rPr>
            </w:pPr>
          </w:p>
        </w:tc>
      </w:tr>
      <w:tr>
        <w:trPr>
          <w:trHeight w:val="426"/>
        </w:trPr>
        <w:tc>
          <w:tcPr>
            <w:tcW w:w="8400" w:type="dxa"/>
            <w:vAlign w:val="bottom"/>
            <w:gridSpan w:val="17"/>
          </w:tcPr>
          <w:p>
            <w:pPr>
              <w:spacing w:after="0"/>
              <w:rPr>
                <w:rFonts w:ascii="Arial" w:cs="Arial" w:eastAsia="Arial" w:hAnsi="Arial"/>
                <w:sz w:val="14"/>
                <w:szCs w:val="14"/>
                <w:color w:val="0000EE"/>
              </w:rPr>
            </w:pPr>
            <w:hyperlink w:anchor="page70">
              <w:r>
                <w:rPr>
                  <w:rFonts w:ascii="Arial" w:cs="Arial" w:eastAsia="Arial" w:hAnsi="Arial"/>
                  <w:sz w:val="14"/>
                  <w:szCs w:val="14"/>
                  <w:color w:val="0000EE"/>
                </w:rPr>
                <w:t>Report of Independent Registered Public Accounting Firm</w:t>
              </w:r>
            </w:hyperlink>
          </w:p>
        </w:tc>
        <w:tc>
          <w:tcPr>
            <w:tcW w:w="7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26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28</w:t>
            </w:r>
          </w:p>
        </w:tc>
        <w:tc>
          <w:tcPr>
            <w:tcW w:w="0" w:type="dxa"/>
            <w:vAlign w:val="bottom"/>
          </w:tcPr>
          <w:p>
            <w:pPr>
              <w:spacing w:after="0" w:line="20" w:lineRule="exact"/>
              <w:rPr>
                <w:sz w:val="1"/>
                <w:szCs w:val="1"/>
                <w:color w:val="auto"/>
              </w:rPr>
            </w:pPr>
          </w:p>
        </w:tc>
      </w:tr>
      <w:tr>
        <w:trPr>
          <w:trHeight w:val="426"/>
        </w:trPr>
        <w:tc>
          <w:tcPr>
            <w:tcW w:w="4500" w:type="dxa"/>
            <w:vAlign w:val="bottom"/>
            <w:tcBorders>
              <w:bottom w:val="single" w:sz="8" w:color="0000EE"/>
            </w:tcBorders>
            <w:gridSpan w:val="12"/>
          </w:tcPr>
          <w:p>
            <w:pPr>
              <w:spacing w:after="0"/>
              <w:rPr>
                <w:rFonts w:ascii="Arial" w:cs="Arial" w:eastAsia="Arial" w:hAnsi="Arial"/>
                <w:sz w:val="14"/>
                <w:szCs w:val="14"/>
                <w:color w:val="0000EE"/>
                <w:w w:val="89"/>
              </w:rPr>
            </w:pPr>
            <w:hyperlink w:anchor="page71">
              <w:r>
                <w:rPr>
                  <w:rFonts w:ascii="Arial" w:cs="Arial" w:eastAsia="Arial" w:hAnsi="Arial"/>
                  <w:sz w:val="14"/>
                  <w:szCs w:val="14"/>
                  <w:color w:val="0000EE"/>
                  <w:w w:val="89"/>
                </w:rPr>
                <w:t>Consolidated Balance Sheets as of December 29, 2018 and December 30, 2017</w:t>
              </w:r>
            </w:hyperlink>
          </w:p>
        </w:tc>
        <w:tc>
          <w:tcPr>
            <w:tcW w:w="3900" w:type="dxa"/>
            <w:vAlign w:val="bottom"/>
            <w:gridSpan w:val="5"/>
          </w:tcPr>
          <w:p>
            <w:pPr>
              <w:spacing w:after="0"/>
              <w:rPr>
                <w:sz w:val="24"/>
                <w:szCs w:val="24"/>
                <w:color w:val="auto"/>
              </w:rPr>
            </w:pPr>
          </w:p>
        </w:tc>
        <w:tc>
          <w:tcPr>
            <w:tcW w:w="7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8400" w:type="dxa"/>
            <w:vAlign w:val="bottom"/>
            <w:gridSpan w:val="17"/>
          </w:tcPr>
          <w:p>
            <w:pPr>
              <w:spacing w:after="0"/>
              <w:rPr>
                <w:rFonts w:ascii="Arial" w:cs="Arial" w:eastAsia="Arial" w:hAnsi="Arial"/>
                <w:sz w:val="14"/>
                <w:szCs w:val="14"/>
                <w:color w:val="0000EE"/>
                <w:w w:val="91"/>
              </w:rPr>
            </w:pPr>
            <w:hyperlink w:anchor="page72">
              <w:r>
                <w:rPr>
                  <w:rFonts w:ascii="Arial" w:cs="Arial" w:eastAsia="Arial" w:hAnsi="Arial"/>
                  <w:sz w:val="14"/>
                  <w:szCs w:val="14"/>
                  <w:color w:val="0000EE"/>
                  <w:w w:val="91"/>
                </w:rPr>
                <w:t>Consolidated Statements of Earnings and Comprehensive Income for the Years Ended December 29, 2018, December 30, 2017, and December 31,</w:t>
              </w:r>
            </w:hyperlink>
          </w:p>
        </w:tc>
        <w:tc>
          <w:tcPr>
            <w:tcW w:w="700" w:type="dxa"/>
            <w:vAlign w:val="bottom"/>
          </w:tcPr>
          <w:p>
            <w:pPr>
              <w:jc w:val="right"/>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150"/>
        </w:trPr>
        <w:tc>
          <w:tcPr>
            <w:tcW w:w="400" w:type="dxa"/>
            <w:vAlign w:val="bottom"/>
            <w:tcBorders>
              <w:top w:val="single" w:sz="8" w:color="0000EE"/>
            </w:tcBorders>
            <w:gridSpan w:val="2"/>
          </w:tcPr>
          <w:p>
            <w:pPr>
              <w:ind w:left="120"/>
              <w:spacing w:after="0" w:line="150" w:lineRule="exact"/>
              <w:rPr>
                <w:rFonts w:ascii="Arial" w:cs="Arial" w:eastAsia="Arial" w:hAnsi="Arial"/>
                <w:sz w:val="14"/>
                <w:szCs w:val="14"/>
                <w:color w:val="0000EE"/>
                <w:w w:val="83"/>
              </w:rPr>
            </w:pPr>
            <w:hyperlink w:anchor="page72">
              <w:r>
                <w:rPr>
                  <w:rFonts w:ascii="Arial" w:cs="Arial" w:eastAsia="Arial" w:hAnsi="Arial"/>
                  <w:sz w:val="14"/>
                  <w:szCs w:val="14"/>
                  <w:color w:val="0000EE"/>
                  <w:w w:val="83"/>
                </w:rPr>
                <w:t>2016</w:t>
              </w:r>
            </w:hyperlink>
          </w:p>
        </w:tc>
        <w:tc>
          <w:tcPr>
            <w:tcW w:w="600" w:type="dxa"/>
            <w:vAlign w:val="bottom"/>
            <w:tcBorders>
              <w:top w:val="single" w:sz="8" w:color="0000EE"/>
            </w:tcBorders>
          </w:tcPr>
          <w:p>
            <w:pPr>
              <w:spacing w:after="0"/>
              <w:rPr>
                <w:sz w:val="13"/>
                <w:szCs w:val="13"/>
                <w:color w:val="auto"/>
              </w:rPr>
            </w:pPr>
          </w:p>
        </w:tc>
        <w:tc>
          <w:tcPr>
            <w:tcW w:w="360" w:type="dxa"/>
            <w:vAlign w:val="bottom"/>
            <w:tcBorders>
              <w:top w:val="single" w:sz="8" w:color="0000EE"/>
            </w:tcBorders>
          </w:tcPr>
          <w:p>
            <w:pPr>
              <w:spacing w:after="0"/>
              <w:rPr>
                <w:sz w:val="13"/>
                <w:szCs w:val="13"/>
                <w:color w:val="auto"/>
              </w:rPr>
            </w:pPr>
          </w:p>
        </w:tc>
        <w:tc>
          <w:tcPr>
            <w:tcW w:w="40" w:type="dxa"/>
            <w:vAlign w:val="bottom"/>
            <w:tcBorders>
              <w:top w:val="single" w:sz="8" w:color="0000EE"/>
            </w:tcBorders>
          </w:tcPr>
          <w:p>
            <w:pPr>
              <w:spacing w:after="0"/>
              <w:rPr>
                <w:sz w:val="13"/>
                <w:szCs w:val="13"/>
                <w:color w:val="auto"/>
              </w:rPr>
            </w:pPr>
          </w:p>
        </w:tc>
        <w:tc>
          <w:tcPr>
            <w:tcW w:w="80" w:type="dxa"/>
            <w:vAlign w:val="bottom"/>
            <w:tcBorders>
              <w:top w:val="single" w:sz="8" w:color="0000EE"/>
            </w:tcBorders>
          </w:tcPr>
          <w:p>
            <w:pPr>
              <w:spacing w:after="0"/>
              <w:rPr>
                <w:sz w:val="13"/>
                <w:szCs w:val="13"/>
                <w:color w:val="auto"/>
              </w:rPr>
            </w:pPr>
          </w:p>
        </w:tc>
        <w:tc>
          <w:tcPr>
            <w:tcW w:w="400" w:type="dxa"/>
            <w:vAlign w:val="bottom"/>
            <w:tcBorders>
              <w:top w:val="single" w:sz="8" w:color="0000EE"/>
            </w:tcBorders>
          </w:tcPr>
          <w:p>
            <w:pPr>
              <w:spacing w:after="0"/>
              <w:rPr>
                <w:sz w:val="13"/>
                <w:szCs w:val="13"/>
                <w:color w:val="auto"/>
              </w:rPr>
            </w:pPr>
          </w:p>
        </w:tc>
        <w:tc>
          <w:tcPr>
            <w:tcW w:w="60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820" w:type="dxa"/>
            <w:vAlign w:val="bottom"/>
            <w:tcBorders>
              <w:top w:val="single" w:sz="8" w:color="0000EE"/>
            </w:tcBorders>
          </w:tcPr>
          <w:p>
            <w:pPr>
              <w:spacing w:after="0"/>
              <w:rPr>
                <w:sz w:val="13"/>
                <w:szCs w:val="13"/>
                <w:color w:val="auto"/>
              </w:rPr>
            </w:pPr>
          </w:p>
        </w:tc>
        <w:tc>
          <w:tcPr>
            <w:tcW w:w="1000" w:type="dxa"/>
            <w:vAlign w:val="bottom"/>
            <w:tcBorders>
              <w:top w:val="single" w:sz="8" w:color="0000EE"/>
            </w:tcBorders>
          </w:tcPr>
          <w:p>
            <w:pPr>
              <w:spacing w:after="0"/>
              <w:rPr>
                <w:sz w:val="13"/>
                <w:szCs w:val="13"/>
                <w:color w:val="auto"/>
              </w:rPr>
            </w:pPr>
          </w:p>
        </w:tc>
        <w:tc>
          <w:tcPr>
            <w:tcW w:w="180" w:type="dxa"/>
            <w:vAlign w:val="bottom"/>
            <w:tcBorders>
              <w:top w:val="single" w:sz="8" w:color="0000EE"/>
            </w:tcBorders>
          </w:tcPr>
          <w:p>
            <w:pPr>
              <w:spacing w:after="0"/>
              <w:rPr>
                <w:sz w:val="13"/>
                <w:szCs w:val="13"/>
                <w:color w:val="auto"/>
              </w:rPr>
            </w:pPr>
          </w:p>
        </w:tc>
        <w:tc>
          <w:tcPr>
            <w:tcW w:w="580" w:type="dxa"/>
            <w:vAlign w:val="bottom"/>
            <w:tcBorders>
              <w:top w:val="single" w:sz="8" w:color="0000EE"/>
            </w:tcBorders>
          </w:tcPr>
          <w:p>
            <w:pPr>
              <w:spacing w:after="0"/>
              <w:rPr>
                <w:sz w:val="13"/>
                <w:szCs w:val="13"/>
                <w:color w:val="auto"/>
              </w:rPr>
            </w:pPr>
          </w:p>
        </w:tc>
        <w:tc>
          <w:tcPr>
            <w:tcW w:w="2100" w:type="dxa"/>
            <w:vAlign w:val="bottom"/>
            <w:tcBorders>
              <w:top w:val="single" w:sz="8" w:color="0000EE"/>
            </w:tcBorders>
          </w:tcPr>
          <w:p>
            <w:pPr>
              <w:spacing w:after="0"/>
              <w:rPr>
                <w:sz w:val="13"/>
                <w:szCs w:val="13"/>
                <w:color w:val="auto"/>
              </w:rPr>
            </w:pPr>
          </w:p>
        </w:tc>
        <w:tc>
          <w:tcPr>
            <w:tcW w:w="520" w:type="dxa"/>
            <w:vAlign w:val="bottom"/>
            <w:tcBorders>
              <w:top w:val="single" w:sz="8" w:color="0000EE"/>
            </w:tcBorders>
          </w:tcPr>
          <w:p>
            <w:pPr>
              <w:spacing w:after="0"/>
              <w:rPr>
                <w:sz w:val="13"/>
                <w:szCs w:val="13"/>
                <w:color w:val="auto"/>
              </w:rPr>
            </w:pPr>
          </w:p>
        </w:tc>
        <w:tc>
          <w:tcPr>
            <w:tcW w:w="620" w:type="dxa"/>
            <w:vAlign w:val="bottom"/>
            <w:tcBorders>
              <w:top w:val="single" w:sz="8" w:color="0000EE"/>
            </w:tcBorders>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80" w:type="dxa"/>
            <w:vAlign w:val="bottom"/>
            <w:gridSpan w:val="5"/>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30</w:t>
            </w:r>
          </w:p>
        </w:tc>
        <w:tc>
          <w:tcPr>
            <w:tcW w:w="0" w:type="dxa"/>
            <w:vAlign w:val="bottom"/>
          </w:tcPr>
          <w:p>
            <w:pPr>
              <w:spacing w:after="0" w:line="20" w:lineRule="exact"/>
              <w:rPr>
                <w:sz w:val="1"/>
                <w:szCs w:val="1"/>
                <w:color w:val="auto"/>
              </w:rPr>
            </w:pPr>
          </w:p>
        </w:tc>
      </w:tr>
      <w:tr>
        <w:trPr>
          <w:trHeight w:val="426"/>
        </w:trPr>
        <w:tc>
          <w:tcPr>
            <w:tcW w:w="8400" w:type="dxa"/>
            <w:vAlign w:val="bottom"/>
            <w:gridSpan w:val="17"/>
          </w:tcPr>
          <w:p>
            <w:pPr>
              <w:spacing w:after="0"/>
              <w:rPr>
                <w:rFonts w:ascii="Arial" w:cs="Arial" w:eastAsia="Arial" w:hAnsi="Arial"/>
                <w:sz w:val="14"/>
                <w:szCs w:val="14"/>
                <w:color w:val="0000EE"/>
                <w:w w:val="98"/>
              </w:rPr>
            </w:pPr>
            <w:hyperlink w:anchor="page73">
              <w:r>
                <w:rPr>
                  <w:rFonts w:ascii="Arial" w:cs="Arial" w:eastAsia="Arial" w:hAnsi="Arial"/>
                  <w:sz w:val="14"/>
                  <w:szCs w:val="14"/>
                  <w:color w:val="0000EE"/>
                  <w:w w:val="98"/>
                </w:rPr>
                <w:t>Consolidated Statements of Shareholders’ Equity for the Years Ended December 29, 2018, December 30, 2017, and December 31, 2016</w:t>
              </w:r>
            </w:hyperlink>
          </w:p>
        </w:tc>
        <w:tc>
          <w:tcPr>
            <w:tcW w:w="7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7180" w:type="dxa"/>
            <w:vAlign w:val="bottom"/>
            <w:tcBorders>
              <w:top w:val="single" w:sz="8" w:color="0000EE"/>
              <w:bottom w:val="single" w:sz="8" w:color="0000EE"/>
            </w:tcBorders>
            <w:gridSpan w:val="14"/>
          </w:tcPr>
          <w:p>
            <w:pPr>
              <w:spacing w:after="0"/>
              <w:rPr>
                <w:rFonts w:ascii="Arial" w:cs="Arial" w:eastAsia="Arial" w:hAnsi="Arial"/>
                <w:sz w:val="14"/>
                <w:szCs w:val="14"/>
                <w:color w:val="0000EE"/>
                <w:w w:val="90"/>
              </w:rPr>
            </w:pPr>
            <w:hyperlink w:anchor="page74">
              <w:r>
                <w:rPr>
                  <w:rFonts w:ascii="Arial" w:cs="Arial" w:eastAsia="Arial" w:hAnsi="Arial"/>
                  <w:sz w:val="14"/>
                  <w:szCs w:val="14"/>
                  <w:color w:val="0000EE"/>
                  <w:w w:val="90"/>
                </w:rPr>
                <w:t>Consolidated Statements of Cash Flows for the Years Ended December 29, 2018, December 30, 2017, and December 31, 2016</w:t>
              </w:r>
            </w:hyperlink>
          </w:p>
        </w:tc>
        <w:tc>
          <w:tcPr>
            <w:tcW w:w="520" w:type="dxa"/>
            <w:vAlign w:val="bottom"/>
            <w:tcBorders>
              <w:top w:val="single" w:sz="8" w:color="0000EE"/>
            </w:tcBorders>
          </w:tcPr>
          <w:p>
            <w:pPr>
              <w:spacing w:after="0"/>
              <w:rPr>
                <w:sz w:val="24"/>
                <w:szCs w:val="24"/>
                <w:color w:val="auto"/>
              </w:rPr>
            </w:pPr>
          </w:p>
        </w:tc>
        <w:tc>
          <w:tcPr>
            <w:tcW w:w="700" w:type="dxa"/>
            <w:vAlign w:val="bottom"/>
            <w:gridSpan w:val="2"/>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426"/>
        </w:trPr>
        <w:tc>
          <w:tcPr>
            <w:tcW w:w="2500" w:type="dxa"/>
            <w:vAlign w:val="bottom"/>
            <w:tcBorders>
              <w:bottom w:val="single" w:sz="8" w:color="0000EE"/>
            </w:tcBorders>
            <w:gridSpan w:val="9"/>
          </w:tcPr>
          <w:p>
            <w:pPr>
              <w:spacing w:after="0"/>
              <w:rPr>
                <w:rFonts w:ascii="Arial" w:cs="Arial" w:eastAsia="Arial" w:hAnsi="Arial"/>
                <w:sz w:val="14"/>
                <w:szCs w:val="14"/>
                <w:color w:val="0000EE"/>
                <w:w w:val="91"/>
              </w:rPr>
            </w:pPr>
            <w:hyperlink w:anchor="page75">
              <w:r>
                <w:rPr>
                  <w:rFonts w:ascii="Arial" w:cs="Arial" w:eastAsia="Arial" w:hAnsi="Arial"/>
                  <w:sz w:val="14"/>
                  <w:szCs w:val="14"/>
                  <w:color w:val="0000EE"/>
                  <w:w w:val="91"/>
                </w:rPr>
                <w:t>Notes to Consolidated Financial Statements</w:t>
              </w:r>
            </w:hyperlink>
          </w:p>
        </w:tc>
        <w:tc>
          <w:tcPr>
            <w:tcW w:w="5900" w:type="dxa"/>
            <w:vAlign w:val="bottom"/>
            <w:gridSpan w:val="8"/>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32-54</w:t>
            </w:r>
          </w:p>
        </w:tc>
        <w:tc>
          <w:tcPr>
            <w:tcW w:w="0" w:type="dxa"/>
            <w:vAlign w:val="bottom"/>
          </w:tcPr>
          <w:p>
            <w:pPr>
              <w:spacing w:after="0"/>
              <w:rPr>
                <w:sz w:val="1"/>
                <w:szCs w:val="1"/>
                <w:color w:val="auto"/>
              </w:rPr>
            </w:pPr>
          </w:p>
        </w:tc>
      </w:tr>
      <w:tr>
        <w:trPr>
          <w:trHeight w:val="426"/>
        </w:trPr>
        <w:tc>
          <w:tcPr>
            <w:tcW w:w="2480" w:type="dxa"/>
            <w:vAlign w:val="bottom"/>
            <w:tcBorders>
              <w:bottom w:val="single" w:sz="8" w:color="0000EE"/>
            </w:tcBorders>
            <w:gridSpan w:val="8"/>
          </w:tcPr>
          <w:p>
            <w:pPr>
              <w:spacing w:after="0"/>
              <w:rPr>
                <w:rFonts w:ascii="Arial" w:cs="Arial" w:eastAsia="Arial" w:hAnsi="Arial"/>
                <w:sz w:val="14"/>
                <w:szCs w:val="14"/>
                <w:color w:val="0000EE"/>
                <w:w w:val="94"/>
              </w:rPr>
            </w:pPr>
            <w:hyperlink w:anchor="page98">
              <w:r>
                <w:rPr>
                  <w:rFonts w:ascii="Arial" w:cs="Arial" w:eastAsia="Arial" w:hAnsi="Arial"/>
                  <w:sz w:val="14"/>
                  <w:szCs w:val="14"/>
                  <w:color w:val="0000EE"/>
                  <w:w w:val="94"/>
                </w:rPr>
                <w:t>Market Information for our Common Stock</w:t>
              </w:r>
            </w:hyperlink>
          </w:p>
        </w:tc>
        <w:tc>
          <w:tcPr>
            <w:tcW w:w="5920" w:type="dxa"/>
            <w:vAlign w:val="bottom"/>
            <w:gridSpan w:val="9"/>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426"/>
        </w:trPr>
        <w:tc>
          <w:tcPr>
            <w:tcW w:w="1480" w:type="dxa"/>
            <w:vAlign w:val="bottom"/>
            <w:tcBorders>
              <w:bottom w:val="single" w:sz="8" w:color="0000EE"/>
            </w:tcBorders>
            <w:gridSpan w:val="6"/>
          </w:tcPr>
          <w:p>
            <w:pPr>
              <w:spacing w:after="0"/>
              <w:rPr>
                <w:rFonts w:ascii="Arial" w:cs="Arial" w:eastAsia="Arial" w:hAnsi="Arial"/>
                <w:sz w:val="14"/>
                <w:szCs w:val="14"/>
                <w:color w:val="0000EE"/>
                <w:w w:val="90"/>
              </w:rPr>
            </w:pPr>
            <w:hyperlink w:anchor="page99">
              <w:r>
                <w:rPr>
                  <w:rFonts w:ascii="Arial" w:cs="Arial" w:eastAsia="Arial" w:hAnsi="Arial"/>
                  <w:sz w:val="14"/>
                  <w:szCs w:val="14"/>
                  <w:color w:val="0000EE"/>
                  <w:w w:val="90"/>
                </w:rPr>
                <w:t>Stock Performance Graph</w:t>
              </w:r>
            </w:hyperlink>
          </w:p>
        </w:tc>
        <w:tc>
          <w:tcPr>
            <w:tcW w:w="6920" w:type="dxa"/>
            <w:vAlign w:val="bottom"/>
            <w:gridSpan w:val="11"/>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426"/>
        </w:trPr>
        <w:tc>
          <w:tcPr>
            <w:tcW w:w="1880" w:type="dxa"/>
            <w:vAlign w:val="bottom"/>
            <w:tcBorders>
              <w:bottom w:val="single" w:sz="8" w:color="0000EE"/>
            </w:tcBorders>
            <w:gridSpan w:val="7"/>
          </w:tcPr>
          <w:p>
            <w:pPr>
              <w:spacing w:after="0"/>
              <w:rPr>
                <w:rFonts w:ascii="Arial" w:cs="Arial" w:eastAsia="Arial" w:hAnsi="Arial"/>
                <w:sz w:val="14"/>
                <w:szCs w:val="14"/>
                <w:color w:val="0000EE"/>
                <w:w w:val="92"/>
              </w:rPr>
            </w:pPr>
            <w:hyperlink w:anchor="page100">
              <w:r>
                <w:rPr>
                  <w:rFonts w:ascii="Arial" w:cs="Arial" w:eastAsia="Arial" w:hAnsi="Arial"/>
                  <w:sz w:val="14"/>
                  <w:szCs w:val="14"/>
                  <w:color w:val="0000EE"/>
                  <w:w w:val="92"/>
                </w:rPr>
                <w:t>Directors and Executive Officers</w:t>
              </w:r>
            </w:hyperlink>
          </w:p>
        </w:tc>
        <w:tc>
          <w:tcPr>
            <w:tcW w:w="6520" w:type="dxa"/>
            <w:vAlign w:val="bottom"/>
            <w:gridSpan w:val="10"/>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57</w:t>
            </w:r>
          </w:p>
        </w:tc>
        <w:tc>
          <w:tcPr>
            <w:tcW w:w="0" w:type="dxa"/>
            <w:vAlign w:val="bottom"/>
          </w:tcPr>
          <w:p>
            <w:pPr>
              <w:spacing w:after="0"/>
              <w:rPr>
                <w:sz w:val="1"/>
                <w:szCs w:val="1"/>
                <w:color w:val="auto"/>
              </w:rPr>
            </w:pPr>
          </w:p>
        </w:tc>
      </w:tr>
      <w:tr>
        <w:trPr>
          <w:trHeight w:val="426"/>
        </w:trPr>
        <w:tc>
          <w:tcPr>
            <w:tcW w:w="8400" w:type="dxa"/>
            <w:vAlign w:val="bottom"/>
            <w:gridSpan w:val="17"/>
          </w:tcPr>
          <w:p>
            <w:pPr>
              <w:spacing w:after="0"/>
              <w:rPr>
                <w:rFonts w:ascii="Arial" w:cs="Arial" w:eastAsia="Arial" w:hAnsi="Arial"/>
                <w:sz w:val="14"/>
                <w:szCs w:val="14"/>
                <w:color w:val="0000EE"/>
              </w:rPr>
            </w:pPr>
            <w:hyperlink w:anchor="page101">
              <w:r>
                <w:rPr>
                  <w:rFonts w:ascii="Arial" w:cs="Arial" w:eastAsia="Arial" w:hAnsi="Arial"/>
                  <w:sz w:val="14"/>
                  <w:szCs w:val="14"/>
                  <w:color w:val="0000EE"/>
                </w:rPr>
                <w:t>Shareholder Information</w:t>
              </w:r>
            </w:hyperlink>
          </w:p>
        </w:tc>
        <w:tc>
          <w:tcPr>
            <w:tcW w:w="700" w:type="dxa"/>
            <w:vAlign w:val="bottom"/>
          </w:tcPr>
          <w:p>
            <w:pPr>
              <w:jc w:val="right"/>
              <w:spacing w:after="0"/>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1160"/>
        </w:trPr>
        <w:tc>
          <w:tcPr>
            <w:tcW w:w="120" w:type="dxa"/>
            <w:vAlign w:val="bottom"/>
            <w:tcBorders>
              <w:top w:val="single" w:sz="8" w:color="0000EE"/>
              <w:bottom w:val="single" w:sz="8" w:color="auto"/>
            </w:tcBorders>
          </w:tcPr>
          <w:p>
            <w:pPr>
              <w:spacing w:after="0"/>
              <w:rPr>
                <w:sz w:val="24"/>
                <w:szCs w:val="24"/>
                <w:color w:val="auto"/>
              </w:rPr>
            </w:pPr>
          </w:p>
        </w:tc>
        <w:tc>
          <w:tcPr>
            <w:tcW w:w="280" w:type="dxa"/>
            <w:vAlign w:val="bottom"/>
            <w:tcBorders>
              <w:top w:val="single" w:sz="8" w:color="0000EE"/>
              <w:bottom w:val="single" w:sz="8" w:color="auto"/>
            </w:tcBorders>
          </w:tcPr>
          <w:p>
            <w:pPr>
              <w:spacing w:after="0"/>
              <w:rPr>
                <w:sz w:val="24"/>
                <w:szCs w:val="24"/>
                <w:color w:val="auto"/>
              </w:rPr>
            </w:pPr>
          </w:p>
        </w:tc>
        <w:tc>
          <w:tcPr>
            <w:tcW w:w="600" w:type="dxa"/>
            <w:vAlign w:val="bottom"/>
            <w:tcBorders>
              <w:top w:val="single" w:sz="8" w:color="0000EE"/>
              <w:bottom w:val="single" w:sz="8" w:color="auto"/>
            </w:tcBorders>
          </w:tcPr>
          <w:p>
            <w:pPr>
              <w:spacing w:after="0"/>
              <w:rPr>
                <w:sz w:val="24"/>
                <w:szCs w:val="24"/>
                <w:color w:val="auto"/>
              </w:rPr>
            </w:pPr>
          </w:p>
        </w:tc>
        <w:tc>
          <w:tcPr>
            <w:tcW w:w="36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100"/>
          </w:cols>
          <w:pgMar w:left="1400" w:top="117" w:right="1399" w:bottom="1440" w:gutter="0" w:footer="0" w:header="0"/>
        </w:sectPr>
      </w:pPr>
    </w:p>
    <w:bookmarkStart w:id="44" w:name="page45"/>
    <w:bookmarkEnd w:id="44"/>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SELECTED FINANCIAL DATA</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 thousands, except per share and statistics data)</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20" w:type="dxa"/>
            <w:vAlign w:val="bottom"/>
          </w:tcPr>
          <w:p>
            <w:pPr>
              <w:spacing w:after="0"/>
              <w:rPr>
                <w:sz w:val="11"/>
                <w:szCs w:val="11"/>
                <w:color w:val="auto"/>
              </w:rPr>
            </w:pPr>
          </w:p>
        </w:tc>
        <w:tc>
          <w:tcPr>
            <w:tcW w:w="2260" w:type="dxa"/>
            <w:vAlign w:val="bottom"/>
            <w:tcBorders>
              <w:bottom w:val="single" w:sz="8" w:color="CCEEFF"/>
            </w:tcBorders>
          </w:tcPr>
          <w:p>
            <w:pPr>
              <w:spacing w:after="0"/>
              <w:rPr>
                <w:sz w:val="11"/>
                <w:szCs w:val="11"/>
                <w:color w:val="auto"/>
              </w:rPr>
            </w:pPr>
          </w:p>
        </w:tc>
        <w:tc>
          <w:tcPr>
            <w:tcW w:w="2180" w:type="dxa"/>
            <w:vAlign w:val="bottom"/>
            <w:tcBorders>
              <w:bottom w:val="single" w:sz="8" w:color="CCEEFF"/>
            </w:tcBorders>
          </w:tcPr>
          <w:p>
            <w:pPr>
              <w:spacing w:after="0"/>
              <w:rPr>
                <w:sz w:val="11"/>
                <w:szCs w:val="11"/>
                <w:color w:val="auto"/>
              </w:rPr>
            </w:pPr>
          </w:p>
        </w:tc>
        <w:tc>
          <w:tcPr>
            <w:tcW w:w="24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ind w:right="310"/>
              <w:spacing w:after="0"/>
              <w:rPr>
                <w:sz w:val="20"/>
                <w:szCs w:val="20"/>
                <w:color w:val="auto"/>
              </w:rPr>
            </w:pPr>
            <w:r>
              <w:rPr>
                <w:rFonts w:ascii="Arial" w:cs="Arial" w:eastAsia="Arial" w:hAnsi="Arial"/>
                <w:sz w:val="11"/>
                <w:szCs w:val="11"/>
                <w:b w:val="1"/>
                <w:bCs w:val="1"/>
                <w:color w:val="auto"/>
              </w:rPr>
              <w:t>2018</w:t>
            </w:r>
          </w:p>
        </w:tc>
        <w:tc>
          <w:tcPr>
            <w:tcW w:w="1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ind w:right="330"/>
              <w:spacing w:after="0"/>
              <w:rPr>
                <w:sz w:val="20"/>
                <w:szCs w:val="20"/>
                <w:color w:val="auto"/>
              </w:rPr>
            </w:pPr>
            <w:r>
              <w:rPr>
                <w:rFonts w:ascii="Arial" w:cs="Arial" w:eastAsia="Arial" w:hAnsi="Arial"/>
                <w:sz w:val="11"/>
                <w:szCs w:val="11"/>
                <w:b w:val="1"/>
                <w:bCs w:val="1"/>
                <w:color w:val="auto"/>
              </w:rPr>
              <w:t>2017</w:t>
            </w:r>
          </w:p>
        </w:tc>
        <w:tc>
          <w:tcPr>
            <w:tcW w:w="1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ind w:right="290"/>
              <w:spacing w:after="0"/>
              <w:rPr>
                <w:sz w:val="20"/>
                <w:szCs w:val="20"/>
                <w:color w:val="auto"/>
              </w:rPr>
            </w:pPr>
            <w:r>
              <w:rPr>
                <w:rFonts w:ascii="Arial" w:cs="Arial" w:eastAsia="Arial" w:hAnsi="Arial"/>
                <w:sz w:val="11"/>
                <w:szCs w:val="11"/>
                <w:b w:val="1"/>
                <w:bCs w:val="1"/>
                <w:color w:val="auto"/>
              </w:rPr>
              <w:t>2016</w:t>
            </w: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ind w:right="270"/>
              <w:spacing w:after="0"/>
              <w:rPr>
                <w:sz w:val="20"/>
                <w:szCs w:val="20"/>
                <w:color w:val="auto"/>
              </w:rPr>
            </w:pPr>
            <w:r>
              <w:rPr>
                <w:rFonts w:ascii="Arial" w:cs="Arial" w:eastAsia="Arial" w:hAnsi="Arial"/>
                <w:sz w:val="11"/>
                <w:szCs w:val="11"/>
                <w:b w:val="1"/>
                <w:bCs w:val="1"/>
                <w:color w:val="auto"/>
              </w:rPr>
              <w:t>2015</w:t>
            </w:r>
          </w:p>
        </w:tc>
        <w:tc>
          <w:tcPr>
            <w:tcW w:w="1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130"/>
              <w:spacing w:after="0"/>
              <w:rPr>
                <w:sz w:val="20"/>
                <w:szCs w:val="20"/>
                <w:color w:val="auto"/>
              </w:rPr>
            </w:pPr>
            <w:r>
              <w:rPr>
                <w:rFonts w:ascii="Arial" w:cs="Arial" w:eastAsia="Arial" w:hAnsi="Arial"/>
                <w:sz w:val="11"/>
                <w:szCs w:val="11"/>
                <w:b w:val="1"/>
                <w:bCs w:val="1"/>
                <w:color w:val="auto"/>
              </w:rPr>
              <w:t>2014</w:t>
            </w:r>
          </w:p>
        </w:tc>
        <w:tc>
          <w:tcPr>
            <w:tcW w:w="140" w:type="dxa"/>
            <w:vAlign w:val="bottom"/>
            <w:tcBorders>
              <w:bottom w:val="single" w:sz="8" w:color="CCEEFF"/>
            </w:tcBorders>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4440" w:type="dxa"/>
            <w:vAlign w:val="bottom"/>
            <w:gridSpan w:val="2"/>
            <w:shd w:val="clear" w:color="auto" w:fill="CCEEFF"/>
          </w:tcPr>
          <w:p>
            <w:pPr>
              <w:spacing w:after="0" w:line="159" w:lineRule="exact"/>
              <w:rPr>
                <w:sz w:val="20"/>
                <w:szCs w:val="20"/>
                <w:color w:val="auto"/>
              </w:rPr>
            </w:pPr>
            <w:r>
              <w:rPr>
                <w:rFonts w:ascii="Arial" w:cs="Arial" w:eastAsia="Arial" w:hAnsi="Arial"/>
                <w:sz w:val="14"/>
                <w:szCs w:val="14"/>
                <w:b w:val="1"/>
                <w:bCs w:val="1"/>
                <w:color w:val="auto"/>
              </w:rPr>
              <w:t>Consolidated Statement of Earnings Data</w:t>
            </w: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r>
      <w:tr>
        <w:trPr>
          <w:trHeight w:val="170"/>
        </w:trPr>
        <w:tc>
          <w:tcPr>
            <w:tcW w:w="20" w:type="dxa"/>
            <w:vAlign w:val="bottom"/>
          </w:tcPr>
          <w:p>
            <w:pPr>
              <w:spacing w:after="0"/>
              <w:rPr>
                <w:sz w:val="14"/>
                <w:szCs w:val="14"/>
                <w:color w:val="auto"/>
              </w:rPr>
            </w:pPr>
          </w:p>
        </w:tc>
        <w:tc>
          <w:tcPr>
            <w:tcW w:w="4440" w:type="dxa"/>
            <w:vAlign w:val="bottom"/>
            <w:gridSpan w:val="2"/>
          </w:tcPr>
          <w:p>
            <w:pPr>
              <w:spacing w:after="0"/>
              <w:rPr>
                <w:sz w:val="20"/>
                <w:szCs w:val="20"/>
                <w:color w:val="auto"/>
              </w:rPr>
            </w:pPr>
            <w:r>
              <w:rPr>
                <w:rFonts w:ascii="Arial" w:cs="Arial" w:eastAsia="Arial" w:hAnsi="Arial"/>
                <w:sz w:val="14"/>
                <w:szCs w:val="14"/>
                <w:color w:val="auto"/>
              </w:rPr>
              <w:t>Net sales</w:t>
            </w:r>
          </w:p>
        </w:tc>
        <w:tc>
          <w:tcPr>
            <w:tcW w:w="3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10"/>
              <w:spacing w:after="0"/>
              <w:rPr>
                <w:sz w:val="20"/>
                <w:szCs w:val="20"/>
                <w:color w:val="auto"/>
              </w:rPr>
            </w:pPr>
            <w:r>
              <w:rPr>
                <w:rFonts w:ascii="Arial" w:cs="Arial" w:eastAsia="Arial" w:hAnsi="Arial"/>
                <w:sz w:val="14"/>
                <w:szCs w:val="14"/>
                <w:color w:val="auto"/>
                <w:w w:val="89"/>
              </w:rPr>
              <w:t>4,489,180</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30"/>
              <w:spacing w:after="0"/>
              <w:rPr>
                <w:sz w:val="20"/>
                <w:szCs w:val="20"/>
                <w:color w:val="auto"/>
              </w:rPr>
            </w:pPr>
            <w:r>
              <w:rPr>
                <w:rFonts w:ascii="Arial" w:cs="Arial" w:eastAsia="Arial" w:hAnsi="Arial"/>
                <w:sz w:val="14"/>
                <w:szCs w:val="14"/>
                <w:color w:val="auto"/>
                <w:w w:val="89"/>
              </w:rPr>
              <w:t>3,941,182</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30"/>
              <w:spacing w:after="0"/>
              <w:rPr>
                <w:sz w:val="20"/>
                <w:szCs w:val="20"/>
                <w:color w:val="auto"/>
              </w:rPr>
            </w:pPr>
            <w:r>
              <w:rPr>
                <w:rFonts w:ascii="Arial" w:cs="Arial" w:eastAsia="Arial" w:hAnsi="Arial"/>
                <w:sz w:val="14"/>
                <w:szCs w:val="14"/>
                <w:color w:val="auto"/>
                <w:w w:val="89"/>
              </w:rPr>
              <w:t>3,240,493</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30"/>
              <w:spacing w:after="0"/>
              <w:rPr>
                <w:sz w:val="20"/>
                <w:szCs w:val="20"/>
                <w:color w:val="auto"/>
              </w:rPr>
            </w:pPr>
            <w:r>
              <w:rPr>
                <w:rFonts w:ascii="Arial" w:cs="Arial" w:eastAsia="Arial" w:hAnsi="Arial"/>
                <w:sz w:val="14"/>
                <w:szCs w:val="14"/>
                <w:color w:val="auto"/>
                <w:w w:val="89"/>
              </w:rPr>
              <w:t>2,887,071</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w w:val="89"/>
              </w:rPr>
              <w:t>2,660,329</w:t>
            </w:r>
          </w:p>
        </w:tc>
        <w:tc>
          <w:tcPr>
            <w:tcW w:w="140" w:type="dxa"/>
            <w:vAlign w:val="bottom"/>
          </w:tcPr>
          <w:p>
            <w:pPr>
              <w:spacing w:after="0"/>
              <w:rPr>
                <w:sz w:val="14"/>
                <w:szCs w:val="14"/>
                <w:color w:val="auto"/>
              </w:rPr>
            </w:pPr>
          </w:p>
        </w:tc>
      </w:tr>
      <w:tr>
        <w:trPr>
          <w:trHeight w:val="170"/>
        </w:trPr>
        <w:tc>
          <w:tcPr>
            <w:tcW w:w="20" w:type="dxa"/>
            <w:vAlign w:val="bottom"/>
          </w:tcPr>
          <w:p>
            <w:pPr>
              <w:spacing w:after="0"/>
              <w:rPr>
                <w:sz w:val="14"/>
                <w:szCs w:val="14"/>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Gross profit</w:t>
            </w: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592,894</w:t>
            </w: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rPr>
              <w:t>542,826</w:t>
            </w: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rPr>
              <w:t>474,590</w:t>
            </w: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rPr>
              <w:t>399,904</w:t>
            </w: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325,342</w:t>
            </w:r>
          </w:p>
        </w:tc>
        <w:tc>
          <w:tcPr>
            <w:tcW w:w="140" w:type="dxa"/>
            <w:vAlign w:val="bottom"/>
            <w:shd w:val="clear" w:color="auto" w:fill="CCEEFF"/>
          </w:tcPr>
          <w:p>
            <w:pPr>
              <w:spacing w:after="0"/>
              <w:rPr>
                <w:sz w:val="14"/>
                <w:szCs w:val="14"/>
                <w:color w:val="auto"/>
              </w:rPr>
            </w:pPr>
          </w:p>
        </w:tc>
      </w:tr>
      <w:tr>
        <w:trPr>
          <w:trHeight w:val="170"/>
        </w:trPr>
        <w:tc>
          <w:tcPr>
            <w:tcW w:w="20" w:type="dxa"/>
            <w:vAlign w:val="bottom"/>
          </w:tcPr>
          <w:p>
            <w:pPr>
              <w:spacing w:after="0"/>
              <w:rPr>
                <w:sz w:val="14"/>
                <w:szCs w:val="14"/>
                <w:color w:val="auto"/>
              </w:rPr>
            </w:pPr>
          </w:p>
        </w:tc>
        <w:tc>
          <w:tcPr>
            <w:tcW w:w="4440" w:type="dxa"/>
            <w:vAlign w:val="bottom"/>
            <w:gridSpan w:val="2"/>
          </w:tcPr>
          <w:p>
            <w:pPr>
              <w:spacing w:after="0"/>
              <w:rPr>
                <w:sz w:val="20"/>
                <w:szCs w:val="20"/>
                <w:color w:val="auto"/>
              </w:rPr>
            </w:pPr>
            <w:r>
              <w:rPr>
                <w:rFonts w:ascii="Arial" w:cs="Arial" w:eastAsia="Arial" w:hAnsi="Arial"/>
                <w:sz w:val="14"/>
                <w:szCs w:val="14"/>
                <w:color w:val="auto"/>
              </w:rPr>
              <w:t>Earnings before income taxes</w:t>
            </w:r>
            <w:r>
              <w:rPr>
                <w:rFonts w:ascii="Arial" w:cs="Arial" w:eastAsia="Arial" w:hAnsi="Arial"/>
                <w:sz w:val="7"/>
                <w:szCs w:val="7"/>
                <w:color w:val="auto"/>
              </w:rPr>
              <w:t>(6)</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ind w:right="110"/>
              <w:spacing w:after="0"/>
              <w:rPr>
                <w:sz w:val="20"/>
                <w:szCs w:val="20"/>
                <w:color w:val="auto"/>
              </w:rPr>
            </w:pPr>
            <w:r>
              <w:rPr>
                <w:rFonts w:ascii="Arial" w:cs="Arial" w:eastAsia="Arial" w:hAnsi="Arial"/>
                <w:sz w:val="14"/>
                <w:szCs w:val="14"/>
                <w:color w:val="auto"/>
              </w:rPr>
              <w:t>197,853</w:t>
            </w:r>
          </w:p>
        </w:tc>
        <w:tc>
          <w:tcPr>
            <w:tcW w:w="120" w:type="dxa"/>
            <w:vAlign w:val="bottom"/>
          </w:tcPr>
          <w:p>
            <w:pPr>
              <w:spacing w:after="0"/>
              <w:rPr>
                <w:sz w:val="14"/>
                <w:szCs w:val="14"/>
                <w:color w:val="auto"/>
              </w:rPr>
            </w:pPr>
          </w:p>
        </w:tc>
        <w:tc>
          <w:tcPr>
            <w:tcW w:w="780" w:type="dxa"/>
            <w:vAlign w:val="bottom"/>
          </w:tcPr>
          <w:p>
            <w:pPr>
              <w:jc w:val="right"/>
              <w:ind w:right="130"/>
              <w:spacing w:after="0"/>
              <w:rPr>
                <w:sz w:val="20"/>
                <w:szCs w:val="20"/>
                <w:color w:val="auto"/>
              </w:rPr>
            </w:pPr>
            <w:r>
              <w:rPr>
                <w:rFonts w:ascii="Arial" w:cs="Arial" w:eastAsia="Arial" w:hAnsi="Arial"/>
                <w:sz w:val="14"/>
                <w:szCs w:val="14"/>
                <w:color w:val="auto"/>
              </w:rPr>
              <w:t>176,007</w:t>
            </w:r>
          </w:p>
        </w:tc>
        <w:tc>
          <w:tcPr>
            <w:tcW w:w="120" w:type="dxa"/>
            <w:vAlign w:val="bottom"/>
          </w:tcPr>
          <w:p>
            <w:pPr>
              <w:spacing w:after="0"/>
              <w:rPr>
                <w:sz w:val="14"/>
                <w:szCs w:val="14"/>
                <w:color w:val="auto"/>
              </w:rPr>
            </w:pPr>
          </w:p>
        </w:tc>
        <w:tc>
          <w:tcPr>
            <w:tcW w:w="780" w:type="dxa"/>
            <w:vAlign w:val="bottom"/>
          </w:tcPr>
          <w:p>
            <w:pPr>
              <w:jc w:val="right"/>
              <w:ind w:right="130"/>
              <w:spacing w:after="0"/>
              <w:rPr>
                <w:sz w:val="20"/>
                <w:szCs w:val="20"/>
                <w:color w:val="auto"/>
              </w:rPr>
            </w:pPr>
            <w:r>
              <w:rPr>
                <w:rFonts w:ascii="Arial" w:cs="Arial" w:eastAsia="Arial" w:hAnsi="Arial"/>
                <w:sz w:val="14"/>
                <w:szCs w:val="14"/>
                <w:color w:val="auto"/>
              </w:rPr>
              <w:t>160,671</w:t>
            </w:r>
          </w:p>
        </w:tc>
        <w:tc>
          <w:tcPr>
            <w:tcW w:w="100" w:type="dxa"/>
            <w:vAlign w:val="bottom"/>
          </w:tcPr>
          <w:p>
            <w:pPr>
              <w:spacing w:after="0"/>
              <w:rPr>
                <w:sz w:val="14"/>
                <w:szCs w:val="14"/>
                <w:color w:val="auto"/>
              </w:rPr>
            </w:pPr>
          </w:p>
        </w:tc>
        <w:tc>
          <w:tcPr>
            <w:tcW w:w="780" w:type="dxa"/>
            <w:vAlign w:val="bottom"/>
          </w:tcPr>
          <w:p>
            <w:pPr>
              <w:jc w:val="right"/>
              <w:ind w:right="130"/>
              <w:spacing w:after="0"/>
              <w:rPr>
                <w:sz w:val="20"/>
                <w:szCs w:val="20"/>
                <w:color w:val="auto"/>
              </w:rPr>
            </w:pPr>
            <w:r>
              <w:rPr>
                <w:rFonts w:ascii="Arial" w:cs="Arial" w:eastAsia="Arial" w:hAnsi="Arial"/>
                <w:sz w:val="14"/>
                <w:szCs w:val="14"/>
                <w:color w:val="auto"/>
              </w:rPr>
              <w:t>131,002</w:t>
            </w: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95,713</w:t>
            </w:r>
          </w:p>
        </w:tc>
        <w:tc>
          <w:tcPr>
            <w:tcW w:w="140" w:type="dxa"/>
            <w:vAlign w:val="bottom"/>
          </w:tcPr>
          <w:p>
            <w:pPr>
              <w:spacing w:after="0"/>
              <w:rPr>
                <w:sz w:val="14"/>
                <w:szCs w:val="14"/>
                <w:color w:val="auto"/>
              </w:rPr>
            </w:pPr>
          </w:p>
        </w:tc>
      </w:tr>
      <w:tr>
        <w:trPr>
          <w:trHeight w:val="170"/>
        </w:trPr>
        <w:tc>
          <w:tcPr>
            <w:tcW w:w="20" w:type="dxa"/>
            <w:vAlign w:val="bottom"/>
          </w:tcPr>
          <w:p>
            <w:pPr>
              <w:spacing w:after="0"/>
              <w:rPr>
                <w:sz w:val="14"/>
                <w:szCs w:val="14"/>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Net earnings attributable to controlling interest</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148,598</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rPr>
              <w:t>119,512</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rPr>
              <w:t>101,179</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rPr>
              <w:t>80,595</w:t>
            </w: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57,551</w:t>
            </w:r>
          </w:p>
        </w:tc>
        <w:tc>
          <w:tcPr>
            <w:tcW w:w="140" w:type="dxa"/>
            <w:vAlign w:val="bottom"/>
            <w:shd w:val="clear" w:color="auto" w:fill="CCEEFF"/>
          </w:tcPr>
          <w:p>
            <w:pPr>
              <w:spacing w:after="0"/>
              <w:rPr>
                <w:sz w:val="14"/>
                <w:szCs w:val="14"/>
                <w:color w:val="auto"/>
              </w:rPr>
            </w:pPr>
          </w:p>
        </w:tc>
      </w:tr>
      <w:tr>
        <w:trPr>
          <w:trHeight w:val="170"/>
        </w:trPr>
        <w:tc>
          <w:tcPr>
            <w:tcW w:w="20" w:type="dxa"/>
            <w:vAlign w:val="bottom"/>
          </w:tcPr>
          <w:p>
            <w:pPr>
              <w:spacing w:after="0"/>
              <w:rPr>
                <w:sz w:val="14"/>
                <w:szCs w:val="14"/>
                <w:color w:val="auto"/>
              </w:rPr>
            </w:pPr>
          </w:p>
        </w:tc>
        <w:tc>
          <w:tcPr>
            <w:tcW w:w="4440" w:type="dxa"/>
            <w:vAlign w:val="bottom"/>
            <w:gridSpan w:val="2"/>
          </w:tcPr>
          <w:p>
            <w:pPr>
              <w:spacing w:after="0"/>
              <w:rPr>
                <w:sz w:val="20"/>
                <w:szCs w:val="20"/>
                <w:color w:val="auto"/>
              </w:rPr>
            </w:pPr>
            <w:r>
              <w:rPr>
                <w:rFonts w:ascii="Arial" w:cs="Arial" w:eastAsia="Arial" w:hAnsi="Arial"/>
                <w:sz w:val="14"/>
                <w:szCs w:val="14"/>
                <w:color w:val="auto"/>
              </w:rPr>
              <w:t>Diluted earnings per share</w:t>
            </w:r>
          </w:p>
        </w:tc>
        <w:tc>
          <w:tcPr>
            <w:tcW w:w="3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10"/>
              <w:spacing w:after="0"/>
              <w:rPr>
                <w:sz w:val="20"/>
                <w:szCs w:val="20"/>
                <w:color w:val="auto"/>
              </w:rPr>
            </w:pPr>
            <w:r>
              <w:rPr>
                <w:rFonts w:ascii="Arial" w:cs="Arial" w:eastAsia="Arial" w:hAnsi="Arial"/>
                <w:sz w:val="14"/>
                <w:szCs w:val="14"/>
                <w:color w:val="auto"/>
              </w:rPr>
              <w:t>2.40</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30"/>
              <w:spacing w:after="0"/>
              <w:rPr>
                <w:sz w:val="20"/>
                <w:szCs w:val="20"/>
                <w:color w:val="auto"/>
              </w:rPr>
            </w:pPr>
            <w:r>
              <w:rPr>
                <w:rFonts w:ascii="Arial" w:cs="Arial" w:eastAsia="Arial" w:hAnsi="Arial"/>
                <w:sz w:val="14"/>
                <w:szCs w:val="14"/>
                <w:color w:val="auto"/>
              </w:rPr>
              <w:t>1.94</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30"/>
              <w:spacing w:after="0"/>
              <w:rPr>
                <w:sz w:val="20"/>
                <w:szCs w:val="20"/>
                <w:color w:val="auto"/>
              </w:rPr>
            </w:pPr>
            <w:r>
              <w:rPr>
                <w:rFonts w:ascii="Arial" w:cs="Arial" w:eastAsia="Arial" w:hAnsi="Arial"/>
                <w:sz w:val="14"/>
                <w:szCs w:val="14"/>
                <w:color w:val="auto"/>
              </w:rPr>
              <w:t>1.65</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30"/>
              <w:spacing w:after="0"/>
              <w:rPr>
                <w:sz w:val="20"/>
                <w:szCs w:val="20"/>
                <w:color w:val="auto"/>
              </w:rPr>
            </w:pPr>
            <w:r>
              <w:rPr>
                <w:rFonts w:ascii="Arial" w:cs="Arial" w:eastAsia="Arial" w:hAnsi="Arial"/>
                <w:sz w:val="14"/>
                <w:szCs w:val="14"/>
                <w:color w:val="auto"/>
              </w:rPr>
              <w:t>1.33</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0.95</w:t>
            </w:r>
          </w:p>
        </w:tc>
        <w:tc>
          <w:tcPr>
            <w:tcW w:w="140" w:type="dxa"/>
            <w:vAlign w:val="bottom"/>
          </w:tcPr>
          <w:p>
            <w:pPr>
              <w:spacing w:after="0"/>
              <w:rPr>
                <w:sz w:val="14"/>
                <w:szCs w:val="14"/>
                <w:color w:val="auto"/>
              </w:rPr>
            </w:pPr>
          </w:p>
        </w:tc>
      </w:tr>
      <w:tr>
        <w:trPr>
          <w:trHeight w:val="170"/>
        </w:trPr>
        <w:tc>
          <w:tcPr>
            <w:tcW w:w="20" w:type="dxa"/>
            <w:vAlign w:val="bottom"/>
          </w:tcPr>
          <w:p>
            <w:pPr>
              <w:spacing w:after="0"/>
              <w:rPr>
                <w:sz w:val="14"/>
                <w:szCs w:val="14"/>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Dividends per share</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0.360</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rPr>
              <w:t>0.320</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rPr>
              <w:t>0.290</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rPr>
              <w:t>0.273</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0.203</w:t>
            </w:r>
          </w:p>
        </w:tc>
        <w:tc>
          <w:tcPr>
            <w:tcW w:w="140" w:type="dxa"/>
            <w:vAlign w:val="bottom"/>
            <w:shd w:val="clear" w:color="auto" w:fill="CCEEFF"/>
          </w:tcPr>
          <w:p>
            <w:pPr>
              <w:spacing w:after="0"/>
              <w:rPr>
                <w:sz w:val="14"/>
                <w:szCs w:val="14"/>
                <w:color w:val="auto"/>
              </w:rPr>
            </w:pPr>
          </w:p>
        </w:tc>
      </w:tr>
      <w:tr>
        <w:trPr>
          <w:trHeight w:val="170"/>
        </w:trPr>
        <w:tc>
          <w:tcPr>
            <w:tcW w:w="20" w:type="dxa"/>
            <w:vAlign w:val="bottom"/>
          </w:tcPr>
          <w:p>
            <w:pPr>
              <w:spacing w:after="0"/>
              <w:rPr>
                <w:sz w:val="14"/>
                <w:szCs w:val="14"/>
                <w:color w:val="auto"/>
              </w:rPr>
            </w:pPr>
          </w:p>
        </w:tc>
        <w:tc>
          <w:tcPr>
            <w:tcW w:w="4440" w:type="dxa"/>
            <w:vAlign w:val="bottom"/>
            <w:gridSpan w:val="2"/>
          </w:tcPr>
          <w:p>
            <w:pPr>
              <w:spacing w:after="0"/>
              <w:rPr>
                <w:sz w:val="20"/>
                <w:szCs w:val="20"/>
                <w:color w:val="auto"/>
              </w:rPr>
            </w:pPr>
            <w:r>
              <w:rPr>
                <w:rFonts w:ascii="Arial" w:cs="Arial" w:eastAsia="Arial" w:hAnsi="Arial"/>
                <w:sz w:val="14"/>
                <w:szCs w:val="14"/>
                <w:b w:val="1"/>
                <w:bCs w:val="1"/>
                <w:color w:val="auto"/>
              </w:rPr>
              <w:t>Consolidated Balance Sheet Data</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70"/>
        </w:trPr>
        <w:tc>
          <w:tcPr>
            <w:tcW w:w="20" w:type="dxa"/>
            <w:vAlign w:val="bottom"/>
          </w:tcPr>
          <w:p>
            <w:pPr>
              <w:spacing w:after="0"/>
              <w:rPr>
                <w:sz w:val="14"/>
                <w:szCs w:val="14"/>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Working capital</w:t>
            </w:r>
            <w:r>
              <w:rPr>
                <w:rFonts w:ascii="Arial" w:cs="Arial" w:eastAsia="Arial" w:hAnsi="Arial"/>
                <w:sz w:val="7"/>
                <w:szCs w:val="7"/>
                <w:color w:val="auto"/>
              </w:rPr>
              <w:t>(1)</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685,108</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rPr>
              <w:t>560,241</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rPr>
              <w:t>484,661</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rPr>
              <w:t>444,057</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397,546</w:t>
            </w:r>
          </w:p>
        </w:tc>
        <w:tc>
          <w:tcPr>
            <w:tcW w:w="140" w:type="dxa"/>
            <w:vAlign w:val="bottom"/>
            <w:shd w:val="clear" w:color="auto" w:fill="CCEEFF"/>
          </w:tcPr>
          <w:p>
            <w:pPr>
              <w:spacing w:after="0"/>
              <w:rPr>
                <w:sz w:val="14"/>
                <w:szCs w:val="14"/>
                <w:color w:val="auto"/>
              </w:rPr>
            </w:pPr>
          </w:p>
        </w:tc>
      </w:tr>
      <w:tr>
        <w:trPr>
          <w:trHeight w:val="170"/>
        </w:trPr>
        <w:tc>
          <w:tcPr>
            <w:tcW w:w="20" w:type="dxa"/>
            <w:vAlign w:val="bottom"/>
          </w:tcPr>
          <w:p>
            <w:pPr>
              <w:spacing w:after="0"/>
              <w:rPr>
                <w:sz w:val="14"/>
                <w:szCs w:val="14"/>
                <w:color w:val="auto"/>
              </w:rPr>
            </w:pPr>
          </w:p>
        </w:tc>
        <w:tc>
          <w:tcPr>
            <w:tcW w:w="4440" w:type="dxa"/>
            <w:vAlign w:val="bottom"/>
            <w:gridSpan w:val="2"/>
          </w:tcPr>
          <w:p>
            <w:pPr>
              <w:spacing w:after="0"/>
              <w:rPr>
                <w:sz w:val="20"/>
                <w:szCs w:val="20"/>
                <w:color w:val="auto"/>
              </w:rPr>
            </w:pPr>
            <w:r>
              <w:rPr>
                <w:rFonts w:ascii="Arial" w:cs="Arial" w:eastAsia="Arial" w:hAnsi="Arial"/>
                <w:sz w:val="14"/>
                <w:szCs w:val="14"/>
                <w:color w:val="auto"/>
              </w:rPr>
              <w:t>Total assets</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ind w:right="110"/>
              <w:spacing w:after="0"/>
              <w:rPr>
                <w:sz w:val="20"/>
                <w:szCs w:val="20"/>
                <w:color w:val="auto"/>
              </w:rPr>
            </w:pPr>
            <w:r>
              <w:rPr>
                <w:rFonts w:ascii="Arial" w:cs="Arial" w:eastAsia="Arial" w:hAnsi="Arial"/>
                <w:sz w:val="14"/>
                <w:szCs w:val="14"/>
                <w:color w:val="auto"/>
                <w:w w:val="89"/>
              </w:rPr>
              <w:t>1,647,548</w:t>
            </w:r>
          </w:p>
        </w:tc>
        <w:tc>
          <w:tcPr>
            <w:tcW w:w="120" w:type="dxa"/>
            <w:vAlign w:val="bottom"/>
          </w:tcPr>
          <w:p>
            <w:pPr>
              <w:spacing w:after="0"/>
              <w:rPr>
                <w:sz w:val="14"/>
                <w:szCs w:val="14"/>
                <w:color w:val="auto"/>
              </w:rPr>
            </w:pPr>
          </w:p>
        </w:tc>
        <w:tc>
          <w:tcPr>
            <w:tcW w:w="780" w:type="dxa"/>
            <w:vAlign w:val="bottom"/>
          </w:tcPr>
          <w:p>
            <w:pPr>
              <w:jc w:val="right"/>
              <w:ind w:right="130"/>
              <w:spacing w:after="0"/>
              <w:rPr>
                <w:sz w:val="20"/>
                <w:szCs w:val="20"/>
                <w:color w:val="auto"/>
              </w:rPr>
            </w:pPr>
            <w:r>
              <w:rPr>
                <w:rFonts w:ascii="Arial" w:cs="Arial" w:eastAsia="Arial" w:hAnsi="Arial"/>
                <w:sz w:val="14"/>
                <w:szCs w:val="14"/>
                <w:color w:val="auto"/>
                <w:w w:val="89"/>
              </w:rPr>
              <w:t>1,464,677</w:t>
            </w:r>
          </w:p>
        </w:tc>
        <w:tc>
          <w:tcPr>
            <w:tcW w:w="120" w:type="dxa"/>
            <w:vAlign w:val="bottom"/>
          </w:tcPr>
          <w:p>
            <w:pPr>
              <w:spacing w:after="0"/>
              <w:rPr>
                <w:sz w:val="14"/>
                <w:szCs w:val="14"/>
                <w:color w:val="auto"/>
              </w:rPr>
            </w:pPr>
          </w:p>
        </w:tc>
        <w:tc>
          <w:tcPr>
            <w:tcW w:w="780" w:type="dxa"/>
            <w:vAlign w:val="bottom"/>
          </w:tcPr>
          <w:p>
            <w:pPr>
              <w:jc w:val="right"/>
              <w:ind w:right="130"/>
              <w:spacing w:after="0"/>
              <w:rPr>
                <w:sz w:val="20"/>
                <w:szCs w:val="20"/>
                <w:color w:val="auto"/>
              </w:rPr>
            </w:pPr>
            <w:r>
              <w:rPr>
                <w:rFonts w:ascii="Arial" w:cs="Arial" w:eastAsia="Arial" w:hAnsi="Arial"/>
                <w:sz w:val="14"/>
                <w:szCs w:val="14"/>
                <w:color w:val="auto"/>
                <w:w w:val="89"/>
              </w:rPr>
              <w:t>1,292,058</w:t>
            </w:r>
          </w:p>
        </w:tc>
        <w:tc>
          <w:tcPr>
            <w:tcW w:w="100" w:type="dxa"/>
            <w:vAlign w:val="bottom"/>
          </w:tcPr>
          <w:p>
            <w:pPr>
              <w:spacing w:after="0"/>
              <w:rPr>
                <w:sz w:val="14"/>
                <w:szCs w:val="14"/>
                <w:color w:val="auto"/>
              </w:rPr>
            </w:pPr>
          </w:p>
        </w:tc>
        <w:tc>
          <w:tcPr>
            <w:tcW w:w="780" w:type="dxa"/>
            <w:vAlign w:val="bottom"/>
          </w:tcPr>
          <w:p>
            <w:pPr>
              <w:jc w:val="right"/>
              <w:ind w:right="130"/>
              <w:spacing w:after="0"/>
              <w:rPr>
                <w:sz w:val="20"/>
                <w:szCs w:val="20"/>
                <w:color w:val="auto"/>
              </w:rPr>
            </w:pPr>
            <w:r>
              <w:rPr>
                <w:rFonts w:ascii="Arial" w:cs="Arial" w:eastAsia="Arial" w:hAnsi="Arial"/>
                <w:sz w:val="14"/>
                <w:szCs w:val="14"/>
                <w:color w:val="auto"/>
                <w:w w:val="89"/>
              </w:rPr>
              <w:t>1,107,679</w:t>
            </w: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w w:val="89"/>
              </w:rPr>
              <w:t>1,023,800</w:t>
            </w:r>
          </w:p>
        </w:tc>
        <w:tc>
          <w:tcPr>
            <w:tcW w:w="140" w:type="dxa"/>
            <w:vAlign w:val="bottom"/>
          </w:tcPr>
          <w:p>
            <w:pPr>
              <w:spacing w:after="0"/>
              <w:rPr>
                <w:sz w:val="14"/>
                <w:szCs w:val="14"/>
                <w:color w:val="auto"/>
              </w:rPr>
            </w:pPr>
          </w:p>
        </w:tc>
      </w:tr>
      <w:tr>
        <w:trPr>
          <w:trHeight w:val="170"/>
        </w:trPr>
        <w:tc>
          <w:tcPr>
            <w:tcW w:w="20" w:type="dxa"/>
            <w:vAlign w:val="bottom"/>
          </w:tcPr>
          <w:p>
            <w:pPr>
              <w:spacing w:after="0"/>
              <w:rPr>
                <w:sz w:val="14"/>
                <w:szCs w:val="14"/>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Total debt</w:t>
            </w: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202,278</w:t>
            </w: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rPr>
              <w:t>146,003</w:t>
            </w: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rPr>
              <w:t>111,693</w:t>
            </w: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rPr>
              <w:t>85,895</w:t>
            </w: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98,645</w:t>
            </w:r>
          </w:p>
        </w:tc>
        <w:tc>
          <w:tcPr>
            <w:tcW w:w="140" w:type="dxa"/>
            <w:vAlign w:val="bottom"/>
            <w:shd w:val="clear" w:color="auto" w:fill="CCEEFF"/>
          </w:tcPr>
          <w:p>
            <w:pPr>
              <w:spacing w:after="0"/>
              <w:rPr>
                <w:sz w:val="14"/>
                <w:szCs w:val="14"/>
                <w:color w:val="auto"/>
              </w:rPr>
            </w:pPr>
          </w:p>
        </w:tc>
      </w:tr>
      <w:tr>
        <w:trPr>
          <w:trHeight w:val="170"/>
        </w:trPr>
        <w:tc>
          <w:tcPr>
            <w:tcW w:w="20" w:type="dxa"/>
            <w:vAlign w:val="bottom"/>
          </w:tcPr>
          <w:p>
            <w:pPr>
              <w:spacing w:after="0"/>
              <w:rPr>
                <w:sz w:val="14"/>
                <w:szCs w:val="14"/>
                <w:color w:val="auto"/>
              </w:rPr>
            </w:pPr>
          </w:p>
        </w:tc>
        <w:tc>
          <w:tcPr>
            <w:tcW w:w="4440" w:type="dxa"/>
            <w:vAlign w:val="bottom"/>
            <w:gridSpan w:val="2"/>
          </w:tcPr>
          <w:p>
            <w:pPr>
              <w:spacing w:after="0"/>
              <w:rPr>
                <w:sz w:val="20"/>
                <w:szCs w:val="20"/>
                <w:color w:val="auto"/>
              </w:rPr>
            </w:pPr>
            <w:r>
              <w:rPr>
                <w:rFonts w:ascii="Arial" w:cs="Arial" w:eastAsia="Arial" w:hAnsi="Arial"/>
                <w:sz w:val="14"/>
                <w:szCs w:val="14"/>
                <w:color w:val="auto"/>
              </w:rPr>
              <w:t>Shareholders’ equity</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ind w:right="110"/>
              <w:spacing w:after="0"/>
              <w:rPr>
                <w:sz w:val="20"/>
                <w:szCs w:val="20"/>
                <w:color w:val="auto"/>
              </w:rPr>
            </w:pPr>
            <w:r>
              <w:rPr>
                <w:rFonts w:ascii="Arial" w:cs="Arial" w:eastAsia="Arial" w:hAnsi="Arial"/>
                <w:sz w:val="14"/>
                <w:szCs w:val="14"/>
                <w:color w:val="auto"/>
                <w:w w:val="89"/>
              </w:rPr>
              <w:t>1,088,684</w:t>
            </w:r>
          </w:p>
        </w:tc>
        <w:tc>
          <w:tcPr>
            <w:tcW w:w="120" w:type="dxa"/>
            <w:vAlign w:val="bottom"/>
          </w:tcPr>
          <w:p>
            <w:pPr>
              <w:spacing w:after="0"/>
              <w:rPr>
                <w:sz w:val="14"/>
                <w:szCs w:val="14"/>
                <w:color w:val="auto"/>
              </w:rPr>
            </w:pPr>
          </w:p>
        </w:tc>
        <w:tc>
          <w:tcPr>
            <w:tcW w:w="780" w:type="dxa"/>
            <w:vAlign w:val="bottom"/>
          </w:tcPr>
          <w:p>
            <w:pPr>
              <w:jc w:val="right"/>
              <w:ind w:right="130"/>
              <w:spacing w:after="0"/>
              <w:rPr>
                <w:sz w:val="20"/>
                <w:szCs w:val="20"/>
                <w:color w:val="auto"/>
              </w:rPr>
            </w:pPr>
            <w:r>
              <w:rPr>
                <w:rFonts w:ascii="Arial" w:cs="Arial" w:eastAsia="Arial" w:hAnsi="Arial"/>
                <w:sz w:val="14"/>
                <w:szCs w:val="14"/>
                <w:color w:val="auto"/>
              </w:rPr>
              <w:t>974,023</w:t>
            </w:r>
          </w:p>
        </w:tc>
        <w:tc>
          <w:tcPr>
            <w:tcW w:w="120" w:type="dxa"/>
            <w:vAlign w:val="bottom"/>
          </w:tcPr>
          <w:p>
            <w:pPr>
              <w:spacing w:after="0"/>
              <w:rPr>
                <w:sz w:val="14"/>
                <w:szCs w:val="14"/>
                <w:color w:val="auto"/>
              </w:rPr>
            </w:pPr>
          </w:p>
        </w:tc>
        <w:tc>
          <w:tcPr>
            <w:tcW w:w="780" w:type="dxa"/>
            <w:vAlign w:val="bottom"/>
          </w:tcPr>
          <w:p>
            <w:pPr>
              <w:jc w:val="right"/>
              <w:ind w:right="130"/>
              <w:spacing w:after="0"/>
              <w:rPr>
                <w:sz w:val="20"/>
                <w:szCs w:val="20"/>
                <w:color w:val="auto"/>
              </w:rPr>
            </w:pPr>
            <w:r>
              <w:rPr>
                <w:rFonts w:ascii="Arial" w:cs="Arial" w:eastAsia="Arial" w:hAnsi="Arial"/>
                <w:sz w:val="14"/>
                <w:szCs w:val="14"/>
                <w:color w:val="auto"/>
              </w:rPr>
              <w:t>860,466</w:t>
            </w:r>
          </w:p>
        </w:tc>
        <w:tc>
          <w:tcPr>
            <w:tcW w:w="100" w:type="dxa"/>
            <w:vAlign w:val="bottom"/>
          </w:tcPr>
          <w:p>
            <w:pPr>
              <w:spacing w:after="0"/>
              <w:rPr>
                <w:sz w:val="14"/>
                <w:szCs w:val="14"/>
                <w:color w:val="auto"/>
              </w:rPr>
            </w:pPr>
          </w:p>
        </w:tc>
        <w:tc>
          <w:tcPr>
            <w:tcW w:w="780" w:type="dxa"/>
            <w:vAlign w:val="bottom"/>
          </w:tcPr>
          <w:p>
            <w:pPr>
              <w:jc w:val="right"/>
              <w:ind w:right="130"/>
              <w:spacing w:after="0"/>
              <w:rPr>
                <w:sz w:val="20"/>
                <w:szCs w:val="20"/>
                <w:color w:val="auto"/>
              </w:rPr>
            </w:pPr>
            <w:r>
              <w:rPr>
                <w:rFonts w:ascii="Arial" w:cs="Arial" w:eastAsia="Arial" w:hAnsi="Arial"/>
                <w:sz w:val="14"/>
                <w:szCs w:val="14"/>
                <w:color w:val="auto"/>
              </w:rPr>
              <w:t>766,409</w:t>
            </w: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699,560</w:t>
            </w:r>
          </w:p>
        </w:tc>
        <w:tc>
          <w:tcPr>
            <w:tcW w:w="140" w:type="dxa"/>
            <w:vAlign w:val="bottom"/>
          </w:tcPr>
          <w:p>
            <w:pPr>
              <w:spacing w:after="0"/>
              <w:rPr>
                <w:sz w:val="14"/>
                <w:szCs w:val="14"/>
                <w:color w:val="auto"/>
              </w:rPr>
            </w:pPr>
          </w:p>
        </w:tc>
      </w:tr>
      <w:tr>
        <w:trPr>
          <w:trHeight w:val="170"/>
        </w:trPr>
        <w:tc>
          <w:tcPr>
            <w:tcW w:w="20" w:type="dxa"/>
            <w:vAlign w:val="bottom"/>
          </w:tcPr>
          <w:p>
            <w:pPr>
              <w:spacing w:after="0"/>
              <w:rPr>
                <w:sz w:val="14"/>
                <w:szCs w:val="14"/>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Statistics</w:t>
            </w: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r>
      <w:tr>
        <w:trPr>
          <w:trHeight w:val="170"/>
        </w:trPr>
        <w:tc>
          <w:tcPr>
            <w:tcW w:w="20" w:type="dxa"/>
            <w:vAlign w:val="bottom"/>
          </w:tcPr>
          <w:p>
            <w:pPr>
              <w:spacing w:after="0"/>
              <w:rPr>
                <w:sz w:val="14"/>
                <w:szCs w:val="14"/>
                <w:color w:val="auto"/>
              </w:rPr>
            </w:pPr>
          </w:p>
        </w:tc>
        <w:tc>
          <w:tcPr>
            <w:tcW w:w="4440" w:type="dxa"/>
            <w:vAlign w:val="bottom"/>
            <w:gridSpan w:val="2"/>
          </w:tcPr>
          <w:p>
            <w:pPr>
              <w:spacing w:after="0"/>
              <w:rPr>
                <w:sz w:val="20"/>
                <w:szCs w:val="20"/>
                <w:color w:val="auto"/>
              </w:rPr>
            </w:pPr>
            <w:r>
              <w:rPr>
                <w:rFonts w:ascii="Arial" w:cs="Arial" w:eastAsia="Arial" w:hAnsi="Arial"/>
                <w:sz w:val="14"/>
                <w:szCs w:val="14"/>
                <w:color w:val="auto"/>
              </w:rPr>
              <w:t>Gross profit as a percentage of net sales</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13.2 %</w:t>
            </w: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13.8 %</w:t>
            </w: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14.6 %</w:t>
            </w: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13.9 %</w:t>
            </w:r>
          </w:p>
        </w:tc>
        <w:tc>
          <w:tcPr>
            <w:tcW w:w="120" w:type="dxa"/>
            <w:vAlign w:val="bottom"/>
          </w:tcPr>
          <w:p>
            <w:pPr>
              <w:spacing w:after="0"/>
              <w:rPr>
                <w:sz w:val="14"/>
                <w:szCs w:val="14"/>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4"/>
                <w:szCs w:val="14"/>
                <w:color w:val="auto"/>
              </w:rPr>
              <w:t>12.2 %</w:t>
            </w:r>
          </w:p>
        </w:tc>
      </w:tr>
      <w:tr>
        <w:trPr>
          <w:trHeight w:val="170"/>
        </w:trPr>
        <w:tc>
          <w:tcPr>
            <w:tcW w:w="20" w:type="dxa"/>
            <w:vAlign w:val="bottom"/>
          </w:tcPr>
          <w:p>
            <w:pPr>
              <w:spacing w:after="0"/>
              <w:rPr>
                <w:sz w:val="14"/>
                <w:szCs w:val="14"/>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4"/>
                <w:szCs w:val="14"/>
                <w:color w:val="auto"/>
                <w:w w:val="94"/>
              </w:rPr>
              <w:t>Net earnings attributable to controlling interest as a percentage of net sales</w:t>
            </w: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3.3 %</w:t>
            </w: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3.0 %</w:t>
            </w: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3.1 %</w:t>
            </w: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2.8 %</w:t>
            </w:r>
          </w:p>
        </w:tc>
        <w:tc>
          <w:tcPr>
            <w:tcW w:w="1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2.2 %</w:t>
            </w:r>
          </w:p>
        </w:tc>
      </w:tr>
      <w:tr>
        <w:trPr>
          <w:trHeight w:val="170"/>
        </w:trPr>
        <w:tc>
          <w:tcPr>
            <w:tcW w:w="20" w:type="dxa"/>
            <w:vAlign w:val="bottom"/>
          </w:tcPr>
          <w:p>
            <w:pPr>
              <w:spacing w:after="0"/>
              <w:rPr>
                <w:sz w:val="14"/>
                <w:szCs w:val="14"/>
                <w:color w:val="auto"/>
              </w:rPr>
            </w:pPr>
          </w:p>
        </w:tc>
        <w:tc>
          <w:tcPr>
            <w:tcW w:w="4440" w:type="dxa"/>
            <w:vAlign w:val="bottom"/>
            <w:gridSpan w:val="2"/>
          </w:tcPr>
          <w:p>
            <w:pPr>
              <w:spacing w:after="0"/>
              <w:rPr>
                <w:sz w:val="20"/>
                <w:szCs w:val="20"/>
                <w:color w:val="auto"/>
              </w:rPr>
            </w:pPr>
            <w:r>
              <w:rPr>
                <w:rFonts w:ascii="Arial" w:cs="Arial" w:eastAsia="Arial" w:hAnsi="Arial"/>
                <w:sz w:val="14"/>
                <w:szCs w:val="14"/>
                <w:color w:val="auto"/>
              </w:rPr>
              <w:t>Return on beginning equity</w:t>
            </w:r>
            <w:r>
              <w:rPr>
                <w:rFonts w:ascii="Arial" w:cs="Arial" w:eastAsia="Arial" w:hAnsi="Arial"/>
                <w:sz w:val="7"/>
                <w:szCs w:val="7"/>
                <w:color w:val="auto"/>
              </w:rPr>
              <w:t>(2)</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15.3 %</w:t>
            </w: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13.9 %</w:t>
            </w: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13.2 %</w:t>
            </w: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11.5 %</w:t>
            </w:r>
          </w:p>
        </w:tc>
        <w:tc>
          <w:tcPr>
            <w:tcW w:w="120" w:type="dxa"/>
            <w:vAlign w:val="bottom"/>
          </w:tcPr>
          <w:p>
            <w:pPr>
              <w:spacing w:after="0"/>
              <w:rPr>
                <w:sz w:val="14"/>
                <w:szCs w:val="14"/>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4"/>
                <w:szCs w:val="14"/>
                <w:color w:val="auto"/>
              </w:rPr>
              <w:t>8.8 %</w:t>
            </w:r>
          </w:p>
        </w:tc>
      </w:tr>
      <w:tr>
        <w:trPr>
          <w:trHeight w:val="170"/>
        </w:trPr>
        <w:tc>
          <w:tcPr>
            <w:tcW w:w="20" w:type="dxa"/>
            <w:vAlign w:val="bottom"/>
          </w:tcPr>
          <w:p>
            <w:pPr>
              <w:spacing w:after="0"/>
              <w:rPr>
                <w:sz w:val="14"/>
                <w:szCs w:val="14"/>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Current ratio</w:t>
            </w:r>
            <w:r>
              <w:rPr>
                <w:rFonts w:ascii="Arial" w:cs="Arial" w:eastAsia="Arial" w:hAnsi="Arial"/>
                <w:sz w:val="7"/>
                <w:szCs w:val="7"/>
                <w:color w:val="auto"/>
              </w:rPr>
              <w:t>(4)</w:t>
            </w: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3.21</w:t>
            </w: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rPr>
              <w:t>2.85</w:t>
            </w: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rPr>
              <w:t>2.78</w:t>
            </w: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rPr>
              <w:t>3.17</w:t>
            </w: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3.27</w:t>
            </w:r>
          </w:p>
        </w:tc>
        <w:tc>
          <w:tcPr>
            <w:tcW w:w="140" w:type="dxa"/>
            <w:vAlign w:val="bottom"/>
            <w:shd w:val="clear" w:color="auto" w:fill="CCEEFF"/>
          </w:tcPr>
          <w:p>
            <w:pPr>
              <w:spacing w:after="0"/>
              <w:rPr>
                <w:sz w:val="14"/>
                <w:szCs w:val="14"/>
                <w:color w:val="auto"/>
              </w:rPr>
            </w:pPr>
          </w:p>
        </w:tc>
      </w:tr>
      <w:tr>
        <w:trPr>
          <w:trHeight w:val="170"/>
        </w:trPr>
        <w:tc>
          <w:tcPr>
            <w:tcW w:w="20" w:type="dxa"/>
            <w:vAlign w:val="bottom"/>
          </w:tcPr>
          <w:p>
            <w:pPr>
              <w:spacing w:after="0"/>
              <w:rPr>
                <w:sz w:val="14"/>
                <w:szCs w:val="14"/>
                <w:color w:val="auto"/>
              </w:rPr>
            </w:pPr>
          </w:p>
        </w:tc>
        <w:tc>
          <w:tcPr>
            <w:tcW w:w="4440" w:type="dxa"/>
            <w:vAlign w:val="bottom"/>
            <w:gridSpan w:val="2"/>
          </w:tcPr>
          <w:p>
            <w:pPr>
              <w:spacing w:after="0"/>
              <w:rPr>
                <w:sz w:val="20"/>
                <w:szCs w:val="20"/>
                <w:color w:val="auto"/>
              </w:rPr>
            </w:pPr>
            <w:r>
              <w:rPr>
                <w:rFonts w:ascii="Arial" w:cs="Arial" w:eastAsia="Arial" w:hAnsi="Arial"/>
                <w:sz w:val="14"/>
                <w:szCs w:val="14"/>
                <w:color w:val="auto"/>
              </w:rPr>
              <w:t>Debt to equity ratio</w:t>
            </w:r>
            <w:r>
              <w:rPr>
                <w:rFonts w:ascii="Arial" w:cs="Arial" w:eastAsia="Arial" w:hAnsi="Arial"/>
                <w:sz w:val="7"/>
                <w:szCs w:val="7"/>
                <w:color w:val="auto"/>
              </w:rPr>
              <w:t>(5)</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ind w:right="110"/>
              <w:spacing w:after="0"/>
              <w:rPr>
                <w:sz w:val="20"/>
                <w:szCs w:val="20"/>
                <w:color w:val="auto"/>
              </w:rPr>
            </w:pPr>
            <w:r>
              <w:rPr>
                <w:rFonts w:ascii="Arial" w:cs="Arial" w:eastAsia="Arial" w:hAnsi="Arial"/>
                <w:sz w:val="14"/>
                <w:szCs w:val="14"/>
                <w:color w:val="auto"/>
              </w:rPr>
              <w:t>0.19</w:t>
            </w:r>
          </w:p>
        </w:tc>
        <w:tc>
          <w:tcPr>
            <w:tcW w:w="120" w:type="dxa"/>
            <w:vAlign w:val="bottom"/>
          </w:tcPr>
          <w:p>
            <w:pPr>
              <w:spacing w:after="0"/>
              <w:rPr>
                <w:sz w:val="14"/>
                <w:szCs w:val="14"/>
                <w:color w:val="auto"/>
              </w:rPr>
            </w:pPr>
          </w:p>
        </w:tc>
        <w:tc>
          <w:tcPr>
            <w:tcW w:w="780" w:type="dxa"/>
            <w:vAlign w:val="bottom"/>
          </w:tcPr>
          <w:p>
            <w:pPr>
              <w:jc w:val="right"/>
              <w:ind w:right="130"/>
              <w:spacing w:after="0"/>
              <w:rPr>
                <w:sz w:val="20"/>
                <w:szCs w:val="20"/>
                <w:color w:val="auto"/>
              </w:rPr>
            </w:pPr>
            <w:r>
              <w:rPr>
                <w:rFonts w:ascii="Arial" w:cs="Arial" w:eastAsia="Arial" w:hAnsi="Arial"/>
                <w:sz w:val="14"/>
                <w:szCs w:val="14"/>
                <w:color w:val="auto"/>
              </w:rPr>
              <w:t>0.15</w:t>
            </w:r>
          </w:p>
        </w:tc>
        <w:tc>
          <w:tcPr>
            <w:tcW w:w="120" w:type="dxa"/>
            <w:vAlign w:val="bottom"/>
          </w:tcPr>
          <w:p>
            <w:pPr>
              <w:spacing w:after="0"/>
              <w:rPr>
                <w:sz w:val="14"/>
                <w:szCs w:val="14"/>
                <w:color w:val="auto"/>
              </w:rPr>
            </w:pPr>
          </w:p>
        </w:tc>
        <w:tc>
          <w:tcPr>
            <w:tcW w:w="780" w:type="dxa"/>
            <w:vAlign w:val="bottom"/>
          </w:tcPr>
          <w:p>
            <w:pPr>
              <w:jc w:val="right"/>
              <w:ind w:right="130"/>
              <w:spacing w:after="0"/>
              <w:rPr>
                <w:sz w:val="20"/>
                <w:szCs w:val="20"/>
                <w:color w:val="auto"/>
              </w:rPr>
            </w:pPr>
            <w:r>
              <w:rPr>
                <w:rFonts w:ascii="Arial" w:cs="Arial" w:eastAsia="Arial" w:hAnsi="Arial"/>
                <w:sz w:val="14"/>
                <w:szCs w:val="14"/>
                <w:color w:val="auto"/>
              </w:rPr>
              <w:t>0.13</w:t>
            </w:r>
          </w:p>
        </w:tc>
        <w:tc>
          <w:tcPr>
            <w:tcW w:w="100" w:type="dxa"/>
            <w:vAlign w:val="bottom"/>
          </w:tcPr>
          <w:p>
            <w:pPr>
              <w:spacing w:after="0"/>
              <w:rPr>
                <w:sz w:val="14"/>
                <w:szCs w:val="14"/>
                <w:color w:val="auto"/>
              </w:rPr>
            </w:pPr>
          </w:p>
        </w:tc>
        <w:tc>
          <w:tcPr>
            <w:tcW w:w="780" w:type="dxa"/>
            <w:vAlign w:val="bottom"/>
          </w:tcPr>
          <w:p>
            <w:pPr>
              <w:jc w:val="right"/>
              <w:ind w:right="130"/>
              <w:spacing w:after="0"/>
              <w:rPr>
                <w:sz w:val="20"/>
                <w:szCs w:val="20"/>
                <w:color w:val="auto"/>
              </w:rPr>
            </w:pPr>
            <w:r>
              <w:rPr>
                <w:rFonts w:ascii="Arial" w:cs="Arial" w:eastAsia="Arial" w:hAnsi="Arial"/>
                <w:sz w:val="14"/>
                <w:szCs w:val="14"/>
                <w:color w:val="auto"/>
              </w:rPr>
              <w:t>0.11</w:t>
            </w: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0.14</w:t>
            </w:r>
          </w:p>
        </w:tc>
        <w:tc>
          <w:tcPr>
            <w:tcW w:w="140" w:type="dxa"/>
            <w:vAlign w:val="bottom"/>
          </w:tcPr>
          <w:p>
            <w:pPr>
              <w:spacing w:after="0"/>
              <w:rPr>
                <w:sz w:val="14"/>
                <w:szCs w:val="14"/>
                <w:color w:val="auto"/>
              </w:rPr>
            </w:pPr>
          </w:p>
        </w:tc>
      </w:tr>
      <w:tr>
        <w:trPr>
          <w:trHeight w:val="170"/>
        </w:trPr>
        <w:tc>
          <w:tcPr>
            <w:tcW w:w="20" w:type="dxa"/>
            <w:vAlign w:val="bottom"/>
          </w:tcPr>
          <w:p>
            <w:pPr>
              <w:spacing w:after="0"/>
              <w:rPr>
                <w:sz w:val="14"/>
                <w:szCs w:val="14"/>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Book value per common share</w:t>
            </w:r>
            <w:r>
              <w:rPr>
                <w:rFonts w:ascii="Arial" w:cs="Arial" w:eastAsia="Arial" w:hAnsi="Arial"/>
                <w:sz w:val="7"/>
                <w:szCs w:val="7"/>
                <w:color w:val="auto"/>
              </w:rPr>
              <w:t>(3)</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17.88</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rPr>
              <w:t>15.92</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rPr>
              <w:t>14.10</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rPr>
              <w:t>12.68</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11.67</w:t>
            </w:r>
          </w:p>
        </w:tc>
        <w:tc>
          <w:tcPr>
            <w:tcW w:w="140" w:type="dxa"/>
            <w:vAlign w:val="bottom"/>
            <w:shd w:val="clear" w:color="auto" w:fill="CCEEFF"/>
          </w:tcPr>
          <w:p>
            <w:pPr>
              <w:spacing w:after="0"/>
              <w:rPr>
                <w:sz w:val="14"/>
                <w:szCs w:val="14"/>
                <w:color w:val="auto"/>
              </w:rPr>
            </w:pPr>
          </w:p>
        </w:tc>
      </w:tr>
      <w:tr>
        <w:trPr>
          <w:trHeight w:val="85"/>
        </w:trPr>
        <w:tc>
          <w:tcPr>
            <w:tcW w:w="20" w:type="dxa"/>
            <w:vAlign w:val="bottom"/>
            <w:tcBorders>
              <w:bottom w:val="single" w:sz="8" w:color="auto"/>
            </w:tcBorders>
          </w:tcPr>
          <w:p>
            <w:pPr>
              <w:spacing w:after="0"/>
              <w:rPr>
                <w:sz w:val="7"/>
                <w:szCs w:val="7"/>
                <w:color w:val="auto"/>
              </w:rPr>
            </w:pPr>
          </w:p>
        </w:tc>
        <w:tc>
          <w:tcPr>
            <w:tcW w:w="2260" w:type="dxa"/>
            <w:vAlign w:val="bottom"/>
            <w:tcBorders>
              <w:bottom w:val="single" w:sz="8" w:color="auto"/>
            </w:tcBorders>
          </w:tcPr>
          <w:p>
            <w:pPr>
              <w:spacing w:after="0"/>
              <w:rPr>
                <w:sz w:val="7"/>
                <w:szCs w:val="7"/>
                <w:color w:val="auto"/>
              </w:rPr>
            </w:pPr>
          </w:p>
        </w:tc>
        <w:tc>
          <w:tcPr>
            <w:tcW w:w="218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r>
    </w:tbl>
    <w:p>
      <w:pPr>
        <w:spacing w:after="0" w:line="74" w:lineRule="exact"/>
        <w:rPr>
          <w:sz w:val="20"/>
          <w:szCs w:val="20"/>
          <w:color w:val="auto"/>
        </w:rPr>
      </w:pPr>
    </w:p>
    <w:p>
      <w:pPr>
        <w:ind w:left="300" w:hanging="296"/>
        <w:spacing w:after="0"/>
        <w:tabs>
          <w:tab w:leader="none" w:pos="300" w:val="left"/>
        </w:tabs>
        <w:numPr>
          <w:ilvl w:val="0"/>
          <w:numId w:val="19"/>
        </w:numPr>
        <w:rPr>
          <w:rFonts w:ascii="Arial" w:cs="Arial" w:eastAsia="Arial" w:hAnsi="Arial"/>
          <w:sz w:val="14"/>
          <w:szCs w:val="14"/>
          <w:color w:val="auto"/>
        </w:rPr>
      </w:pPr>
      <w:r>
        <w:rPr>
          <w:rFonts w:ascii="Arial" w:cs="Arial" w:eastAsia="Arial" w:hAnsi="Arial"/>
          <w:sz w:val="14"/>
          <w:szCs w:val="14"/>
          <w:color w:val="auto"/>
        </w:rPr>
        <w:t>Current assets less current liabilities.</w:t>
      </w:r>
    </w:p>
    <w:p>
      <w:pPr>
        <w:spacing w:after="0" w:line="19" w:lineRule="exact"/>
        <w:rPr>
          <w:rFonts w:ascii="Arial" w:cs="Arial" w:eastAsia="Arial" w:hAnsi="Arial"/>
          <w:sz w:val="14"/>
          <w:szCs w:val="14"/>
          <w:color w:val="auto"/>
        </w:rPr>
      </w:pPr>
    </w:p>
    <w:p>
      <w:pPr>
        <w:ind w:left="300" w:hanging="296"/>
        <w:spacing w:after="0"/>
        <w:tabs>
          <w:tab w:leader="none" w:pos="300" w:val="left"/>
        </w:tabs>
        <w:numPr>
          <w:ilvl w:val="0"/>
          <w:numId w:val="19"/>
        </w:numPr>
        <w:rPr>
          <w:rFonts w:ascii="Arial" w:cs="Arial" w:eastAsia="Arial" w:hAnsi="Arial"/>
          <w:sz w:val="14"/>
          <w:szCs w:val="14"/>
          <w:color w:val="auto"/>
        </w:rPr>
      </w:pPr>
      <w:r>
        <w:rPr>
          <w:rFonts w:ascii="Arial" w:cs="Arial" w:eastAsia="Arial" w:hAnsi="Arial"/>
          <w:sz w:val="14"/>
          <w:szCs w:val="14"/>
          <w:color w:val="auto"/>
        </w:rPr>
        <w:t>Net earnings attributable to controlling interest divided by beginning shareholders’ equity.</w:t>
      </w:r>
    </w:p>
    <w:p>
      <w:pPr>
        <w:spacing w:after="0" w:line="8" w:lineRule="exact"/>
        <w:rPr>
          <w:rFonts w:ascii="Arial" w:cs="Arial" w:eastAsia="Arial" w:hAnsi="Arial"/>
          <w:sz w:val="14"/>
          <w:szCs w:val="14"/>
          <w:color w:val="auto"/>
        </w:rPr>
      </w:pPr>
    </w:p>
    <w:p>
      <w:pPr>
        <w:ind w:left="300" w:hanging="296"/>
        <w:spacing w:after="0"/>
        <w:tabs>
          <w:tab w:leader="none" w:pos="300" w:val="left"/>
        </w:tabs>
        <w:numPr>
          <w:ilvl w:val="0"/>
          <w:numId w:val="19"/>
        </w:numPr>
        <w:rPr>
          <w:rFonts w:ascii="Arial" w:cs="Arial" w:eastAsia="Arial" w:hAnsi="Arial"/>
          <w:sz w:val="14"/>
          <w:szCs w:val="14"/>
          <w:color w:val="auto"/>
        </w:rPr>
      </w:pPr>
      <w:r>
        <w:rPr>
          <w:rFonts w:ascii="Arial" w:cs="Arial" w:eastAsia="Arial" w:hAnsi="Arial"/>
          <w:sz w:val="14"/>
          <w:szCs w:val="14"/>
          <w:color w:val="auto"/>
        </w:rPr>
        <w:t>Shareholders’ equity divided by common stock outstanding.</w:t>
      </w:r>
    </w:p>
    <w:p>
      <w:pPr>
        <w:spacing w:after="0" w:line="8" w:lineRule="exact"/>
        <w:rPr>
          <w:rFonts w:ascii="Arial" w:cs="Arial" w:eastAsia="Arial" w:hAnsi="Arial"/>
          <w:sz w:val="14"/>
          <w:szCs w:val="14"/>
          <w:color w:val="auto"/>
        </w:rPr>
      </w:pPr>
    </w:p>
    <w:p>
      <w:pPr>
        <w:ind w:left="300" w:hanging="296"/>
        <w:spacing w:after="0"/>
        <w:tabs>
          <w:tab w:leader="none" w:pos="300" w:val="left"/>
        </w:tabs>
        <w:numPr>
          <w:ilvl w:val="0"/>
          <w:numId w:val="19"/>
        </w:numPr>
        <w:rPr>
          <w:rFonts w:ascii="Arial" w:cs="Arial" w:eastAsia="Arial" w:hAnsi="Arial"/>
          <w:sz w:val="14"/>
          <w:szCs w:val="14"/>
          <w:color w:val="auto"/>
        </w:rPr>
      </w:pPr>
      <w:r>
        <w:rPr>
          <w:rFonts w:ascii="Arial" w:cs="Arial" w:eastAsia="Arial" w:hAnsi="Arial"/>
          <w:sz w:val="14"/>
          <w:szCs w:val="14"/>
          <w:color w:val="auto"/>
        </w:rPr>
        <w:t>Current assets divided by current liabilities.</w:t>
      </w:r>
    </w:p>
    <w:p>
      <w:pPr>
        <w:spacing w:after="0" w:line="8" w:lineRule="exact"/>
        <w:rPr>
          <w:rFonts w:ascii="Arial" w:cs="Arial" w:eastAsia="Arial" w:hAnsi="Arial"/>
          <w:sz w:val="14"/>
          <w:szCs w:val="14"/>
          <w:color w:val="auto"/>
        </w:rPr>
      </w:pPr>
    </w:p>
    <w:p>
      <w:pPr>
        <w:ind w:left="300" w:hanging="296"/>
        <w:spacing w:after="0"/>
        <w:tabs>
          <w:tab w:leader="none" w:pos="30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Total debt divided by shareholders’ equity.</w:t>
      </w:r>
    </w:p>
    <w:p>
      <w:pPr>
        <w:spacing w:after="0" w:line="8" w:lineRule="exact"/>
        <w:rPr>
          <w:rFonts w:ascii="Arial" w:cs="Arial" w:eastAsia="Arial" w:hAnsi="Arial"/>
          <w:sz w:val="14"/>
          <w:szCs w:val="14"/>
          <w:color w:val="auto"/>
        </w:rPr>
      </w:pPr>
    </w:p>
    <w:p>
      <w:pPr>
        <w:ind w:left="240" w:hanging="236"/>
        <w:spacing w:after="0"/>
        <w:tabs>
          <w:tab w:leader="none" w:pos="2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2018 includes an approximately $7 million gain on the sale of one of our facilities.</w:t>
      </w:r>
    </w:p>
    <w:p>
      <w:pPr>
        <w:spacing w:after="0" w:line="169" w:lineRule="exact"/>
        <w:rPr>
          <w:sz w:val="20"/>
          <w:szCs w:val="20"/>
          <w:color w:val="auto"/>
        </w:rPr>
      </w:pPr>
    </w:p>
    <w:p>
      <w:pPr>
        <w:ind w:right="100"/>
        <w:spacing w:after="0" w:line="281" w:lineRule="auto"/>
        <w:rPr>
          <w:sz w:val="20"/>
          <w:szCs w:val="20"/>
          <w:color w:val="auto"/>
        </w:rPr>
      </w:pPr>
      <w:r>
        <w:rPr>
          <w:rFonts w:ascii="Arial" w:cs="Arial" w:eastAsia="Arial" w:hAnsi="Arial"/>
          <w:sz w:val="14"/>
          <w:szCs w:val="14"/>
          <w:color w:val="auto"/>
        </w:rPr>
        <w:t>Acquisition growth is one of the primary contributing factors to material increases over the period from 2014 to 2018. Refer to Note C under the “Notes to the Consolidated Financial Statements” for further discussion on the Company’s business combinations and impact on financials.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66675</wp:posOffset>
            </wp:positionV>
            <wp:extent cx="5779135" cy="203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1">
                      <a:extLst>
                        <a:ext uri="{28A0092B-C50C-407E-A947-70E740481C1C}"/>
                      </a:extLst>
                    </a:blip>
                    <a:srcRect/>
                    <a:stretch>
                      <a:fillRect/>
                    </a:stretch>
                  </pic:blipFill>
                  <pic:spPr bwMode="auto">
                    <a:xfrm>
                      <a:off x="0" y="0"/>
                      <a:ext cx="5779135" cy="20320"/>
                    </a:xfrm>
                    <a:prstGeom prst="rect">
                      <a:avLst/>
                    </a:prstGeom>
                    <a:noFill/>
                  </pic:spPr>
                </pic:pic>
              </a:graphicData>
            </a:graphic>
          </wp:anchor>
        </w:drawing>
      </w:r>
    </w:p>
    <w:p>
      <w:pPr>
        <w:sectPr>
          <w:pgSz w:w="11900" w:h="16838" w:orient="portrait"/>
          <w:cols w:equalWidth="0" w:num="1">
            <w:col w:w="9100"/>
          </w:cols>
          <w:pgMar w:left="1400" w:top="129" w:right="1399" w:bottom="1440" w:gutter="0" w:footer="0" w:header="0"/>
        </w:sectPr>
      </w:pPr>
    </w:p>
    <w:bookmarkStart w:id="45" w:name="page46"/>
    <w:bookmarkEnd w:id="45"/>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UNIVERSAL FOREST PRODUCTS,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MANAGEMENT’S DISCUSSION AND ANALYSIS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FINANCIAL CONDITION AND RESULTS OF OPERATIONS</w:t>
      </w:r>
    </w:p>
    <w:p>
      <w:pPr>
        <w:spacing w:after="0" w:line="169"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Universal Forest Products, Inc. is a holding company with subsidiaries throughout North America, Europe, Asia, and in Australia that supply wood, wood composite and other products to three robust markets: retail, industrial, and construction. The Company is headquartered in Grand Rapids, Mich. For more information about Universal Forest Products, Inc., or its affiliated operations, go to www.ufpi.com.</w:t>
      </w:r>
    </w:p>
    <w:p>
      <w:pPr>
        <w:spacing w:after="0" w:line="142" w:lineRule="exact"/>
        <w:rPr>
          <w:sz w:val="20"/>
          <w:szCs w:val="20"/>
          <w:color w:val="auto"/>
        </w:rPr>
      </w:pPr>
    </w:p>
    <w:p>
      <w:pPr>
        <w:jc w:val="both"/>
        <w:spacing w:after="0" w:line="171" w:lineRule="exact"/>
        <w:rPr>
          <w:sz w:val="20"/>
          <w:szCs w:val="20"/>
          <w:color w:val="auto"/>
        </w:rPr>
      </w:pPr>
      <w:r>
        <w:rPr>
          <w:rFonts w:ascii="Arial" w:cs="Arial" w:eastAsia="Arial" w:hAnsi="Arial"/>
          <w:sz w:val="14"/>
          <w:szCs w:val="14"/>
          <w:color w:val="auto"/>
        </w:rPr>
        <w:t>This report contains forward-looking statements within the meaning of Section 21E of the Securities Exchange Act, as amended, that are based on management’s beliefs, assumptions, current expectations, estimates and projections about the markets we serve, the economy and the Company itself. Words like “anticipates,” “believes,” “confident,” “estimates,” “expects,” “forecasts,” “likely,” “plans,” “projects,” “should,” variations of such words, and similar expressions identify such forward-looking statements. These statements do not guarantee future performance and involve certain risks, uncertainties and assumptions that are difficult to predict with regard to timing, extent, likelihood and degree of occurrence. The Company does not undertake to update forward-looking statements to reflect facts, circumstances, events, or assumptions that occur after the date the forward-looking statements are made. Actual results could differ materially from those included in such forward-looking statements. Investors are cautioned that all forward-looking statements involve risks and uncertainty. Among the factors that could cause actual results to differ materially from forward-looking statements are the following: fluctuations in the price of lumber; adverse or unusual weather conditions; adverse economic conditions in the markets we serve; government regulations, particularly involving environmental and safety regulations; and our ability to make successful business acquisitions. Certain of these risk factors as well as other risk factors and additional information are included in the Company’s reports on Form 10</w:t>
      </w:r>
      <w:r>
        <w:rPr>
          <w:rFonts w:ascii="MS PGothic" w:cs="MS PGothic" w:eastAsia="MS PGothic" w:hAnsi="MS PGothic"/>
          <w:sz w:val="14"/>
          <w:szCs w:val="14"/>
          <w:color w:val="auto"/>
        </w:rPr>
        <w:t>‑</w:t>
      </w:r>
      <w:r>
        <w:rPr>
          <w:rFonts w:ascii="Arial" w:cs="Arial" w:eastAsia="Arial" w:hAnsi="Arial"/>
          <w:sz w:val="14"/>
          <w:szCs w:val="14"/>
          <w:color w:val="auto"/>
        </w:rPr>
        <w:t>K and 10</w:t>
      </w:r>
      <w:r>
        <w:rPr>
          <w:rFonts w:ascii="MS PGothic" w:cs="MS PGothic" w:eastAsia="MS PGothic" w:hAnsi="MS PGothic"/>
          <w:sz w:val="14"/>
          <w:szCs w:val="14"/>
          <w:color w:val="auto"/>
        </w:rPr>
        <w:t>‑</w:t>
      </w:r>
      <w:r>
        <w:rPr>
          <w:rFonts w:ascii="Arial" w:cs="Arial" w:eastAsia="Arial" w:hAnsi="Arial"/>
          <w:sz w:val="14"/>
          <w:szCs w:val="14"/>
          <w:color w:val="auto"/>
        </w:rPr>
        <w:t>Q on file with the Securities and Exchange Commission. We are pleased to present this overview of 2018.</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OVERVIEW</w:t>
      </w:r>
    </w:p>
    <w:p>
      <w:pPr>
        <w:spacing w:after="0" w:line="183" w:lineRule="exact"/>
        <w:rPr>
          <w:sz w:val="20"/>
          <w:szCs w:val="20"/>
          <w:color w:val="auto"/>
        </w:rPr>
      </w:pPr>
    </w:p>
    <w:p>
      <w:pPr>
        <w:spacing w:after="0"/>
        <w:rPr>
          <w:sz w:val="20"/>
          <w:szCs w:val="20"/>
          <w:color w:val="auto"/>
        </w:rPr>
      </w:pPr>
      <w:r>
        <w:rPr>
          <w:rFonts w:ascii="Arial" w:cs="Arial" w:eastAsia="Arial" w:hAnsi="Arial"/>
          <w:sz w:val="14"/>
          <w:szCs w:val="14"/>
          <w:color w:val="auto"/>
        </w:rPr>
        <w:t>Our results for 2018 were impacted by the following:</w:t>
      </w:r>
    </w:p>
    <w:p>
      <w:pPr>
        <w:spacing w:after="0" w:line="179" w:lineRule="exact"/>
        <w:rPr>
          <w:sz w:val="20"/>
          <w:szCs w:val="20"/>
          <w:color w:val="auto"/>
        </w:rPr>
      </w:pPr>
    </w:p>
    <w:p>
      <w:pPr>
        <w:jc w:val="both"/>
        <w:ind w:left="520" w:hanging="261"/>
        <w:spacing w:after="0" w:line="262" w:lineRule="auto"/>
        <w:tabs>
          <w:tab w:leader="none" w:pos="5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Our sales increased almost 14% in 2018 due to a 7% increase in our unit sales and a 7% increase in overall selling prices (see “Historical Lumber Prices”). Our unit sales increased in all three of our markets - retail, industrial, and construction - and were driven by a combination of acquisition and organic growth. Overall, businesses we acquired contributed 3% to our unit sales growth in 2018 (see Note C of the Notes to Consolidated Financial Statements) and we achieved 4% organic unit sales growth.</w:t>
      </w:r>
    </w:p>
    <w:p>
      <w:pPr>
        <w:spacing w:after="0" w:line="146" w:lineRule="exact"/>
        <w:rPr>
          <w:rFonts w:ascii="Arial" w:cs="Arial" w:eastAsia="Arial" w:hAnsi="Arial"/>
          <w:sz w:val="14"/>
          <w:szCs w:val="14"/>
          <w:color w:val="auto"/>
        </w:rPr>
      </w:pPr>
    </w:p>
    <w:p>
      <w:pPr>
        <w:ind w:left="520" w:hanging="261"/>
        <w:spacing w:after="0" w:line="281" w:lineRule="auto"/>
        <w:tabs>
          <w:tab w:leader="none" w:pos="5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Home Improvement Research Institute reported a 5% increase in home improvement sales in 2018. Comparatively, our unit sales to the retail market increased 4% in 2018, including approximately 2% contributed from acquired businesses.</w:t>
      </w:r>
    </w:p>
    <w:p>
      <w:pPr>
        <w:spacing w:after="0" w:line="132" w:lineRule="exact"/>
        <w:rPr>
          <w:rFonts w:ascii="Arial" w:cs="Arial" w:eastAsia="Arial" w:hAnsi="Arial"/>
          <w:sz w:val="14"/>
          <w:szCs w:val="14"/>
          <w:color w:val="auto"/>
        </w:rPr>
      </w:pPr>
    </w:p>
    <w:p>
      <w:pPr>
        <w:ind w:left="520" w:right="20" w:hanging="261"/>
        <w:spacing w:after="0" w:line="281" w:lineRule="auto"/>
        <w:tabs>
          <w:tab w:leader="none" w:pos="5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 xml:space="preserve">Our unit sales to the industrial market increased 10% in 2018. Businesses we acquired contributed 5% to unit sales growth. Comparatively, the </w:t>
      </w:r>
      <w:r>
        <w:rPr>
          <w:rFonts w:ascii="Arial" w:cs="Arial" w:eastAsia="Arial" w:hAnsi="Arial"/>
          <w:sz w:val="14"/>
          <w:szCs w:val="14"/>
          <w:i w:val="1"/>
          <w:iCs w:val="1"/>
          <w:color w:val="auto"/>
        </w:rPr>
        <w:t>Federal</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Reserve’s Industrial Production </w:t>
      </w:r>
      <w:r>
        <w:rPr>
          <w:rFonts w:ascii="Arial" w:cs="Arial" w:eastAsia="Arial" w:hAnsi="Arial"/>
          <w:sz w:val="14"/>
          <w:szCs w:val="14"/>
          <w:color w:val="auto"/>
        </w:rPr>
        <w:t>noted that national industrial production increased almost 4% in 2018.</w:t>
      </w:r>
    </w:p>
    <w:p>
      <w:pPr>
        <w:spacing w:after="0" w:line="132" w:lineRule="exact"/>
        <w:rPr>
          <w:rFonts w:ascii="Arial" w:cs="Arial" w:eastAsia="Arial" w:hAnsi="Arial"/>
          <w:sz w:val="14"/>
          <w:szCs w:val="14"/>
          <w:color w:val="auto"/>
        </w:rPr>
      </w:pPr>
    </w:p>
    <w:p>
      <w:pPr>
        <w:ind w:left="520" w:hanging="261"/>
        <w:spacing w:after="0" w:line="321" w:lineRule="auto"/>
        <w:tabs>
          <w:tab w:leader="none" w:pos="520" w:val="left"/>
        </w:tabs>
        <w:numPr>
          <w:ilvl w:val="0"/>
          <w:numId w:val="20"/>
        </w:numPr>
        <w:rPr>
          <w:rFonts w:ascii="Arial" w:cs="Arial" w:eastAsia="Arial" w:hAnsi="Arial"/>
          <w:sz w:val="13"/>
          <w:szCs w:val="13"/>
          <w:color w:val="auto"/>
        </w:rPr>
      </w:pPr>
      <w:r>
        <w:rPr>
          <w:rFonts w:ascii="Arial" w:cs="Arial" w:eastAsia="Arial" w:hAnsi="Arial"/>
          <w:sz w:val="13"/>
          <w:szCs w:val="13"/>
          <w:color w:val="auto"/>
        </w:rPr>
        <w:t>National housing starts increased approximately 4% in the period from December 2017 through November 2018, compared to the same period of the prior year (our sales trail housing starts by about a month). Comparatively, our unit sales to residential construction customers increased 7% in 2018.</w:t>
      </w:r>
    </w:p>
    <w:p>
      <w:pPr>
        <w:spacing w:after="0" w:line="109" w:lineRule="exact"/>
        <w:rPr>
          <w:rFonts w:ascii="Arial" w:cs="Arial" w:eastAsia="Arial" w:hAnsi="Arial"/>
          <w:sz w:val="13"/>
          <w:szCs w:val="13"/>
          <w:color w:val="auto"/>
        </w:rPr>
      </w:pPr>
    </w:p>
    <w:p>
      <w:pPr>
        <w:ind w:left="520" w:right="20" w:hanging="261"/>
        <w:spacing w:after="0" w:line="281" w:lineRule="auto"/>
        <w:tabs>
          <w:tab w:leader="none" w:pos="5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Production of HUD code manufactured homes were up 5% in the period from January through November 2018, compared to the same period of the prior year. Comparatively, our unit sales to the manufactured housing market increased 4% in 2018.</w:t>
      </w:r>
    </w:p>
    <w:p>
      <w:pPr>
        <w:spacing w:after="0" w:line="132" w:lineRule="exact"/>
        <w:rPr>
          <w:rFonts w:ascii="Arial" w:cs="Arial" w:eastAsia="Arial" w:hAnsi="Arial"/>
          <w:sz w:val="14"/>
          <w:szCs w:val="14"/>
          <w:color w:val="auto"/>
        </w:rPr>
      </w:pPr>
    </w:p>
    <w:p>
      <w:pPr>
        <w:ind w:left="520" w:hanging="261"/>
        <w:spacing w:after="0" w:line="281" w:lineRule="auto"/>
        <w:tabs>
          <w:tab w:leader="none" w:pos="5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Our earnings from operations increased 14.2% to $207.3 million in 2018 from $181.5 million in 2017, which includes a pre-tax gain of approximately $6.7 million as a result of the sale of certain assets including our Medley,</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66675</wp:posOffset>
            </wp:positionV>
            <wp:extent cx="5779135" cy="203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2">
                      <a:extLst>
                        <a:ext uri="{28A0092B-C50C-407E-A947-70E740481C1C}"/>
                      </a:extLst>
                    </a:blip>
                    <a:srcRect/>
                    <a:stretch>
                      <a:fillRect/>
                    </a:stretch>
                  </pic:blipFill>
                  <pic:spPr bwMode="auto">
                    <a:xfrm>
                      <a:off x="0" y="0"/>
                      <a:ext cx="5779135" cy="20320"/>
                    </a:xfrm>
                    <a:prstGeom prst="rect">
                      <a:avLst/>
                    </a:prstGeom>
                    <a:noFill/>
                  </pic:spPr>
                </pic:pic>
              </a:graphicData>
            </a:graphic>
          </wp:anchor>
        </w:drawing>
      </w:r>
    </w:p>
    <w:p>
      <w:pPr>
        <w:sectPr>
          <w:pgSz w:w="11900" w:h="16838" w:orient="portrait"/>
          <w:cols w:equalWidth="0" w:num="1">
            <w:col w:w="9100"/>
          </w:cols>
          <w:pgMar w:left="1400" w:top="129" w:right="1399" w:bottom="1440" w:gutter="0" w:footer="0" w:header="0"/>
        </w:sectPr>
      </w:pPr>
    </w:p>
    <w:bookmarkStart w:id="46" w:name="page47"/>
    <w:bookmarkEnd w:id="46"/>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UNIVERSAL FOREST PRODUCTS,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MANAGEMENT’S DISCUSSION AND ANALYSIS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FINANCIAL CONDITION AND RESULTS OF OPERATIONS</w:t>
      </w:r>
    </w:p>
    <w:p>
      <w:pPr>
        <w:spacing w:after="0" w:line="169" w:lineRule="exact"/>
        <w:rPr>
          <w:sz w:val="20"/>
          <w:szCs w:val="20"/>
          <w:color w:val="auto"/>
        </w:rPr>
      </w:pPr>
    </w:p>
    <w:p>
      <w:pPr>
        <w:jc w:val="both"/>
        <w:ind w:left="520"/>
        <w:spacing w:after="0" w:line="267" w:lineRule="auto"/>
        <w:rPr>
          <w:sz w:val="20"/>
          <w:szCs w:val="20"/>
          <w:color w:val="auto"/>
        </w:rPr>
      </w:pPr>
      <w:r>
        <w:rPr>
          <w:rFonts w:ascii="Arial" w:cs="Arial" w:eastAsia="Arial" w:hAnsi="Arial"/>
          <w:sz w:val="14"/>
          <w:szCs w:val="14"/>
          <w:color w:val="auto"/>
        </w:rPr>
        <w:t>FL, plant for $36.0 million in proceeds. Acquired businesses contributed approximately $1.1 million to earnings from operations for the year. The remaining $18.0 million, or 9.9%, increase was primarily driven by our strong organic unit sales growth and favorable improvements in sales mix, among other factors.</w:t>
      </w:r>
    </w:p>
    <w:p>
      <w:pPr>
        <w:spacing w:after="0" w:line="142" w:lineRule="exact"/>
        <w:rPr>
          <w:sz w:val="20"/>
          <w:szCs w:val="20"/>
          <w:color w:val="auto"/>
        </w:rPr>
      </w:pPr>
    </w:p>
    <w:p>
      <w:pPr>
        <w:ind w:left="520" w:right="20" w:hanging="261"/>
        <w:spacing w:after="0" w:line="281" w:lineRule="auto"/>
        <w:tabs>
          <w:tab w:leader="none" w:pos="5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Net earnings attributable to controlling interest increased 24% to $148.6 million due to the factors above along with the reduction in our U.S Federal income tax rate in 2018. Our overall effective rate decreased from 29.5% in 2017 to 23.0% in 2018.</w:t>
      </w:r>
    </w:p>
    <w:p>
      <w:pPr>
        <w:spacing w:after="0" w:line="132" w:lineRule="exact"/>
        <w:rPr>
          <w:rFonts w:ascii="Arial" w:cs="Arial" w:eastAsia="Arial" w:hAnsi="Arial"/>
          <w:sz w:val="14"/>
          <w:szCs w:val="14"/>
          <w:color w:val="auto"/>
        </w:rPr>
      </w:pPr>
    </w:p>
    <w:p>
      <w:pPr>
        <w:ind w:left="520" w:right="20" w:hanging="261"/>
        <w:spacing w:after="0" w:line="281" w:lineRule="auto"/>
        <w:tabs>
          <w:tab w:leader="none" w:pos="5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Our cash flow from operating activities decreased by $20 million due to an increase in our investment in working capital (See “Liquidity and Capital Resources”) and opportunistic purchases of inventory in the second half of 2018.</w:t>
      </w:r>
    </w:p>
    <w:p>
      <w:pPr>
        <w:spacing w:after="0" w:line="132" w:lineRule="exact"/>
        <w:rPr>
          <w:rFonts w:ascii="Arial" w:cs="Arial" w:eastAsia="Arial" w:hAnsi="Arial"/>
          <w:sz w:val="14"/>
          <w:szCs w:val="14"/>
          <w:color w:val="auto"/>
        </w:rPr>
      </w:pPr>
    </w:p>
    <w:p>
      <w:pPr>
        <w:ind w:left="520" w:hanging="261"/>
        <w:spacing w:after="0"/>
        <w:tabs>
          <w:tab w:leader="none" w:pos="520" w:val="left"/>
        </w:tabs>
        <w:numPr>
          <w:ilvl w:val="0"/>
          <w:numId w:val="21"/>
        </w:numPr>
        <w:rPr>
          <w:rFonts w:ascii="Arial" w:cs="Arial" w:eastAsia="Arial" w:hAnsi="Arial"/>
          <w:sz w:val="13"/>
          <w:szCs w:val="13"/>
          <w:color w:val="auto"/>
        </w:rPr>
      </w:pPr>
      <w:r>
        <w:rPr>
          <w:rFonts w:ascii="Arial" w:cs="Arial" w:eastAsia="Arial" w:hAnsi="Arial"/>
          <w:sz w:val="13"/>
          <w:szCs w:val="13"/>
          <w:color w:val="auto"/>
        </w:rPr>
        <w:t>We re-invested $95.9 million in capital expenditures to support and grow our business organically and invested $54.0 million in acquired businesses.</w:t>
      </w:r>
    </w:p>
    <w:p>
      <w:pPr>
        <w:spacing w:after="0" w:line="190" w:lineRule="exact"/>
        <w:rPr>
          <w:rFonts w:ascii="Arial" w:cs="Arial" w:eastAsia="Arial" w:hAnsi="Arial"/>
          <w:sz w:val="13"/>
          <w:szCs w:val="13"/>
          <w:color w:val="auto"/>
        </w:rPr>
      </w:pPr>
    </w:p>
    <w:p>
      <w:pPr>
        <w:ind w:left="520" w:hanging="261"/>
        <w:spacing w:after="0" w:line="281" w:lineRule="auto"/>
        <w:tabs>
          <w:tab w:leader="none" w:pos="5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We returned $22.1 million to shareholders through dividends and bought back $24.6 million of our common stock at an average price of $28.62 per share.</w:t>
      </w:r>
    </w:p>
    <w:p>
      <w:pPr>
        <w:spacing w:after="0" w:line="132" w:lineRule="exact"/>
        <w:rPr>
          <w:rFonts w:ascii="Arial" w:cs="Arial" w:eastAsia="Arial" w:hAnsi="Arial"/>
          <w:sz w:val="14"/>
          <w:szCs w:val="14"/>
          <w:color w:val="auto"/>
        </w:rPr>
      </w:pPr>
    </w:p>
    <w:p>
      <w:pPr>
        <w:ind w:left="520" w:right="20" w:hanging="261"/>
        <w:spacing w:after="0" w:line="281" w:lineRule="auto"/>
        <w:tabs>
          <w:tab w:leader="none" w:pos="5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Finally, our net debt (debt plus cash overdraft less surplus cash) increased to $202.3 million, representing a ratio of 0.76x earnings before interest, taxes, depreciation and amortization, which we believe along with other factors, indicates a strong credit profile.</w:t>
      </w:r>
    </w:p>
    <w:p>
      <w:pPr>
        <w:spacing w:after="0" w:line="129" w:lineRule="exact"/>
        <w:rPr>
          <w:sz w:val="20"/>
          <w:szCs w:val="20"/>
          <w:color w:val="auto"/>
        </w:rPr>
      </w:pPr>
    </w:p>
    <w:p>
      <w:pPr>
        <w:ind w:left="3500"/>
        <w:spacing w:after="0"/>
        <w:rPr>
          <w:sz w:val="20"/>
          <w:szCs w:val="20"/>
          <w:color w:val="auto"/>
        </w:rPr>
      </w:pPr>
      <w:r>
        <w:rPr>
          <w:rFonts w:ascii="Arial" w:cs="Arial" w:eastAsia="Arial" w:hAnsi="Arial"/>
          <w:sz w:val="14"/>
          <w:szCs w:val="14"/>
          <w:b w:val="1"/>
          <w:bCs w:val="1"/>
          <w:u w:val="single" w:color="auto"/>
          <w:color w:val="auto"/>
        </w:rPr>
        <w:t>HISTORICAL LUMBER PRICES</w:t>
      </w:r>
    </w:p>
    <w:p>
      <w:pPr>
        <w:spacing w:after="0" w:line="183"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presents the Random Lengths framing lumber composite price.</w:t>
      </w:r>
    </w:p>
    <w:p>
      <w:pPr>
        <w:spacing w:after="0" w:line="183" w:lineRule="exact"/>
        <w:rPr>
          <w:sz w:val="20"/>
          <w:szCs w:val="20"/>
          <w:color w:val="auto"/>
        </w:rPr>
      </w:pPr>
    </w:p>
    <w:p>
      <w:pPr>
        <w:jc w:val="center"/>
        <w:ind w:left="6240"/>
        <w:spacing w:after="0"/>
        <w:rPr>
          <w:sz w:val="20"/>
          <w:szCs w:val="20"/>
          <w:color w:val="auto"/>
        </w:rPr>
      </w:pPr>
      <w:r>
        <w:rPr>
          <w:rFonts w:ascii="Arial" w:cs="Arial" w:eastAsia="Arial" w:hAnsi="Arial"/>
          <w:sz w:val="11"/>
          <w:szCs w:val="11"/>
          <w:b w:val="1"/>
          <w:bCs w:val="1"/>
          <w:color w:val="auto"/>
        </w:rPr>
        <w:t>Random Lengths Composite</w:t>
      </w:r>
    </w:p>
    <w:p>
      <w:pPr>
        <w:jc w:val="center"/>
        <w:ind w:left="6240"/>
        <w:spacing w:after="0" w:line="236" w:lineRule="auto"/>
        <w:rPr>
          <w:sz w:val="20"/>
          <w:szCs w:val="20"/>
          <w:color w:val="auto"/>
        </w:rPr>
      </w:pPr>
      <w:r>
        <w:rPr>
          <w:rFonts w:ascii="Arial" w:cs="Arial" w:eastAsia="Arial" w:hAnsi="Arial"/>
          <w:sz w:val="11"/>
          <w:szCs w:val="11"/>
          <w:b w:val="1"/>
          <w:bCs w:val="1"/>
          <w:color w:val="auto"/>
        </w:rPr>
        <w:t>Average $/MBF</w:t>
      </w:r>
    </w:p>
    <w:tbl>
      <w:tblPr>
        <w:tblLayout w:type="fixed"/>
        <w:tblInd w:w="0" w:type="dxa"/>
        <w:tblCellMar>
          <w:top w:w="0" w:type="dxa"/>
          <w:left w:w="0" w:type="dxa"/>
          <w:bottom w:w="0" w:type="dxa"/>
          <w:right w:w="0" w:type="dxa"/>
        </w:tblCellMar>
      </w:tblPr>
      <w:tr>
        <w:trPr>
          <w:trHeight w:val="119"/>
        </w:trPr>
        <w:tc>
          <w:tcPr>
            <w:tcW w:w="20" w:type="dxa"/>
            <w:vAlign w:val="bottom"/>
          </w:tcPr>
          <w:p>
            <w:pPr>
              <w:spacing w:after="0"/>
              <w:rPr>
                <w:sz w:val="10"/>
                <w:szCs w:val="10"/>
                <w:color w:val="auto"/>
              </w:rPr>
            </w:pPr>
          </w:p>
        </w:tc>
        <w:tc>
          <w:tcPr>
            <w:tcW w:w="3000" w:type="dxa"/>
            <w:vAlign w:val="bottom"/>
            <w:tcBorders>
              <w:bottom w:val="single" w:sz="8" w:color="CCEEFF"/>
            </w:tcBorders>
          </w:tcPr>
          <w:p>
            <w:pPr>
              <w:spacing w:after="0"/>
              <w:rPr>
                <w:sz w:val="10"/>
                <w:szCs w:val="10"/>
                <w:color w:val="auto"/>
              </w:rPr>
            </w:pPr>
          </w:p>
        </w:tc>
        <w:tc>
          <w:tcPr>
            <w:tcW w:w="3360" w:type="dxa"/>
            <w:vAlign w:val="bottom"/>
            <w:tcBorders>
              <w:bottom w:val="single" w:sz="8" w:color="CCEEFF"/>
            </w:tcBorders>
          </w:tcPr>
          <w:p>
            <w:pPr>
              <w:spacing w:after="0"/>
              <w:rPr>
                <w:sz w:val="10"/>
                <w:szCs w:val="10"/>
                <w:color w:val="auto"/>
              </w:rPr>
            </w:pPr>
          </w:p>
        </w:tc>
        <w:tc>
          <w:tcPr>
            <w:tcW w:w="140" w:type="dxa"/>
            <w:vAlign w:val="bottom"/>
            <w:tcBorders>
              <w:top w:val="single" w:sz="8" w:color="auto"/>
              <w:bottom w:val="single" w:sz="8" w:color="auto"/>
            </w:tcBorders>
          </w:tcPr>
          <w:p>
            <w:pPr>
              <w:spacing w:after="0"/>
              <w:rPr>
                <w:sz w:val="10"/>
                <w:szCs w:val="10"/>
                <w:color w:val="auto"/>
              </w:rPr>
            </w:pPr>
          </w:p>
        </w:tc>
        <w:tc>
          <w:tcPr>
            <w:tcW w:w="560" w:type="dxa"/>
            <w:vAlign w:val="bottom"/>
            <w:tcBorders>
              <w:top w:val="single" w:sz="8" w:color="auto"/>
              <w:bottom w:val="single" w:sz="8" w:color="auto"/>
            </w:tcBorders>
          </w:tcPr>
          <w:p>
            <w:pPr>
              <w:jc w:val="right"/>
              <w:ind w:right="170"/>
              <w:spacing w:after="0" w:line="118" w:lineRule="exact"/>
              <w:rPr>
                <w:sz w:val="20"/>
                <w:szCs w:val="20"/>
                <w:color w:val="auto"/>
              </w:rPr>
            </w:pPr>
            <w:r>
              <w:rPr>
                <w:rFonts w:ascii="Arial" w:cs="Arial" w:eastAsia="Arial" w:hAnsi="Arial"/>
                <w:sz w:val="11"/>
                <w:szCs w:val="11"/>
                <w:b w:val="1"/>
                <w:bCs w:val="1"/>
                <w:color w:val="auto"/>
              </w:rPr>
              <w:t>2018</w:t>
            </w:r>
          </w:p>
        </w:tc>
        <w:tc>
          <w:tcPr>
            <w:tcW w:w="180" w:type="dxa"/>
            <w:vAlign w:val="bottom"/>
            <w:tcBorders>
              <w:top w:val="single" w:sz="8" w:color="auto"/>
              <w:bottom w:val="single" w:sz="8" w:color="CCEEFF"/>
            </w:tcBorders>
          </w:tcPr>
          <w:p>
            <w:pPr>
              <w:spacing w:after="0"/>
              <w:rPr>
                <w:sz w:val="10"/>
                <w:szCs w:val="10"/>
                <w:color w:val="auto"/>
              </w:rPr>
            </w:pPr>
          </w:p>
        </w:tc>
        <w:tc>
          <w:tcPr>
            <w:tcW w:w="80" w:type="dxa"/>
            <w:vAlign w:val="bottom"/>
            <w:tcBorders>
              <w:top w:val="single" w:sz="8" w:color="auto"/>
              <w:bottom w:val="single" w:sz="8" w:color="CCEEFF"/>
            </w:tcBorders>
          </w:tcPr>
          <w:p>
            <w:pPr>
              <w:spacing w:after="0"/>
              <w:rPr>
                <w:sz w:val="10"/>
                <w:szCs w:val="10"/>
                <w:color w:val="auto"/>
              </w:rPr>
            </w:pPr>
          </w:p>
        </w:tc>
        <w:tc>
          <w:tcPr>
            <w:tcW w:w="160" w:type="dxa"/>
            <w:vAlign w:val="bottom"/>
            <w:tcBorders>
              <w:top w:val="single" w:sz="8" w:color="auto"/>
              <w:bottom w:val="single" w:sz="8" w:color="auto"/>
            </w:tcBorders>
          </w:tcPr>
          <w:p>
            <w:pPr>
              <w:spacing w:after="0"/>
              <w:rPr>
                <w:sz w:val="10"/>
                <w:szCs w:val="10"/>
                <w:color w:val="auto"/>
              </w:rPr>
            </w:pPr>
          </w:p>
        </w:tc>
        <w:tc>
          <w:tcPr>
            <w:tcW w:w="540" w:type="dxa"/>
            <w:vAlign w:val="bottom"/>
            <w:tcBorders>
              <w:top w:val="single" w:sz="8" w:color="auto"/>
              <w:bottom w:val="single" w:sz="8" w:color="auto"/>
            </w:tcBorders>
          </w:tcPr>
          <w:p>
            <w:pPr>
              <w:jc w:val="right"/>
              <w:ind w:right="170"/>
              <w:spacing w:after="0" w:line="118" w:lineRule="exact"/>
              <w:rPr>
                <w:sz w:val="20"/>
                <w:szCs w:val="20"/>
                <w:color w:val="auto"/>
              </w:rPr>
            </w:pPr>
            <w:r>
              <w:rPr>
                <w:rFonts w:ascii="Arial" w:cs="Arial" w:eastAsia="Arial" w:hAnsi="Arial"/>
                <w:sz w:val="11"/>
                <w:szCs w:val="11"/>
                <w:b w:val="1"/>
                <w:bCs w:val="1"/>
                <w:color w:val="auto"/>
              </w:rPr>
              <w:t>2017</w:t>
            </w:r>
          </w:p>
        </w:tc>
        <w:tc>
          <w:tcPr>
            <w:tcW w:w="180" w:type="dxa"/>
            <w:vAlign w:val="bottom"/>
            <w:tcBorders>
              <w:top w:val="single" w:sz="8" w:color="auto"/>
              <w:bottom w:val="single" w:sz="8" w:color="CCEEFF"/>
            </w:tcBorders>
          </w:tcPr>
          <w:p>
            <w:pPr>
              <w:spacing w:after="0"/>
              <w:rPr>
                <w:sz w:val="10"/>
                <w:szCs w:val="10"/>
                <w:color w:val="auto"/>
              </w:rPr>
            </w:pPr>
          </w:p>
        </w:tc>
        <w:tc>
          <w:tcPr>
            <w:tcW w:w="60" w:type="dxa"/>
            <w:vAlign w:val="bottom"/>
            <w:tcBorders>
              <w:top w:val="single" w:sz="8" w:color="auto"/>
              <w:bottom w:val="single" w:sz="8" w:color="CCEEFF"/>
            </w:tcBorders>
          </w:tcPr>
          <w:p>
            <w:pPr>
              <w:spacing w:after="0"/>
              <w:rPr>
                <w:sz w:val="10"/>
                <w:szCs w:val="10"/>
                <w:color w:val="auto"/>
              </w:rPr>
            </w:pPr>
          </w:p>
        </w:tc>
        <w:tc>
          <w:tcPr>
            <w:tcW w:w="160" w:type="dxa"/>
            <w:vAlign w:val="bottom"/>
            <w:tcBorders>
              <w:top w:val="single" w:sz="8" w:color="auto"/>
              <w:bottom w:val="single" w:sz="8" w:color="auto"/>
            </w:tcBorders>
          </w:tcPr>
          <w:p>
            <w:pPr>
              <w:spacing w:after="0"/>
              <w:rPr>
                <w:sz w:val="10"/>
                <w:szCs w:val="10"/>
                <w:color w:val="auto"/>
              </w:rPr>
            </w:pPr>
          </w:p>
        </w:tc>
        <w:tc>
          <w:tcPr>
            <w:tcW w:w="540" w:type="dxa"/>
            <w:vAlign w:val="bottom"/>
            <w:tcBorders>
              <w:top w:val="single" w:sz="8" w:color="auto"/>
              <w:bottom w:val="single" w:sz="8" w:color="auto"/>
            </w:tcBorders>
          </w:tcPr>
          <w:p>
            <w:pPr>
              <w:jc w:val="right"/>
              <w:ind w:right="170"/>
              <w:spacing w:after="0" w:line="118" w:lineRule="exact"/>
              <w:rPr>
                <w:sz w:val="20"/>
                <w:szCs w:val="20"/>
                <w:color w:val="auto"/>
              </w:rPr>
            </w:pPr>
            <w:r>
              <w:rPr>
                <w:rFonts w:ascii="Arial" w:cs="Arial" w:eastAsia="Arial" w:hAnsi="Arial"/>
                <w:sz w:val="11"/>
                <w:szCs w:val="11"/>
                <w:b w:val="1"/>
                <w:bCs w:val="1"/>
                <w:color w:val="auto"/>
              </w:rPr>
              <w:t>2016</w:t>
            </w:r>
          </w:p>
        </w:tc>
        <w:tc>
          <w:tcPr>
            <w:tcW w:w="12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4"/>
                <w:szCs w:val="14"/>
                <w:color w:val="auto"/>
              </w:rPr>
              <w:t>January</w:t>
            </w:r>
          </w:p>
        </w:tc>
        <w:tc>
          <w:tcPr>
            <w:tcW w:w="336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b w:val="1"/>
                <w:bCs w:val="1"/>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449</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b w:val="1"/>
                <w:bCs w:val="1"/>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356</w:t>
            </w: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w w:val="76"/>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316</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000" w:type="dxa"/>
            <w:vAlign w:val="bottom"/>
          </w:tcPr>
          <w:p>
            <w:pPr>
              <w:spacing w:after="0"/>
              <w:rPr>
                <w:sz w:val="20"/>
                <w:szCs w:val="20"/>
                <w:color w:val="auto"/>
              </w:rPr>
            </w:pPr>
            <w:r>
              <w:rPr>
                <w:rFonts w:ascii="Arial" w:cs="Arial" w:eastAsia="Arial" w:hAnsi="Arial"/>
                <w:sz w:val="14"/>
                <w:szCs w:val="14"/>
                <w:color w:val="auto"/>
              </w:rPr>
              <w:t>February</w:t>
            </w:r>
          </w:p>
        </w:tc>
        <w:tc>
          <w:tcPr>
            <w:tcW w:w="3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496</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393</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310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4"/>
                <w:szCs w:val="14"/>
                <w:color w:val="auto"/>
              </w:rPr>
              <w:t>March</w:t>
            </w:r>
          </w:p>
        </w:tc>
        <w:tc>
          <w:tcPr>
            <w:tcW w:w="33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505</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401</w:t>
            </w: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321</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000" w:type="dxa"/>
            <w:vAlign w:val="bottom"/>
          </w:tcPr>
          <w:p>
            <w:pPr>
              <w:spacing w:after="0"/>
              <w:rPr>
                <w:sz w:val="20"/>
                <w:szCs w:val="20"/>
                <w:color w:val="auto"/>
              </w:rPr>
            </w:pPr>
            <w:r>
              <w:rPr>
                <w:rFonts w:ascii="Arial" w:cs="Arial" w:eastAsia="Arial" w:hAnsi="Arial"/>
                <w:sz w:val="14"/>
                <w:szCs w:val="14"/>
                <w:color w:val="auto"/>
              </w:rPr>
              <w:t>April</w:t>
            </w:r>
          </w:p>
        </w:tc>
        <w:tc>
          <w:tcPr>
            <w:tcW w:w="3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496</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424</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345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4"/>
                <w:szCs w:val="14"/>
                <w:color w:val="auto"/>
              </w:rPr>
              <w:t>May</w:t>
            </w:r>
          </w:p>
        </w:tc>
        <w:tc>
          <w:tcPr>
            <w:tcW w:w="33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554</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416</w:t>
            </w: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356</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000" w:type="dxa"/>
            <w:vAlign w:val="bottom"/>
          </w:tcPr>
          <w:p>
            <w:pPr>
              <w:spacing w:after="0"/>
              <w:rPr>
                <w:sz w:val="20"/>
                <w:szCs w:val="20"/>
                <w:color w:val="auto"/>
              </w:rPr>
            </w:pPr>
            <w:r>
              <w:rPr>
                <w:rFonts w:ascii="Arial" w:cs="Arial" w:eastAsia="Arial" w:hAnsi="Arial"/>
                <w:sz w:val="14"/>
                <w:szCs w:val="14"/>
                <w:color w:val="auto"/>
              </w:rPr>
              <w:t>June</w:t>
            </w:r>
          </w:p>
        </w:tc>
        <w:tc>
          <w:tcPr>
            <w:tcW w:w="3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572</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399</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353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4"/>
                <w:szCs w:val="14"/>
                <w:color w:val="auto"/>
              </w:rPr>
              <w:t>July</w:t>
            </w:r>
          </w:p>
        </w:tc>
        <w:tc>
          <w:tcPr>
            <w:tcW w:w="33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525</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411</w:t>
            </w: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351</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000" w:type="dxa"/>
            <w:vAlign w:val="bottom"/>
          </w:tcPr>
          <w:p>
            <w:pPr>
              <w:spacing w:after="0"/>
              <w:rPr>
                <w:sz w:val="20"/>
                <w:szCs w:val="20"/>
                <w:color w:val="auto"/>
              </w:rPr>
            </w:pPr>
            <w:r>
              <w:rPr>
                <w:rFonts w:ascii="Arial" w:cs="Arial" w:eastAsia="Arial" w:hAnsi="Arial"/>
                <w:sz w:val="14"/>
                <w:szCs w:val="14"/>
                <w:color w:val="auto"/>
              </w:rPr>
              <w:t>August</w:t>
            </w:r>
          </w:p>
        </w:tc>
        <w:tc>
          <w:tcPr>
            <w:tcW w:w="3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449</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417</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367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4"/>
                <w:szCs w:val="14"/>
                <w:color w:val="auto"/>
              </w:rPr>
              <w:t>September</w:t>
            </w:r>
          </w:p>
        </w:tc>
        <w:tc>
          <w:tcPr>
            <w:tcW w:w="33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443</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416</w:t>
            </w: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354</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000" w:type="dxa"/>
            <w:vAlign w:val="bottom"/>
          </w:tcPr>
          <w:p>
            <w:pPr>
              <w:spacing w:after="0"/>
              <w:rPr>
                <w:sz w:val="20"/>
                <w:szCs w:val="20"/>
                <w:color w:val="auto"/>
              </w:rPr>
            </w:pPr>
            <w:r>
              <w:rPr>
                <w:rFonts w:ascii="Arial" w:cs="Arial" w:eastAsia="Arial" w:hAnsi="Arial"/>
                <w:sz w:val="14"/>
                <w:szCs w:val="14"/>
                <w:color w:val="auto"/>
              </w:rPr>
              <w:t>October</w:t>
            </w:r>
          </w:p>
        </w:tc>
        <w:tc>
          <w:tcPr>
            <w:tcW w:w="3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375</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437</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356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4"/>
                <w:szCs w:val="14"/>
                <w:color w:val="auto"/>
              </w:rPr>
              <w:t>November</w:t>
            </w:r>
          </w:p>
        </w:tc>
        <w:tc>
          <w:tcPr>
            <w:tcW w:w="33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339</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436</w:t>
            </w: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346</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000" w:type="dxa"/>
            <w:vAlign w:val="bottom"/>
          </w:tcPr>
          <w:p>
            <w:pPr>
              <w:spacing w:after="0"/>
              <w:rPr>
                <w:sz w:val="20"/>
                <w:szCs w:val="20"/>
                <w:color w:val="auto"/>
              </w:rPr>
            </w:pPr>
            <w:r>
              <w:rPr>
                <w:rFonts w:ascii="Arial" w:cs="Arial" w:eastAsia="Arial" w:hAnsi="Arial"/>
                <w:sz w:val="14"/>
                <w:szCs w:val="14"/>
                <w:color w:val="auto"/>
              </w:rPr>
              <w:t>December</w:t>
            </w:r>
          </w:p>
        </w:tc>
        <w:tc>
          <w:tcPr>
            <w:tcW w:w="3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338</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433</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357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vMerge w:val="restart"/>
          </w:tcPr>
          <w:p>
            <w:pPr>
              <w:spacing w:after="0"/>
              <w:rPr>
                <w:sz w:val="14"/>
                <w:szCs w:val="14"/>
                <w:color w:val="auto"/>
              </w:rPr>
            </w:pPr>
          </w:p>
        </w:tc>
        <w:tc>
          <w:tcPr>
            <w:tcW w:w="3000" w:type="dxa"/>
            <w:vAlign w:val="bottom"/>
            <w:shd w:val="clear" w:color="auto" w:fill="CCEEFF"/>
          </w:tcPr>
          <w:p>
            <w:pPr>
              <w:spacing w:after="0"/>
              <w:rPr>
                <w:sz w:val="14"/>
                <w:szCs w:val="14"/>
                <w:color w:val="auto"/>
              </w:rPr>
            </w:pPr>
          </w:p>
        </w:tc>
        <w:tc>
          <w:tcPr>
            <w:tcW w:w="33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3000" w:type="dxa"/>
            <w:vAlign w:val="bottom"/>
          </w:tcPr>
          <w:p>
            <w:pPr>
              <w:spacing w:after="0"/>
              <w:rPr>
                <w:sz w:val="20"/>
                <w:szCs w:val="20"/>
                <w:color w:val="auto"/>
              </w:rPr>
            </w:pPr>
            <w:r>
              <w:rPr>
                <w:rFonts w:ascii="Arial" w:cs="Arial" w:eastAsia="Arial" w:hAnsi="Arial"/>
                <w:sz w:val="14"/>
                <w:szCs w:val="14"/>
                <w:color w:val="auto"/>
              </w:rPr>
              <w:t>Annual average</w:t>
            </w:r>
          </w:p>
        </w:tc>
        <w:tc>
          <w:tcPr>
            <w:tcW w:w="3500" w:type="dxa"/>
            <w:vAlign w:val="bottom"/>
            <w:gridSpan w:val="2"/>
          </w:tcPr>
          <w:p>
            <w:pPr>
              <w:jc w:val="right"/>
              <w:ind w:right="29"/>
              <w:spacing w:after="0"/>
              <w:rPr>
                <w:sz w:val="20"/>
                <w:szCs w:val="20"/>
                <w:color w:val="auto"/>
              </w:rPr>
            </w:pPr>
            <w:r>
              <w:rPr>
                <w:rFonts w:ascii="Arial" w:cs="Arial" w:eastAsia="Arial" w:hAnsi="Arial"/>
                <w:sz w:val="14"/>
                <w:szCs w:val="14"/>
                <w:b w:val="1"/>
                <w:bCs w:val="1"/>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462</w:t>
            </w:r>
          </w:p>
        </w:tc>
        <w:tc>
          <w:tcPr>
            <w:tcW w:w="180" w:type="dxa"/>
            <w:vAlign w:val="bottom"/>
          </w:tcPr>
          <w:p>
            <w:pPr>
              <w:spacing w:after="0"/>
              <w:rPr>
                <w:sz w:val="14"/>
                <w:szCs w:val="14"/>
                <w:color w:val="auto"/>
              </w:rPr>
            </w:pPr>
          </w:p>
        </w:tc>
        <w:tc>
          <w:tcPr>
            <w:tcW w:w="240" w:type="dxa"/>
            <w:vAlign w:val="bottom"/>
            <w:gridSpan w:val="2"/>
          </w:tcPr>
          <w:p>
            <w:pPr>
              <w:jc w:val="right"/>
              <w:ind w:right="49"/>
              <w:spacing w:after="0"/>
              <w:rPr>
                <w:sz w:val="20"/>
                <w:szCs w:val="20"/>
                <w:color w:val="auto"/>
              </w:rPr>
            </w:pPr>
            <w:r>
              <w:rPr>
                <w:rFonts w:ascii="Arial" w:cs="Arial" w:eastAsia="Arial" w:hAnsi="Arial"/>
                <w:sz w:val="14"/>
                <w:szCs w:val="14"/>
                <w:b w:val="1"/>
                <w:bCs w:val="1"/>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412</w:t>
            </w:r>
          </w:p>
        </w:tc>
        <w:tc>
          <w:tcPr>
            <w:tcW w:w="180" w:type="dxa"/>
            <w:vAlign w:val="bottom"/>
          </w:tcPr>
          <w:p>
            <w:pPr>
              <w:spacing w:after="0"/>
              <w:rPr>
                <w:sz w:val="14"/>
                <w:szCs w:val="14"/>
                <w:color w:val="auto"/>
              </w:rPr>
            </w:pPr>
          </w:p>
        </w:tc>
        <w:tc>
          <w:tcPr>
            <w:tcW w:w="220" w:type="dxa"/>
            <w:vAlign w:val="bottom"/>
            <w:gridSpan w:val="2"/>
          </w:tcPr>
          <w:p>
            <w:pPr>
              <w:jc w:val="right"/>
              <w:ind w:right="9"/>
              <w:spacing w:after="0"/>
              <w:rPr>
                <w:sz w:val="20"/>
                <w:szCs w:val="20"/>
                <w:color w:val="auto"/>
              </w:rPr>
            </w:pPr>
            <w:r>
              <w:rPr>
                <w:rFonts w:ascii="Arial" w:cs="Arial" w:eastAsia="Arial" w:hAnsi="Arial"/>
                <w:sz w:val="14"/>
                <w:szCs w:val="14"/>
                <w:b w:val="1"/>
                <w:bCs w:val="1"/>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344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4"/>
                <w:szCs w:val="14"/>
                <w:color w:val="auto"/>
              </w:rPr>
              <w:t>Annual percentage change</w:t>
            </w:r>
          </w:p>
        </w:tc>
        <w:tc>
          <w:tcPr>
            <w:tcW w:w="33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12.1 %</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19.8 %</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849"/>
        </w:trPr>
        <w:tc>
          <w:tcPr>
            <w:tcW w:w="2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3360" w:type="dxa"/>
            <w:vAlign w:val="bottom"/>
          </w:tcPr>
          <w:p>
            <w:pPr>
              <w:jc w:val="right"/>
              <w:ind w:right="1729"/>
              <w:spacing w:after="0"/>
              <w:rPr>
                <w:sz w:val="20"/>
                <w:szCs w:val="20"/>
                <w:color w:val="auto"/>
              </w:rPr>
            </w:pPr>
            <w:r>
              <w:rPr>
                <w:rFonts w:ascii="Arial" w:cs="Arial" w:eastAsia="Arial" w:hAnsi="Arial"/>
                <w:sz w:val="14"/>
                <w:szCs w:val="14"/>
                <w:color w:val="auto"/>
              </w:rPr>
              <w:t>4</w:t>
            </w: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20" w:type="dxa"/>
            <w:vAlign w:val="bottom"/>
            <w:tcBorders>
              <w:bottom w:val="single" w:sz="8" w:color="auto"/>
            </w:tcBorders>
          </w:tcPr>
          <w:p>
            <w:pPr>
              <w:spacing w:after="0"/>
              <w:rPr>
                <w:sz w:val="8"/>
                <w:szCs w:val="8"/>
                <w:color w:val="auto"/>
              </w:rPr>
            </w:pPr>
          </w:p>
        </w:tc>
        <w:tc>
          <w:tcPr>
            <w:tcW w:w="3000" w:type="dxa"/>
            <w:vAlign w:val="bottom"/>
            <w:tcBorders>
              <w:bottom w:val="single" w:sz="8" w:color="auto"/>
            </w:tcBorders>
          </w:tcPr>
          <w:p>
            <w:pPr>
              <w:spacing w:after="0"/>
              <w:rPr>
                <w:sz w:val="8"/>
                <w:szCs w:val="8"/>
                <w:color w:val="auto"/>
              </w:rPr>
            </w:pPr>
          </w:p>
        </w:tc>
        <w:tc>
          <w:tcPr>
            <w:tcW w:w="336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9100"/>
          </w:cols>
          <w:pgMar w:left="1400" w:top="129" w:right="1399" w:bottom="1440" w:gutter="0" w:footer="0" w:header="0"/>
        </w:sectPr>
      </w:pPr>
    </w:p>
    <w:bookmarkStart w:id="47" w:name="page48"/>
    <w:bookmarkEnd w:id="47"/>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UNIVERSAL FOREST PRODUCTS,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MANAGEMENT’S DISCUSSION AND ANALYSIS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FINANCIAL CONDITION AND RESULTS OF OPERATIONS</w:t>
      </w:r>
    </w:p>
    <w:p>
      <w:pPr>
        <w:spacing w:after="0" w:line="169"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In addition, a Southern Yellow Pine (“SYP”) composite price, which we prepare and use, is presented below. Our purchases of this species comprise approximately 58% of total lumber purchases, excluding plywood, for 2018 and 2017.</w:t>
      </w:r>
    </w:p>
    <w:p>
      <w:pPr>
        <w:spacing w:after="0" w:line="137" w:lineRule="exact"/>
        <w:rPr>
          <w:sz w:val="20"/>
          <w:szCs w:val="20"/>
          <w:color w:val="auto"/>
        </w:rPr>
      </w:pPr>
    </w:p>
    <w:p>
      <w:pPr>
        <w:jc w:val="center"/>
        <w:ind w:left="6480"/>
        <w:spacing w:after="0"/>
        <w:rPr>
          <w:sz w:val="20"/>
          <w:szCs w:val="20"/>
          <w:color w:val="auto"/>
        </w:rPr>
      </w:pPr>
      <w:r>
        <w:rPr>
          <w:rFonts w:ascii="Arial" w:cs="Arial" w:eastAsia="Arial" w:hAnsi="Arial"/>
          <w:sz w:val="11"/>
          <w:szCs w:val="11"/>
          <w:b w:val="1"/>
          <w:bCs w:val="1"/>
          <w:color w:val="auto"/>
        </w:rPr>
        <w:t>Southern Yellow Pine</w:t>
      </w:r>
    </w:p>
    <w:p>
      <w:pPr>
        <w:jc w:val="center"/>
        <w:ind w:left="6480"/>
        <w:spacing w:after="0" w:line="236" w:lineRule="auto"/>
        <w:rPr>
          <w:sz w:val="20"/>
          <w:szCs w:val="20"/>
          <w:color w:val="auto"/>
        </w:rPr>
      </w:pPr>
      <w:r>
        <w:rPr>
          <w:rFonts w:ascii="Arial" w:cs="Arial" w:eastAsia="Arial" w:hAnsi="Arial"/>
          <w:sz w:val="11"/>
          <w:szCs w:val="11"/>
          <w:b w:val="1"/>
          <w:bCs w:val="1"/>
          <w:color w:val="auto"/>
        </w:rPr>
        <w:t>Average $/MBF</w:t>
      </w:r>
    </w:p>
    <w:tbl>
      <w:tblPr>
        <w:tblLayout w:type="fixed"/>
        <w:tblInd w:w="0" w:type="dxa"/>
        <w:tblCellMar>
          <w:top w:w="0" w:type="dxa"/>
          <w:left w:w="0" w:type="dxa"/>
          <w:bottom w:w="0" w:type="dxa"/>
          <w:right w:w="0" w:type="dxa"/>
        </w:tblCellMar>
      </w:tblPr>
      <w:tr>
        <w:trPr>
          <w:trHeight w:val="119"/>
        </w:trPr>
        <w:tc>
          <w:tcPr>
            <w:tcW w:w="20" w:type="dxa"/>
            <w:vAlign w:val="bottom"/>
          </w:tcPr>
          <w:p>
            <w:pPr>
              <w:spacing w:after="0"/>
              <w:rPr>
                <w:sz w:val="10"/>
                <w:szCs w:val="10"/>
                <w:color w:val="auto"/>
              </w:rPr>
            </w:pPr>
          </w:p>
        </w:tc>
        <w:tc>
          <w:tcPr>
            <w:tcW w:w="3980" w:type="dxa"/>
            <w:vAlign w:val="bottom"/>
            <w:tcBorders>
              <w:bottom w:val="single" w:sz="8" w:color="CCEEFF"/>
            </w:tcBorders>
          </w:tcPr>
          <w:p>
            <w:pPr>
              <w:spacing w:after="0"/>
              <w:rPr>
                <w:sz w:val="10"/>
                <w:szCs w:val="10"/>
                <w:color w:val="auto"/>
              </w:rPr>
            </w:pPr>
          </w:p>
        </w:tc>
        <w:tc>
          <w:tcPr>
            <w:tcW w:w="2480" w:type="dxa"/>
            <w:vAlign w:val="bottom"/>
            <w:tcBorders>
              <w:bottom w:val="single" w:sz="8" w:color="CCEEFF"/>
            </w:tcBorders>
          </w:tcPr>
          <w:p>
            <w:pPr>
              <w:spacing w:after="0"/>
              <w:rPr>
                <w:sz w:val="10"/>
                <w:szCs w:val="10"/>
                <w:color w:val="auto"/>
              </w:rPr>
            </w:pPr>
          </w:p>
        </w:tc>
        <w:tc>
          <w:tcPr>
            <w:tcW w:w="160" w:type="dxa"/>
            <w:vAlign w:val="bottom"/>
            <w:tcBorders>
              <w:top w:val="single" w:sz="8" w:color="auto"/>
              <w:bottom w:val="single" w:sz="8" w:color="auto"/>
            </w:tcBorders>
          </w:tcPr>
          <w:p>
            <w:pPr>
              <w:spacing w:after="0"/>
              <w:rPr>
                <w:sz w:val="10"/>
                <w:szCs w:val="10"/>
                <w:color w:val="auto"/>
              </w:rPr>
            </w:pPr>
          </w:p>
        </w:tc>
        <w:tc>
          <w:tcPr>
            <w:tcW w:w="560" w:type="dxa"/>
            <w:vAlign w:val="bottom"/>
            <w:tcBorders>
              <w:top w:val="single" w:sz="8" w:color="auto"/>
              <w:bottom w:val="single" w:sz="8" w:color="auto"/>
            </w:tcBorders>
          </w:tcPr>
          <w:p>
            <w:pPr>
              <w:jc w:val="right"/>
              <w:ind w:right="170"/>
              <w:spacing w:after="0" w:line="118" w:lineRule="exact"/>
              <w:rPr>
                <w:sz w:val="20"/>
                <w:szCs w:val="20"/>
                <w:color w:val="auto"/>
              </w:rPr>
            </w:pPr>
            <w:r>
              <w:rPr>
                <w:rFonts w:ascii="Arial" w:cs="Arial" w:eastAsia="Arial" w:hAnsi="Arial"/>
                <w:sz w:val="11"/>
                <w:szCs w:val="11"/>
                <w:b w:val="1"/>
                <w:bCs w:val="1"/>
                <w:color w:val="auto"/>
              </w:rPr>
              <w:t>2018</w:t>
            </w:r>
          </w:p>
        </w:tc>
        <w:tc>
          <w:tcPr>
            <w:tcW w:w="180" w:type="dxa"/>
            <w:vAlign w:val="bottom"/>
            <w:tcBorders>
              <w:top w:val="single" w:sz="8" w:color="auto"/>
              <w:bottom w:val="single" w:sz="8" w:color="CCEEFF"/>
            </w:tcBorders>
          </w:tcPr>
          <w:p>
            <w:pPr>
              <w:spacing w:after="0"/>
              <w:rPr>
                <w:sz w:val="10"/>
                <w:szCs w:val="10"/>
                <w:color w:val="auto"/>
              </w:rPr>
            </w:pPr>
          </w:p>
        </w:tc>
        <w:tc>
          <w:tcPr>
            <w:tcW w:w="80" w:type="dxa"/>
            <w:vAlign w:val="bottom"/>
            <w:tcBorders>
              <w:top w:val="single" w:sz="8" w:color="auto"/>
              <w:bottom w:val="single" w:sz="8" w:color="CCEEFF"/>
            </w:tcBorders>
          </w:tcPr>
          <w:p>
            <w:pPr>
              <w:spacing w:after="0"/>
              <w:rPr>
                <w:sz w:val="10"/>
                <w:szCs w:val="10"/>
                <w:color w:val="auto"/>
              </w:rPr>
            </w:pPr>
          </w:p>
        </w:tc>
        <w:tc>
          <w:tcPr>
            <w:tcW w:w="140" w:type="dxa"/>
            <w:vAlign w:val="bottom"/>
            <w:tcBorders>
              <w:top w:val="single" w:sz="8" w:color="auto"/>
              <w:bottom w:val="single" w:sz="8" w:color="auto"/>
            </w:tcBorders>
          </w:tcPr>
          <w:p>
            <w:pPr>
              <w:spacing w:after="0"/>
              <w:rPr>
                <w:sz w:val="10"/>
                <w:szCs w:val="10"/>
                <w:color w:val="auto"/>
              </w:rPr>
            </w:pPr>
          </w:p>
        </w:tc>
        <w:tc>
          <w:tcPr>
            <w:tcW w:w="560" w:type="dxa"/>
            <w:vAlign w:val="bottom"/>
            <w:tcBorders>
              <w:top w:val="single" w:sz="8" w:color="auto"/>
              <w:bottom w:val="single" w:sz="8" w:color="auto"/>
            </w:tcBorders>
          </w:tcPr>
          <w:p>
            <w:pPr>
              <w:jc w:val="right"/>
              <w:ind w:right="170"/>
              <w:spacing w:after="0" w:line="118" w:lineRule="exact"/>
              <w:rPr>
                <w:sz w:val="20"/>
                <w:szCs w:val="20"/>
                <w:color w:val="auto"/>
              </w:rPr>
            </w:pPr>
            <w:r>
              <w:rPr>
                <w:rFonts w:ascii="Arial" w:cs="Arial" w:eastAsia="Arial" w:hAnsi="Arial"/>
                <w:sz w:val="11"/>
                <w:szCs w:val="11"/>
                <w:b w:val="1"/>
                <w:bCs w:val="1"/>
                <w:color w:val="auto"/>
              </w:rPr>
              <w:t>2017</w:t>
            </w:r>
          </w:p>
        </w:tc>
        <w:tc>
          <w:tcPr>
            <w:tcW w:w="180" w:type="dxa"/>
            <w:vAlign w:val="bottom"/>
            <w:tcBorders>
              <w:top w:val="single" w:sz="8" w:color="auto"/>
              <w:bottom w:val="single" w:sz="8" w:color="CCEEFF"/>
            </w:tcBorders>
          </w:tcPr>
          <w:p>
            <w:pPr>
              <w:spacing w:after="0"/>
              <w:rPr>
                <w:sz w:val="10"/>
                <w:szCs w:val="10"/>
                <w:color w:val="auto"/>
              </w:rPr>
            </w:pPr>
          </w:p>
        </w:tc>
        <w:tc>
          <w:tcPr>
            <w:tcW w:w="80" w:type="dxa"/>
            <w:vAlign w:val="bottom"/>
            <w:tcBorders>
              <w:top w:val="single" w:sz="8" w:color="auto"/>
              <w:bottom w:val="single" w:sz="8" w:color="CCEEFF"/>
            </w:tcBorders>
          </w:tcPr>
          <w:p>
            <w:pPr>
              <w:spacing w:after="0"/>
              <w:rPr>
                <w:sz w:val="10"/>
                <w:szCs w:val="10"/>
                <w:color w:val="auto"/>
              </w:rPr>
            </w:pPr>
          </w:p>
        </w:tc>
        <w:tc>
          <w:tcPr>
            <w:tcW w:w="140" w:type="dxa"/>
            <w:vAlign w:val="bottom"/>
            <w:tcBorders>
              <w:top w:val="single" w:sz="8" w:color="auto"/>
              <w:bottom w:val="single" w:sz="8" w:color="auto"/>
            </w:tcBorders>
          </w:tcPr>
          <w:p>
            <w:pPr>
              <w:spacing w:after="0"/>
              <w:rPr>
                <w:sz w:val="10"/>
                <w:szCs w:val="10"/>
                <w:color w:val="auto"/>
              </w:rPr>
            </w:pPr>
          </w:p>
        </w:tc>
        <w:tc>
          <w:tcPr>
            <w:tcW w:w="540" w:type="dxa"/>
            <w:vAlign w:val="bottom"/>
            <w:tcBorders>
              <w:top w:val="single" w:sz="8" w:color="auto"/>
              <w:bottom w:val="single" w:sz="8" w:color="auto"/>
            </w:tcBorders>
          </w:tcPr>
          <w:p>
            <w:pPr>
              <w:jc w:val="right"/>
              <w:ind w:right="170"/>
              <w:spacing w:after="0" w:line="118" w:lineRule="exact"/>
              <w:rPr>
                <w:sz w:val="20"/>
                <w:szCs w:val="20"/>
                <w:color w:val="auto"/>
              </w:rPr>
            </w:pPr>
            <w:r>
              <w:rPr>
                <w:rFonts w:ascii="Arial" w:cs="Arial" w:eastAsia="Arial" w:hAnsi="Arial"/>
                <w:sz w:val="11"/>
                <w:szCs w:val="11"/>
                <w:b w:val="1"/>
                <w:bCs w:val="1"/>
                <w:color w:val="auto"/>
              </w:rPr>
              <w:t>2016</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4"/>
                <w:szCs w:val="14"/>
                <w:color w:val="auto"/>
              </w:rPr>
              <w:t>January</w:t>
            </w:r>
          </w:p>
        </w:tc>
        <w:tc>
          <w:tcPr>
            <w:tcW w:w="248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b w:val="1"/>
                <w:bCs w:val="1"/>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418</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b w:val="1"/>
                <w:bCs w:val="1"/>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397</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b w:val="1"/>
                <w:bCs w:val="1"/>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358</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980" w:type="dxa"/>
            <w:vAlign w:val="bottom"/>
          </w:tcPr>
          <w:p>
            <w:pPr>
              <w:spacing w:after="0"/>
              <w:rPr>
                <w:sz w:val="20"/>
                <w:szCs w:val="20"/>
                <w:color w:val="auto"/>
              </w:rPr>
            </w:pPr>
            <w:r>
              <w:rPr>
                <w:rFonts w:ascii="Arial" w:cs="Arial" w:eastAsia="Arial" w:hAnsi="Arial"/>
                <w:sz w:val="14"/>
                <w:szCs w:val="14"/>
                <w:color w:val="auto"/>
              </w:rPr>
              <w:t>February</w:t>
            </w:r>
          </w:p>
        </w:tc>
        <w:tc>
          <w:tcPr>
            <w:tcW w:w="2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459</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420</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357</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4"/>
                <w:szCs w:val="14"/>
                <w:color w:val="auto"/>
              </w:rPr>
              <w:t>March</w:t>
            </w:r>
          </w:p>
        </w:tc>
        <w:tc>
          <w:tcPr>
            <w:tcW w:w="24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480</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433</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366</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980" w:type="dxa"/>
            <w:vAlign w:val="bottom"/>
          </w:tcPr>
          <w:p>
            <w:pPr>
              <w:spacing w:after="0"/>
              <w:rPr>
                <w:sz w:val="20"/>
                <w:szCs w:val="20"/>
                <w:color w:val="auto"/>
              </w:rPr>
            </w:pPr>
            <w:r>
              <w:rPr>
                <w:rFonts w:ascii="Arial" w:cs="Arial" w:eastAsia="Arial" w:hAnsi="Arial"/>
                <w:sz w:val="14"/>
                <w:szCs w:val="14"/>
                <w:color w:val="auto"/>
              </w:rPr>
              <w:t>April</w:t>
            </w:r>
          </w:p>
        </w:tc>
        <w:tc>
          <w:tcPr>
            <w:tcW w:w="2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483</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438</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389</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4"/>
                <w:szCs w:val="14"/>
                <w:color w:val="auto"/>
              </w:rPr>
              <w:t>May</w:t>
            </w:r>
          </w:p>
        </w:tc>
        <w:tc>
          <w:tcPr>
            <w:tcW w:w="24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535</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416</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397</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980" w:type="dxa"/>
            <w:vAlign w:val="bottom"/>
          </w:tcPr>
          <w:p>
            <w:pPr>
              <w:spacing w:after="0"/>
              <w:rPr>
                <w:sz w:val="20"/>
                <w:szCs w:val="20"/>
                <w:color w:val="auto"/>
              </w:rPr>
            </w:pPr>
            <w:r>
              <w:rPr>
                <w:rFonts w:ascii="Arial" w:cs="Arial" w:eastAsia="Arial" w:hAnsi="Arial"/>
                <w:sz w:val="14"/>
                <w:szCs w:val="14"/>
                <w:color w:val="auto"/>
              </w:rPr>
              <w:t>June</w:t>
            </w:r>
          </w:p>
        </w:tc>
        <w:tc>
          <w:tcPr>
            <w:tcW w:w="2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562</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399</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382</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4"/>
                <w:szCs w:val="14"/>
                <w:color w:val="auto"/>
              </w:rPr>
              <w:t>July</w:t>
            </w:r>
          </w:p>
        </w:tc>
        <w:tc>
          <w:tcPr>
            <w:tcW w:w="24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512</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381</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380</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980" w:type="dxa"/>
            <w:vAlign w:val="bottom"/>
          </w:tcPr>
          <w:p>
            <w:pPr>
              <w:spacing w:after="0"/>
              <w:rPr>
                <w:sz w:val="20"/>
                <w:szCs w:val="20"/>
                <w:color w:val="auto"/>
              </w:rPr>
            </w:pPr>
            <w:r>
              <w:rPr>
                <w:rFonts w:ascii="Arial" w:cs="Arial" w:eastAsia="Arial" w:hAnsi="Arial"/>
                <w:sz w:val="14"/>
                <w:szCs w:val="14"/>
                <w:color w:val="auto"/>
              </w:rPr>
              <w:t>August</w:t>
            </w:r>
          </w:p>
        </w:tc>
        <w:tc>
          <w:tcPr>
            <w:tcW w:w="2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449</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383</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391</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4"/>
                <w:szCs w:val="14"/>
                <w:color w:val="auto"/>
              </w:rPr>
              <w:t>September</w:t>
            </w:r>
          </w:p>
        </w:tc>
        <w:tc>
          <w:tcPr>
            <w:tcW w:w="24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440</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387</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375</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980" w:type="dxa"/>
            <w:vAlign w:val="bottom"/>
          </w:tcPr>
          <w:p>
            <w:pPr>
              <w:spacing w:after="0"/>
              <w:rPr>
                <w:sz w:val="20"/>
                <w:szCs w:val="20"/>
                <w:color w:val="auto"/>
              </w:rPr>
            </w:pPr>
            <w:r>
              <w:rPr>
                <w:rFonts w:ascii="Arial" w:cs="Arial" w:eastAsia="Arial" w:hAnsi="Arial"/>
                <w:sz w:val="14"/>
                <w:szCs w:val="14"/>
                <w:color w:val="auto"/>
              </w:rPr>
              <w:t>October</w:t>
            </w:r>
          </w:p>
        </w:tc>
        <w:tc>
          <w:tcPr>
            <w:tcW w:w="2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410</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417</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385</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4"/>
                <w:szCs w:val="14"/>
                <w:color w:val="auto"/>
              </w:rPr>
              <w:t>November</w:t>
            </w:r>
          </w:p>
        </w:tc>
        <w:tc>
          <w:tcPr>
            <w:tcW w:w="24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378</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412</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387</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980" w:type="dxa"/>
            <w:vAlign w:val="bottom"/>
          </w:tcPr>
          <w:p>
            <w:pPr>
              <w:spacing w:after="0"/>
              <w:rPr>
                <w:sz w:val="20"/>
                <w:szCs w:val="20"/>
                <w:color w:val="auto"/>
              </w:rPr>
            </w:pPr>
            <w:r>
              <w:rPr>
                <w:rFonts w:ascii="Arial" w:cs="Arial" w:eastAsia="Arial" w:hAnsi="Arial"/>
                <w:sz w:val="14"/>
                <w:szCs w:val="14"/>
                <w:color w:val="auto"/>
              </w:rPr>
              <w:t>December</w:t>
            </w:r>
          </w:p>
        </w:tc>
        <w:tc>
          <w:tcPr>
            <w:tcW w:w="2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377</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418</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70"/>
        </w:trPr>
        <w:tc>
          <w:tcPr>
            <w:tcW w:w="20" w:type="dxa"/>
            <w:vAlign w:val="bottom"/>
            <w:vMerge w:val="restart"/>
          </w:tcPr>
          <w:p>
            <w:pPr>
              <w:spacing w:after="0"/>
              <w:rPr>
                <w:sz w:val="14"/>
                <w:szCs w:val="14"/>
                <w:color w:val="auto"/>
              </w:rPr>
            </w:pPr>
          </w:p>
        </w:tc>
        <w:tc>
          <w:tcPr>
            <w:tcW w:w="3980" w:type="dxa"/>
            <w:vAlign w:val="bottom"/>
            <w:shd w:val="clear" w:color="auto" w:fill="CCEEFF"/>
          </w:tcPr>
          <w:p>
            <w:pPr>
              <w:spacing w:after="0"/>
              <w:rPr>
                <w:sz w:val="14"/>
                <w:szCs w:val="14"/>
                <w:color w:val="auto"/>
              </w:rPr>
            </w:pPr>
          </w:p>
        </w:tc>
        <w:tc>
          <w:tcPr>
            <w:tcW w:w="24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3980" w:type="dxa"/>
            <w:vAlign w:val="bottom"/>
          </w:tcPr>
          <w:p>
            <w:pPr>
              <w:spacing w:after="0"/>
              <w:rPr>
                <w:sz w:val="20"/>
                <w:szCs w:val="20"/>
                <w:color w:val="auto"/>
              </w:rPr>
            </w:pPr>
            <w:r>
              <w:rPr>
                <w:rFonts w:ascii="Arial" w:cs="Arial" w:eastAsia="Arial" w:hAnsi="Arial"/>
                <w:sz w:val="14"/>
                <w:szCs w:val="14"/>
                <w:color w:val="auto"/>
              </w:rPr>
              <w:t>Annual average</w:t>
            </w:r>
          </w:p>
        </w:tc>
        <w:tc>
          <w:tcPr>
            <w:tcW w:w="2640" w:type="dxa"/>
            <w:vAlign w:val="bottom"/>
            <w:gridSpan w:val="2"/>
          </w:tcPr>
          <w:p>
            <w:pPr>
              <w:jc w:val="right"/>
              <w:ind w:right="49"/>
              <w:spacing w:after="0"/>
              <w:rPr>
                <w:sz w:val="20"/>
                <w:szCs w:val="20"/>
                <w:color w:val="auto"/>
              </w:rPr>
            </w:pPr>
            <w:r>
              <w:rPr>
                <w:rFonts w:ascii="Arial" w:cs="Arial" w:eastAsia="Arial" w:hAnsi="Arial"/>
                <w:sz w:val="14"/>
                <w:szCs w:val="14"/>
                <w:b w:val="1"/>
                <w:bCs w:val="1"/>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459</w:t>
            </w:r>
          </w:p>
        </w:tc>
        <w:tc>
          <w:tcPr>
            <w:tcW w:w="180" w:type="dxa"/>
            <w:vAlign w:val="bottom"/>
          </w:tcPr>
          <w:p>
            <w:pPr>
              <w:spacing w:after="0"/>
              <w:rPr>
                <w:sz w:val="14"/>
                <w:szCs w:val="14"/>
                <w:color w:val="auto"/>
              </w:rPr>
            </w:pPr>
          </w:p>
        </w:tc>
        <w:tc>
          <w:tcPr>
            <w:tcW w:w="220" w:type="dxa"/>
            <w:vAlign w:val="bottom"/>
            <w:gridSpan w:val="2"/>
          </w:tcPr>
          <w:p>
            <w:pPr>
              <w:jc w:val="right"/>
              <w:ind w:right="29"/>
              <w:spacing w:after="0"/>
              <w:rPr>
                <w:sz w:val="20"/>
                <w:szCs w:val="20"/>
                <w:color w:val="auto"/>
              </w:rPr>
            </w:pPr>
            <w:r>
              <w:rPr>
                <w:rFonts w:ascii="Arial" w:cs="Arial" w:eastAsia="Arial" w:hAnsi="Arial"/>
                <w:sz w:val="14"/>
                <w:szCs w:val="14"/>
                <w:b w:val="1"/>
                <w:bCs w:val="1"/>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408</w:t>
            </w:r>
          </w:p>
        </w:tc>
        <w:tc>
          <w:tcPr>
            <w:tcW w:w="180" w:type="dxa"/>
            <w:vAlign w:val="bottom"/>
          </w:tcPr>
          <w:p>
            <w:pPr>
              <w:spacing w:after="0"/>
              <w:rPr>
                <w:sz w:val="14"/>
                <w:szCs w:val="14"/>
                <w:color w:val="auto"/>
              </w:rPr>
            </w:pPr>
          </w:p>
        </w:tc>
        <w:tc>
          <w:tcPr>
            <w:tcW w:w="220" w:type="dxa"/>
            <w:vAlign w:val="bottom"/>
            <w:gridSpan w:val="2"/>
          </w:tcPr>
          <w:p>
            <w:pPr>
              <w:jc w:val="right"/>
              <w:ind w:right="29"/>
              <w:spacing w:after="0"/>
              <w:rPr>
                <w:sz w:val="20"/>
                <w:szCs w:val="20"/>
                <w:color w:val="auto"/>
              </w:rPr>
            </w:pPr>
            <w:r>
              <w:rPr>
                <w:rFonts w:ascii="Arial" w:cs="Arial" w:eastAsia="Arial" w:hAnsi="Arial"/>
                <w:sz w:val="14"/>
                <w:szCs w:val="14"/>
                <w:b w:val="1"/>
                <w:bCs w:val="1"/>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381</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4"/>
                <w:szCs w:val="14"/>
                <w:color w:val="auto"/>
              </w:rPr>
              <w:t>Annual percentage change</w:t>
            </w:r>
          </w:p>
        </w:tc>
        <w:tc>
          <w:tcPr>
            <w:tcW w:w="24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12.5 %</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7.1 %</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325"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IMPACT OF THE LUMBER MARKET ON OUR OPERATING RESULTS</w:t>
      </w:r>
    </w:p>
    <w:p>
      <w:pPr>
        <w:spacing w:after="0" w:line="183"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We experience significant fluctuations in the cost of commodity lumber products from primary producers ("Lumber Market"). We generally price our products to pass lumber costs through to our customers so that our profitability is based on the value-added manufacturing, distribution, engineering, and other services we provide. As a result, our sales levels (and working capital requirements) are impacted by the lumber costs of our products. Lumber costs were 50.6%, 49.1%, and 48.4% of our gross sales in 2018, 2017, and 2016, respectively.</w:t>
      </w:r>
    </w:p>
    <w:p>
      <w:pPr>
        <w:spacing w:after="0" w:line="147"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 xml:space="preserve">Our gross margins are impacted by (1) the relative </w:t>
      </w:r>
      <w:r>
        <w:rPr>
          <w:rFonts w:ascii="Arial" w:cs="Arial" w:eastAsia="Arial" w:hAnsi="Arial"/>
          <w:sz w:val="14"/>
          <w:szCs w:val="14"/>
          <w:u w:val="single" w:color="auto"/>
          <w:color w:val="auto"/>
        </w:rPr>
        <w:t>level</w:t>
      </w:r>
      <w:r>
        <w:rPr>
          <w:rFonts w:ascii="Arial" w:cs="Arial" w:eastAsia="Arial" w:hAnsi="Arial"/>
          <w:sz w:val="14"/>
          <w:szCs w:val="14"/>
          <w:color w:val="auto"/>
        </w:rPr>
        <w:t xml:space="preserve"> of the Lumber Market (i.e. whether prices are higher or lower from comparative periods), and (2) the </w:t>
      </w:r>
      <w:r>
        <w:rPr>
          <w:rFonts w:ascii="Arial" w:cs="Arial" w:eastAsia="Arial" w:hAnsi="Arial"/>
          <w:sz w:val="14"/>
          <w:szCs w:val="14"/>
          <w:u w:val="single" w:color="auto"/>
          <w:color w:val="auto"/>
        </w:rPr>
        <w:t>trend</w:t>
      </w:r>
      <w:r>
        <w:rPr>
          <w:rFonts w:ascii="Arial" w:cs="Arial" w:eastAsia="Arial" w:hAnsi="Arial"/>
          <w:sz w:val="14"/>
          <w:szCs w:val="14"/>
          <w:color w:val="auto"/>
        </w:rPr>
        <w:t xml:space="preserve"> in the market price of lumber (i.e. whether the price of lumber is increasing or decreasing within a period or from period to period). Moreover, as explained below, our products are priced differently. Some of our products have fixed selling prices, while the selling prices of other products are indexed to the reported Lumber Market with a fixed dollar adder to cover conversion costs and profits. Consequently, the </w:t>
      </w:r>
      <w:r>
        <w:rPr>
          <w:rFonts w:ascii="Arial" w:cs="Arial" w:eastAsia="Arial" w:hAnsi="Arial"/>
          <w:sz w:val="14"/>
          <w:szCs w:val="14"/>
          <w:u w:val="single" w:color="auto"/>
          <w:color w:val="auto"/>
        </w:rPr>
        <w:t>level</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trend</w:t>
      </w:r>
      <w:r>
        <w:rPr>
          <w:rFonts w:ascii="Arial" w:cs="Arial" w:eastAsia="Arial" w:hAnsi="Arial"/>
          <w:sz w:val="14"/>
          <w:szCs w:val="14"/>
          <w:color w:val="auto"/>
        </w:rPr>
        <w:t xml:space="preserve"> of the Lumber Market impact our products differently.</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color w:val="auto"/>
        </w:rPr>
        <w:t>Below is a general description of the primary ways in which our products are priced.</w:t>
      </w:r>
    </w:p>
    <w:p>
      <w:pPr>
        <w:spacing w:after="0" w:line="179" w:lineRule="exact"/>
        <w:rPr>
          <w:sz w:val="20"/>
          <w:szCs w:val="20"/>
          <w:color w:val="auto"/>
        </w:rPr>
      </w:pPr>
    </w:p>
    <w:p>
      <w:pPr>
        <w:jc w:val="both"/>
        <w:ind w:left="520" w:hanging="261"/>
        <w:spacing w:after="0" w:line="258" w:lineRule="auto"/>
        <w:tabs>
          <w:tab w:leader="none" w:pos="520" w:val="left"/>
        </w:tabs>
        <w:numPr>
          <w:ilvl w:val="0"/>
          <w:numId w:val="22"/>
        </w:numPr>
        <w:rPr>
          <w:rFonts w:ascii="Arial" w:cs="Arial" w:eastAsia="Arial" w:hAnsi="Arial"/>
          <w:sz w:val="14"/>
          <w:szCs w:val="14"/>
          <w:color w:val="auto"/>
        </w:rPr>
      </w:pPr>
      <w:r>
        <w:rPr>
          <w:rFonts w:ascii="Arial" w:cs="Arial" w:eastAsia="Arial" w:hAnsi="Arial"/>
          <w:sz w:val="14"/>
          <w:szCs w:val="14"/>
          <w:u w:val="single" w:color="auto"/>
          <w:color w:val="auto"/>
        </w:rPr>
        <w:t>Products with fixed selling prices.</w:t>
      </w:r>
      <w:r>
        <w:rPr>
          <w:rFonts w:ascii="Arial" w:cs="Arial" w:eastAsia="Arial" w:hAnsi="Arial"/>
          <w:sz w:val="14"/>
          <w:szCs w:val="14"/>
          <w:color w:val="auto"/>
        </w:rPr>
        <w:t xml:space="preserve"> These products include value-added products such as decking and fencing sold to retail building materials customers, as well as trusses, wall panels and other components sold to the residential construction market, and most industrial packaging products. Prices for these products are generally fixed at the time of the sales quotation for a specified period of time or are based upon a specific quantity. In order to maintain margins and reduce any exposure to adverse </w:t>
      </w:r>
      <w:r>
        <w:rPr>
          <w:rFonts w:ascii="Arial" w:cs="Arial" w:eastAsia="Arial" w:hAnsi="Arial"/>
          <w:sz w:val="14"/>
          <w:szCs w:val="14"/>
          <w:u w:val="single" w:color="auto"/>
          <w:color w:val="auto"/>
        </w:rPr>
        <w:t>trends</w:t>
      </w:r>
      <w:r>
        <w:rPr>
          <w:rFonts w:ascii="Arial" w:cs="Arial" w:eastAsia="Arial" w:hAnsi="Arial"/>
          <w:sz w:val="14"/>
          <w:szCs w:val="14"/>
          <w:color w:val="auto"/>
        </w:rPr>
        <w:t xml:space="preserve"> in the price of component lumber products, we attempt to lock in costs with our suppliers for these sales commitments. Also, the time period and quantity limitations generally allow us to eventually re-price our products for changes in lumber costs from our suppliers.</w:t>
      </w:r>
    </w:p>
    <w:p>
      <w:pPr>
        <w:spacing w:after="0" w:line="150" w:lineRule="exact"/>
        <w:rPr>
          <w:rFonts w:ascii="Arial" w:cs="Arial" w:eastAsia="Arial" w:hAnsi="Arial"/>
          <w:sz w:val="14"/>
          <w:szCs w:val="14"/>
          <w:color w:val="auto"/>
        </w:rPr>
      </w:pPr>
    </w:p>
    <w:p>
      <w:pPr>
        <w:ind w:left="520" w:hanging="261"/>
        <w:spacing w:after="0" w:line="281" w:lineRule="auto"/>
        <w:tabs>
          <w:tab w:leader="none" w:pos="5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Products with selling prices indexed to the reported Lumber Market with a fixed dollar "adder" to cover conversion costs and profits. These products primarily include treated lumber, remanufactured lumber, and</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66675</wp:posOffset>
            </wp:positionV>
            <wp:extent cx="5779135" cy="203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3">
                      <a:extLst>
                        <a:ext uri="{28A0092B-C50C-407E-A947-70E740481C1C}"/>
                      </a:extLst>
                    </a:blip>
                    <a:srcRect/>
                    <a:stretch>
                      <a:fillRect/>
                    </a:stretch>
                  </pic:blipFill>
                  <pic:spPr bwMode="auto">
                    <a:xfrm>
                      <a:off x="0" y="0"/>
                      <a:ext cx="5779135" cy="20320"/>
                    </a:xfrm>
                    <a:prstGeom prst="rect">
                      <a:avLst/>
                    </a:prstGeom>
                    <a:noFill/>
                  </pic:spPr>
                </pic:pic>
              </a:graphicData>
            </a:graphic>
          </wp:anchor>
        </w:drawing>
      </w:r>
    </w:p>
    <w:p>
      <w:pPr>
        <w:sectPr>
          <w:pgSz w:w="11900" w:h="16838" w:orient="portrait"/>
          <w:cols w:equalWidth="0" w:num="1">
            <w:col w:w="9100"/>
          </w:cols>
          <w:pgMar w:left="1400" w:top="129" w:right="1399" w:bottom="1440" w:gutter="0" w:footer="0" w:header="0"/>
        </w:sectPr>
      </w:pPr>
    </w:p>
    <w:bookmarkStart w:id="48" w:name="page49"/>
    <w:bookmarkEnd w:id="48"/>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UNIVERSAL FOREST PRODUCTS,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MANAGEMENT’S DISCUSSION AND ANALYSIS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FINANCIAL CONDITION AND RESULTS OF OPERATIONS</w:t>
      </w:r>
    </w:p>
    <w:p>
      <w:pPr>
        <w:spacing w:after="0" w:line="169" w:lineRule="exact"/>
        <w:rPr>
          <w:sz w:val="20"/>
          <w:szCs w:val="20"/>
          <w:color w:val="auto"/>
        </w:rPr>
      </w:pPr>
    </w:p>
    <w:p>
      <w:pPr>
        <w:jc w:val="both"/>
        <w:ind w:left="520"/>
        <w:spacing w:after="0" w:line="289" w:lineRule="auto"/>
        <w:rPr>
          <w:sz w:val="20"/>
          <w:szCs w:val="20"/>
          <w:color w:val="auto"/>
        </w:rPr>
      </w:pPr>
      <w:r>
        <w:rPr>
          <w:rFonts w:ascii="Arial" w:cs="Arial" w:eastAsia="Arial" w:hAnsi="Arial"/>
          <w:sz w:val="13"/>
          <w:szCs w:val="13"/>
          <w:color w:val="auto"/>
        </w:rPr>
        <w:t>trusses sold to the manufactured housing industry. For these products, we estimate the customers’ needs and we carry anticipated levels of inventory. Because lumber costs are incurred in advance of final sale prices, subsequent increases or decreases in the market price of lumber impact our profitability. In other words, for these products, our margins are exposed to changes in the trend of lumber prices. We believe our sales of these products are at their highest relative level in our second quarter, primarily due to treated lumber sold to the retail market.</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The greatest risk associated with changes in the </w:t>
      </w:r>
      <w:r>
        <w:rPr>
          <w:rFonts w:ascii="Arial" w:cs="Arial" w:eastAsia="Arial" w:hAnsi="Arial"/>
          <w:sz w:val="14"/>
          <w:szCs w:val="14"/>
          <w:u w:val="single" w:color="auto"/>
          <w:color w:val="auto"/>
        </w:rPr>
        <w:t>trend</w:t>
      </w:r>
      <w:r>
        <w:rPr>
          <w:rFonts w:ascii="Arial" w:cs="Arial" w:eastAsia="Arial" w:hAnsi="Arial"/>
          <w:sz w:val="14"/>
          <w:szCs w:val="14"/>
          <w:color w:val="auto"/>
        </w:rPr>
        <w:t xml:space="preserve"> of lumber prices is on the following products:</w:t>
      </w:r>
    </w:p>
    <w:p>
      <w:pPr>
        <w:spacing w:after="0" w:line="179" w:lineRule="exact"/>
        <w:rPr>
          <w:sz w:val="20"/>
          <w:szCs w:val="20"/>
          <w:color w:val="auto"/>
        </w:rPr>
      </w:pPr>
    </w:p>
    <w:p>
      <w:pPr>
        <w:jc w:val="both"/>
        <w:ind w:left="520" w:hanging="261"/>
        <w:spacing w:after="0" w:line="172" w:lineRule="exact"/>
        <w:tabs>
          <w:tab w:leader="none" w:pos="520" w:val="left"/>
        </w:tabs>
        <w:numPr>
          <w:ilvl w:val="0"/>
          <w:numId w:val="23"/>
        </w:numPr>
        <w:rPr>
          <w:rFonts w:ascii="Arial" w:cs="Arial" w:eastAsia="Arial" w:hAnsi="Arial"/>
          <w:sz w:val="14"/>
          <w:szCs w:val="14"/>
          <w:color w:val="auto"/>
        </w:rPr>
      </w:pPr>
      <w:r>
        <w:rPr>
          <w:rFonts w:ascii="Arial" w:cs="Arial" w:eastAsia="Arial" w:hAnsi="Arial"/>
          <w:sz w:val="14"/>
          <w:szCs w:val="14"/>
          <w:u w:val="single" w:color="auto"/>
          <w:color w:val="auto"/>
        </w:rPr>
        <w:t>Products with significant inventory levels with low turnover rates, whose selling prices are indexed to the Lumber Market.</w:t>
      </w:r>
      <w:r>
        <w:rPr>
          <w:rFonts w:ascii="Arial" w:cs="Arial" w:eastAsia="Arial" w:hAnsi="Arial"/>
          <w:sz w:val="14"/>
          <w:szCs w:val="14"/>
          <w:color w:val="auto"/>
        </w:rPr>
        <w:t xml:space="preserve"> In other words, the longer the period of time these products remain in inventory, the greater the exposure to changes in the price of lumber. This would include treated lumber, which comprises approximately 18% of our total sales. This exposure is less significant with remanufactured lumber, trusses sold to the manufactured housing market, and other similar products, due to our higher rate of inventory turnover of these products. We attempt to mitigate the risk associated with treated lumber through vendor consignment inventory programs. (</w:t>
      </w:r>
      <w:r>
        <w:rPr>
          <w:rFonts w:ascii="Arial" w:cs="Arial" w:eastAsia="Arial" w:hAnsi="Arial"/>
          <w:sz w:val="14"/>
          <w:szCs w:val="14"/>
          <w:i w:val="1"/>
          <w:iCs w:val="1"/>
          <w:color w:val="auto"/>
        </w:rPr>
        <w:t>Please refer to the “Risk Factors” section of our annual report on form 10</w:t>
      </w:r>
      <w:r>
        <w:rPr>
          <w:rFonts w:ascii="MS PGothic" w:cs="MS PGothic" w:eastAsia="MS PGothic" w:hAnsi="MS PGothic"/>
          <w:sz w:val="14"/>
          <w:szCs w:val="14"/>
          <w:i w:val="1"/>
          <w:iCs w:val="1"/>
          <w:color w:val="auto"/>
        </w:rPr>
        <w:t>‑</w:t>
      </w:r>
      <w:r>
        <w:rPr>
          <w:rFonts w:ascii="Arial" w:cs="Arial" w:eastAsia="Arial" w:hAnsi="Arial"/>
          <w:sz w:val="14"/>
          <w:szCs w:val="14"/>
          <w:i w:val="1"/>
          <w:iCs w:val="1"/>
          <w:color w:val="auto"/>
        </w:rPr>
        <w:t>K,</w:t>
      </w:r>
      <w:r>
        <w:rPr>
          <w:rFonts w:ascii="Arial" w:cs="Arial" w:eastAsia="Arial" w:hAnsi="Arial"/>
          <w:sz w:val="14"/>
          <w:szCs w:val="14"/>
          <w:color w:val="auto"/>
        </w:rPr>
        <w:t xml:space="preserve"> </w:t>
      </w:r>
      <w:r>
        <w:rPr>
          <w:rFonts w:ascii="Arial" w:cs="Arial" w:eastAsia="Arial" w:hAnsi="Arial"/>
          <w:sz w:val="14"/>
          <w:szCs w:val="14"/>
          <w:i w:val="1"/>
          <w:iCs w:val="1"/>
          <w:color w:val="auto"/>
        </w:rPr>
        <w:t>filed with the United States Securities and Exchange Commission.</w:t>
      </w:r>
      <w:r>
        <w:rPr>
          <w:rFonts w:ascii="Arial" w:cs="Arial" w:eastAsia="Arial" w:hAnsi="Arial"/>
          <w:sz w:val="14"/>
          <w:szCs w:val="14"/>
          <w:color w:val="auto"/>
        </w:rPr>
        <w:t>)</w:t>
      </w:r>
    </w:p>
    <w:p>
      <w:pPr>
        <w:spacing w:after="0" w:line="163" w:lineRule="exact"/>
        <w:rPr>
          <w:rFonts w:ascii="Arial" w:cs="Arial" w:eastAsia="Arial" w:hAnsi="Arial"/>
          <w:sz w:val="14"/>
          <w:szCs w:val="14"/>
          <w:color w:val="auto"/>
        </w:rPr>
      </w:pPr>
    </w:p>
    <w:p>
      <w:pPr>
        <w:jc w:val="both"/>
        <w:ind w:left="520" w:hanging="261"/>
        <w:spacing w:after="0" w:line="267" w:lineRule="auto"/>
        <w:tabs>
          <w:tab w:leader="none" w:pos="5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Products with fixed selling prices sold under long-term supply arrangements, particularly those involving multi-family construction projects. We attempt to mitigate this risk through our purchasing practices by locking in costs or including re-pricing triggers if lumber prices change in excess of an agreed upon percentage.</w:t>
      </w:r>
    </w:p>
    <w:p>
      <w:pPr>
        <w:spacing w:after="0" w:line="142"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 xml:space="preserve">In addition to the impact of the Lumber Market </w:t>
      </w:r>
      <w:r>
        <w:rPr>
          <w:rFonts w:ascii="Arial" w:cs="Arial" w:eastAsia="Arial" w:hAnsi="Arial"/>
          <w:sz w:val="14"/>
          <w:szCs w:val="14"/>
          <w:u w:val="single" w:color="auto"/>
          <w:color w:val="auto"/>
        </w:rPr>
        <w:t>trends</w:t>
      </w:r>
      <w:r>
        <w:rPr>
          <w:rFonts w:ascii="Arial" w:cs="Arial" w:eastAsia="Arial" w:hAnsi="Arial"/>
          <w:sz w:val="14"/>
          <w:szCs w:val="14"/>
          <w:color w:val="auto"/>
        </w:rPr>
        <w:t xml:space="preserve"> on gross margins, changes in the </w:t>
      </w:r>
      <w:r>
        <w:rPr>
          <w:rFonts w:ascii="Arial" w:cs="Arial" w:eastAsia="Arial" w:hAnsi="Arial"/>
          <w:sz w:val="14"/>
          <w:szCs w:val="14"/>
          <w:u w:val="single" w:color="auto"/>
          <w:color w:val="auto"/>
        </w:rPr>
        <w:t>level</w:t>
      </w:r>
      <w:r>
        <w:rPr>
          <w:rFonts w:ascii="Arial" w:cs="Arial" w:eastAsia="Arial" w:hAnsi="Arial"/>
          <w:sz w:val="14"/>
          <w:szCs w:val="14"/>
          <w:color w:val="auto"/>
        </w:rPr>
        <w:t xml:space="preserve"> of the market cause fluctuations in gross margins when comparing operating results from period to period. This is explained in the following example, which assumes the price of lumber has increased from period one to period two, with no changes in the </w:t>
      </w:r>
      <w:r>
        <w:rPr>
          <w:rFonts w:ascii="Arial" w:cs="Arial" w:eastAsia="Arial" w:hAnsi="Arial"/>
          <w:sz w:val="14"/>
          <w:szCs w:val="14"/>
          <w:u w:val="single" w:color="auto"/>
          <w:color w:val="auto"/>
        </w:rPr>
        <w:t>trend</w:t>
      </w:r>
      <w:r>
        <w:rPr>
          <w:rFonts w:ascii="Arial" w:cs="Arial" w:eastAsia="Arial" w:hAnsi="Arial"/>
          <w:sz w:val="14"/>
          <w:szCs w:val="14"/>
          <w:color w:val="auto"/>
        </w:rPr>
        <w:t xml:space="preserve"> within each period.</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20" w:type="dxa"/>
            <w:vAlign w:val="bottom"/>
          </w:tcPr>
          <w:p>
            <w:pPr>
              <w:spacing w:after="0"/>
              <w:rPr>
                <w:sz w:val="11"/>
                <w:szCs w:val="11"/>
                <w:color w:val="auto"/>
              </w:rPr>
            </w:pPr>
          </w:p>
        </w:tc>
        <w:tc>
          <w:tcPr>
            <w:tcW w:w="3960" w:type="dxa"/>
            <w:vAlign w:val="bottom"/>
          </w:tcPr>
          <w:p>
            <w:pPr>
              <w:spacing w:after="0"/>
              <w:rPr>
                <w:sz w:val="11"/>
                <w:szCs w:val="11"/>
                <w:color w:val="auto"/>
              </w:rPr>
            </w:pPr>
          </w:p>
        </w:tc>
        <w:tc>
          <w:tcPr>
            <w:tcW w:w="3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1"/>
                <w:szCs w:val="11"/>
                <w:b w:val="1"/>
                <w:bCs w:val="1"/>
                <w:color w:val="auto"/>
              </w:rPr>
              <w:t>Period 1</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1"/>
                <w:szCs w:val="11"/>
                <w:b w:val="1"/>
                <w:bCs w:val="1"/>
                <w:color w:val="auto"/>
              </w:rPr>
              <w:t>Period 2</w:t>
            </w:r>
          </w:p>
        </w:tc>
      </w:tr>
      <w:tr>
        <w:trPr>
          <w:trHeight w:val="161"/>
        </w:trPr>
        <w:tc>
          <w:tcPr>
            <w:tcW w:w="20" w:type="dxa"/>
            <w:vAlign w:val="bottom"/>
          </w:tcPr>
          <w:p>
            <w:pPr>
              <w:spacing w:after="0"/>
              <w:rPr>
                <w:sz w:val="13"/>
                <w:szCs w:val="13"/>
                <w:color w:val="auto"/>
              </w:rPr>
            </w:pPr>
          </w:p>
        </w:tc>
        <w:tc>
          <w:tcPr>
            <w:tcW w:w="3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color w:val="auto"/>
              </w:rPr>
              <w:t>Lumber cost</w:t>
            </w:r>
          </w:p>
        </w:tc>
        <w:tc>
          <w:tcPr>
            <w:tcW w:w="30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300</w:t>
            </w:r>
          </w:p>
        </w:tc>
        <w:tc>
          <w:tcPr>
            <w:tcW w:w="16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400</w:t>
            </w:r>
          </w:p>
        </w:tc>
        <w:tc>
          <w:tcPr>
            <w:tcW w:w="200" w:type="dxa"/>
            <w:vAlign w:val="bottom"/>
            <w:tcBorders>
              <w:top w:val="single" w:sz="8" w:color="CCEEFF"/>
            </w:tcBorders>
            <w:shd w:val="clear" w:color="auto" w:fill="CCEEFF"/>
          </w:tcPr>
          <w:p>
            <w:pPr>
              <w:spacing w:after="0"/>
              <w:rPr>
                <w:sz w:val="13"/>
                <w:szCs w:val="13"/>
                <w:color w:val="auto"/>
              </w:rPr>
            </w:pPr>
          </w:p>
        </w:tc>
      </w:tr>
      <w:tr>
        <w:trPr>
          <w:trHeight w:val="170"/>
        </w:trPr>
        <w:tc>
          <w:tcPr>
            <w:tcW w:w="20" w:type="dxa"/>
            <w:vAlign w:val="bottom"/>
          </w:tcPr>
          <w:p>
            <w:pPr>
              <w:spacing w:after="0"/>
              <w:rPr>
                <w:sz w:val="14"/>
                <w:szCs w:val="14"/>
                <w:color w:val="auto"/>
              </w:rPr>
            </w:pPr>
          </w:p>
        </w:tc>
        <w:tc>
          <w:tcPr>
            <w:tcW w:w="396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Conversion cost</w:t>
            </w:r>
          </w:p>
        </w:tc>
        <w:tc>
          <w:tcPr>
            <w:tcW w:w="30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w:t>
            </w:r>
          </w:p>
        </w:tc>
        <w:tc>
          <w:tcPr>
            <w:tcW w:w="16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w:t>
            </w:r>
          </w:p>
        </w:tc>
        <w:tc>
          <w:tcPr>
            <w:tcW w:w="200" w:type="dxa"/>
            <w:vAlign w:val="bottom"/>
            <w:tcBorders>
              <w:bottom w:val="single" w:sz="8" w:color="CCEEFF"/>
            </w:tcBorders>
          </w:tcPr>
          <w:p>
            <w:pPr>
              <w:spacing w:after="0"/>
              <w:rPr>
                <w:sz w:val="14"/>
                <w:szCs w:val="14"/>
                <w:color w:val="auto"/>
              </w:rPr>
            </w:pPr>
          </w:p>
        </w:tc>
      </w:tr>
      <w:tr>
        <w:trPr>
          <w:trHeight w:val="161"/>
        </w:trPr>
        <w:tc>
          <w:tcPr>
            <w:tcW w:w="20" w:type="dxa"/>
            <w:vAlign w:val="bottom"/>
          </w:tcPr>
          <w:p>
            <w:pPr>
              <w:spacing w:after="0"/>
              <w:rPr>
                <w:sz w:val="13"/>
                <w:szCs w:val="13"/>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4"/>
                <w:szCs w:val="14"/>
                <w:color w:val="auto"/>
              </w:rPr>
              <w:t>= Product cost</w:t>
            </w:r>
          </w:p>
        </w:tc>
        <w:tc>
          <w:tcPr>
            <w:tcW w:w="30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350</w:t>
            </w: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450</w:t>
            </w:r>
          </w:p>
        </w:tc>
        <w:tc>
          <w:tcPr>
            <w:tcW w:w="200" w:type="dxa"/>
            <w:vAlign w:val="bottom"/>
            <w:shd w:val="clear" w:color="auto" w:fill="CCEEFF"/>
          </w:tcPr>
          <w:p>
            <w:pPr>
              <w:spacing w:after="0"/>
              <w:rPr>
                <w:sz w:val="13"/>
                <w:szCs w:val="13"/>
                <w:color w:val="auto"/>
              </w:rPr>
            </w:pPr>
          </w:p>
        </w:tc>
      </w:tr>
      <w:tr>
        <w:trPr>
          <w:trHeight w:val="170"/>
        </w:trPr>
        <w:tc>
          <w:tcPr>
            <w:tcW w:w="20" w:type="dxa"/>
            <w:vAlign w:val="bottom"/>
          </w:tcPr>
          <w:p>
            <w:pPr>
              <w:spacing w:after="0"/>
              <w:rPr>
                <w:sz w:val="14"/>
                <w:szCs w:val="14"/>
                <w:color w:val="auto"/>
              </w:rPr>
            </w:pPr>
          </w:p>
        </w:tc>
        <w:tc>
          <w:tcPr>
            <w:tcW w:w="396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Adder</w:t>
            </w:r>
          </w:p>
        </w:tc>
        <w:tc>
          <w:tcPr>
            <w:tcW w:w="30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w:t>
            </w:r>
          </w:p>
        </w:tc>
        <w:tc>
          <w:tcPr>
            <w:tcW w:w="16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w:t>
            </w:r>
          </w:p>
        </w:tc>
        <w:tc>
          <w:tcPr>
            <w:tcW w:w="200" w:type="dxa"/>
            <w:vAlign w:val="bottom"/>
            <w:tcBorders>
              <w:bottom w:val="single" w:sz="8" w:color="CCEEFF"/>
            </w:tcBorders>
          </w:tcPr>
          <w:p>
            <w:pPr>
              <w:spacing w:after="0"/>
              <w:rPr>
                <w:sz w:val="14"/>
                <w:szCs w:val="14"/>
                <w:color w:val="auto"/>
              </w:rPr>
            </w:pPr>
          </w:p>
        </w:tc>
      </w:tr>
      <w:tr>
        <w:trPr>
          <w:trHeight w:val="161"/>
        </w:trPr>
        <w:tc>
          <w:tcPr>
            <w:tcW w:w="20" w:type="dxa"/>
            <w:vAlign w:val="bottom"/>
          </w:tcPr>
          <w:p>
            <w:pPr>
              <w:spacing w:after="0"/>
              <w:rPr>
                <w:sz w:val="13"/>
                <w:szCs w:val="13"/>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4"/>
                <w:szCs w:val="14"/>
                <w:color w:val="auto"/>
              </w:rPr>
              <w:t>= Sell price</w:t>
            </w:r>
          </w:p>
        </w:tc>
        <w:tc>
          <w:tcPr>
            <w:tcW w:w="306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w:t>
            </w: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w:t>
            </w:r>
          </w:p>
        </w:tc>
        <w:tc>
          <w:tcPr>
            <w:tcW w:w="200" w:type="dxa"/>
            <w:vAlign w:val="bottom"/>
            <w:shd w:val="clear" w:color="auto" w:fill="CCEEFF"/>
          </w:tcPr>
          <w:p>
            <w:pPr>
              <w:spacing w:after="0"/>
              <w:rPr>
                <w:sz w:val="13"/>
                <w:szCs w:val="13"/>
                <w:color w:val="auto"/>
              </w:rPr>
            </w:pPr>
          </w:p>
        </w:tc>
      </w:tr>
      <w:tr>
        <w:trPr>
          <w:trHeight w:val="180"/>
        </w:trPr>
        <w:tc>
          <w:tcPr>
            <w:tcW w:w="20" w:type="dxa"/>
            <w:vAlign w:val="bottom"/>
          </w:tcPr>
          <w:p>
            <w:pPr>
              <w:spacing w:after="0"/>
              <w:rPr>
                <w:sz w:val="15"/>
                <w:szCs w:val="15"/>
                <w:color w:val="auto"/>
              </w:rPr>
            </w:pPr>
          </w:p>
        </w:tc>
        <w:tc>
          <w:tcPr>
            <w:tcW w:w="3960" w:type="dxa"/>
            <w:vAlign w:val="bottom"/>
          </w:tcPr>
          <w:p>
            <w:pPr>
              <w:spacing w:after="0"/>
              <w:rPr>
                <w:sz w:val="20"/>
                <w:szCs w:val="20"/>
                <w:color w:val="auto"/>
              </w:rPr>
            </w:pPr>
            <w:r>
              <w:rPr>
                <w:rFonts w:ascii="Arial" w:cs="Arial" w:eastAsia="Arial" w:hAnsi="Arial"/>
                <w:sz w:val="14"/>
                <w:szCs w:val="14"/>
                <w:color w:val="auto"/>
              </w:rPr>
              <w:t>Gross margin</w:t>
            </w:r>
          </w:p>
        </w:tc>
        <w:tc>
          <w:tcPr>
            <w:tcW w:w="3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4"/>
                <w:szCs w:val="14"/>
                <w:color w:val="auto"/>
              </w:rPr>
              <w:t>12.5 %</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10.0 %</w:t>
            </w:r>
          </w:p>
        </w:tc>
      </w:tr>
    </w:tbl>
    <w:p>
      <w:pPr>
        <w:spacing w:after="0" w:line="149"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 xml:space="preserve">As is apparent from the preceding example, the </w:t>
      </w:r>
      <w:r>
        <w:rPr>
          <w:rFonts w:ascii="Arial" w:cs="Arial" w:eastAsia="Arial" w:hAnsi="Arial"/>
          <w:sz w:val="14"/>
          <w:szCs w:val="14"/>
          <w:u w:val="single" w:color="auto"/>
          <w:color w:val="auto"/>
        </w:rPr>
        <w:t>level</w:t>
      </w:r>
      <w:r>
        <w:rPr>
          <w:rFonts w:ascii="Arial" w:cs="Arial" w:eastAsia="Arial" w:hAnsi="Arial"/>
          <w:sz w:val="14"/>
          <w:szCs w:val="14"/>
          <w:color w:val="auto"/>
        </w:rPr>
        <w:t xml:space="preserve"> of lumber prices does not impact our overall profits but does impact our margins. Gross margins and operating margins are negatively impacted during periods of high lumber prices; conversely, we experience margin improvement when lumber prices are relatively low. As a result of this factor, we believe it is useful to compare our change in units shipped with our change in gross profits, operating profits, and selling, general, and administrative expenses as a method of evaluating our profitability and efficiency.</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BUSINESS COMBINATIONS AND ASSET PURCHASES</w:t>
      </w:r>
    </w:p>
    <w:p>
      <w:pPr>
        <w:spacing w:after="0" w:line="183"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We completed seven business acquisitions during 2018 and four during 2017. The annual historical sales attributable to acquisitions in 2018 and 2017 were approximately $140 million and $127 million, respectively. These business combinations were not significant to our operating results individually or in aggregate, and thus pro forma results for 2018 and 2017 are not presented.</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color w:val="auto"/>
        </w:rPr>
        <w:t>See Notes to Consolidated Financial Statements, Note C, "Business Combinations" for additional information.</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66675</wp:posOffset>
            </wp:positionV>
            <wp:extent cx="5779135" cy="203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4">
                      <a:extLst>
                        <a:ext uri="{28A0092B-C50C-407E-A947-70E740481C1C}"/>
                      </a:extLst>
                    </a:blip>
                    <a:srcRect/>
                    <a:stretch>
                      <a:fillRect/>
                    </a:stretch>
                  </pic:blipFill>
                  <pic:spPr bwMode="auto">
                    <a:xfrm>
                      <a:off x="0" y="0"/>
                      <a:ext cx="5779135" cy="20320"/>
                    </a:xfrm>
                    <a:prstGeom prst="rect">
                      <a:avLst/>
                    </a:prstGeom>
                    <a:noFill/>
                  </pic:spPr>
                </pic:pic>
              </a:graphicData>
            </a:graphic>
          </wp:anchor>
        </w:drawing>
      </w:r>
    </w:p>
    <w:p>
      <w:pPr>
        <w:sectPr>
          <w:pgSz w:w="11900" w:h="16838" w:orient="portrait"/>
          <w:cols w:equalWidth="0" w:num="1">
            <w:col w:w="9100"/>
          </w:cols>
          <w:pgMar w:left="1400" w:top="129" w:right="1399" w:bottom="1440" w:gutter="0" w:footer="0" w:header="0"/>
        </w:sectPr>
      </w:pPr>
    </w:p>
    <w:bookmarkStart w:id="49" w:name="page50"/>
    <w:bookmarkEnd w:id="49"/>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UNIVERSAL FOREST PRODUCTS,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MANAGEMENT’S DISCUSSION AND ANALYSIS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FINANCIAL CONDITION AND RESULTS OF OPERATIONS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RESULTS OF OPERATIONS</w:t>
      </w:r>
    </w:p>
    <w:p>
      <w:pPr>
        <w:spacing w:after="0" w:line="183" w:lineRule="exact"/>
        <w:rPr>
          <w:sz w:val="20"/>
          <w:szCs w:val="20"/>
          <w:color w:val="auto"/>
        </w:rPr>
      </w:pPr>
    </w:p>
    <w:p>
      <w:pPr>
        <w:ind w:left="520"/>
        <w:spacing w:after="0"/>
        <w:rPr>
          <w:sz w:val="20"/>
          <w:szCs w:val="20"/>
          <w:color w:val="auto"/>
        </w:rPr>
      </w:pPr>
      <w:r>
        <w:rPr>
          <w:rFonts w:ascii="Arial" w:cs="Arial" w:eastAsia="Arial" w:hAnsi="Arial"/>
          <w:sz w:val="13"/>
          <w:szCs w:val="13"/>
          <w:color w:val="auto"/>
        </w:rPr>
        <w:t>The following table presents, for the periods indicated, the components of our Consolidated Statements of Earnings as a percentage of net sales.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20" w:type="dxa"/>
            <w:vAlign w:val="bottom"/>
          </w:tcPr>
          <w:p>
            <w:pPr>
              <w:spacing w:after="0"/>
              <w:rPr>
                <w:sz w:val="11"/>
                <w:szCs w:val="11"/>
                <w:color w:val="auto"/>
              </w:rPr>
            </w:pPr>
          </w:p>
        </w:tc>
        <w:tc>
          <w:tcPr>
            <w:tcW w:w="6000" w:type="dxa"/>
            <w:vAlign w:val="bottom"/>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gridSpan w:val="2"/>
          </w:tcPr>
          <w:p>
            <w:pPr>
              <w:jc w:val="right"/>
              <w:ind w:right="289"/>
              <w:spacing w:after="0"/>
              <w:rPr>
                <w:sz w:val="20"/>
                <w:szCs w:val="20"/>
                <w:color w:val="auto"/>
              </w:rPr>
            </w:pPr>
            <w:r>
              <w:rPr>
                <w:rFonts w:ascii="Arial" w:cs="Arial" w:eastAsia="Arial" w:hAnsi="Arial"/>
                <w:sz w:val="11"/>
                <w:szCs w:val="11"/>
                <w:b w:val="1"/>
                <w:bCs w:val="1"/>
                <w:color w:val="auto"/>
              </w:rPr>
              <w:t>Year Ended</w:t>
            </w:r>
          </w:p>
        </w:tc>
        <w:tc>
          <w:tcPr>
            <w:tcW w:w="84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r>
      <w:tr>
        <w:trPr>
          <w:trHeight w:val="100"/>
        </w:trPr>
        <w:tc>
          <w:tcPr>
            <w:tcW w:w="20" w:type="dxa"/>
            <w:vAlign w:val="bottom"/>
          </w:tcPr>
          <w:p>
            <w:pPr>
              <w:spacing w:after="0"/>
              <w:rPr>
                <w:sz w:val="8"/>
                <w:szCs w:val="8"/>
                <w:color w:val="auto"/>
              </w:rPr>
            </w:pPr>
          </w:p>
        </w:tc>
        <w:tc>
          <w:tcPr>
            <w:tcW w:w="6000" w:type="dxa"/>
            <w:vAlign w:val="bottom"/>
          </w:tcPr>
          <w:p>
            <w:pPr>
              <w:spacing w:after="0"/>
              <w:rPr>
                <w:sz w:val="8"/>
                <w:szCs w:val="8"/>
                <w:color w:val="auto"/>
              </w:rPr>
            </w:pPr>
          </w:p>
        </w:tc>
        <w:tc>
          <w:tcPr>
            <w:tcW w:w="1080" w:type="dxa"/>
            <w:vAlign w:val="bottom"/>
            <w:gridSpan w:val="2"/>
          </w:tcPr>
          <w:p>
            <w:pPr>
              <w:jc w:val="right"/>
              <w:ind w:right="239"/>
              <w:spacing w:after="0" w:line="100" w:lineRule="exact"/>
              <w:rPr>
                <w:sz w:val="20"/>
                <w:szCs w:val="20"/>
                <w:color w:val="auto"/>
              </w:rPr>
            </w:pPr>
            <w:r>
              <w:rPr>
                <w:rFonts w:ascii="Arial" w:cs="Arial" w:eastAsia="Arial" w:hAnsi="Arial"/>
                <w:sz w:val="11"/>
                <w:szCs w:val="11"/>
                <w:b w:val="1"/>
                <w:bCs w:val="1"/>
                <w:color w:val="auto"/>
              </w:rPr>
              <w:t>December 29,</w:t>
            </w:r>
          </w:p>
        </w:tc>
        <w:tc>
          <w:tcPr>
            <w:tcW w:w="1040" w:type="dxa"/>
            <w:vAlign w:val="bottom"/>
            <w:gridSpan w:val="2"/>
          </w:tcPr>
          <w:p>
            <w:pPr>
              <w:jc w:val="right"/>
              <w:ind w:right="209"/>
              <w:spacing w:after="0" w:line="100" w:lineRule="exact"/>
              <w:rPr>
                <w:sz w:val="20"/>
                <w:szCs w:val="20"/>
                <w:color w:val="auto"/>
              </w:rPr>
            </w:pPr>
            <w:r>
              <w:rPr>
                <w:rFonts w:ascii="Arial" w:cs="Arial" w:eastAsia="Arial" w:hAnsi="Arial"/>
                <w:sz w:val="11"/>
                <w:szCs w:val="11"/>
                <w:b w:val="1"/>
                <w:bCs w:val="1"/>
                <w:color w:val="auto"/>
              </w:rPr>
              <w:t>December 30,</w:t>
            </w:r>
          </w:p>
        </w:tc>
        <w:tc>
          <w:tcPr>
            <w:tcW w:w="840" w:type="dxa"/>
            <w:vAlign w:val="bottom"/>
          </w:tcPr>
          <w:p>
            <w:pPr>
              <w:jc w:val="right"/>
              <w:ind w:right="31"/>
              <w:spacing w:after="0" w:line="100" w:lineRule="exact"/>
              <w:rPr>
                <w:sz w:val="20"/>
                <w:szCs w:val="20"/>
                <w:color w:val="auto"/>
              </w:rPr>
            </w:pPr>
            <w:r>
              <w:rPr>
                <w:rFonts w:ascii="Arial" w:cs="Arial" w:eastAsia="Arial" w:hAnsi="Arial"/>
                <w:sz w:val="11"/>
                <w:szCs w:val="11"/>
                <w:b w:val="1"/>
                <w:bCs w:val="1"/>
                <w:color w:val="auto"/>
              </w:rPr>
              <w:t>December 31,</w:t>
            </w:r>
          </w:p>
        </w:tc>
        <w:tc>
          <w:tcPr>
            <w:tcW w:w="120" w:type="dxa"/>
            <w:vAlign w:val="bottom"/>
          </w:tcPr>
          <w:p>
            <w:pPr>
              <w:spacing w:after="0"/>
              <w:rPr>
                <w:sz w:val="8"/>
                <w:szCs w:val="8"/>
                <w:color w:val="auto"/>
              </w:rPr>
            </w:pPr>
          </w:p>
        </w:tc>
      </w:tr>
      <w:tr>
        <w:trPr>
          <w:trHeight w:val="135"/>
        </w:trPr>
        <w:tc>
          <w:tcPr>
            <w:tcW w:w="20" w:type="dxa"/>
            <w:vAlign w:val="bottom"/>
          </w:tcPr>
          <w:p>
            <w:pPr>
              <w:spacing w:after="0"/>
              <w:rPr>
                <w:sz w:val="11"/>
                <w:szCs w:val="11"/>
                <w:color w:val="auto"/>
              </w:rPr>
            </w:pPr>
          </w:p>
        </w:tc>
        <w:tc>
          <w:tcPr>
            <w:tcW w:w="6000" w:type="dxa"/>
            <w:vAlign w:val="bottom"/>
            <w:tcBorders>
              <w:bottom w:val="single" w:sz="8" w:color="CCEEFF"/>
            </w:tcBorders>
          </w:tcPr>
          <w:p>
            <w:pPr>
              <w:spacing w:after="0"/>
              <w:rPr>
                <w:sz w:val="11"/>
                <w:szCs w:val="11"/>
                <w:color w:val="auto"/>
              </w:rPr>
            </w:pPr>
          </w:p>
        </w:tc>
        <w:tc>
          <w:tcPr>
            <w:tcW w:w="900" w:type="dxa"/>
            <w:vAlign w:val="bottom"/>
            <w:tcBorders>
              <w:bottom w:val="single" w:sz="8" w:color="auto"/>
            </w:tcBorders>
          </w:tcPr>
          <w:p>
            <w:pPr>
              <w:jc w:val="right"/>
              <w:ind w:right="271"/>
              <w:spacing w:after="0"/>
              <w:rPr>
                <w:sz w:val="20"/>
                <w:szCs w:val="20"/>
                <w:color w:val="auto"/>
              </w:rPr>
            </w:pPr>
            <w:r>
              <w:rPr>
                <w:rFonts w:ascii="Arial" w:cs="Arial" w:eastAsia="Arial" w:hAnsi="Arial"/>
                <w:sz w:val="11"/>
                <w:szCs w:val="11"/>
                <w:b w:val="1"/>
                <w:bCs w:val="1"/>
                <w:color w:val="auto"/>
              </w:rPr>
              <w:t>2018</w:t>
            </w:r>
          </w:p>
        </w:tc>
        <w:tc>
          <w:tcPr>
            <w:tcW w:w="180" w:type="dxa"/>
            <w:vAlign w:val="bottom"/>
            <w:tcBorders>
              <w:bottom w:val="single" w:sz="8" w:color="CCEEFF"/>
            </w:tcBorders>
          </w:tcPr>
          <w:p>
            <w:pPr>
              <w:spacing w:after="0"/>
              <w:rPr>
                <w:sz w:val="11"/>
                <w:szCs w:val="11"/>
                <w:color w:val="auto"/>
              </w:rPr>
            </w:pPr>
          </w:p>
        </w:tc>
        <w:tc>
          <w:tcPr>
            <w:tcW w:w="840" w:type="dxa"/>
            <w:vAlign w:val="bottom"/>
            <w:tcBorders>
              <w:bottom w:val="single" w:sz="8" w:color="auto"/>
            </w:tcBorders>
          </w:tcPr>
          <w:p>
            <w:pPr>
              <w:jc w:val="right"/>
              <w:ind w:right="232"/>
              <w:spacing w:after="0"/>
              <w:rPr>
                <w:sz w:val="20"/>
                <w:szCs w:val="20"/>
                <w:color w:val="auto"/>
              </w:rPr>
            </w:pPr>
            <w:r>
              <w:rPr>
                <w:rFonts w:ascii="Arial" w:cs="Arial" w:eastAsia="Arial" w:hAnsi="Arial"/>
                <w:sz w:val="11"/>
                <w:szCs w:val="11"/>
                <w:b w:val="1"/>
                <w:bCs w:val="1"/>
                <w:color w:val="auto"/>
              </w:rPr>
              <w:t>2017</w:t>
            </w:r>
          </w:p>
        </w:tc>
        <w:tc>
          <w:tcPr>
            <w:tcW w:w="200" w:type="dxa"/>
            <w:vAlign w:val="bottom"/>
            <w:tcBorders>
              <w:bottom w:val="single" w:sz="8" w:color="CCEEFF"/>
            </w:tcBorders>
          </w:tcPr>
          <w:p>
            <w:pPr>
              <w:spacing w:after="0"/>
              <w:rPr>
                <w:sz w:val="11"/>
                <w:szCs w:val="11"/>
                <w:color w:val="auto"/>
              </w:rPr>
            </w:pPr>
          </w:p>
        </w:tc>
        <w:tc>
          <w:tcPr>
            <w:tcW w:w="840" w:type="dxa"/>
            <w:vAlign w:val="bottom"/>
            <w:tcBorders>
              <w:bottom w:val="single" w:sz="8" w:color="auto"/>
            </w:tcBorders>
          </w:tcPr>
          <w:p>
            <w:pPr>
              <w:jc w:val="right"/>
              <w:ind w:right="251"/>
              <w:spacing w:after="0"/>
              <w:rPr>
                <w:sz w:val="20"/>
                <w:szCs w:val="20"/>
                <w:color w:val="auto"/>
              </w:rPr>
            </w:pPr>
            <w:r>
              <w:rPr>
                <w:rFonts w:ascii="Arial" w:cs="Arial" w:eastAsia="Arial" w:hAnsi="Arial"/>
                <w:sz w:val="11"/>
                <w:szCs w:val="11"/>
                <w:b w:val="1"/>
                <w:bCs w:val="1"/>
                <w:color w:val="auto"/>
              </w:rPr>
              <w:t>2016</w:t>
            </w:r>
          </w:p>
        </w:tc>
        <w:tc>
          <w:tcPr>
            <w:tcW w:w="120" w:type="dxa"/>
            <w:vAlign w:val="bottom"/>
            <w:tcBorders>
              <w:bottom w:val="single" w:sz="8" w:color="CCEEFF"/>
            </w:tcBorders>
          </w:tcPr>
          <w:p>
            <w:pPr>
              <w:spacing w:after="0"/>
              <w:rPr>
                <w:sz w:val="11"/>
                <w:szCs w:val="11"/>
                <w:color w:val="auto"/>
              </w:rPr>
            </w:pPr>
          </w:p>
        </w:tc>
      </w:tr>
      <w:tr>
        <w:trPr>
          <w:trHeight w:val="170"/>
        </w:trPr>
        <w:tc>
          <w:tcPr>
            <w:tcW w:w="20" w:type="dxa"/>
            <w:vAlign w:val="bottom"/>
          </w:tcPr>
          <w:p>
            <w:pPr>
              <w:spacing w:after="0"/>
              <w:rPr>
                <w:sz w:val="14"/>
                <w:szCs w:val="14"/>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4"/>
                <w:szCs w:val="14"/>
                <w:color w:val="auto"/>
              </w:rPr>
              <w:t>Net sales</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180" w:type="dxa"/>
            <w:vAlign w:val="bottom"/>
            <w:shd w:val="clear" w:color="auto" w:fill="CCEEFF"/>
          </w:tcPr>
          <w:p>
            <w:pPr>
              <w:jc w:val="right"/>
              <w:ind w:right="19"/>
              <w:spacing w:after="0"/>
              <w:rPr>
                <w:sz w:val="20"/>
                <w:szCs w:val="20"/>
                <w:color w:val="auto"/>
              </w:rPr>
            </w:pPr>
            <w:r>
              <w:rPr>
                <w:rFonts w:ascii="Arial" w:cs="Arial" w:eastAsia="Arial" w:hAnsi="Arial"/>
                <w:sz w:val="12"/>
                <w:szCs w:val="12"/>
                <w:color w:val="auto"/>
                <w:w w:val="74"/>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2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74"/>
              </w:rPr>
              <w:t>%</w:t>
            </w:r>
          </w:p>
        </w:tc>
      </w:tr>
      <w:tr>
        <w:trPr>
          <w:trHeight w:val="170"/>
        </w:trPr>
        <w:tc>
          <w:tcPr>
            <w:tcW w:w="20" w:type="dxa"/>
            <w:vAlign w:val="bottom"/>
          </w:tcPr>
          <w:p>
            <w:pPr>
              <w:spacing w:after="0"/>
              <w:rPr>
                <w:sz w:val="14"/>
                <w:szCs w:val="14"/>
                <w:color w:val="auto"/>
              </w:rPr>
            </w:pPr>
          </w:p>
        </w:tc>
        <w:tc>
          <w:tcPr>
            <w:tcW w:w="600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Cost of goods sold</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86.8</w:t>
            </w:r>
          </w:p>
        </w:tc>
        <w:tc>
          <w:tcPr>
            <w:tcW w:w="18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86.2</w:t>
            </w:r>
          </w:p>
        </w:tc>
        <w:tc>
          <w:tcPr>
            <w:tcW w:w="20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85.4</w:t>
            </w:r>
          </w:p>
        </w:tc>
        <w:tc>
          <w:tcPr>
            <w:tcW w:w="120" w:type="dxa"/>
            <w:vAlign w:val="bottom"/>
            <w:tcBorders>
              <w:bottom w:val="single" w:sz="8" w:color="CCEEFF"/>
            </w:tcBorders>
          </w:tcPr>
          <w:p>
            <w:pPr>
              <w:spacing w:after="0"/>
              <w:rPr>
                <w:sz w:val="14"/>
                <w:szCs w:val="14"/>
                <w:color w:val="auto"/>
              </w:rPr>
            </w:pPr>
          </w:p>
        </w:tc>
      </w:tr>
      <w:tr>
        <w:trPr>
          <w:trHeight w:val="161"/>
        </w:trPr>
        <w:tc>
          <w:tcPr>
            <w:tcW w:w="20" w:type="dxa"/>
            <w:vAlign w:val="bottom"/>
          </w:tcPr>
          <w:p>
            <w:pPr>
              <w:spacing w:after="0"/>
              <w:rPr>
                <w:sz w:val="13"/>
                <w:szCs w:val="13"/>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4"/>
                <w:szCs w:val="14"/>
                <w:color w:val="auto"/>
              </w:rPr>
              <w:t>Gross profit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w:t>
            </w:r>
          </w:p>
        </w:tc>
        <w:tc>
          <w:tcPr>
            <w:tcW w:w="18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w:t>
            </w:r>
          </w:p>
        </w:tc>
        <w:tc>
          <w:tcPr>
            <w:tcW w:w="2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w:t>
            </w:r>
          </w:p>
        </w:tc>
        <w:tc>
          <w:tcPr>
            <w:tcW w:w="120" w:type="dxa"/>
            <w:vAlign w:val="bottom"/>
            <w:shd w:val="clear" w:color="auto" w:fill="CCEEFF"/>
          </w:tcPr>
          <w:p>
            <w:pPr>
              <w:spacing w:after="0"/>
              <w:rPr>
                <w:sz w:val="13"/>
                <w:szCs w:val="13"/>
                <w:color w:val="auto"/>
              </w:rPr>
            </w:pPr>
          </w:p>
        </w:tc>
      </w:tr>
      <w:tr>
        <w:trPr>
          <w:trHeight w:val="170"/>
        </w:trPr>
        <w:tc>
          <w:tcPr>
            <w:tcW w:w="20" w:type="dxa"/>
            <w:vAlign w:val="bottom"/>
          </w:tcPr>
          <w:p>
            <w:pPr>
              <w:spacing w:after="0"/>
              <w:rPr>
                <w:sz w:val="14"/>
                <w:szCs w:val="14"/>
                <w:color w:val="auto"/>
              </w:rPr>
            </w:pPr>
          </w:p>
        </w:tc>
        <w:tc>
          <w:tcPr>
            <w:tcW w:w="6000" w:type="dxa"/>
            <w:vAlign w:val="bottom"/>
          </w:tcPr>
          <w:p>
            <w:pPr>
              <w:spacing w:after="0"/>
              <w:rPr>
                <w:sz w:val="20"/>
                <w:szCs w:val="20"/>
                <w:color w:val="auto"/>
              </w:rPr>
            </w:pPr>
            <w:r>
              <w:rPr>
                <w:rFonts w:ascii="Arial" w:cs="Arial" w:eastAsia="Arial" w:hAnsi="Arial"/>
                <w:sz w:val="14"/>
                <w:szCs w:val="14"/>
                <w:color w:val="auto"/>
              </w:rPr>
              <w:t>Selling, general, and administrative expenses</w:t>
            </w:r>
          </w:p>
        </w:tc>
        <w:tc>
          <w:tcPr>
            <w:tcW w:w="900" w:type="dxa"/>
            <w:vAlign w:val="bottom"/>
          </w:tcPr>
          <w:p>
            <w:pPr>
              <w:jc w:val="right"/>
              <w:spacing w:after="0"/>
              <w:rPr>
                <w:sz w:val="20"/>
                <w:szCs w:val="20"/>
                <w:color w:val="auto"/>
              </w:rPr>
            </w:pPr>
            <w:r>
              <w:rPr>
                <w:rFonts w:ascii="Arial" w:cs="Arial" w:eastAsia="Arial" w:hAnsi="Arial"/>
                <w:sz w:val="14"/>
                <w:szCs w:val="14"/>
                <w:color w:val="auto"/>
              </w:rPr>
              <w:t>8.8</w:t>
            </w:r>
          </w:p>
        </w:tc>
        <w:tc>
          <w:tcPr>
            <w:tcW w:w="1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9.1</w:t>
            </w:r>
          </w:p>
        </w:tc>
        <w:tc>
          <w:tcPr>
            <w:tcW w:w="2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9.6</w:t>
            </w:r>
          </w:p>
        </w:tc>
        <w:tc>
          <w:tcPr>
            <w:tcW w:w="120" w:type="dxa"/>
            <w:vAlign w:val="bottom"/>
          </w:tcPr>
          <w:p>
            <w:pPr>
              <w:spacing w:after="0"/>
              <w:rPr>
                <w:sz w:val="14"/>
                <w:szCs w:val="14"/>
                <w:color w:val="auto"/>
              </w:rPr>
            </w:pPr>
          </w:p>
        </w:tc>
      </w:tr>
      <w:tr>
        <w:trPr>
          <w:trHeight w:val="170"/>
        </w:trPr>
        <w:tc>
          <w:tcPr>
            <w:tcW w:w="20" w:type="dxa"/>
            <w:vAlign w:val="bottom"/>
          </w:tcPr>
          <w:p>
            <w:pPr>
              <w:spacing w:after="0"/>
              <w:rPr>
                <w:sz w:val="14"/>
                <w:szCs w:val="14"/>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4"/>
                <w:szCs w:val="14"/>
                <w:color w:val="auto"/>
              </w:rPr>
              <w:t>Net gain on disposition and impairment of assets</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69"/>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19"/>
              <w:spacing w:after="0"/>
              <w:rPr>
                <w:sz w:val="20"/>
                <w:szCs w:val="20"/>
                <w:color w:val="auto"/>
              </w:rPr>
            </w:pPr>
            <w:r>
              <w:rPr>
                <w:rFonts w:ascii="Arial" w:cs="Arial" w:eastAsia="Arial" w:hAnsi="Arial"/>
                <w:sz w:val="14"/>
                <w:szCs w:val="14"/>
                <w:color w:val="auto"/>
              </w:rPr>
              <w:t>—</w:t>
            </w:r>
          </w:p>
        </w:tc>
      </w:tr>
      <w:tr>
        <w:trPr>
          <w:trHeight w:val="161"/>
        </w:trPr>
        <w:tc>
          <w:tcPr>
            <w:tcW w:w="20" w:type="dxa"/>
            <w:vAlign w:val="bottom"/>
          </w:tcPr>
          <w:p>
            <w:pPr>
              <w:spacing w:after="0"/>
              <w:rPr>
                <w:sz w:val="13"/>
                <w:szCs w:val="13"/>
                <w:color w:val="auto"/>
              </w:rPr>
            </w:pPr>
          </w:p>
        </w:tc>
        <w:tc>
          <w:tcPr>
            <w:tcW w:w="6000" w:type="dxa"/>
            <w:vAlign w:val="bottom"/>
          </w:tcPr>
          <w:p>
            <w:pPr>
              <w:spacing w:after="0"/>
              <w:rPr>
                <w:sz w:val="20"/>
                <w:szCs w:val="20"/>
                <w:color w:val="auto"/>
              </w:rPr>
            </w:pPr>
            <w:r>
              <w:rPr>
                <w:rFonts w:ascii="Arial" w:cs="Arial" w:eastAsia="Arial" w:hAnsi="Arial"/>
                <w:sz w:val="14"/>
                <w:szCs w:val="14"/>
                <w:color w:val="auto"/>
              </w:rPr>
              <w:t>Earnings from operations</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4.6</w:t>
            </w:r>
          </w:p>
        </w:tc>
        <w:tc>
          <w:tcPr>
            <w:tcW w:w="180" w:type="dxa"/>
            <w:vAlign w:val="bottom"/>
          </w:tcPr>
          <w:p>
            <w:pPr>
              <w:spacing w:after="0"/>
              <w:rPr>
                <w:sz w:val="13"/>
                <w:szCs w:val="13"/>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4.6</w:t>
            </w:r>
          </w:p>
        </w:tc>
        <w:tc>
          <w:tcPr>
            <w:tcW w:w="200" w:type="dxa"/>
            <w:vAlign w:val="bottom"/>
          </w:tcPr>
          <w:p>
            <w:pPr>
              <w:spacing w:after="0"/>
              <w:rPr>
                <w:sz w:val="13"/>
                <w:szCs w:val="13"/>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5.1</w:t>
            </w:r>
          </w:p>
        </w:tc>
        <w:tc>
          <w:tcPr>
            <w:tcW w:w="120" w:type="dxa"/>
            <w:vAlign w:val="bottom"/>
          </w:tcPr>
          <w:p>
            <w:pPr>
              <w:spacing w:after="0"/>
              <w:rPr>
                <w:sz w:val="13"/>
                <w:szCs w:val="13"/>
                <w:color w:val="auto"/>
              </w:rPr>
            </w:pPr>
          </w:p>
        </w:tc>
      </w:tr>
      <w:tr>
        <w:trPr>
          <w:trHeight w:val="170"/>
        </w:trPr>
        <w:tc>
          <w:tcPr>
            <w:tcW w:w="20" w:type="dxa"/>
            <w:vAlign w:val="bottom"/>
          </w:tcPr>
          <w:p>
            <w:pPr>
              <w:spacing w:after="0"/>
              <w:rPr>
                <w:sz w:val="14"/>
                <w:szCs w:val="14"/>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4"/>
                <w:szCs w:val="14"/>
                <w:color w:val="auto"/>
              </w:rPr>
              <w:t>Other expense (income), net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180" w:type="dxa"/>
            <w:vAlign w:val="bottom"/>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200" w:type="dxa"/>
            <w:vAlign w:val="bottom"/>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20" w:type="dxa"/>
            <w:vAlign w:val="bottom"/>
            <w:shd w:val="clear" w:color="auto" w:fill="CCEEFF"/>
          </w:tcPr>
          <w:p>
            <w:pPr>
              <w:spacing w:after="0"/>
              <w:rPr>
                <w:sz w:val="14"/>
                <w:szCs w:val="14"/>
                <w:color w:val="auto"/>
              </w:rPr>
            </w:pPr>
          </w:p>
        </w:tc>
      </w:tr>
      <w:tr>
        <w:trPr>
          <w:trHeight w:val="161"/>
        </w:trPr>
        <w:tc>
          <w:tcPr>
            <w:tcW w:w="20" w:type="dxa"/>
            <w:vAlign w:val="bottom"/>
          </w:tcPr>
          <w:p>
            <w:pPr>
              <w:spacing w:after="0"/>
              <w:rPr>
                <w:sz w:val="13"/>
                <w:szCs w:val="13"/>
                <w:color w:val="auto"/>
              </w:rPr>
            </w:pPr>
          </w:p>
        </w:tc>
        <w:tc>
          <w:tcPr>
            <w:tcW w:w="6000" w:type="dxa"/>
            <w:vAlign w:val="bottom"/>
          </w:tcPr>
          <w:p>
            <w:pPr>
              <w:spacing w:after="0"/>
              <w:rPr>
                <w:sz w:val="20"/>
                <w:szCs w:val="20"/>
                <w:color w:val="auto"/>
              </w:rPr>
            </w:pPr>
            <w:r>
              <w:rPr>
                <w:rFonts w:ascii="Arial" w:cs="Arial" w:eastAsia="Arial" w:hAnsi="Arial"/>
                <w:sz w:val="14"/>
                <w:szCs w:val="14"/>
                <w:color w:val="auto"/>
              </w:rPr>
              <w:t>Earnings before income taxes</w:t>
            </w:r>
          </w:p>
        </w:tc>
        <w:tc>
          <w:tcPr>
            <w:tcW w:w="900" w:type="dxa"/>
            <w:vAlign w:val="bottom"/>
          </w:tcPr>
          <w:p>
            <w:pPr>
              <w:jc w:val="right"/>
              <w:spacing w:after="0"/>
              <w:rPr>
                <w:sz w:val="20"/>
                <w:szCs w:val="20"/>
                <w:color w:val="auto"/>
              </w:rPr>
            </w:pPr>
            <w:r>
              <w:rPr>
                <w:rFonts w:ascii="Arial" w:cs="Arial" w:eastAsia="Arial" w:hAnsi="Arial"/>
                <w:sz w:val="14"/>
                <w:szCs w:val="14"/>
                <w:color w:val="auto"/>
              </w:rPr>
              <w:t>4.4</w:t>
            </w:r>
          </w:p>
        </w:tc>
        <w:tc>
          <w:tcPr>
            <w:tcW w:w="1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4.5</w:t>
            </w:r>
          </w:p>
        </w:tc>
        <w:tc>
          <w:tcPr>
            <w:tcW w:w="2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5.0</w:t>
            </w:r>
          </w:p>
        </w:tc>
        <w:tc>
          <w:tcPr>
            <w:tcW w:w="120" w:type="dxa"/>
            <w:vAlign w:val="bottom"/>
          </w:tcPr>
          <w:p>
            <w:pPr>
              <w:spacing w:after="0"/>
              <w:rPr>
                <w:sz w:val="13"/>
                <w:szCs w:val="13"/>
                <w:color w:val="auto"/>
              </w:rPr>
            </w:pPr>
          </w:p>
        </w:tc>
      </w:tr>
      <w:tr>
        <w:trPr>
          <w:trHeight w:val="170"/>
        </w:trPr>
        <w:tc>
          <w:tcPr>
            <w:tcW w:w="20" w:type="dxa"/>
            <w:vAlign w:val="bottom"/>
          </w:tcPr>
          <w:p>
            <w:pPr>
              <w:spacing w:after="0"/>
              <w:rPr>
                <w:sz w:val="14"/>
                <w:szCs w:val="14"/>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4"/>
                <w:szCs w:val="14"/>
                <w:color w:val="auto"/>
              </w:rPr>
              <w:t>Income taxes</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80" w:type="dxa"/>
            <w:vAlign w:val="bottom"/>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200" w:type="dxa"/>
            <w:vAlign w:val="bottom"/>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20" w:type="dxa"/>
            <w:vAlign w:val="bottom"/>
            <w:shd w:val="clear" w:color="auto" w:fill="CCEEFF"/>
          </w:tcPr>
          <w:p>
            <w:pPr>
              <w:spacing w:after="0"/>
              <w:rPr>
                <w:sz w:val="14"/>
                <w:szCs w:val="14"/>
                <w:color w:val="auto"/>
              </w:rPr>
            </w:pPr>
          </w:p>
        </w:tc>
      </w:tr>
      <w:tr>
        <w:trPr>
          <w:trHeight w:val="161"/>
        </w:trPr>
        <w:tc>
          <w:tcPr>
            <w:tcW w:w="20" w:type="dxa"/>
            <w:vAlign w:val="bottom"/>
          </w:tcPr>
          <w:p>
            <w:pPr>
              <w:spacing w:after="0"/>
              <w:rPr>
                <w:sz w:val="13"/>
                <w:szCs w:val="13"/>
                <w:color w:val="auto"/>
              </w:rPr>
            </w:pPr>
          </w:p>
        </w:tc>
        <w:tc>
          <w:tcPr>
            <w:tcW w:w="6000" w:type="dxa"/>
            <w:vAlign w:val="bottom"/>
          </w:tcPr>
          <w:p>
            <w:pPr>
              <w:spacing w:after="0"/>
              <w:rPr>
                <w:sz w:val="20"/>
                <w:szCs w:val="20"/>
                <w:color w:val="auto"/>
              </w:rPr>
            </w:pPr>
            <w:r>
              <w:rPr>
                <w:rFonts w:ascii="Arial" w:cs="Arial" w:eastAsia="Arial" w:hAnsi="Arial"/>
                <w:sz w:val="14"/>
                <w:szCs w:val="14"/>
                <w:color w:val="auto"/>
              </w:rPr>
              <w:t>Net earnings</w:t>
            </w:r>
          </w:p>
        </w:tc>
        <w:tc>
          <w:tcPr>
            <w:tcW w:w="900" w:type="dxa"/>
            <w:vAlign w:val="bottom"/>
          </w:tcPr>
          <w:p>
            <w:pPr>
              <w:jc w:val="right"/>
              <w:spacing w:after="0"/>
              <w:rPr>
                <w:sz w:val="20"/>
                <w:szCs w:val="20"/>
                <w:color w:val="auto"/>
              </w:rPr>
            </w:pPr>
            <w:r>
              <w:rPr>
                <w:rFonts w:ascii="Arial" w:cs="Arial" w:eastAsia="Arial" w:hAnsi="Arial"/>
                <w:sz w:val="14"/>
                <w:szCs w:val="14"/>
                <w:color w:val="auto"/>
              </w:rPr>
              <w:t>3.4</w:t>
            </w:r>
          </w:p>
        </w:tc>
        <w:tc>
          <w:tcPr>
            <w:tcW w:w="1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3.1</w:t>
            </w:r>
          </w:p>
        </w:tc>
        <w:tc>
          <w:tcPr>
            <w:tcW w:w="2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3.3</w:t>
            </w:r>
          </w:p>
        </w:tc>
        <w:tc>
          <w:tcPr>
            <w:tcW w:w="120" w:type="dxa"/>
            <w:vAlign w:val="bottom"/>
          </w:tcPr>
          <w:p>
            <w:pPr>
              <w:spacing w:after="0"/>
              <w:rPr>
                <w:sz w:val="13"/>
                <w:szCs w:val="13"/>
                <w:color w:val="auto"/>
              </w:rPr>
            </w:pPr>
          </w:p>
        </w:tc>
      </w:tr>
      <w:tr>
        <w:trPr>
          <w:trHeight w:val="170"/>
        </w:trPr>
        <w:tc>
          <w:tcPr>
            <w:tcW w:w="20" w:type="dxa"/>
            <w:vAlign w:val="bottom"/>
          </w:tcPr>
          <w:p>
            <w:pPr>
              <w:spacing w:after="0"/>
              <w:rPr>
                <w:sz w:val="14"/>
                <w:szCs w:val="14"/>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4"/>
                <w:szCs w:val="14"/>
                <w:color w:val="auto"/>
              </w:rPr>
              <w:t>Less net earnings attributable to noncontrolling interest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80" w:type="dxa"/>
            <w:vAlign w:val="bottom"/>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200" w:type="dxa"/>
            <w:vAlign w:val="bottom"/>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20" w:type="dxa"/>
            <w:vAlign w:val="bottom"/>
            <w:shd w:val="clear" w:color="auto" w:fill="CCEEFF"/>
          </w:tcPr>
          <w:p>
            <w:pPr>
              <w:spacing w:after="0"/>
              <w:rPr>
                <w:sz w:val="14"/>
                <w:szCs w:val="14"/>
                <w:color w:val="auto"/>
              </w:rPr>
            </w:pPr>
          </w:p>
        </w:tc>
      </w:tr>
      <w:tr>
        <w:trPr>
          <w:trHeight w:val="162"/>
        </w:trPr>
        <w:tc>
          <w:tcPr>
            <w:tcW w:w="6020" w:type="dxa"/>
            <w:vAlign w:val="bottom"/>
            <w:gridSpan w:val="2"/>
          </w:tcPr>
          <w:p>
            <w:pPr>
              <w:spacing w:after="0"/>
              <w:rPr>
                <w:sz w:val="20"/>
                <w:szCs w:val="20"/>
                <w:color w:val="auto"/>
              </w:rPr>
            </w:pPr>
            <w:r>
              <w:rPr>
                <w:rFonts w:ascii="Arial" w:cs="Arial" w:eastAsia="Arial" w:hAnsi="Arial"/>
                <w:sz w:val="14"/>
                <w:szCs w:val="14"/>
                <w:color w:val="auto"/>
              </w:rPr>
              <w:t>Net earnings attributable to controlling interest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w:t>
            </w:r>
          </w:p>
        </w:tc>
        <w:tc>
          <w:tcPr>
            <w:tcW w:w="180" w:type="dxa"/>
            <w:vAlign w:val="bottom"/>
          </w:tcPr>
          <w:p>
            <w:pPr>
              <w:jc w:val="right"/>
              <w:ind w:right="19"/>
              <w:spacing w:after="0"/>
              <w:rPr>
                <w:sz w:val="20"/>
                <w:szCs w:val="20"/>
                <w:color w:val="auto"/>
              </w:rPr>
            </w:pPr>
            <w:r>
              <w:rPr>
                <w:rFonts w:ascii="Arial" w:cs="Arial" w:eastAsia="Arial" w:hAnsi="Arial"/>
                <w:sz w:val="12"/>
                <w:szCs w:val="12"/>
                <w:color w:val="auto"/>
                <w:w w:val="74"/>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w:t>
            </w:r>
          </w:p>
        </w:tc>
        <w:tc>
          <w:tcPr>
            <w:tcW w:w="200" w:type="dxa"/>
            <w:vAlign w:val="bottom"/>
          </w:tcPr>
          <w:p>
            <w:pPr>
              <w:jc w:val="right"/>
              <w:ind w:right="9"/>
              <w:spacing w:after="0"/>
              <w:rPr>
                <w:sz w:val="20"/>
                <w:szCs w:val="20"/>
                <w:color w:val="auto"/>
              </w:rPr>
            </w:pPr>
            <w:r>
              <w:rPr>
                <w:rFonts w:ascii="Arial" w:cs="Arial" w:eastAsia="Arial" w:hAnsi="Arial"/>
                <w:sz w:val="14"/>
                <w:szCs w:val="14"/>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w:t>
            </w:r>
          </w:p>
        </w:tc>
        <w:tc>
          <w:tcPr>
            <w:tcW w:w="120" w:type="dxa"/>
            <w:vAlign w:val="bottom"/>
          </w:tcPr>
          <w:p>
            <w:pPr>
              <w:jc w:val="right"/>
              <w:spacing w:after="0"/>
              <w:rPr>
                <w:sz w:val="20"/>
                <w:szCs w:val="20"/>
                <w:color w:val="auto"/>
              </w:rPr>
            </w:pPr>
            <w:r>
              <w:rPr>
                <w:rFonts w:ascii="Arial" w:cs="Arial" w:eastAsia="Arial" w:hAnsi="Arial"/>
                <w:sz w:val="12"/>
                <w:szCs w:val="12"/>
                <w:color w:val="auto"/>
                <w:w w:val="74"/>
              </w:rPr>
              <w:t>%</w:t>
            </w:r>
          </w:p>
        </w:tc>
      </w:tr>
    </w:tbl>
    <w:p>
      <w:pPr>
        <w:spacing w:after="0" w:line="159" w:lineRule="exact"/>
        <w:rPr>
          <w:sz w:val="20"/>
          <w:szCs w:val="20"/>
          <w:color w:val="auto"/>
        </w:rPr>
      </w:pPr>
    </w:p>
    <w:p>
      <w:pPr>
        <w:spacing w:after="0"/>
        <w:rPr>
          <w:sz w:val="20"/>
          <w:szCs w:val="20"/>
          <w:color w:val="auto"/>
        </w:rPr>
      </w:pPr>
      <w:r>
        <w:rPr>
          <w:rFonts w:ascii="Arial" w:cs="Arial" w:eastAsia="Arial" w:hAnsi="Arial"/>
          <w:sz w:val="14"/>
          <w:szCs w:val="14"/>
          <w:color w:val="auto"/>
        </w:rPr>
        <w:t>Note: Actual percentages are calculated and may not sum to total due to rounding.</w:t>
      </w:r>
    </w:p>
    <w:p>
      <w:pPr>
        <w:spacing w:after="0" w:line="179"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The following table presents, for the periods indicated, the components of our Consolidated Statements of Earnings as a percentage of sales, adjusted to restate 2017 and 2018 sales and cost of goods sold at lumber prices. The restated sales amounts were calculated by applying unit sales growth from 2017 and 2018 to 2016 sales levels. By eliminating the “pass-through” impact of higher or lower lumber prices on sales and cost of goods sold from year to year, we believe this provides an enhanced view of our change in profitability and costs as a percentage of sales. The amount of the adjustment to 2017 and 2018 sales was also applied to cost of goods sold so that gross profit remains unchanged.</w:t>
      </w:r>
    </w:p>
    <w:p>
      <w:pPr>
        <w:spacing w:after="0" w:line="151" w:lineRule="exact"/>
        <w:rPr>
          <w:sz w:val="20"/>
          <w:szCs w:val="20"/>
          <w:color w:val="auto"/>
        </w:rPr>
      </w:pPr>
    </w:p>
    <w:p>
      <w:pPr>
        <w:jc w:val="center"/>
        <w:ind w:left="5880"/>
        <w:spacing w:after="0"/>
        <w:rPr>
          <w:sz w:val="20"/>
          <w:szCs w:val="20"/>
          <w:color w:val="auto"/>
        </w:rPr>
      </w:pPr>
      <w:r>
        <w:rPr>
          <w:rFonts w:ascii="Arial" w:cs="Arial" w:eastAsia="Arial" w:hAnsi="Arial"/>
          <w:sz w:val="11"/>
          <w:szCs w:val="11"/>
          <w:b w:val="1"/>
          <w:bCs w:val="1"/>
          <w:color w:val="auto"/>
        </w:rPr>
        <w:t>Adjusted for Lumber Market Volatility</w:t>
      </w:r>
    </w:p>
    <w:p>
      <w:pPr>
        <w:jc w:val="center"/>
        <w:ind w:left="5880"/>
        <w:spacing w:after="0" w:line="236" w:lineRule="auto"/>
        <w:rPr>
          <w:sz w:val="20"/>
          <w:szCs w:val="20"/>
          <w:color w:val="auto"/>
        </w:rPr>
      </w:pPr>
      <w:r>
        <w:rPr>
          <w:rFonts w:ascii="Arial" w:cs="Arial" w:eastAsia="Arial" w:hAnsi="Arial"/>
          <w:sz w:val="11"/>
          <w:szCs w:val="11"/>
          <w:b w:val="1"/>
          <w:bCs w:val="1"/>
          <w:color w:val="auto"/>
        </w:rPr>
        <w:t>Year Ended</w:t>
      </w:r>
    </w:p>
    <w:tbl>
      <w:tblPr>
        <w:tblLayout w:type="fixed"/>
        <w:tblInd w:w="0" w:type="dxa"/>
        <w:tblCellMar>
          <w:top w:w="0" w:type="dxa"/>
          <w:left w:w="0" w:type="dxa"/>
          <w:bottom w:w="0" w:type="dxa"/>
          <w:right w:w="0" w:type="dxa"/>
        </w:tblCellMar>
      </w:tblPr>
      <w:tr>
        <w:trPr>
          <w:trHeight w:val="101"/>
        </w:trPr>
        <w:tc>
          <w:tcPr>
            <w:tcW w:w="6020" w:type="dxa"/>
            <w:vAlign w:val="bottom"/>
          </w:tcPr>
          <w:p>
            <w:pPr>
              <w:spacing w:after="0"/>
              <w:rPr>
                <w:sz w:val="8"/>
                <w:szCs w:val="8"/>
                <w:color w:val="auto"/>
              </w:rPr>
            </w:pPr>
          </w:p>
        </w:tc>
        <w:tc>
          <w:tcPr>
            <w:tcW w:w="1080" w:type="dxa"/>
            <w:vAlign w:val="bottom"/>
            <w:tcBorders>
              <w:top w:val="single" w:sz="8" w:color="auto"/>
            </w:tcBorders>
            <w:gridSpan w:val="2"/>
          </w:tcPr>
          <w:p>
            <w:pPr>
              <w:jc w:val="right"/>
              <w:ind w:right="249"/>
              <w:spacing w:after="0" w:line="101" w:lineRule="exact"/>
              <w:rPr>
                <w:sz w:val="20"/>
                <w:szCs w:val="20"/>
                <w:color w:val="auto"/>
              </w:rPr>
            </w:pPr>
            <w:r>
              <w:rPr>
                <w:rFonts w:ascii="Arial" w:cs="Arial" w:eastAsia="Arial" w:hAnsi="Arial"/>
                <w:sz w:val="11"/>
                <w:szCs w:val="11"/>
                <w:b w:val="1"/>
                <w:bCs w:val="1"/>
                <w:color w:val="auto"/>
              </w:rPr>
              <w:t>December 29,</w:t>
            </w:r>
          </w:p>
        </w:tc>
        <w:tc>
          <w:tcPr>
            <w:tcW w:w="1020" w:type="dxa"/>
            <w:vAlign w:val="bottom"/>
            <w:tcBorders>
              <w:top w:val="single" w:sz="8" w:color="auto"/>
            </w:tcBorders>
            <w:gridSpan w:val="2"/>
          </w:tcPr>
          <w:p>
            <w:pPr>
              <w:jc w:val="right"/>
              <w:ind w:right="209"/>
              <w:spacing w:after="0" w:line="101" w:lineRule="exact"/>
              <w:rPr>
                <w:sz w:val="20"/>
                <w:szCs w:val="20"/>
                <w:color w:val="auto"/>
              </w:rPr>
            </w:pPr>
            <w:r>
              <w:rPr>
                <w:rFonts w:ascii="Arial" w:cs="Arial" w:eastAsia="Arial" w:hAnsi="Arial"/>
                <w:sz w:val="11"/>
                <w:szCs w:val="11"/>
                <w:b w:val="1"/>
                <w:bCs w:val="1"/>
                <w:color w:val="auto"/>
              </w:rPr>
              <w:t>December 30,</w:t>
            </w:r>
          </w:p>
        </w:tc>
        <w:tc>
          <w:tcPr>
            <w:tcW w:w="840" w:type="dxa"/>
            <w:vAlign w:val="bottom"/>
            <w:tcBorders>
              <w:top w:val="single" w:sz="8" w:color="auto"/>
            </w:tcBorders>
          </w:tcPr>
          <w:p>
            <w:pPr>
              <w:jc w:val="right"/>
              <w:ind w:right="11"/>
              <w:spacing w:after="0" w:line="101" w:lineRule="exact"/>
              <w:rPr>
                <w:sz w:val="20"/>
                <w:szCs w:val="20"/>
                <w:color w:val="auto"/>
              </w:rPr>
            </w:pPr>
            <w:r>
              <w:rPr>
                <w:rFonts w:ascii="Arial" w:cs="Arial" w:eastAsia="Arial" w:hAnsi="Arial"/>
                <w:sz w:val="11"/>
                <w:szCs w:val="11"/>
                <w:b w:val="1"/>
                <w:bCs w:val="1"/>
                <w:color w:val="auto"/>
              </w:rPr>
              <w:t>December 31,</w:t>
            </w:r>
          </w:p>
        </w:tc>
        <w:tc>
          <w:tcPr>
            <w:tcW w:w="140" w:type="dxa"/>
            <w:vAlign w:val="bottom"/>
          </w:tcPr>
          <w:p>
            <w:pPr>
              <w:spacing w:after="0"/>
              <w:rPr>
                <w:sz w:val="8"/>
                <w:szCs w:val="8"/>
                <w:color w:val="auto"/>
              </w:rPr>
            </w:pPr>
          </w:p>
        </w:tc>
      </w:tr>
      <w:tr>
        <w:trPr>
          <w:trHeight w:val="135"/>
        </w:trPr>
        <w:tc>
          <w:tcPr>
            <w:tcW w:w="6020" w:type="dxa"/>
            <w:vAlign w:val="bottom"/>
            <w:tcBorders>
              <w:bottom w:val="single" w:sz="8" w:color="CCEEFF"/>
            </w:tcBorders>
          </w:tcPr>
          <w:p>
            <w:pPr>
              <w:spacing w:after="0"/>
              <w:rPr>
                <w:sz w:val="11"/>
                <w:szCs w:val="11"/>
                <w:color w:val="auto"/>
              </w:rPr>
            </w:pPr>
          </w:p>
        </w:tc>
        <w:tc>
          <w:tcPr>
            <w:tcW w:w="880" w:type="dxa"/>
            <w:vAlign w:val="bottom"/>
            <w:tcBorders>
              <w:bottom w:val="single" w:sz="8" w:color="auto"/>
            </w:tcBorders>
          </w:tcPr>
          <w:p>
            <w:pPr>
              <w:jc w:val="right"/>
              <w:ind w:right="251"/>
              <w:spacing w:after="0"/>
              <w:rPr>
                <w:sz w:val="20"/>
                <w:szCs w:val="20"/>
                <w:color w:val="auto"/>
              </w:rPr>
            </w:pPr>
            <w:r>
              <w:rPr>
                <w:rFonts w:ascii="Arial" w:cs="Arial" w:eastAsia="Arial" w:hAnsi="Arial"/>
                <w:sz w:val="11"/>
                <w:szCs w:val="11"/>
                <w:b w:val="1"/>
                <w:bCs w:val="1"/>
                <w:color w:val="auto"/>
              </w:rPr>
              <w:t>2018</w:t>
            </w:r>
          </w:p>
        </w:tc>
        <w:tc>
          <w:tcPr>
            <w:tcW w:w="200" w:type="dxa"/>
            <w:vAlign w:val="bottom"/>
            <w:tcBorders>
              <w:bottom w:val="single" w:sz="8" w:color="CCEEFF"/>
            </w:tcBorders>
          </w:tcPr>
          <w:p>
            <w:pPr>
              <w:spacing w:after="0"/>
              <w:rPr>
                <w:sz w:val="11"/>
                <w:szCs w:val="11"/>
                <w:color w:val="auto"/>
              </w:rPr>
            </w:pPr>
          </w:p>
        </w:tc>
        <w:tc>
          <w:tcPr>
            <w:tcW w:w="840" w:type="dxa"/>
            <w:vAlign w:val="bottom"/>
            <w:tcBorders>
              <w:bottom w:val="single" w:sz="8" w:color="auto"/>
            </w:tcBorders>
          </w:tcPr>
          <w:p>
            <w:pPr>
              <w:jc w:val="right"/>
              <w:ind w:right="231"/>
              <w:spacing w:after="0"/>
              <w:rPr>
                <w:sz w:val="20"/>
                <w:szCs w:val="20"/>
                <w:color w:val="auto"/>
              </w:rPr>
            </w:pPr>
            <w:r>
              <w:rPr>
                <w:rFonts w:ascii="Arial" w:cs="Arial" w:eastAsia="Arial" w:hAnsi="Arial"/>
                <w:sz w:val="11"/>
                <w:szCs w:val="11"/>
                <w:b w:val="1"/>
                <w:bCs w:val="1"/>
                <w:color w:val="auto"/>
              </w:rPr>
              <w:t>2017</w:t>
            </w:r>
          </w:p>
        </w:tc>
        <w:tc>
          <w:tcPr>
            <w:tcW w:w="180" w:type="dxa"/>
            <w:vAlign w:val="bottom"/>
            <w:tcBorders>
              <w:bottom w:val="single" w:sz="8" w:color="CCEEFF"/>
            </w:tcBorders>
          </w:tcPr>
          <w:p>
            <w:pPr>
              <w:spacing w:after="0"/>
              <w:rPr>
                <w:sz w:val="11"/>
                <w:szCs w:val="11"/>
                <w:color w:val="auto"/>
              </w:rPr>
            </w:pPr>
          </w:p>
        </w:tc>
        <w:tc>
          <w:tcPr>
            <w:tcW w:w="840" w:type="dxa"/>
            <w:vAlign w:val="bottom"/>
            <w:tcBorders>
              <w:bottom w:val="single" w:sz="8" w:color="auto"/>
            </w:tcBorders>
          </w:tcPr>
          <w:p>
            <w:pPr>
              <w:jc w:val="right"/>
              <w:ind w:right="231"/>
              <w:spacing w:after="0"/>
              <w:rPr>
                <w:sz w:val="20"/>
                <w:szCs w:val="20"/>
                <w:color w:val="auto"/>
              </w:rPr>
            </w:pPr>
            <w:r>
              <w:rPr>
                <w:rFonts w:ascii="Arial" w:cs="Arial" w:eastAsia="Arial" w:hAnsi="Arial"/>
                <w:sz w:val="11"/>
                <w:szCs w:val="11"/>
                <w:b w:val="1"/>
                <w:bCs w:val="1"/>
                <w:color w:val="auto"/>
              </w:rPr>
              <w:t>2016</w:t>
            </w:r>
          </w:p>
        </w:tc>
        <w:tc>
          <w:tcPr>
            <w:tcW w:w="140" w:type="dxa"/>
            <w:vAlign w:val="bottom"/>
            <w:tcBorders>
              <w:bottom w:val="single" w:sz="8" w:color="CCEEFF"/>
            </w:tcBorders>
          </w:tcPr>
          <w:p>
            <w:pPr>
              <w:spacing w:after="0"/>
              <w:rPr>
                <w:sz w:val="11"/>
                <w:szCs w:val="11"/>
                <w:color w:val="auto"/>
              </w:rPr>
            </w:pPr>
          </w:p>
        </w:tc>
      </w:tr>
      <w:tr>
        <w:trPr>
          <w:trHeight w:val="170"/>
        </w:trPr>
        <w:tc>
          <w:tcPr>
            <w:tcW w:w="6020" w:type="dxa"/>
            <w:vAlign w:val="bottom"/>
            <w:shd w:val="clear" w:color="auto" w:fill="CCEEFF"/>
          </w:tcPr>
          <w:p>
            <w:pPr>
              <w:spacing w:after="0"/>
              <w:rPr>
                <w:sz w:val="20"/>
                <w:szCs w:val="20"/>
                <w:color w:val="auto"/>
              </w:rPr>
            </w:pPr>
            <w:r>
              <w:rPr>
                <w:rFonts w:ascii="Arial" w:cs="Arial" w:eastAsia="Arial" w:hAnsi="Arial"/>
                <w:sz w:val="14"/>
                <w:szCs w:val="14"/>
                <w:color w:val="auto"/>
              </w:rPr>
              <w:t>Net sales</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2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9"/>
              </w:rPr>
              <w:t>%</w:t>
            </w:r>
          </w:p>
        </w:tc>
      </w:tr>
      <w:tr>
        <w:trPr>
          <w:trHeight w:val="170"/>
        </w:trPr>
        <w:tc>
          <w:tcPr>
            <w:tcW w:w="602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Cost of goods sold</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85.1</w:t>
            </w:r>
          </w:p>
        </w:tc>
        <w:tc>
          <w:tcPr>
            <w:tcW w:w="20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85.4</w:t>
            </w:r>
          </w:p>
        </w:tc>
        <w:tc>
          <w:tcPr>
            <w:tcW w:w="18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85.4</w:t>
            </w:r>
          </w:p>
        </w:tc>
        <w:tc>
          <w:tcPr>
            <w:tcW w:w="140" w:type="dxa"/>
            <w:vAlign w:val="bottom"/>
            <w:tcBorders>
              <w:bottom w:val="single" w:sz="8" w:color="CCEEFF"/>
            </w:tcBorders>
          </w:tcPr>
          <w:p>
            <w:pPr>
              <w:spacing w:after="0"/>
              <w:rPr>
                <w:sz w:val="14"/>
                <w:szCs w:val="14"/>
                <w:color w:val="auto"/>
              </w:rPr>
            </w:pPr>
          </w:p>
        </w:tc>
      </w:tr>
      <w:tr>
        <w:trPr>
          <w:trHeight w:val="161"/>
        </w:trPr>
        <w:tc>
          <w:tcPr>
            <w:tcW w:w="6020" w:type="dxa"/>
            <w:vAlign w:val="bottom"/>
            <w:shd w:val="clear" w:color="auto" w:fill="CCEEFF"/>
          </w:tcPr>
          <w:p>
            <w:pPr>
              <w:spacing w:after="0"/>
              <w:rPr>
                <w:sz w:val="20"/>
                <w:szCs w:val="20"/>
                <w:color w:val="auto"/>
              </w:rPr>
            </w:pPr>
            <w:r>
              <w:rPr>
                <w:rFonts w:ascii="Arial" w:cs="Arial" w:eastAsia="Arial" w:hAnsi="Arial"/>
                <w:sz w:val="14"/>
                <w:szCs w:val="14"/>
                <w:color w:val="auto"/>
              </w:rPr>
              <w:t>Gross profit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w:t>
            </w:r>
          </w:p>
        </w:tc>
        <w:tc>
          <w:tcPr>
            <w:tcW w:w="2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w:t>
            </w:r>
          </w:p>
        </w:tc>
        <w:tc>
          <w:tcPr>
            <w:tcW w:w="18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w:t>
            </w:r>
          </w:p>
        </w:tc>
        <w:tc>
          <w:tcPr>
            <w:tcW w:w="140" w:type="dxa"/>
            <w:vAlign w:val="bottom"/>
            <w:shd w:val="clear" w:color="auto" w:fill="CCEEFF"/>
          </w:tcPr>
          <w:p>
            <w:pPr>
              <w:spacing w:after="0"/>
              <w:rPr>
                <w:sz w:val="13"/>
                <w:szCs w:val="13"/>
                <w:color w:val="auto"/>
              </w:rPr>
            </w:pPr>
          </w:p>
        </w:tc>
      </w:tr>
      <w:tr>
        <w:trPr>
          <w:trHeight w:val="170"/>
        </w:trPr>
        <w:tc>
          <w:tcPr>
            <w:tcW w:w="6020" w:type="dxa"/>
            <w:vAlign w:val="bottom"/>
          </w:tcPr>
          <w:p>
            <w:pPr>
              <w:spacing w:after="0"/>
              <w:rPr>
                <w:sz w:val="20"/>
                <w:szCs w:val="20"/>
                <w:color w:val="auto"/>
              </w:rPr>
            </w:pPr>
            <w:r>
              <w:rPr>
                <w:rFonts w:ascii="Arial" w:cs="Arial" w:eastAsia="Arial" w:hAnsi="Arial"/>
                <w:sz w:val="14"/>
                <w:szCs w:val="14"/>
                <w:color w:val="auto"/>
              </w:rPr>
              <w:t>Selling, general, and administrative expenses</w:t>
            </w:r>
          </w:p>
        </w:tc>
        <w:tc>
          <w:tcPr>
            <w:tcW w:w="880" w:type="dxa"/>
            <w:vAlign w:val="bottom"/>
          </w:tcPr>
          <w:p>
            <w:pPr>
              <w:jc w:val="right"/>
              <w:spacing w:after="0"/>
              <w:rPr>
                <w:sz w:val="20"/>
                <w:szCs w:val="20"/>
                <w:color w:val="auto"/>
              </w:rPr>
            </w:pPr>
            <w:r>
              <w:rPr>
                <w:rFonts w:ascii="Arial" w:cs="Arial" w:eastAsia="Arial" w:hAnsi="Arial"/>
                <w:sz w:val="14"/>
                <w:szCs w:val="14"/>
                <w:color w:val="auto"/>
              </w:rPr>
              <w:t>9.9</w:t>
            </w:r>
          </w:p>
        </w:tc>
        <w:tc>
          <w:tcPr>
            <w:tcW w:w="2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9.7</w:t>
            </w:r>
          </w:p>
        </w:tc>
        <w:tc>
          <w:tcPr>
            <w:tcW w:w="1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9.6</w:t>
            </w:r>
          </w:p>
        </w:tc>
        <w:tc>
          <w:tcPr>
            <w:tcW w:w="140" w:type="dxa"/>
            <w:vAlign w:val="bottom"/>
          </w:tcPr>
          <w:p>
            <w:pPr>
              <w:spacing w:after="0"/>
              <w:rPr>
                <w:sz w:val="14"/>
                <w:szCs w:val="14"/>
                <w:color w:val="auto"/>
              </w:rPr>
            </w:pPr>
          </w:p>
        </w:tc>
      </w:tr>
      <w:tr>
        <w:trPr>
          <w:trHeight w:val="170"/>
        </w:trPr>
        <w:tc>
          <w:tcPr>
            <w:tcW w:w="6020" w:type="dxa"/>
            <w:vAlign w:val="bottom"/>
            <w:shd w:val="clear" w:color="auto" w:fill="CCEEFF"/>
          </w:tcPr>
          <w:p>
            <w:pPr>
              <w:spacing w:after="0"/>
              <w:rPr>
                <w:sz w:val="20"/>
                <w:szCs w:val="20"/>
                <w:color w:val="auto"/>
              </w:rPr>
            </w:pPr>
            <w:r>
              <w:rPr>
                <w:rFonts w:ascii="Arial" w:cs="Arial" w:eastAsia="Arial" w:hAnsi="Arial"/>
                <w:sz w:val="14"/>
                <w:szCs w:val="14"/>
                <w:color w:val="auto"/>
              </w:rPr>
              <w:t>Net gain on disposition and impairment of assets</w:t>
            </w:r>
          </w:p>
        </w:tc>
        <w:tc>
          <w:tcPr>
            <w:tcW w:w="1080" w:type="dxa"/>
            <w:vAlign w:val="bottom"/>
            <w:gridSpan w:val="2"/>
            <w:shd w:val="clear" w:color="auto" w:fill="CCEEFF"/>
          </w:tcPr>
          <w:p>
            <w:pPr>
              <w:jc w:val="right"/>
              <w:ind w:right="129"/>
              <w:spacing w:after="0"/>
              <w:rPr>
                <w:sz w:val="20"/>
                <w:szCs w:val="20"/>
                <w:color w:val="auto"/>
              </w:rPr>
            </w:pPr>
            <w:r>
              <w:rPr>
                <w:rFonts w:ascii="Arial" w:cs="Arial" w:eastAsia="Arial" w:hAnsi="Arial"/>
                <w:sz w:val="14"/>
                <w:szCs w:val="14"/>
                <w:color w:val="auto"/>
              </w:rPr>
              <w:t>(0.2)</w:t>
            </w:r>
          </w:p>
        </w:tc>
        <w:tc>
          <w:tcPr>
            <w:tcW w:w="1020" w:type="dxa"/>
            <w:vAlign w:val="bottom"/>
            <w:gridSpan w:val="2"/>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r>
      <w:tr>
        <w:trPr>
          <w:trHeight w:val="161"/>
        </w:trPr>
        <w:tc>
          <w:tcPr>
            <w:tcW w:w="6020" w:type="dxa"/>
            <w:vAlign w:val="bottom"/>
          </w:tcPr>
          <w:p>
            <w:pPr>
              <w:spacing w:after="0"/>
              <w:rPr>
                <w:sz w:val="20"/>
                <w:szCs w:val="20"/>
                <w:color w:val="auto"/>
              </w:rPr>
            </w:pPr>
            <w:r>
              <w:rPr>
                <w:rFonts w:ascii="Arial" w:cs="Arial" w:eastAsia="Arial" w:hAnsi="Arial"/>
                <w:sz w:val="14"/>
                <w:szCs w:val="14"/>
                <w:color w:val="auto"/>
              </w:rPr>
              <w:t>Earnings from operations</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5.2</w:t>
            </w:r>
          </w:p>
        </w:tc>
        <w:tc>
          <w:tcPr>
            <w:tcW w:w="200" w:type="dxa"/>
            <w:vAlign w:val="bottom"/>
          </w:tcPr>
          <w:p>
            <w:pPr>
              <w:spacing w:after="0"/>
              <w:rPr>
                <w:sz w:val="13"/>
                <w:szCs w:val="13"/>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4.9</w:t>
            </w:r>
          </w:p>
        </w:tc>
        <w:tc>
          <w:tcPr>
            <w:tcW w:w="180" w:type="dxa"/>
            <w:vAlign w:val="bottom"/>
          </w:tcPr>
          <w:p>
            <w:pPr>
              <w:spacing w:after="0"/>
              <w:rPr>
                <w:sz w:val="13"/>
                <w:szCs w:val="13"/>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5.1</w:t>
            </w:r>
          </w:p>
        </w:tc>
        <w:tc>
          <w:tcPr>
            <w:tcW w:w="140" w:type="dxa"/>
            <w:vAlign w:val="bottom"/>
          </w:tcPr>
          <w:p>
            <w:pPr>
              <w:spacing w:after="0"/>
              <w:rPr>
                <w:sz w:val="13"/>
                <w:szCs w:val="13"/>
                <w:color w:val="auto"/>
              </w:rPr>
            </w:pPr>
          </w:p>
        </w:tc>
      </w:tr>
      <w:tr>
        <w:trPr>
          <w:trHeight w:val="170"/>
        </w:trPr>
        <w:tc>
          <w:tcPr>
            <w:tcW w:w="6020" w:type="dxa"/>
            <w:vAlign w:val="bottom"/>
            <w:shd w:val="clear" w:color="auto" w:fill="CCEEFF"/>
          </w:tcPr>
          <w:p>
            <w:pPr>
              <w:spacing w:after="0"/>
              <w:rPr>
                <w:sz w:val="20"/>
                <w:szCs w:val="20"/>
                <w:color w:val="auto"/>
              </w:rPr>
            </w:pPr>
            <w:r>
              <w:rPr>
                <w:rFonts w:ascii="Arial" w:cs="Arial" w:eastAsia="Arial" w:hAnsi="Arial"/>
                <w:sz w:val="14"/>
                <w:szCs w:val="14"/>
                <w:color w:val="auto"/>
              </w:rPr>
              <w:t>Other expense (income), net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200" w:type="dxa"/>
            <w:vAlign w:val="bottom"/>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80" w:type="dxa"/>
            <w:vAlign w:val="bottom"/>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40" w:type="dxa"/>
            <w:vAlign w:val="bottom"/>
            <w:shd w:val="clear" w:color="auto" w:fill="CCEEFF"/>
          </w:tcPr>
          <w:p>
            <w:pPr>
              <w:spacing w:after="0"/>
              <w:rPr>
                <w:sz w:val="14"/>
                <w:szCs w:val="14"/>
                <w:color w:val="auto"/>
              </w:rPr>
            </w:pPr>
          </w:p>
        </w:tc>
      </w:tr>
      <w:tr>
        <w:trPr>
          <w:trHeight w:val="161"/>
        </w:trPr>
        <w:tc>
          <w:tcPr>
            <w:tcW w:w="6020" w:type="dxa"/>
            <w:vAlign w:val="bottom"/>
          </w:tcPr>
          <w:p>
            <w:pPr>
              <w:spacing w:after="0"/>
              <w:rPr>
                <w:sz w:val="20"/>
                <w:szCs w:val="20"/>
                <w:color w:val="auto"/>
              </w:rPr>
            </w:pPr>
            <w:r>
              <w:rPr>
                <w:rFonts w:ascii="Arial" w:cs="Arial" w:eastAsia="Arial" w:hAnsi="Arial"/>
                <w:sz w:val="14"/>
                <w:szCs w:val="14"/>
                <w:color w:val="auto"/>
              </w:rPr>
              <w:t>Earnings before income taxes</w:t>
            </w:r>
          </w:p>
        </w:tc>
        <w:tc>
          <w:tcPr>
            <w:tcW w:w="880" w:type="dxa"/>
            <w:vAlign w:val="bottom"/>
          </w:tcPr>
          <w:p>
            <w:pPr>
              <w:jc w:val="right"/>
              <w:spacing w:after="0"/>
              <w:rPr>
                <w:sz w:val="20"/>
                <w:szCs w:val="20"/>
                <w:color w:val="auto"/>
              </w:rPr>
            </w:pPr>
            <w:r>
              <w:rPr>
                <w:rFonts w:ascii="Arial" w:cs="Arial" w:eastAsia="Arial" w:hAnsi="Arial"/>
                <w:sz w:val="14"/>
                <w:szCs w:val="14"/>
                <w:color w:val="auto"/>
              </w:rPr>
              <w:t>5.0</w:t>
            </w:r>
          </w:p>
        </w:tc>
        <w:tc>
          <w:tcPr>
            <w:tcW w:w="2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4.7</w:t>
            </w:r>
          </w:p>
        </w:tc>
        <w:tc>
          <w:tcPr>
            <w:tcW w:w="1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5.0</w:t>
            </w:r>
          </w:p>
        </w:tc>
        <w:tc>
          <w:tcPr>
            <w:tcW w:w="140" w:type="dxa"/>
            <w:vAlign w:val="bottom"/>
          </w:tcPr>
          <w:p>
            <w:pPr>
              <w:spacing w:after="0"/>
              <w:rPr>
                <w:sz w:val="13"/>
                <w:szCs w:val="13"/>
                <w:color w:val="auto"/>
              </w:rPr>
            </w:pPr>
          </w:p>
        </w:tc>
      </w:tr>
      <w:tr>
        <w:trPr>
          <w:trHeight w:val="170"/>
        </w:trPr>
        <w:tc>
          <w:tcPr>
            <w:tcW w:w="6020" w:type="dxa"/>
            <w:vAlign w:val="bottom"/>
            <w:shd w:val="clear" w:color="auto" w:fill="CCEEFF"/>
          </w:tcPr>
          <w:p>
            <w:pPr>
              <w:spacing w:after="0"/>
              <w:rPr>
                <w:sz w:val="20"/>
                <w:szCs w:val="20"/>
                <w:color w:val="auto"/>
              </w:rPr>
            </w:pPr>
            <w:r>
              <w:rPr>
                <w:rFonts w:ascii="Arial" w:cs="Arial" w:eastAsia="Arial" w:hAnsi="Arial"/>
                <w:sz w:val="14"/>
                <w:szCs w:val="14"/>
                <w:color w:val="auto"/>
              </w:rPr>
              <w:t>Income taxes</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200" w:type="dxa"/>
            <w:vAlign w:val="bottom"/>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80" w:type="dxa"/>
            <w:vAlign w:val="bottom"/>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40" w:type="dxa"/>
            <w:vAlign w:val="bottom"/>
            <w:shd w:val="clear" w:color="auto" w:fill="CCEEFF"/>
          </w:tcPr>
          <w:p>
            <w:pPr>
              <w:spacing w:after="0"/>
              <w:rPr>
                <w:sz w:val="14"/>
                <w:szCs w:val="14"/>
                <w:color w:val="auto"/>
              </w:rPr>
            </w:pPr>
          </w:p>
        </w:tc>
      </w:tr>
      <w:tr>
        <w:trPr>
          <w:trHeight w:val="161"/>
        </w:trPr>
        <w:tc>
          <w:tcPr>
            <w:tcW w:w="6020" w:type="dxa"/>
            <w:vAlign w:val="bottom"/>
          </w:tcPr>
          <w:p>
            <w:pPr>
              <w:spacing w:after="0"/>
              <w:rPr>
                <w:sz w:val="20"/>
                <w:szCs w:val="20"/>
                <w:color w:val="auto"/>
              </w:rPr>
            </w:pPr>
            <w:r>
              <w:rPr>
                <w:rFonts w:ascii="Arial" w:cs="Arial" w:eastAsia="Arial" w:hAnsi="Arial"/>
                <w:sz w:val="14"/>
                <w:szCs w:val="14"/>
                <w:color w:val="auto"/>
              </w:rPr>
              <w:t>Net earnings</w:t>
            </w:r>
          </w:p>
        </w:tc>
        <w:tc>
          <w:tcPr>
            <w:tcW w:w="880" w:type="dxa"/>
            <w:vAlign w:val="bottom"/>
          </w:tcPr>
          <w:p>
            <w:pPr>
              <w:jc w:val="right"/>
              <w:spacing w:after="0"/>
              <w:rPr>
                <w:sz w:val="20"/>
                <w:szCs w:val="20"/>
                <w:color w:val="auto"/>
              </w:rPr>
            </w:pPr>
            <w:r>
              <w:rPr>
                <w:rFonts w:ascii="Arial" w:cs="Arial" w:eastAsia="Arial" w:hAnsi="Arial"/>
                <w:sz w:val="14"/>
                <w:szCs w:val="14"/>
                <w:color w:val="auto"/>
              </w:rPr>
              <w:t>3.8</w:t>
            </w:r>
          </w:p>
        </w:tc>
        <w:tc>
          <w:tcPr>
            <w:tcW w:w="2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3.3</w:t>
            </w:r>
          </w:p>
        </w:tc>
        <w:tc>
          <w:tcPr>
            <w:tcW w:w="1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3.3</w:t>
            </w:r>
          </w:p>
        </w:tc>
        <w:tc>
          <w:tcPr>
            <w:tcW w:w="140" w:type="dxa"/>
            <w:vAlign w:val="bottom"/>
          </w:tcPr>
          <w:p>
            <w:pPr>
              <w:spacing w:after="0"/>
              <w:rPr>
                <w:sz w:val="13"/>
                <w:szCs w:val="13"/>
                <w:color w:val="auto"/>
              </w:rPr>
            </w:pPr>
          </w:p>
        </w:tc>
      </w:tr>
      <w:tr>
        <w:trPr>
          <w:trHeight w:val="170"/>
        </w:trPr>
        <w:tc>
          <w:tcPr>
            <w:tcW w:w="6020" w:type="dxa"/>
            <w:vAlign w:val="bottom"/>
            <w:shd w:val="clear" w:color="auto" w:fill="CCEEFF"/>
          </w:tcPr>
          <w:p>
            <w:pPr>
              <w:spacing w:after="0"/>
              <w:rPr>
                <w:sz w:val="20"/>
                <w:szCs w:val="20"/>
                <w:color w:val="auto"/>
              </w:rPr>
            </w:pPr>
            <w:r>
              <w:rPr>
                <w:rFonts w:ascii="Arial" w:cs="Arial" w:eastAsia="Arial" w:hAnsi="Arial"/>
                <w:sz w:val="14"/>
                <w:szCs w:val="14"/>
                <w:color w:val="auto"/>
              </w:rPr>
              <w:t>Less net earnings attributable to noncontrolling interest</w:t>
            </w:r>
          </w:p>
        </w:tc>
        <w:tc>
          <w:tcPr>
            <w:tcW w:w="1080" w:type="dxa"/>
            <w:vAlign w:val="bottom"/>
            <w:gridSpan w:val="2"/>
            <w:shd w:val="clear" w:color="auto" w:fill="CCEEFF"/>
          </w:tcPr>
          <w:p>
            <w:pPr>
              <w:jc w:val="right"/>
              <w:ind w:right="129"/>
              <w:spacing w:after="0"/>
              <w:rPr>
                <w:sz w:val="20"/>
                <w:szCs w:val="20"/>
                <w:color w:val="auto"/>
              </w:rPr>
            </w:pPr>
            <w:r>
              <w:rPr>
                <w:rFonts w:ascii="Arial" w:cs="Arial" w:eastAsia="Arial" w:hAnsi="Arial"/>
                <w:sz w:val="14"/>
                <w:szCs w:val="14"/>
                <w:color w:val="auto"/>
              </w:rPr>
              <w:t>(0.1)</w:t>
            </w:r>
          </w:p>
        </w:tc>
        <w:tc>
          <w:tcPr>
            <w:tcW w:w="1020" w:type="dxa"/>
            <w:vAlign w:val="bottom"/>
            <w:gridSpan w:val="2"/>
            <w:shd w:val="clear" w:color="auto" w:fill="CCEEFF"/>
          </w:tcPr>
          <w:p>
            <w:pPr>
              <w:jc w:val="right"/>
              <w:ind w:right="109"/>
              <w:spacing w:after="0"/>
              <w:rPr>
                <w:sz w:val="20"/>
                <w:szCs w:val="20"/>
                <w:color w:val="auto"/>
              </w:rPr>
            </w:pPr>
            <w:r>
              <w:rPr>
                <w:rFonts w:ascii="Arial" w:cs="Arial" w:eastAsia="Arial" w:hAnsi="Arial"/>
                <w:sz w:val="14"/>
                <w:szCs w:val="14"/>
                <w:color w:val="auto"/>
              </w:rPr>
              <w:t>(0.1)</w:t>
            </w:r>
          </w:p>
        </w:tc>
        <w:tc>
          <w:tcPr>
            <w:tcW w:w="980" w:type="dxa"/>
            <w:vAlign w:val="bottom"/>
            <w:gridSpan w:val="2"/>
            <w:shd w:val="clear" w:color="auto" w:fill="CCEEFF"/>
          </w:tcPr>
          <w:p>
            <w:pPr>
              <w:jc w:val="right"/>
              <w:ind w:right="69"/>
              <w:spacing w:after="0"/>
              <w:rPr>
                <w:sz w:val="20"/>
                <w:szCs w:val="20"/>
                <w:color w:val="auto"/>
              </w:rPr>
            </w:pPr>
            <w:r>
              <w:rPr>
                <w:rFonts w:ascii="Arial" w:cs="Arial" w:eastAsia="Arial" w:hAnsi="Arial"/>
                <w:sz w:val="14"/>
                <w:szCs w:val="14"/>
                <w:color w:val="auto"/>
              </w:rPr>
              <w:t>(0.1)</w:t>
            </w:r>
          </w:p>
        </w:tc>
      </w:tr>
      <w:tr>
        <w:trPr>
          <w:trHeight w:val="162"/>
        </w:trPr>
        <w:tc>
          <w:tcPr>
            <w:tcW w:w="6020" w:type="dxa"/>
            <w:vAlign w:val="bottom"/>
          </w:tcPr>
          <w:p>
            <w:pPr>
              <w:spacing w:after="0"/>
              <w:rPr>
                <w:sz w:val="20"/>
                <w:szCs w:val="20"/>
                <w:color w:val="auto"/>
              </w:rPr>
            </w:pPr>
            <w:r>
              <w:rPr>
                <w:rFonts w:ascii="Arial" w:cs="Arial" w:eastAsia="Arial" w:hAnsi="Arial"/>
                <w:sz w:val="14"/>
                <w:szCs w:val="14"/>
                <w:color w:val="auto"/>
              </w:rPr>
              <w:t>Net earnings attributable to controlling interest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3.7</w:t>
            </w:r>
          </w:p>
        </w:tc>
        <w:tc>
          <w:tcPr>
            <w:tcW w:w="200" w:type="dxa"/>
            <w:vAlign w:val="bottom"/>
          </w:tcPr>
          <w:p>
            <w:pPr>
              <w:jc w:val="right"/>
              <w:ind w:right="9"/>
              <w:spacing w:after="0"/>
              <w:rPr>
                <w:sz w:val="20"/>
                <w:szCs w:val="20"/>
                <w:color w:val="auto"/>
              </w:rPr>
            </w:pPr>
            <w:r>
              <w:rPr>
                <w:rFonts w:ascii="Arial" w:cs="Arial" w:eastAsia="Arial" w:hAnsi="Arial"/>
                <w:sz w:val="14"/>
                <w:szCs w:val="14"/>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3.2</w:t>
            </w:r>
          </w:p>
        </w:tc>
        <w:tc>
          <w:tcPr>
            <w:tcW w:w="180" w:type="dxa"/>
            <w:vAlign w:val="bottom"/>
          </w:tcPr>
          <w:p>
            <w:pPr>
              <w:jc w:val="right"/>
              <w:spacing w:after="0"/>
              <w:rPr>
                <w:sz w:val="20"/>
                <w:szCs w:val="20"/>
                <w:color w:val="auto"/>
              </w:rPr>
            </w:pPr>
            <w:r>
              <w:rPr>
                <w:rFonts w:ascii="Arial" w:cs="Arial" w:eastAsia="Arial" w:hAnsi="Arial"/>
                <w:sz w:val="14"/>
                <w:szCs w:val="14"/>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3.1</w:t>
            </w:r>
          </w:p>
        </w:tc>
        <w:tc>
          <w:tcPr>
            <w:tcW w:w="140" w:type="dxa"/>
            <w:vAlign w:val="bottom"/>
          </w:tcPr>
          <w:p>
            <w:pPr>
              <w:jc w:val="right"/>
              <w:spacing w:after="0"/>
              <w:rPr>
                <w:sz w:val="20"/>
                <w:szCs w:val="20"/>
                <w:color w:val="auto"/>
              </w:rPr>
            </w:pPr>
            <w:r>
              <w:rPr>
                <w:rFonts w:ascii="Arial" w:cs="Arial" w:eastAsia="Arial" w:hAnsi="Arial"/>
                <w:sz w:val="14"/>
                <w:szCs w:val="14"/>
                <w:color w:val="auto"/>
                <w:w w:val="79"/>
              </w:rPr>
              <w:t>%</w:t>
            </w:r>
          </w:p>
        </w:tc>
      </w:tr>
    </w:tbl>
    <w:p>
      <w:pPr>
        <w:spacing w:after="0" w:line="329"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The following table presents, for the periods included, our selling, general, and administrative (SG&amp;A) costs as a percentage of gross profit. Given our strategies to enhance our capabilities and improve our value-added product offering</w:t>
      </w: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66675</wp:posOffset>
            </wp:positionV>
            <wp:extent cx="5779135" cy="203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5">
                      <a:extLst>
                        <a:ext uri="{28A0092B-C50C-407E-A947-70E740481C1C}"/>
                      </a:extLst>
                    </a:blip>
                    <a:srcRect/>
                    <a:stretch>
                      <a:fillRect/>
                    </a:stretch>
                  </pic:blipFill>
                  <pic:spPr bwMode="auto">
                    <a:xfrm>
                      <a:off x="0" y="0"/>
                      <a:ext cx="5779135" cy="20320"/>
                    </a:xfrm>
                    <a:prstGeom prst="rect">
                      <a:avLst/>
                    </a:prstGeom>
                    <a:noFill/>
                  </pic:spPr>
                </pic:pic>
              </a:graphicData>
            </a:graphic>
          </wp:anchor>
        </w:drawing>
      </w:r>
    </w:p>
    <w:p>
      <w:pPr>
        <w:sectPr>
          <w:pgSz w:w="11900" w:h="16838" w:orient="portrait"/>
          <w:cols w:equalWidth="0" w:num="1">
            <w:col w:w="9100"/>
          </w:cols>
          <w:pgMar w:left="1400" w:top="129" w:right="1399" w:bottom="1440" w:gutter="0" w:footer="0" w:header="0"/>
        </w:sectPr>
      </w:pPr>
    </w:p>
    <w:bookmarkStart w:id="50" w:name="page51"/>
    <w:bookmarkEnd w:id="50"/>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UNIVERSAL FOREST PRODUCTS,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MANAGEMENT’S DISCUSSION AND ANALYSIS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FINANCIAL CONDITION AND RESULTS OF OPERATIONS</w:t>
      </w:r>
    </w:p>
    <w:p>
      <w:pPr>
        <w:spacing w:after="0" w:line="169"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and recognizing the higher relative level of SG&amp;A costs these strategies require, we believe this ratio provides an enhanced view of our efficiency in managing these costs.</w:t>
      </w:r>
    </w:p>
    <w:p>
      <w:pPr>
        <w:spacing w:after="0" w:line="137" w:lineRule="exact"/>
        <w:rPr>
          <w:sz w:val="20"/>
          <w:szCs w:val="20"/>
          <w:color w:val="auto"/>
        </w:rPr>
      </w:pPr>
    </w:p>
    <w:p>
      <w:pPr>
        <w:jc w:val="center"/>
        <w:ind w:left="4620"/>
        <w:spacing w:after="0"/>
        <w:rPr>
          <w:sz w:val="20"/>
          <w:szCs w:val="20"/>
          <w:color w:val="auto"/>
        </w:rPr>
      </w:pPr>
      <w:r>
        <w:rPr>
          <w:rFonts w:ascii="Arial" w:cs="Arial" w:eastAsia="Arial" w:hAnsi="Arial"/>
          <w:sz w:val="11"/>
          <w:szCs w:val="11"/>
          <w:b w:val="1"/>
          <w:bCs w:val="1"/>
          <w:color w:val="auto"/>
        </w:rPr>
        <w:t>SG&amp;A as a Percentage of Gross Profit</w:t>
      </w:r>
    </w:p>
    <w:p>
      <w:pPr>
        <w:jc w:val="center"/>
        <w:ind w:left="4620"/>
        <w:spacing w:after="0" w:line="236" w:lineRule="auto"/>
        <w:rPr>
          <w:sz w:val="20"/>
          <w:szCs w:val="20"/>
          <w:color w:val="auto"/>
        </w:rPr>
      </w:pPr>
      <w:r>
        <w:rPr>
          <w:rFonts w:ascii="Arial" w:cs="Arial" w:eastAsia="Arial" w:hAnsi="Arial"/>
          <w:sz w:val="11"/>
          <w:szCs w:val="11"/>
          <w:b w:val="1"/>
          <w:bCs w:val="1"/>
          <w:color w:val="auto"/>
        </w:rPr>
        <w:t>Year Ended</w:t>
      </w:r>
    </w:p>
    <w:tbl>
      <w:tblPr>
        <w:tblLayout w:type="fixed"/>
        <w:tblInd w:w="0" w:type="dxa"/>
        <w:tblCellMar>
          <w:top w:w="0" w:type="dxa"/>
          <w:left w:w="0" w:type="dxa"/>
          <w:bottom w:w="0" w:type="dxa"/>
          <w:right w:w="0" w:type="dxa"/>
        </w:tblCellMar>
      </w:tblPr>
      <w:tr>
        <w:trPr>
          <w:trHeight w:val="101"/>
        </w:trPr>
        <w:tc>
          <w:tcPr>
            <w:tcW w:w="4620" w:type="dxa"/>
            <w:vAlign w:val="bottom"/>
          </w:tcPr>
          <w:p>
            <w:pPr>
              <w:spacing w:after="0"/>
              <w:rPr>
                <w:sz w:val="8"/>
                <w:szCs w:val="8"/>
                <w:color w:val="auto"/>
              </w:rPr>
            </w:pPr>
          </w:p>
        </w:tc>
        <w:tc>
          <w:tcPr>
            <w:tcW w:w="1560" w:type="dxa"/>
            <w:vAlign w:val="bottom"/>
            <w:tcBorders>
              <w:top w:val="single" w:sz="8" w:color="auto"/>
            </w:tcBorders>
            <w:gridSpan w:val="2"/>
          </w:tcPr>
          <w:p>
            <w:pPr>
              <w:ind w:left="340"/>
              <w:spacing w:after="0" w:line="101" w:lineRule="exact"/>
              <w:rPr>
                <w:sz w:val="20"/>
                <w:szCs w:val="20"/>
                <w:color w:val="auto"/>
              </w:rPr>
            </w:pPr>
            <w:r>
              <w:rPr>
                <w:rFonts w:ascii="Arial" w:cs="Arial" w:eastAsia="Arial" w:hAnsi="Arial"/>
                <w:sz w:val="11"/>
                <w:szCs w:val="11"/>
                <w:b w:val="1"/>
                <w:bCs w:val="1"/>
                <w:color w:val="auto"/>
              </w:rPr>
              <w:t>December 29,</w:t>
            </w:r>
          </w:p>
        </w:tc>
        <w:tc>
          <w:tcPr>
            <w:tcW w:w="1580" w:type="dxa"/>
            <w:vAlign w:val="bottom"/>
            <w:tcBorders>
              <w:top w:val="single" w:sz="8" w:color="auto"/>
            </w:tcBorders>
            <w:gridSpan w:val="2"/>
          </w:tcPr>
          <w:p>
            <w:pPr>
              <w:ind w:left="340"/>
              <w:spacing w:after="0" w:line="101" w:lineRule="exact"/>
              <w:rPr>
                <w:sz w:val="20"/>
                <w:szCs w:val="20"/>
                <w:color w:val="auto"/>
              </w:rPr>
            </w:pPr>
            <w:r>
              <w:rPr>
                <w:rFonts w:ascii="Arial" w:cs="Arial" w:eastAsia="Arial" w:hAnsi="Arial"/>
                <w:sz w:val="11"/>
                <w:szCs w:val="11"/>
                <w:b w:val="1"/>
                <w:bCs w:val="1"/>
                <w:color w:val="auto"/>
              </w:rPr>
              <w:t>December 30,</w:t>
            </w:r>
          </w:p>
        </w:tc>
        <w:tc>
          <w:tcPr>
            <w:tcW w:w="1340" w:type="dxa"/>
            <w:vAlign w:val="bottom"/>
            <w:tcBorders>
              <w:top w:val="single" w:sz="8" w:color="auto"/>
            </w:tcBorders>
          </w:tcPr>
          <w:p>
            <w:pPr>
              <w:jc w:val="right"/>
              <w:ind w:right="275"/>
              <w:spacing w:after="0" w:line="101" w:lineRule="exact"/>
              <w:rPr>
                <w:sz w:val="20"/>
                <w:szCs w:val="20"/>
                <w:color w:val="auto"/>
              </w:rPr>
            </w:pPr>
            <w:r>
              <w:rPr>
                <w:rFonts w:ascii="Arial" w:cs="Arial" w:eastAsia="Arial" w:hAnsi="Arial"/>
                <w:sz w:val="11"/>
                <w:szCs w:val="11"/>
                <w:b w:val="1"/>
                <w:bCs w:val="1"/>
                <w:color w:val="auto"/>
              </w:rPr>
              <w:t>December 31,</w:t>
            </w:r>
          </w:p>
        </w:tc>
      </w:tr>
      <w:tr>
        <w:trPr>
          <w:trHeight w:val="135"/>
        </w:trPr>
        <w:tc>
          <w:tcPr>
            <w:tcW w:w="4620" w:type="dxa"/>
            <w:vAlign w:val="bottom"/>
            <w:tcBorders>
              <w:bottom w:val="single" w:sz="8" w:color="CCEEFF"/>
            </w:tcBorders>
          </w:tcPr>
          <w:p>
            <w:pPr>
              <w:spacing w:after="0"/>
              <w:rPr>
                <w:sz w:val="11"/>
                <w:szCs w:val="11"/>
                <w:color w:val="auto"/>
              </w:rPr>
            </w:pPr>
          </w:p>
        </w:tc>
        <w:tc>
          <w:tcPr>
            <w:tcW w:w="1320" w:type="dxa"/>
            <w:vAlign w:val="bottom"/>
            <w:tcBorders>
              <w:bottom w:val="single" w:sz="8" w:color="auto"/>
            </w:tcBorders>
          </w:tcPr>
          <w:p>
            <w:pPr>
              <w:jc w:val="right"/>
              <w:ind w:right="475"/>
              <w:spacing w:after="0"/>
              <w:rPr>
                <w:sz w:val="20"/>
                <w:szCs w:val="20"/>
                <w:color w:val="auto"/>
              </w:rPr>
            </w:pPr>
            <w:r>
              <w:rPr>
                <w:rFonts w:ascii="Arial" w:cs="Arial" w:eastAsia="Arial" w:hAnsi="Arial"/>
                <w:sz w:val="11"/>
                <w:szCs w:val="11"/>
                <w:b w:val="1"/>
                <w:bCs w:val="1"/>
                <w:color w:val="auto"/>
              </w:rPr>
              <w:t>2018</w:t>
            </w:r>
          </w:p>
        </w:tc>
        <w:tc>
          <w:tcPr>
            <w:tcW w:w="240" w:type="dxa"/>
            <w:vAlign w:val="bottom"/>
            <w:tcBorders>
              <w:bottom w:val="single" w:sz="8" w:color="CCEEFF"/>
            </w:tcBorders>
          </w:tcPr>
          <w:p>
            <w:pPr>
              <w:spacing w:after="0"/>
              <w:rPr>
                <w:sz w:val="11"/>
                <w:szCs w:val="11"/>
                <w:color w:val="auto"/>
              </w:rPr>
            </w:pPr>
          </w:p>
        </w:tc>
        <w:tc>
          <w:tcPr>
            <w:tcW w:w="1340" w:type="dxa"/>
            <w:vAlign w:val="bottom"/>
            <w:tcBorders>
              <w:bottom w:val="single" w:sz="8" w:color="auto"/>
            </w:tcBorders>
          </w:tcPr>
          <w:p>
            <w:pPr>
              <w:jc w:val="right"/>
              <w:ind w:right="495"/>
              <w:spacing w:after="0"/>
              <w:rPr>
                <w:sz w:val="20"/>
                <w:szCs w:val="20"/>
                <w:color w:val="auto"/>
              </w:rPr>
            </w:pPr>
            <w:r>
              <w:rPr>
                <w:rFonts w:ascii="Arial" w:cs="Arial" w:eastAsia="Arial" w:hAnsi="Arial"/>
                <w:sz w:val="11"/>
                <w:szCs w:val="11"/>
                <w:b w:val="1"/>
                <w:bCs w:val="1"/>
                <w:color w:val="auto"/>
              </w:rPr>
              <w:t>2017</w:t>
            </w:r>
          </w:p>
        </w:tc>
        <w:tc>
          <w:tcPr>
            <w:tcW w:w="240" w:type="dxa"/>
            <w:vAlign w:val="bottom"/>
            <w:tcBorders>
              <w:bottom w:val="single" w:sz="8" w:color="CCEEFF"/>
            </w:tcBorders>
          </w:tcPr>
          <w:p>
            <w:pPr>
              <w:spacing w:after="0"/>
              <w:rPr>
                <w:sz w:val="11"/>
                <w:szCs w:val="11"/>
                <w:color w:val="auto"/>
              </w:rPr>
            </w:pPr>
          </w:p>
        </w:tc>
        <w:tc>
          <w:tcPr>
            <w:tcW w:w="1340" w:type="dxa"/>
            <w:vAlign w:val="bottom"/>
            <w:tcBorders>
              <w:bottom w:val="single" w:sz="8" w:color="auto"/>
            </w:tcBorders>
          </w:tcPr>
          <w:p>
            <w:pPr>
              <w:jc w:val="right"/>
              <w:ind w:right="495"/>
              <w:spacing w:after="0"/>
              <w:rPr>
                <w:sz w:val="20"/>
                <w:szCs w:val="20"/>
                <w:color w:val="auto"/>
              </w:rPr>
            </w:pPr>
            <w:r>
              <w:rPr>
                <w:rFonts w:ascii="Arial" w:cs="Arial" w:eastAsia="Arial" w:hAnsi="Arial"/>
                <w:sz w:val="11"/>
                <w:szCs w:val="11"/>
                <w:b w:val="1"/>
                <w:bCs w:val="1"/>
                <w:color w:val="auto"/>
              </w:rPr>
              <w:t>2016</w:t>
            </w:r>
          </w:p>
        </w:tc>
      </w:tr>
      <w:tr>
        <w:trPr>
          <w:trHeight w:val="170"/>
        </w:trPr>
        <w:tc>
          <w:tcPr>
            <w:tcW w:w="4620" w:type="dxa"/>
            <w:vAlign w:val="bottom"/>
            <w:shd w:val="clear" w:color="auto" w:fill="CCEEFF"/>
          </w:tcPr>
          <w:p>
            <w:pPr>
              <w:spacing w:after="0"/>
              <w:rPr>
                <w:sz w:val="20"/>
                <w:szCs w:val="20"/>
                <w:color w:val="auto"/>
              </w:rPr>
            </w:pPr>
            <w:r>
              <w:rPr>
                <w:rFonts w:ascii="Arial" w:cs="Arial" w:eastAsia="Arial" w:hAnsi="Arial"/>
                <w:sz w:val="14"/>
                <w:szCs w:val="14"/>
                <w:color w:val="auto"/>
              </w:rPr>
              <w:t>Gross profit</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592,894</w:t>
            </w:r>
          </w:p>
        </w:tc>
        <w:tc>
          <w:tcPr>
            <w:tcW w:w="24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542,826</w:t>
            </w:r>
          </w:p>
        </w:tc>
        <w:tc>
          <w:tcPr>
            <w:tcW w:w="24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474,590</w:t>
            </w:r>
          </w:p>
        </w:tc>
      </w:tr>
      <w:tr>
        <w:trPr>
          <w:trHeight w:val="170"/>
        </w:trPr>
        <w:tc>
          <w:tcPr>
            <w:tcW w:w="4620" w:type="dxa"/>
            <w:vAlign w:val="bottom"/>
          </w:tcPr>
          <w:p>
            <w:pPr>
              <w:spacing w:after="0"/>
              <w:rPr>
                <w:sz w:val="20"/>
                <w:szCs w:val="20"/>
                <w:color w:val="auto"/>
              </w:rPr>
            </w:pPr>
            <w:r>
              <w:rPr>
                <w:rFonts w:ascii="Arial" w:cs="Arial" w:eastAsia="Arial" w:hAnsi="Arial"/>
                <w:sz w:val="14"/>
                <w:szCs w:val="14"/>
                <w:color w:val="auto"/>
              </w:rPr>
              <w:t>Selling, general, and administrative expenses</w:t>
            </w:r>
          </w:p>
        </w:tc>
        <w:tc>
          <w:tcPr>
            <w:tcW w:w="1320" w:type="dxa"/>
            <w:vAlign w:val="bottom"/>
          </w:tcPr>
          <w:p>
            <w:pPr>
              <w:jc w:val="right"/>
              <w:spacing w:after="0"/>
              <w:rPr>
                <w:sz w:val="20"/>
                <w:szCs w:val="20"/>
                <w:color w:val="auto"/>
              </w:rPr>
            </w:pPr>
            <w:r>
              <w:rPr>
                <w:rFonts w:ascii="Arial" w:cs="Arial" w:eastAsia="Arial" w:hAnsi="Arial"/>
                <w:sz w:val="14"/>
                <w:szCs w:val="14"/>
                <w:color w:val="auto"/>
              </w:rPr>
              <w:t>392,235</w:t>
            </w:r>
          </w:p>
        </w:tc>
        <w:tc>
          <w:tcPr>
            <w:tcW w:w="24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362,220</w:t>
            </w:r>
          </w:p>
        </w:tc>
        <w:tc>
          <w:tcPr>
            <w:tcW w:w="24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310,152</w:t>
            </w:r>
          </w:p>
        </w:tc>
      </w:tr>
      <w:tr>
        <w:trPr>
          <w:trHeight w:val="170"/>
        </w:trPr>
        <w:tc>
          <w:tcPr>
            <w:tcW w:w="4620" w:type="dxa"/>
            <w:vAlign w:val="bottom"/>
            <w:shd w:val="clear" w:color="auto" w:fill="CCEEFF"/>
          </w:tcPr>
          <w:p>
            <w:pPr>
              <w:spacing w:after="0"/>
              <w:rPr>
                <w:sz w:val="20"/>
                <w:szCs w:val="20"/>
                <w:color w:val="auto"/>
              </w:rPr>
            </w:pPr>
            <w:r>
              <w:rPr>
                <w:rFonts w:ascii="Arial" w:cs="Arial" w:eastAsia="Arial" w:hAnsi="Arial"/>
                <w:sz w:val="14"/>
                <w:szCs w:val="14"/>
                <w:color w:val="auto"/>
              </w:rPr>
              <w:t>SG&amp;A as percentage of gross profit</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66.2%</w:t>
            </w:r>
          </w:p>
        </w:tc>
        <w:tc>
          <w:tcPr>
            <w:tcW w:w="24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66.7%</w:t>
            </w:r>
          </w:p>
        </w:tc>
        <w:tc>
          <w:tcPr>
            <w:tcW w:w="24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65.4%</w:t>
            </w:r>
          </w:p>
        </w:tc>
      </w:tr>
    </w:tbl>
    <w:p>
      <w:pPr>
        <w:spacing w:after="0" w:line="32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GROSS SALES</w:t>
      </w:r>
    </w:p>
    <w:p>
      <w:pPr>
        <w:spacing w:after="0" w:line="183"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We design, manufacture and market wood and wood-alternative products for national home centers and other retailers, structural lumber and other products for the manufactured housing industry, engineered wood components for residential and commercial construction, specialty wood packaging, components and packing materials for various industries, and customized interior fixtures used in a variety of retail stores, commercial and other structures. Our strategic long-term sales objectives include:</w:t>
      </w:r>
    </w:p>
    <w:p>
      <w:pPr>
        <w:spacing w:after="0" w:line="147" w:lineRule="exact"/>
        <w:rPr>
          <w:sz w:val="20"/>
          <w:szCs w:val="20"/>
          <w:color w:val="auto"/>
        </w:rPr>
      </w:pPr>
    </w:p>
    <w:p>
      <w:pPr>
        <w:ind w:left="520" w:hanging="261"/>
        <w:spacing w:after="0"/>
        <w:tabs>
          <w:tab w:leader="none" w:pos="5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Maximizing unit sales growth while achieving return on investment goals</w:t>
      </w:r>
    </w:p>
    <w:p>
      <w:pPr>
        <w:spacing w:after="0" w:line="178" w:lineRule="exact"/>
        <w:rPr>
          <w:rFonts w:ascii="Arial" w:cs="Arial" w:eastAsia="Arial" w:hAnsi="Arial"/>
          <w:sz w:val="14"/>
          <w:szCs w:val="14"/>
          <w:color w:val="auto"/>
        </w:rPr>
      </w:pPr>
    </w:p>
    <w:p>
      <w:pPr>
        <w:jc w:val="both"/>
        <w:ind w:left="520" w:hanging="261"/>
        <w:spacing w:after="0" w:line="262" w:lineRule="auto"/>
        <w:tabs>
          <w:tab w:leader="none" w:pos="5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Diversifying our end market sales mix by increasing sales of specialty wood and other packaging to industrial users, increasing our penetration of the concrete forming market, increasing our sales of engineered wood components for custom home, multi-family, military and light commercial construction, increasing our market share with independent retailers, and increasing our sales of customized interior fixtures used in a variety of markets.</w:t>
      </w:r>
    </w:p>
    <w:p>
      <w:pPr>
        <w:spacing w:after="0" w:line="146" w:lineRule="exact"/>
        <w:rPr>
          <w:rFonts w:ascii="Arial" w:cs="Arial" w:eastAsia="Arial" w:hAnsi="Arial"/>
          <w:sz w:val="14"/>
          <w:szCs w:val="14"/>
          <w:color w:val="auto"/>
        </w:rPr>
      </w:pPr>
    </w:p>
    <w:p>
      <w:pPr>
        <w:ind w:left="520" w:hanging="261"/>
        <w:spacing w:after="0"/>
        <w:tabs>
          <w:tab w:leader="none" w:pos="5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Expanding geographically in our core businesses, domestically and internationally.</w:t>
      </w:r>
    </w:p>
    <w:p>
      <w:pPr>
        <w:spacing w:after="0" w:line="178" w:lineRule="exact"/>
        <w:rPr>
          <w:rFonts w:ascii="Arial" w:cs="Arial" w:eastAsia="Arial" w:hAnsi="Arial"/>
          <w:sz w:val="14"/>
          <w:szCs w:val="14"/>
          <w:color w:val="auto"/>
        </w:rPr>
      </w:pPr>
    </w:p>
    <w:p>
      <w:pPr>
        <w:jc w:val="both"/>
        <w:ind w:left="520" w:hanging="261"/>
        <w:spacing w:after="0" w:line="260" w:lineRule="auto"/>
        <w:tabs>
          <w:tab w:leader="none" w:pos="5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Increasing sales of "value-added" products, which primarily consist of fencing, decking, lattice, and other specialty products sold to the retail market, specialty wood packaging, engineered wood components, customized interior fixtures, and "wood alternative" products. Engineered wood components include roof trusses, wall panels, and floor systems. Wood alternative products consist primarily of composite wood and plastics. Although we consider the treatment of dimensional lumber with certain chemical preservatives a value-added process, treated lumber is not presently included in the value-added sales.</w:t>
      </w:r>
    </w:p>
    <w:p>
      <w:pPr>
        <w:spacing w:after="0" w:line="147" w:lineRule="exact"/>
        <w:rPr>
          <w:sz w:val="20"/>
          <w:szCs w:val="20"/>
          <w:color w:val="auto"/>
        </w:rPr>
      </w:pPr>
    </w:p>
    <w:p>
      <w:pPr>
        <w:ind w:firstLine="255"/>
        <w:spacing w:after="0" w:line="281" w:lineRule="auto"/>
        <w:rPr>
          <w:sz w:val="20"/>
          <w:szCs w:val="20"/>
          <w:color w:val="auto"/>
        </w:rPr>
      </w:pPr>
      <w:r>
        <w:rPr>
          <w:rFonts w:ascii="Arial" w:cs="Arial" w:eastAsia="Arial" w:hAnsi="Arial"/>
          <w:sz w:val="14"/>
          <w:szCs w:val="14"/>
          <w:color w:val="auto"/>
        </w:rPr>
        <w:t>The following table presents, for the periods indicated, our percentage of value-added and commodity-based sales to total sales. Value-added products generally carry higher gross margins than our commodity-based products.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5940" w:type="dxa"/>
            <w:vAlign w:val="bottom"/>
          </w:tcPr>
          <w:p>
            <w:pPr>
              <w:spacing w:after="0"/>
              <w:rPr>
                <w:sz w:val="11"/>
                <w:szCs w:val="11"/>
                <w:color w:val="auto"/>
              </w:rPr>
            </w:pPr>
          </w:p>
        </w:tc>
        <w:tc>
          <w:tcPr>
            <w:tcW w:w="1420" w:type="dxa"/>
            <w:vAlign w:val="bottom"/>
            <w:gridSpan w:val="2"/>
          </w:tcPr>
          <w:p>
            <w:pPr>
              <w:jc w:val="right"/>
              <w:ind w:right="449"/>
              <w:spacing w:after="0"/>
              <w:rPr>
                <w:sz w:val="20"/>
                <w:szCs w:val="20"/>
                <w:color w:val="auto"/>
              </w:rPr>
            </w:pPr>
            <w:r>
              <w:rPr>
                <w:rFonts w:ascii="Arial" w:cs="Arial" w:eastAsia="Arial" w:hAnsi="Arial"/>
                <w:sz w:val="11"/>
                <w:szCs w:val="11"/>
                <w:b w:val="1"/>
                <w:bCs w:val="1"/>
                <w:color w:val="auto"/>
              </w:rPr>
              <w:t>Value-Added</w:t>
            </w:r>
          </w:p>
        </w:tc>
        <w:tc>
          <w:tcPr>
            <w:tcW w:w="1740" w:type="dxa"/>
            <w:vAlign w:val="bottom"/>
            <w:gridSpan w:val="2"/>
          </w:tcPr>
          <w:p>
            <w:pPr>
              <w:jc w:val="right"/>
              <w:ind w:right="469"/>
              <w:spacing w:after="0"/>
              <w:rPr>
                <w:sz w:val="20"/>
                <w:szCs w:val="20"/>
                <w:color w:val="auto"/>
              </w:rPr>
            </w:pPr>
            <w:r>
              <w:rPr>
                <w:rFonts w:ascii="Arial" w:cs="Arial" w:eastAsia="Arial" w:hAnsi="Arial"/>
                <w:sz w:val="11"/>
                <w:szCs w:val="11"/>
                <w:b w:val="1"/>
                <w:bCs w:val="1"/>
                <w:color w:val="auto"/>
              </w:rPr>
              <w:t>Commodity-Based</w:t>
            </w:r>
          </w:p>
        </w:tc>
      </w:tr>
      <w:tr>
        <w:trPr>
          <w:trHeight w:val="181"/>
        </w:trPr>
        <w:tc>
          <w:tcPr>
            <w:tcW w:w="5940" w:type="dxa"/>
            <w:vAlign w:val="bottom"/>
            <w:tcBorders>
              <w:top w:val="single" w:sz="8" w:color="CCEEFF"/>
            </w:tcBorders>
            <w:shd w:val="clear" w:color="auto" w:fill="CCEEFF"/>
          </w:tcPr>
          <w:p>
            <w:pPr>
              <w:jc w:val="right"/>
              <w:ind w:right="5589"/>
              <w:spacing w:after="0"/>
              <w:rPr>
                <w:sz w:val="20"/>
                <w:szCs w:val="20"/>
                <w:color w:val="auto"/>
              </w:rPr>
            </w:pPr>
            <w:r>
              <w:rPr>
                <w:rFonts w:ascii="Arial" w:cs="Arial" w:eastAsia="Arial" w:hAnsi="Arial"/>
                <w:sz w:val="14"/>
                <w:szCs w:val="14"/>
                <w:color w:val="auto"/>
                <w:w w:val="83"/>
              </w:rPr>
              <w:t>2018</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62.5</w:t>
            </w:r>
          </w:p>
        </w:tc>
        <w:tc>
          <w:tcPr>
            <w:tcW w:w="260" w:type="dxa"/>
            <w:vAlign w:val="bottom"/>
            <w:tcBorders>
              <w:top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w w:val="7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37.5</w:t>
            </w:r>
          </w:p>
        </w:tc>
        <w:tc>
          <w:tcPr>
            <w:tcW w:w="220" w:type="dxa"/>
            <w:vAlign w:val="bottom"/>
            <w:tcBorders>
              <w:top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w w:val="79"/>
              </w:rPr>
              <w:t>%</w:t>
            </w:r>
          </w:p>
        </w:tc>
      </w:tr>
      <w:tr>
        <w:trPr>
          <w:trHeight w:val="180"/>
        </w:trPr>
        <w:tc>
          <w:tcPr>
            <w:tcW w:w="5940" w:type="dxa"/>
            <w:vAlign w:val="bottom"/>
          </w:tcPr>
          <w:p>
            <w:pPr>
              <w:jc w:val="right"/>
              <w:ind w:right="5589"/>
              <w:spacing w:after="0"/>
              <w:rPr>
                <w:sz w:val="20"/>
                <w:szCs w:val="20"/>
                <w:color w:val="auto"/>
              </w:rPr>
            </w:pPr>
            <w:r>
              <w:rPr>
                <w:rFonts w:ascii="Arial" w:cs="Arial" w:eastAsia="Arial" w:hAnsi="Arial"/>
                <w:sz w:val="14"/>
                <w:szCs w:val="14"/>
                <w:color w:val="auto"/>
                <w:w w:val="83"/>
              </w:rPr>
              <w:t>2017</w:t>
            </w:r>
          </w:p>
        </w:tc>
        <w:tc>
          <w:tcPr>
            <w:tcW w:w="1420" w:type="dxa"/>
            <w:vAlign w:val="bottom"/>
            <w:gridSpan w:val="2"/>
          </w:tcPr>
          <w:p>
            <w:pPr>
              <w:jc w:val="right"/>
              <w:ind w:right="69"/>
              <w:spacing w:after="0"/>
              <w:rPr>
                <w:sz w:val="20"/>
                <w:szCs w:val="20"/>
                <w:color w:val="auto"/>
              </w:rPr>
            </w:pPr>
            <w:r>
              <w:rPr>
                <w:rFonts w:ascii="Arial" w:cs="Arial" w:eastAsia="Arial" w:hAnsi="Arial"/>
                <w:sz w:val="14"/>
                <w:szCs w:val="14"/>
                <w:color w:val="auto"/>
              </w:rPr>
              <w:t>63.3 %</w:t>
            </w:r>
          </w:p>
        </w:tc>
        <w:tc>
          <w:tcPr>
            <w:tcW w:w="1740" w:type="dxa"/>
            <w:vAlign w:val="bottom"/>
            <w:gridSpan w:val="2"/>
          </w:tcPr>
          <w:p>
            <w:pPr>
              <w:jc w:val="right"/>
              <w:ind w:right="29"/>
              <w:spacing w:after="0"/>
              <w:rPr>
                <w:sz w:val="20"/>
                <w:szCs w:val="20"/>
                <w:color w:val="auto"/>
              </w:rPr>
            </w:pPr>
            <w:r>
              <w:rPr>
                <w:rFonts w:ascii="Arial" w:cs="Arial" w:eastAsia="Arial" w:hAnsi="Arial"/>
                <w:sz w:val="14"/>
                <w:szCs w:val="14"/>
                <w:color w:val="auto"/>
              </w:rPr>
              <w:t>36.7 %</w:t>
            </w:r>
          </w:p>
        </w:tc>
      </w:tr>
      <w:tr>
        <w:trPr>
          <w:trHeight w:val="181"/>
        </w:trPr>
        <w:tc>
          <w:tcPr>
            <w:tcW w:w="5940" w:type="dxa"/>
            <w:vAlign w:val="bottom"/>
            <w:shd w:val="clear" w:color="auto" w:fill="CCEEFF"/>
          </w:tcPr>
          <w:p>
            <w:pPr>
              <w:jc w:val="right"/>
              <w:ind w:right="5589"/>
              <w:spacing w:after="0"/>
              <w:rPr>
                <w:sz w:val="20"/>
                <w:szCs w:val="20"/>
                <w:color w:val="auto"/>
              </w:rPr>
            </w:pPr>
            <w:r>
              <w:rPr>
                <w:rFonts w:ascii="Arial" w:cs="Arial" w:eastAsia="Arial" w:hAnsi="Arial"/>
                <w:sz w:val="14"/>
                <w:szCs w:val="14"/>
                <w:color w:val="auto"/>
                <w:w w:val="83"/>
              </w:rPr>
              <w:t>2016</w:t>
            </w:r>
          </w:p>
        </w:tc>
        <w:tc>
          <w:tcPr>
            <w:tcW w:w="1420" w:type="dxa"/>
            <w:vAlign w:val="bottom"/>
            <w:gridSpan w:val="2"/>
            <w:shd w:val="clear" w:color="auto" w:fill="CCEEFF"/>
          </w:tcPr>
          <w:p>
            <w:pPr>
              <w:jc w:val="right"/>
              <w:ind w:right="69"/>
              <w:spacing w:after="0"/>
              <w:rPr>
                <w:sz w:val="20"/>
                <w:szCs w:val="20"/>
                <w:color w:val="auto"/>
              </w:rPr>
            </w:pPr>
            <w:r>
              <w:rPr>
                <w:rFonts w:ascii="Arial" w:cs="Arial" w:eastAsia="Arial" w:hAnsi="Arial"/>
                <w:sz w:val="14"/>
                <w:szCs w:val="14"/>
                <w:color w:val="auto"/>
              </w:rPr>
              <w:t>62.6 %</w:t>
            </w:r>
          </w:p>
        </w:tc>
        <w:tc>
          <w:tcPr>
            <w:tcW w:w="1740" w:type="dxa"/>
            <w:vAlign w:val="bottom"/>
            <w:gridSpan w:val="2"/>
            <w:shd w:val="clear" w:color="auto" w:fill="CCEEFF"/>
          </w:tcPr>
          <w:p>
            <w:pPr>
              <w:jc w:val="right"/>
              <w:ind w:right="29"/>
              <w:spacing w:after="0"/>
              <w:rPr>
                <w:sz w:val="20"/>
                <w:szCs w:val="20"/>
                <w:color w:val="auto"/>
              </w:rPr>
            </w:pPr>
            <w:r>
              <w:rPr>
                <w:rFonts w:ascii="Arial" w:cs="Arial" w:eastAsia="Arial" w:hAnsi="Arial"/>
                <w:sz w:val="14"/>
                <w:szCs w:val="14"/>
                <w:color w:val="auto"/>
              </w:rPr>
              <w:t>37.4 %</w:t>
            </w:r>
          </w:p>
        </w:tc>
      </w:tr>
    </w:tbl>
    <w:p>
      <w:pPr>
        <w:spacing w:after="0" w:line="329" w:lineRule="exact"/>
        <w:rPr>
          <w:sz w:val="20"/>
          <w:szCs w:val="20"/>
          <w:color w:val="auto"/>
        </w:rPr>
      </w:pPr>
    </w:p>
    <w:p>
      <w:pPr>
        <w:ind w:left="520" w:hanging="261"/>
        <w:spacing w:after="0"/>
        <w:tabs>
          <w:tab w:leader="none" w:pos="520" w:val="left"/>
        </w:tabs>
        <w:numPr>
          <w:ilvl w:val="0"/>
          <w:numId w:val="25"/>
        </w:numPr>
        <w:rPr>
          <w:rFonts w:ascii="Arial" w:cs="Arial" w:eastAsia="Arial" w:hAnsi="Arial"/>
          <w:sz w:val="13"/>
          <w:szCs w:val="13"/>
          <w:color w:val="auto"/>
        </w:rPr>
      </w:pPr>
      <w:r>
        <w:rPr>
          <w:rFonts w:ascii="Arial" w:cs="Arial" w:eastAsia="Arial" w:hAnsi="Arial"/>
          <w:sz w:val="13"/>
          <w:szCs w:val="13"/>
          <w:color w:val="auto"/>
        </w:rPr>
        <w:t>Developing new products and expanding our product offering. New product sales are presented by market in the table below (in thousands).</w:t>
      </w:r>
    </w:p>
    <w:p>
      <w:pPr>
        <w:spacing w:after="0" w:line="200" w:lineRule="exact"/>
        <w:rPr>
          <w:rFonts w:ascii="Arial" w:cs="Arial" w:eastAsia="Arial" w:hAnsi="Arial"/>
          <w:sz w:val="13"/>
          <w:szCs w:val="13"/>
          <w:color w:val="auto"/>
        </w:rPr>
      </w:pPr>
    </w:p>
    <w:p>
      <w:pPr>
        <w:spacing w:after="0" w:line="330" w:lineRule="exact"/>
        <w:rPr>
          <w:rFonts w:ascii="Arial" w:cs="Arial" w:eastAsia="Arial" w:hAnsi="Arial"/>
          <w:sz w:val="13"/>
          <w:szCs w:val="13"/>
          <w:color w:val="auto"/>
        </w:rPr>
      </w:pPr>
    </w:p>
    <w:p>
      <w:pPr>
        <w:ind w:left="4520"/>
        <w:spacing w:after="0"/>
        <w:rPr>
          <w:rFonts w:ascii="Arial" w:cs="Arial" w:eastAsia="Arial" w:hAnsi="Arial"/>
          <w:sz w:val="13"/>
          <w:szCs w:val="13"/>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66675</wp:posOffset>
            </wp:positionV>
            <wp:extent cx="5779135" cy="203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6">
                      <a:extLst>
                        <a:ext uri="{28A0092B-C50C-407E-A947-70E740481C1C}"/>
                      </a:extLst>
                    </a:blip>
                    <a:srcRect/>
                    <a:stretch>
                      <a:fillRect/>
                    </a:stretch>
                  </pic:blipFill>
                  <pic:spPr bwMode="auto">
                    <a:xfrm>
                      <a:off x="0" y="0"/>
                      <a:ext cx="5779135" cy="20320"/>
                    </a:xfrm>
                    <a:prstGeom prst="rect">
                      <a:avLst/>
                    </a:prstGeom>
                    <a:noFill/>
                  </pic:spPr>
                </pic:pic>
              </a:graphicData>
            </a:graphic>
          </wp:anchor>
        </w:drawing>
      </w:r>
    </w:p>
    <w:p>
      <w:pPr>
        <w:sectPr>
          <w:pgSz w:w="11900" w:h="16838" w:orient="portrait"/>
          <w:cols w:equalWidth="0" w:num="1">
            <w:col w:w="9100"/>
          </w:cols>
          <w:pgMar w:left="1400" w:top="129" w:right="1399" w:bottom="1440" w:gutter="0" w:footer="0" w:header="0"/>
        </w:sectPr>
      </w:pPr>
    </w:p>
    <w:bookmarkStart w:id="51" w:name="page52"/>
    <w:bookmarkEnd w:id="51"/>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UNIVERSAL FOREST PRODUCTS,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MANAGEMENT’S DISCUSSION AND ANALYSIS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FINANCIAL CONDITION AND RESULTS OF OPERATIONS</w:t>
      </w:r>
    </w:p>
    <w:p>
      <w:pPr>
        <w:spacing w:after="0" w:line="247" w:lineRule="exact"/>
        <w:rPr>
          <w:sz w:val="20"/>
          <w:szCs w:val="20"/>
          <w:color w:val="auto"/>
        </w:rPr>
      </w:pPr>
    </w:p>
    <w:tbl>
      <w:tblPr>
        <w:tblLayout w:type="fixed"/>
        <w:tblInd w:w="520" w:type="dxa"/>
        <w:tblCellMar>
          <w:top w:w="0" w:type="dxa"/>
          <w:left w:w="0" w:type="dxa"/>
          <w:bottom w:w="0" w:type="dxa"/>
          <w:right w:w="0" w:type="dxa"/>
        </w:tblCellMar>
      </w:tblPr>
      <w:tr>
        <w:trPr>
          <w:trHeight w:val="135"/>
        </w:trPr>
        <w:tc>
          <w:tcPr>
            <w:tcW w:w="4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060" w:type="dxa"/>
            <w:vAlign w:val="bottom"/>
            <w:tcBorders>
              <w:bottom w:val="single" w:sz="8" w:color="auto"/>
            </w:tcBorders>
            <w:gridSpan w:val="6"/>
          </w:tcPr>
          <w:p>
            <w:pPr>
              <w:ind w:left="20"/>
              <w:spacing w:after="0"/>
              <w:rPr>
                <w:sz w:val="20"/>
                <w:szCs w:val="20"/>
                <w:color w:val="auto"/>
              </w:rPr>
            </w:pPr>
            <w:r>
              <w:rPr>
                <w:rFonts w:ascii="Arial" w:cs="Arial" w:eastAsia="Arial" w:hAnsi="Arial"/>
                <w:sz w:val="11"/>
                <w:szCs w:val="11"/>
                <w:b w:val="1"/>
                <w:bCs w:val="1"/>
                <w:color w:val="auto"/>
              </w:rPr>
              <w:t>New Product Sales by Market</w:t>
            </w:r>
          </w:p>
        </w:tc>
        <w:tc>
          <w:tcPr>
            <w:tcW w:w="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r>
      <w:tr>
        <w:trPr>
          <w:trHeight w:val="118"/>
        </w:trPr>
        <w:tc>
          <w:tcPr>
            <w:tcW w:w="4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gridSpan w:val="3"/>
          </w:tcPr>
          <w:p>
            <w:pPr>
              <w:ind w:left="20"/>
              <w:spacing w:after="0" w:line="117" w:lineRule="exact"/>
              <w:rPr>
                <w:sz w:val="20"/>
                <w:szCs w:val="20"/>
                <w:color w:val="auto"/>
              </w:rPr>
            </w:pPr>
            <w:r>
              <w:rPr>
                <w:rFonts w:ascii="Arial" w:cs="Arial" w:eastAsia="Arial" w:hAnsi="Arial"/>
                <w:sz w:val="11"/>
                <w:szCs w:val="11"/>
                <w:b w:val="1"/>
                <w:bCs w:val="1"/>
                <w:color w:val="auto"/>
                <w:w w:val="98"/>
              </w:rPr>
              <w:t>Twelve Months Ended</w:t>
            </w:r>
          </w:p>
        </w:tc>
        <w:tc>
          <w:tcPr>
            <w:tcW w:w="6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r>
      <w:tr>
        <w:trPr>
          <w:trHeight w:val="100"/>
        </w:trPr>
        <w:tc>
          <w:tcPr>
            <w:tcW w:w="4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8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tcPr>
          <w:p>
            <w:pPr>
              <w:jc w:val="right"/>
              <w:ind w:right="94"/>
              <w:spacing w:after="0" w:line="100" w:lineRule="exact"/>
              <w:rPr>
                <w:sz w:val="20"/>
                <w:szCs w:val="20"/>
                <w:color w:val="auto"/>
              </w:rPr>
            </w:pPr>
            <w:r>
              <w:rPr>
                <w:rFonts w:ascii="Arial" w:cs="Arial" w:eastAsia="Arial" w:hAnsi="Arial"/>
                <w:sz w:val="11"/>
                <w:szCs w:val="11"/>
                <w:b w:val="1"/>
                <w:bCs w:val="1"/>
                <w:color w:val="auto"/>
                <w:w w:val="94"/>
              </w:rPr>
              <w:t>December 29,</w:t>
            </w:r>
          </w:p>
        </w:tc>
        <w:tc>
          <w:tcPr>
            <w:tcW w:w="780" w:type="dxa"/>
            <w:vAlign w:val="bottom"/>
            <w:gridSpan w:val="2"/>
          </w:tcPr>
          <w:p>
            <w:pPr>
              <w:jc w:val="right"/>
              <w:ind w:right="176"/>
              <w:spacing w:after="0" w:line="100" w:lineRule="exact"/>
              <w:rPr>
                <w:sz w:val="20"/>
                <w:szCs w:val="20"/>
                <w:color w:val="auto"/>
              </w:rPr>
            </w:pPr>
            <w:r>
              <w:rPr>
                <w:rFonts w:ascii="Arial" w:cs="Arial" w:eastAsia="Arial" w:hAnsi="Arial"/>
                <w:sz w:val="11"/>
                <w:szCs w:val="11"/>
                <w:b w:val="1"/>
                <w:bCs w:val="1"/>
                <w:color w:val="auto"/>
              </w:rPr>
              <w:t>%</w:t>
            </w: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60" w:type="dxa"/>
            <w:vAlign w:val="bottom"/>
            <w:gridSpan w:val="2"/>
          </w:tcPr>
          <w:p>
            <w:pPr>
              <w:ind w:left="40"/>
              <w:spacing w:after="0" w:line="100" w:lineRule="exact"/>
              <w:rPr>
                <w:sz w:val="20"/>
                <w:szCs w:val="20"/>
                <w:color w:val="auto"/>
              </w:rPr>
            </w:pPr>
            <w:r>
              <w:rPr>
                <w:rFonts w:ascii="Arial" w:cs="Arial" w:eastAsia="Arial" w:hAnsi="Arial"/>
                <w:sz w:val="11"/>
                <w:szCs w:val="11"/>
                <w:b w:val="1"/>
                <w:bCs w:val="1"/>
                <w:color w:val="auto"/>
              </w:rPr>
              <w:t>December 30,</w:t>
            </w:r>
          </w:p>
        </w:tc>
        <w:tc>
          <w:tcPr>
            <w:tcW w:w="600" w:type="dxa"/>
            <w:vAlign w:val="bottom"/>
          </w:tcPr>
          <w:p>
            <w:pPr>
              <w:jc w:val="right"/>
              <w:ind w:right="175"/>
              <w:spacing w:after="0" w:line="100" w:lineRule="exact"/>
              <w:rPr>
                <w:sz w:val="20"/>
                <w:szCs w:val="20"/>
                <w:color w:val="auto"/>
              </w:rPr>
            </w:pPr>
            <w:r>
              <w:rPr>
                <w:rFonts w:ascii="Arial" w:cs="Arial" w:eastAsia="Arial" w:hAnsi="Arial"/>
                <w:sz w:val="11"/>
                <w:szCs w:val="11"/>
                <w:b w:val="1"/>
                <w:bCs w:val="1"/>
                <w:color w:val="auto"/>
              </w:rPr>
              <w:t>%</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60" w:type="dxa"/>
            <w:vAlign w:val="bottom"/>
          </w:tcPr>
          <w:p>
            <w:pPr>
              <w:jc w:val="right"/>
              <w:ind w:right="154"/>
              <w:spacing w:after="0" w:line="100" w:lineRule="exact"/>
              <w:rPr>
                <w:sz w:val="20"/>
                <w:szCs w:val="20"/>
                <w:color w:val="auto"/>
              </w:rPr>
            </w:pPr>
            <w:r>
              <w:rPr>
                <w:rFonts w:ascii="Arial" w:cs="Arial" w:eastAsia="Arial" w:hAnsi="Arial"/>
                <w:sz w:val="11"/>
                <w:szCs w:val="11"/>
                <w:b w:val="1"/>
                <w:bCs w:val="1"/>
                <w:color w:val="auto"/>
              </w:rPr>
              <w:t>December 31,</w:t>
            </w:r>
          </w:p>
        </w:tc>
      </w:tr>
      <w:tr>
        <w:trPr>
          <w:trHeight w:val="154"/>
        </w:trPr>
        <w:tc>
          <w:tcPr>
            <w:tcW w:w="400" w:type="dxa"/>
            <w:vAlign w:val="bottom"/>
          </w:tcPr>
          <w:p>
            <w:pPr>
              <w:spacing w:after="0"/>
              <w:rPr>
                <w:sz w:val="13"/>
                <w:szCs w:val="13"/>
                <w:color w:val="auto"/>
              </w:rPr>
            </w:pPr>
          </w:p>
        </w:tc>
        <w:tc>
          <w:tcPr>
            <w:tcW w:w="1840" w:type="dxa"/>
            <w:vAlign w:val="bottom"/>
            <w:gridSpan w:val="2"/>
          </w:tcPr>
          <w:p>
            <w:pPr>
              <w:spacing w:after="0"/>
              <w:rPr>
                <w:sz w:val="20"/>
                <w:szCs w:val="20"/>
                <w:color w:val="auto"/>
              </w:rPr>
            </w:pPr>
            <w:r>
              <w:rPr>
                <w:rFonts w:ascii="Arial" w:cs="Arial" w:eastAsia="Arial" w:hAnsi="Arial"/>
                <w:sz w:val="11"/>
                <w:szCs w:val="11"/>
                <w:b w:val="1"/>
                <w:bCs w:val="1"/>
                <w:color w:val="auto"/>
              </w:rPr>
              <w:t>Market Classification</w:t>
            </w: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jc w:val="right"/>
              <w:ind w:right="314"/>
              <w:spacing w:after="0"/>
              <w:rPr>
                <w:sz w:val="20"/>
                <w:szCs w:val="20"/>
                <w:color w:val="auto"/>
              </w:rPr>
            </w:pPr>
            <w:r>
              <w:rPr>
                <w:rFonts w:ascii="Arial" w:cs="Arial" w:eastAsia="Arial" w:hAnsi="Arial"/>
                <w:sz w:val="11"/>
                <w:szCs w:val="11"/>
                <w:b w:val="1"/>
                <w:bCs w:val="1"/>
                <w:color w:val="auto"/>
              </w:rPr>
              <w:t>2018</w:t>
            </w:r>
          </w:p>
        </w:tc>
        <w:tc>
          <w:tcPr>
            <w:tcW w:w="180" w:type="dxa"/>
            <w:vAlign w:val="bottom"/>
          </w:tcPr>
          <w:p>
            <w:pPr>
              <w:spacing w:after="0"/>
              <w:rPr>
                <w:sz w:val="13"/>
                <w:szCs w:val="13"/>
                <w:color w:val="auto"/>
              </w:rPr>
            </w:pPr>
          </w:p>
        </w:tc>
        <w:tc>
          <w:tcPr>
            <w:tcW w:w="600" w:type="dxa"/>
            <w:vAlign w:val="bottom"/>
          </w:tcPr>
          <w:p>
            <w:pPr>
              <w:jc w:val="right"/>
              <w:ind w:right="36"/>
              <w:spacing w:after="0"/>
              <w:rPr>
                <w:sz w:val="20"/>
                <w:szCs w:val="20"/>
                <w:color w:val="auto"/>
              </w:rPr>
            </w:pPr>
            <w:r>
              <w:rPr>
                <w:rFonts w:ascii="Arial" w:cs="Arial" w:eastAsia="Arial" w:hAnsi="Arial"/>
                <w:sz w:val="11"/>
                <w:szCs w:val="11"/>
                <w:b w:val="1"/>
                <w:bCs w:val="1"/>
                <w:color w:val="auto"/>
              </w:rPr>
              <w:t>Change</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jc w:val="right"/>
              <w:ind w:right="314"/>
              <w:spacing w:after="0"/>
              <w:rPr>
                <w:sz w:val="20"/>
                <w:szCs w:val="20"/>
                <w:color w:val="auto"/>
              </w:rPr>
            </w:pPr>
            <w:r>
              <w:rPr>
                <w:rFonts w:ascii="Arial" w:cs="Arial" w:eastAsia="Arial" w:hAnsi="Arial"/>
                <w:sz w:val="11"/>
                <w:szCs w:val="11"/>
                <w:b w:val="1"/>
                <w:bCs w:val="1"/>
                <w:color w:val="auto"/>
              </w:rPr>
              <w:t>2017</w:t>
            </w:r>
          </w:p>
        </w:tc>
        <w:tc>
          <w:tcPr>
            <w:tcW w:w="180" w:type="dxa"/>
            <w:vAlign w:val="bottom"/>
          </w:tcPr>
          <w:p>
            <w:pPr>
              <w:spacing w:after="0"/>
              <w:rPr>
                <w:sz w:val="13"/>
                <w:szCs w:val="13"/>
                <w:color w:val="auto"/>
              </w:rPr>
            </w:pPr>
          </w:p>
        </w:tc>
        <w:tc>
          <w:tcPr>
            <w:tcW w:w="700" w:type="dxa"/>
            <w:vAlign w:val="bottom"/>
            <w:gridSpan w:val="2"/>
          </w:tcPr>
          <w:p>
            <w:pPr>
              <w:ind w:left="100"/>
              <w:spacing w:after="0"/>
              <w:rPr>
                <w:sz w:val="20"/>
                <w:szCs w:val="20"/>
                <w:color w:val="auto"/>
              </w:rPr>
            </w:pPr>
            <w:r>
              <w:rPr>
                <w:rFonts w:ascii="Arial" w:cs="Arial" w:eastAsia="Arial" w:hAnsi="Arial"/>
                <w:sz w:val="11"/>
                <w:szCs w:val="11"/>
                <w:b w:val="1"/>
                <w:bCs w:val="1"/>
                <w:color w:val="auto"/>
              </w:rPr>
              <w:t>Change</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jc w:val="right"/>
              <w:ind w:right="374"/>
              <w:spacing w:after="0"/>
              <w:rPr>
                <w:sz w:val="20"/>
                <w:szCs w:val="20"/>
                <w:color w:val="auto"/>
              </w:rPr>
            </w:pPr>
            <w:r>
              <w:rPr>
                <w:rFonts w:ascii="Arial" w:cs="Arial" w:eastAsia="Arial" w:hAnsi="Arial"/>
                <w:sz w:val="11"/>
                <w:szCs w:val="11"/>
                <w:b w:val="1"/>
                <w:bCs w:val="1"/>
                <w:color w:val="auto"/>
              </w:rPr>
              <w:t>2016</w:t>
            </w:r>
          </w:p>
        </w:tc>
      </w:tr>
      <w:tr>
        <w:trPr>
          <w:trHeight w:val="151"/>
        </w:trPr>
        <w:tc>
          <w:tcPr>
            <w:tcW w:w="400" w:type="dxa"/>
            <w:vAlign w:val="bottom"/>
          </w:tcPr>
          <w:p>
            <w:pPr>
              <w:spacing w:after="0"/>
              <w:rPr>
                <w:sz w:val="13"/>
                <w:szCs w:val="13"/>
                <w:color w:val="auto"/>
              </w:rPr>
            </w:pPr>
          </w:p>
        </w:tc>
        <w:tc>
          <w:tcPr>
            <w:tcW w:w="1040" w:type="dxa"/>
            <w:vAlign w:val="bottom"/>
            <w:tcBorders>
              <w:top w:val="single" w:sz="8" w:color="auto"/>
            </w:tcBorders>
            <w:shd w:val="clear" w:color="auto" w:fill="CCEEFF"/>
          </w:tcPr>
          <w:p>
            <w:pPr>
              <w:spacing w:after="0" w:line="151" w:lineRule="exact"/>
              <w:rPr>
                <w:sz w:val="20"/>
                <w:szCs w:val="20"/>
                <w:color w:val="auto"/>
              </w:rPr>
            </w:pPr>
            <w:r>
              <w:rPr>
                <w:rFonts w:ascii="Arial" w:cs="Arial" w:eastAsia="Arial" w:hAnsi="Arial"/>
                <w:sz w:val="14"/>
                <w:szCs w:val="14"/>
                <w:color w:val="auto"/>
              </w:rPr>
              <w:t>Retail</w:t>
            </w:r>
          </w:p>
        </w:tc>
        <w:tc>
          <w:tcPr>
            <w:tcW w:w="800" w:type="dxa"/>
            <w:vAlign w:val="bottom"/>
            <w:tcBorders>
              <w:top w:val="single" w:sz="8" w:color="CCEEFF"/>
            </w:tcBorders>
            <w:shd w:val="clear" w:color="auto" w:fill="CCEEFF"/>
          </w:tcPr>
          <w:p>
            <w:pPr>
              <w:spacing w:after="0"/>
              <w:rPr>
                <w:sz w:val="13"/>
                <w:szCs w:val="13"/>
                <w:color w:val="auto"/>
              </w:rPr>
            </w:pPr>
          </w:p>
        </w:tc>
        <w:tc>
          <w:tcPr>
            <w:tcW w:w="4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spacing w:after="0" w:line="151" w:lineRule="exact"/>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tcBorders>
            <w:shd w:val="clear" w:color="auto" w:fill="CCEEFF"/>
          </w:tcPr>
          <w:p>
            <w:pPr>
              <w:jc w:val="right"/>
              <w:spacing w:after="0" w:line="151" w:lineRule="exact"/>
              <w:rPr>
                <w:sz w:val="20"/>
                <w:szCs w:val="20"/>
                <w:color w:val="auto"/>
              </w:rPr>
            </w:pPr>
            <w:r>
              <w:rPr>
                <w:rFonts w:ascii="Arial" w:cs="Arial" w:eastAsia="Arial" w:hAnsi="Arial"/>
                <w:sz w:val="14"/>
                <w:szCs w:val="14"/>
                <w:color w:val="auto"/>
              </w:rPr>
              <w:t>291,654</w:t>
            </w:r>
          </w:p>
        </w:tc>
        <w:tc>
          <w:tcPr>
            <w:tcW w:w="180" w:type="dxa"/>
            <w:vAlign w:val="bottom"/>
            <w:tcBorders>
              <w:top w:val="single" w:sz="8" w:color="CCEEFF"/>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jc w:val="right"/>
              <w:spacing w:after="0" w:line="151" w:lineRule="exact"/>
              <w:rPr>
                <w:sz w:val="20"/>
                <w:szCs w:val="20"/>
                <w:color w:val="auto"/>
              </w:rPr>
            </w:pPr>
            <w:r>
              <w:rPr>
                <w:rFonts w:ascii="Arial" w:cs="Arial" w:eastAsia="Arial" w:hAnsi="Arial"/>
                <w:sz w:val="14"/>
                <w:szCs w:val="14"/>
                <w:color w:val="auto"/>
              </w:rPr>
              <w:t>20.7</w:t>
            </w:r>
          </w:p>
        </w:tc>
        <w:tc>
          <w:tcPr>
            <w:tcW w:w="1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line="151" w:lineRule="exact"/>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shd w:val="clear" w:color="auto" w:fill="CCEEFF"/>
          </w:tcPr>
          <w:p>
            <w:pPr>
              <w:jc w:val="right"/>
              <w:spacing w:after="0" w:line="151" w:lineRule="exact"/>
              <w:rPr>
                <w:sz w:val="20"/>
                <w:szCs w:val="20"/>
                <w:color w:val="auto"/>
              </w:rPr>
            </w:pPr>
            <w:r>
              <w:rPr>
                <w:rFonts w:ascii="Arial" w:cs="Arial" w:eastAsia="Arial" w:hAnsi="Arial"/>
                <w:sz w:val="14"/>
                <w:szCs w:val="14"/>
                <w:color w:val="auto"/>
              </w:rPr>
              <w:t>241,662</w:t>
            </w:r>
          </w:p>
        </w:tc>
        <w:tc>
          <w:tcPr>
            <w:tcW w:w="180" w:type="dxa"/>
            <w:vAlign w:val="bottom"/>
            <w:tcBorders>
              <w:top w:val="single" w:sz="8" w:color="CCEEFF"/>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jc w:val="right"/>
              <w:spacing w:after="0" w:line="151" w:lineRule="exact"/>
              <w:rPr>
                <w:sz w:val="20"/>
                <w:szCs w:val="20"/>
                <w:color w:val="auto"/>
              </w:rPr>
            </w:pPr>
            <w:r>
              <w:rPr>
                <w:rFonts w:ascii="Arial" w:cs="Arial" w:eastAsia="Arial" w:hAnsi="Arial"/>
                <w:sz w:val="14"/>
                <w:szCs w:val="14"/>
                <w:color w:val="auto"/>
              </w:rPr>
              <w:t>26.1</w:t>
            </w: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tcBorders>
            <w:shd w:val="clear" w:color="auto" w:fill="CCEEFF"/>
          </w:tcPr>
          <w:p>
            <w:pPr>
              <w:jc w:val="right"/>
              <w:spacing w:after="0" w:line="151" w:lineRule="exact"/>
              <w:rPr>
                <w:sz w:val="20"/>
                <w:szCs w:val="20"/>
                <w:color w:val="auto"/>
              </w:rPr>
            </w:pPr>
            <w:r>
              <w:rPr>
                <w:rFonts w:ascii="Arial" w:cs="Arial" w:eastAsia="Arial" w:hAnsi="Arial"/>
                <w:sz w:val="14"/>
                <w:szCs w:val="14"/>
                <w:color w:val="auto"/>
              </w:rPr>
              <w:t>191,619</w:t>
            </w:r>
          </w:p>
        </w:tc>
      </w:tr>
      <w:tr>
        <w:trPr>
          <w:trHeight w:val="170"/>
        </w:trPr>
        <w:tc>
          <w:tcPr>
            <w:tcW w:w="400" w:type="dxa"/>
            <w:vAlign w:val="bottom"/>
          </w:tcPr>
          <w:p>
            <w:pPr>
              <w:spacing w:after="0"/>
              <w:rPr>
                <w:sz w:val="14"/>
                <w:szCs w:val="14"/>
                <w:color w:val="auto"/>
              </w:rPr>
            </w:pPr>
          </w:p>
        </w:tc>
        <w:tc>
          <w:tcPr>
            <w:tcW w:w="1840" w:type="dxa"/>
            <w:vAlign w:val="bottom"/>
            <w:gridSpan w:val="2"/>
          </w:tcPr>
          <w:p>
            <w:pPr>
              <w:spacing w:after="0"/>
              <w:rPr>
                <w:sz w:val="20"/>
                <w:szCs w:val="20"/>
                <w:color w:val="auto"/>
              </w:rPr>
            </w:pPr>
            <w:r>
              <w:rPr>
                <w:rFonts w:ascii="Arial" w:cs="Arial" w:eastAsia="Arial" w:hAnsi="Arial"/>
                <w:sz w:val="14"/>
                <w:szCs w:val="14"/>
                <w:color w:val="auto"/>
              </w:rPr>
              <w:t>Industrial</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141,791</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25.3</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113,120</w:t>
            </w:r>
          </w:p>
        </w:tc>
        <w:tc>
          <w:tcPr>
            <w:tcW w:w="1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15.8</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97,718</w:t>
            </w:r>
          </w:p>
        </w:tc>
      </w:tr>
      <w:tr>
        <w:trPr>
          <w:trHeight w:val="190"/>
        </w:trPr>
        <w:tc>
          <w:tcPr>
            <w:tcW w:w="400" w:type="dxa"/>
            <w:vAlign w:val="bottom"/>
          </w:tcPr>
          <w:p>
            <w:pPr>
              <w:spacing w:after="0"/>
              <w:rPr>
                <w:sz w:val="16"/>
                <w:szCs w:val="16"/>
                <w:color w:val="auto"/>
              </w:rPr>
            </w:pPr>
          </w:p>
        </w:tc>
        <w:tc>
          <w:tcPr>
            <w:tcW w:w="18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Construction</w:t>
            </w:r>
          </w:p>
        </w:tc>
        <w:tc>
          <w:tcPr>
            <w:tcW w:w="4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79,735</w:t>
            </w: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17.4</w:t>
            </w:r>
          </w:p>
        </w:tc>
        <w:tc>
          <w:tcPr>
            <w:tcW w:w="1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67,929</w:t>
            </w:r>
          </w:p>
        </w:tc>
        <w:tc>
          <w:tcPr>
            <w:tcW w:w="18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37.8</w:t>
            </w: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49,290</w:t>
            </w:r>
          </w:p>
        </w:tc>
      </w:tr>
      <w:tr>
        <w:trPr>
          <w:trHeight w:val="152"/>
        </w:trPr>
        <w:tc>
          <w:tcPr>
            <w:tcW w:w="400" w:type="dxa"/>
            <w:vAlign w:val="bottom"/>
          </w:tcPr>
          <w:p>
            <w:pPr>
              <w:spacing w:after="0"/>
              <w:rPr>
                <w:sz w:val="13"/>
                <w:szCs w:val="13"/>
                <w:color w:val="auto"/>
              </w:rPr>
            </w:pPr>
          </w:p>
        </w:tc>
        <w:tc>
          <w:tcPr>
            <w:tcW w:w="1840" w:type="dxa"/>
            <w:vAlign w:val="bottom"/>
            <w:gridSpan w:val="2"/>
          </w:tcPr>
          <w:p>
            <w:pPr>
              <w:spacing w:after="0" w:line="151" w:lineRule="exact"/>
              <w:rPr>
                <w:sz w:val="20"/>
                <w:szCs w:val="20"/>
                <w:color w:val="auto"/>
              </w:rPr>
            </w:pPr>
            <w:r>
              <w:rPr>
                <w:rFonts w:ascii="Arial" w:cs="Arial" w:eastAsia="Arial" w:hAnsi="Arial"/>
                <w:sz w:val="14"/>
                <w:szCs w:val="14"/>
                <w:color w:val="auto"/>
              </w:rPr>
              <w:t>Total New Product Sales</w:t>
            </w:r>
          </w:p>
        </w:tc>
        <w:tc>
          <w:tcPr>
            <w:tcW w:w="4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513,180</w:t>
            </w:r>
          </w:p>
        </w:tc>
        <w:tc>
          <w:tcPr>
            <w:tcW w:w="780" w:type="dxa"/>
            <w:vAlign w:val="bottom"/>
            <w:gridSpan w:val="2"/>
          </w:tcPr>
          <w:p>
            <w:pPr>
              <w:jc w:val="right"/>
              <w:spacing w:after="0" w:line="151" w:lineRule="exact"/>
              <w:rPr>
                <w:sz w:val="20"/>
                <w:szCs w:val="20"/>
                <w:color w:val="auto"/>
              </w:rPr>
            </w:pPr>
            <w:r>
              <w:rPr>
                <w:rFonts w:ascii="Arial" w:cs="Arial" w:eastAsia="Arial" w:hAnsi="Arial"/>
                <w:sz w:val="14"/>
                <w:szCs w:val="14"/>
                <w:color w:val="auto"/>
              </w:rPr>
              <w:t>21.4</w:t>
            </w:r>
          </w:p>
        </w:tc>
        <w:tc>
          <w:tcPr>
            <w:tcW w:w="1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422,711</w:t>
            </w:r>
          </w:p>
        </w:tc>
        <w:tc>
          <w:tcPr>
            <w:tcW w:w="180" w:type="dxa"/>
            <w:vAlign w:val="bottom"/>
          </w:tcPr>
          <w:p>
            <w:pPr>
              <w:spacing w:after="0"/>
              <w:rPr>
                <w:sz w:val="13"/>
                <w:szCs w:val="13"/>
                <w:color w:val="auto"/>
              </w:rPr>
            </w:pPr>
          </w:p>
        </w:tc>
        <w:tc>
          <w:tcPr>
            <w:tcW w:w="600" w:type="dxa"/>
            <w:vAlign w:val="bottom"/>
          </w:tcPr>
          <w:p>
            <w:pPr>
              <w:jc w:val="right"/>
              <w:spacing w:after="0" w:line="151" w:lineRule="exact"/>
              <w:rPr>
                <w:sz w:val="20"/>
                <w:szCs w:val="20"/>
                <w:color w:val="auto"/>
              </w:rPr>
            </w:pPr>
            <w:r>
              <w:rPr>
                <w:rFonts w:ascii="Arial" w:cs="Arial" w:eastAsia="Arial" w:hAnsi="Arial"/>
                <w:sz w:val="14"/>
                <w:szCs w:val="14"/>
                <w:color w:val="auto"/>
              </w:rPr>
              <w:t>24.8</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338,627</w:t>
            </w:r>
          </w:p>
        </w:tc>
      </w:tr>
      <w:tr>
        <w:trPr>
          <w:trHeight w:val="246"/>
        </w:trPr>
        <w:tc>
          <w:tcPr>
            <w:tcW w:w="5800" w:type="dxa"/>
            <w:vAlign w:val="bottom"/>
            <w:gridSpan w:val="12"/>
          </w:tcPr>
          <w:p>
            <w:pPr>
              <w:spacing w:after="0"/>
              <w:rPr>
                <w:sz w:val="20"/>
                <w:szCs w:val="20"/>
                <w:color w:val="auto"/>
              </w:rPr>
            </w:pPr>
            <w:r>
              <w:rPr>
                <w:rFonts w:ascii="Arial" w:cs="Arial" w:eastAsia="Arial" w:hAnsi="Arial"/>
                <w:sz w:val="11"/>
                <w:szCs w:val="11"/>
                <w:color w:val="auto"/>
                <w:w w:val="95"/>
              </w:rPr>
              <w:t>Note: Certain prior year product reclassifications resulted in a decrease and increase in new product sales in 2017 and 2016,</w:t>
            </w:r>
          </w:p>
        </w:tc>
        <w:tc>
          <w:tcPr>
            <w:tcW w:w="700" w:type="dxa"/>
            <w:vAlign w:val="bottom"/>
            <w:gridSpan w:val="2"/>
          </w:tcPr>
          <w:p>
            <w:pPr>
              <w:ind w:left="60"/>
              <w:spacing w:after="0"/>
              <w:rPr>
                <w:sz w:val="20"/>
                <w:szCs w:val="20"/>
                <w:color w:val="auto"/>
              </w:rPr>
            </w:pPr>
            <w:r>
              <w:rPr>
                <w:rFonts w:ascii="Arial" w:cs="Arial" w:eastAsia="Arial" w:hAnsi="Arial"/>
                <w:sz w:val="11"/>
                <w:szCs w:val="11"/>
                <w:color w:val="auto"/>
              </w:rPr>
              <w:t>respectively.</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r>
    </w:tbl>
    <w:p>
      <w:pPr>
        <w:spacing w:after="0" w:line="146" w:lineRule="exact"/>
        <w:rPr>
          <w:sz w:val="20"/>
          <w:szCs w:val="20"/>
          <w:color w:val="auto"/>
        </w:rPr>
      </w:pPr>
    </w:p>
    <w:p>
      <w:pPr>
        <w:ind w:left="520"/>
        <w:spacing w:after="0"/>
        <w:rPr>
          <w:sz w:val="20"/>
          <w:szCs w:val="20"/>
          <w:color w:val="auto"/>
        </w:rPr>
      </w:pPr>
      <w:r>
        <w:rPr>
          <w:rFonts w:ascii="Arial" w:cs="Arial" w:eastAsia="Arial" w:hAnsi="Arial"/>
          <w:sz w:val="14"/>
          <w:szCs w:val="14"/>
          <w:color w:val="auto"/>
        </w:rPr>
        <w:t>Our goal is for our new product sales to comprise at least 10% of our total sales.</w:t>
      </w:r>
    </w:p>
    <w:p>
      <w:pPr>
        <w:spacing w:after="0" w:line="179"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presents, for the periods indicated, our gross sales (in thousands) and percentage change in gross sales by market classification.</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gridSpan w:val="2"/>
          </w:tcPr>
          <w:p>
            <w:pPr>
              <w:jc w:val="right"/>
              <w:ind w:right="153"/>
              <w:spacing w:after="0"/>
              <w:rPr>
                <w:sz w:val="20"/>
                <w:szCs w:val="20"/>
                <w:color w:val="auto"/>
              </w:rPr>
            </w:pPr>
            <w:r>
              <w:rPr>
                <w:rFonts w:ascii="Arial" w:cs="Arial" w:eastAsia="Arial" w:hAnsi="Arial"/>
                <w:sz w:val="11"/>
                <w:szCs w:val="11"/>
                <w:b w:val="1"/>
                <w:bCs w:val="1"/>
                <w:color w:val="auto"/>
                <w:w w:val="99"/>
              </w:rPr>
              <w:t>Year Ended</w:t>
            </w:r>
          </w:p>
        </w:tc>
        <w:tc>
          <w:tcPr>
            <w:tcW w:w="14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r>
      <w:tr>
        <w:trPr>
          <w:trHeight w:val="100"/>
        </w:trPr>
        <w:tc>
          <w:tcPr>
            <w:tcW w:w="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00" w:type="dxa"/>
            <w:vAlign w:val="bottom"/>
          </w:tcPr>
          <w:p>
            <w:pPr>
              <w:spacing w:after="0"/>
              <w:rPr>
                <w:sz w:val="8"/>
                <w:szCs w:val="8"/>
                <w:color w:val="auto"/>
              </w:rPr>
            </w:pPr>
          </w:p>
        </w:tc>
        <w:tc>
          <w:tcPr>
            <w:tcW w:w="20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jc w:val="right"/>
              <w:ind w:right="33"/>
              <w:spacing w:after="0" w:line="100" w:lineRule="exact"/>
              <w:rPr>
                <w:sz w:val="20"/>
                <w:szCs w:val="20"/>
                <w:color w:val="auto"/>
              </w:rPr>
            </w:pPr>
            <w:r>
              <w:rPr>
                <w:rFonts w:ascii="Arial" w:cs="Arial" w:eastAsia="Arial" w:hAnsi="Arial"/>
                <w:sz w:val="11"/>
                <w:szCs w:val="11"/>
                <w:b w:val="1"/>
                <w:bCs w:val="1"/>
                <w:color w:val="auto"/>
                <w:w w:val="92"/>
              </w:rPr>
              <w:t>December 29,</w:t>
            </w:r>
          </w:p>
        </w:tc>
        <w:tc>
          <w:tcPr>
            <w:tcW w:w="660" w:type="dxa"/>
            <w:vAlign w:val="bottom"/>
            <w:gridSpan w:val="2"/>
          </w:tcPr>
          <w:p>
            <w:pPr>
              <w:jc w:val="right"/>
              <w:ind w:right="136"/>
              <w:spacing w:after="0" w:line="100" w:lineRule="exact"/>
              <w:rPr>
                <w:sz w:val="20"/>
                <w:szCs w:val="20"/>
                <w:color w:val="auto"/>
              </w:rPr>
            </w:pPr>
            <w:r>
              <w:rPr>
                <w:rFonts w:ascii="Arial" w:cs="Arial" w:eastAsia="Arial" w:hAnsi="Arial"/>
                <w:sz w:val="11"/>
                <w:szCs w:val="11"/>
                <w:b w:val="1"/>
                <w:bCs w:val="1"/>
                <w:color w:val="auto"/>
              </w:rPr>
              <w:t>%</w:t>
            </w: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jc w:val="right"/>
              <w:ind w:right="33"/>
              <w:spacing w:after="0" w:line="100" w:lineRule="exact"/>
              <w:rPr>
                <w:sz w:val="20"/>
                <w:szCs w:val="20"/>
                <w:color w:val="auto"/>
              </w:rPr>
            </w:pPr>
            <w:r>
              <w:rPr>
                <w:rFonts w:ascii="Arial" w:cs="Arial" w:eastAsia="Arial" w:hAnsi="Arial"/>
                <w:sz w:val="11"/>
                <w:szCs w:val="11"/>
                <w:b w:val="1"/>
                <w:bCs w:val="1"/>
                <w:color w:val="auto"/>
                <w:w w:val="89"/>
              </w:rPr>
              <w:t>December 30,</w:t>
            </w:r>
          </w:p>
        </w:tc>
        <w:tc>
          <w:tcPr>
            <w:tcW w:w="660" w:type="dxa"/>
            <w:vAlign w:val="bottom"/>
            <w:gridSpan w:val="2"/>
          </w:tcPr>
          <w:p>
            <w:pPr>
              <w:jc w:val="right"/>
              <w:ind w:right="136"/>
              <w:spacing w:after="0" w:line="100" w:lineRule="exact"/>
              <w:rPr>
                <w:sz w:val="20"/>
                <w:szCs w:val="20"/>
                <w:color w:val="auto"/>
              </w:rPr>
            </w:pPr>
            <w:r>
              <w:rPr>
                <w:rFonts w:ascii="Arial" w:cs="Arial" w:eastAsia="Arial" w:hAnsi="Arial"/>
                <w:sz w:val="11"/>
                <w:szCs w:val="11"/>
                <w:b w:val="1"/>
                <w:bCs w:val="1"/>
                <w:color w:val="auto"/>
              </w:rPr>
              <w:t>%</w:t>
            </w: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tcPr>
          <w:p>
            <w:pPr>
              <w:jc w:val="right"/>
              <w:spacing w:after="0" w:line="100" w:lineRule="exact"/>
              <w:rPr>
                <w:sz w:val="20"/>
                <w:szCs w:val="20"/>
                <w:color w:val="auto"/>
              </w:rPr>
            </w:pPr>
            <w:r>
              <w:rPr>
                <w:rFonts w:ascii="Arial" w:cs="Arial" w:eastAsia="Arial" w:hAnsi="Arial"/>
                <w:sz w:val="11"/>
                <w:szCs w:val="11"/>
                <w:b w:val="1"/>
                <w:bCs w:val="1"/>
                <w:color w:val="auto"/>
                <w:w w:val="92"/>
              </w:rPr>
              <w:t>December 31,</w:t>
            </w:r>
          </w:p>
        </w:tc>
      </w:tr>
      <w:tr>
        <w:trPr>
          <w:trHeight w:val="154"/>
        </w:trPr>
        <w:tc>
          <w:tcPr>
            <w:tcW w:w="1060" w:type="dxa"/>
            <w:vAlign w:val="bottom"/>
            <w:tcBorders>
              <w:bottom w:val="single" w:sz="8" w:color="auto"/>
            </w:tcBorders>
            <w:gridSpan w:val="2"/>
          </w:tcPr>
          <w:p>
            <w:pPr>
              <w:spacing w:after="0"/>
              <w:rPr>
                <w:sz w:val="20"/>
                <w:szCs w:val="20"/>
                <w:color w:val="auto"/>
              </w:rPr>
            </w:pPr>
            <w:r>
              <w:rPr>
                <w:rFonts w:ascii="Arial" w:cs="Arial" w:eastAsia="Arial" w:hAnsi="Arial"/>
                <w:sz w:val="11"/>
                <w:szCs w:val="11"/>
                <w:b w:val="1"/>
                <w:bCs w:val="1"/>
                <w:color w:val="auto"/>
                <w:w w:val="94"/>
              </w:rPr>
              <w:t>Market Classification</w:t>
            </w:r>
          </w:p>
        </w:tc>
        <w:tc>
          <w:tcPr>
            <w:tcW w:w="200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53"/>
              <w:spacing w:after="0"/>
              <w:rPr>
                <w:sz w:val="20"/>
                <w:szCs w:val="20"/>
                <w:color w:val="auto"/>
              </w:rPr>
            </w:pPr>
            <w:r>
              <w:rPr>
                <w:rFonts w:ascii="Arial" w:cs="Arial" w:eastAsia="Arial" w:hAnsi="Arial"/>
                <w:sz w:val="11"/>
                <w:szCs w:val="11"/>
                <w:b w:val="1"/>
                <w:bCs w:val="1"/>
                <w:color w:val="auto"/>
              </w:rPr>
              <w:t>2018</w:t>
            </w:r>
          </w:p>
        </w:tc>
        <w:tc>
          <w:tcPr>
            <w:tcW w:w="140" w:type="dxa"/>
            <w:vAlign w:val="bottom"/>
          </w:tcPr>
          <w:p>
            <w:pPr>
              <w:spacing w:after="0"/>
              <w:rPr>
                <w:sz w:val="13"/>
                <w:szCs w:val="13"/>
                <w:color w:val="auto"/>
              </w:rPr>
            </w:pPr>
          </w:p>
        </w:tc>
        <w:tc>
          <w:tcPr>
            <w:tcW w:w="520" w:type="dxa"/>
            <w:vAlign w:val="bottom"/>
            <w:tcBorders>
              <w:bottom w:val="single" w:sz="8" w:color="auto"/>
            </w:tcBorders>
          </w:tcPr>
          <w:p>
            <w:pPr>
              <w:jc w:val="right"/>
              <w:ind w:right="16"/>
              <w:spacing w:after="0"/>
              <w:rPr>
                <w:sz w:val="20"/>
                <w:szCs w:val="20"/>
                <w:color w:val="auto"/>
              </w:rPr>
            </w:pPr>
            <w:r>
              <w:rPr>
                <w:rFonts w:ascii="Arial" w:cs="Arial" w:eastAsia="Arial" w:hAnsi="Arial"/>
                <w:sz w:val="11"/>
                <w:szCs w:val="11"/>
                <w:b w:val="1"/>
                <w:bCs w:val="1"/>
                <w:color w:val="auto"/>
              </w:rPr>
              <w:t>Change</w:t>
            </w:r>
          </w:p>
        </w:tc>
        <w:tc>
          <w:tcPr>
            <w:tcW w:w="1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53"/>
              <w:spacing w:after="0"/>
              <w:rPr>
                <w:sz w:val="20"/>
                <w:szCs w:val="20"/>
                <w:color w:val="auto"/>
              </w:rPr>
            </w:pPr>
            <w:r>
              <w:rPr>
                <w:rFonts w:ascii="Arial" w:cs="Arial" w:eastAsia="Arial" w:hAnsi="Arial"/>
                <w:sz w:val="11"/>
                <w:szCs w:val="11"/>
                <w:b w:val="1"/>
                <w:bCs w:val="1"/>
                <w:color w:val="auto"/>
              </w:rPr>
              <w:t>2017</w:t>
            </w:r>
          </w:p>
        </w:tc>
        <w:tc>
          <w:tcPr>
            <w:tcW w:w="140" w:type="dxa"/>
            <w:vAlign w:val="bottom"/>
          </w:tcPr>
          <w:p>
            <w:pPr>
              <w:spacing w:after="0"/>
              <w:rPr>
                <w:sz w:val="13"/>
                <w:szCs w:val="13"/>
                <w:color w:val="auto"/>
              </w:rPr>
            </w:pPr>
          </w:p>
        </w:tc>
        <w:tc>
          <w:tcPr>
            <w:tcW w:w="520" w:type="dxa"/>
            <w:vAlign w:val="bottom"/>
            <w:tcBorders>
              <w:bottom w:val="single" w:sz="8" w:color="auto"/>
            </w:tcBorders>
          </w:tcPr>
          <w:p>
            <w:pPr>
              <w:jc w:val="right"/>
              <w:ind w:right="16"/>
              <w:spacing w:after="0"/>
              <w:rPr>
                <w:sz w:val="20"/>
                <w:szCs w:val="20"/>
                <w:color w:val="auto"/>
              </w:rPr>
            </w:pPr>
            <w:r>
              <w:rPr>
                <w:rFonts w:ascii="Arial" w:cs="Arial" w:eastAsia="Arial" w:hAnsi="Arial"/>
                <w:sz w:val="11"/>
                <w:szCs w:val="11"/>
                <w:b w:val="1"/>
                <w:bCs w:val="1"/>
                <w:color w:val="auto"/>
              </w:rPr>
              <w:t>Change</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Borders>
              <w:bottom w:val="single" w:sz="8" w:color="auto"/>
            </w:tcBorders>
          </w:tcPr>
          <w:p>
            <w:pPr>
              <w:jc w:val="right"/>
              <w:ind w:right="194"/>
              <w:spacing w:after="0"/>
              <w:rPr>
                <w:sz w:val="20"/>
                <w:szCs w:val="20"/>
                <w:color w:val="auto"/>
              </w:rPr>
            </w:pPr>
            <w:r>
              <w:rPr>
                <w:rFonts w:ascii="Arial" w:cs="Arial" w:eastAsia="Arial" w:hAnsi="Arial"/>
                <w:sz w:val="11"/>
                <w:szCs w:val="11"/>
                <w:b w:val="1"/>
                <w:bCs w:val="1"/>
                <w:color w:val="auto"/>
              </w:rPr>
              <w:t>2016</w:t>
            </w:r>
          </w:p>
        </w:tc>
      </w:tr>
      <w:tr>
        <w:trPr>
          <w:trHeight w:val="151"/>
        </w:trPr>
        <w:tc>
          <w:tcPr>
            <w:tcW w:w="20" w:type="dxa"/>
            <w:vAlign w:val="bottom"/>
          </w:tcPr>
          <w:p>
            <w:pPr>
              <w:spacing w:after="0"/>
              <w:rPr>
                <w:sz w:val="13"/>
                <w:szCs w:val="13"/>
                <w:color w:val="auto"/>
              </w:rPr>
            </w:pPr>
          </w:p>
        </w:tc>
        <w:tc>
          <w:tcPr>
            <w:tcW w:w="3040" w:type="dxa"/>
            <w:vAlign w:val="bottom"/>
            <w:tcBorders>
              <w:top w:val="single" w:sz="8" w:color="CCEEFF"/>
            </w:tcBorders>
            <w:gridSpan w:val="2"/>
            <w:shd w:val="clear" w:color="auto" w:fill="CCEEFF"/>
          </w:tcPr>
          <w:p>
            <w:pPr>
              <w:spacing w:after="0" w:line="151" w:lineRule="exact"/>
              <w:rPr>
                <w:sz w:val="20"/>
                <w:szCs w:val="20"/>
                <w:color w:val="auto"/>
              </w:rPr>
            </w:pPr>
            <w:r>
              <w:rPr>
                <w:rFonts w:ascii="Arial" w:cs="Arial" w:eastAsia="Arial" w:hAnsi="Arial"/>
                <w:sz w:val="14"/>
                <w:szCs w:val="14"/>
                <w:color w:val="auto"/>
              </w:rPr>
              <w:t>Retail</w:t>
            </w:r>
          </w:p>
        </w:tc>
        <w:tc>
          <w:tcPr>
            <w:tcW w:w="20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line="151"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shd w:val="clear" w:color="auto" w:fill="CCEEFF"/>
          </w:tcPr>
          <w:p>
            <w:pPr>
              <w:jc w:val="right"/>
              <w:spacing w:after="0" w:line="151" w:lineRule="exact"/>
              <w:rPr>
                <w:sz w:val="20"/>
                <w:szCs w:val="20"/>
                <w:color w:val="auto"/>
              </w:rPr>
            </w:pPr>
            <w:r>
              <w:rPr>
                <w:rFonts w:ascii="Arial" w:cs="Arial" w:eastAsia="Arial" w:hAnsi="Arial"/>
                <w:sz w:val="14"/>
                <w:szCs w:val="14"/>
                <w:color w:val="auto"/>
              </w:rPr>
              <w:t>1,662,895</w:t>
            </w:r>
          </w:p>
        </w:tc>
        <w:tc>
          <w:tcPr>
            <w:tcW w:w="140" w:type="dxa"/>
            <w:vAlign w:val="bottom"/>
            <w:tcBorders>
              <w:top w:val="single" w:sz="8" w:color="CCEEFF"/>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jc w:val="right"/>
              <w:spacing w:after="0" w:line="151" w:lineRule="exact"/>
              <w:rPr>
                <w:sz w:val="20"/>
                <w:szCs w:val="20"/>
                <w:color w:val="auto"/>
              </w:rPr>
            </w:pPr>
            <w:r>
              <w:rPr>
                <w:rFonts w:ascii="Arial" w:cs="Arial" w:eastAsia="Arial" w:hAnsi="Arial"/>
                <w:sz w:val="14"/>
                <w:szCs w:val="14"/>
                <w:color w:val="auto"/>
              </w:rPr>
              <w:t>11.4</w:t>
            </w:r>
          </w:p>
        </w:tc>
        <w:tc>
          <w:tcPr>
            <w:tcW w:w="1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tcBorders>
            <w:shd w:val="clear" w:color="auto" w:fill="CCEEFF"/>
          </w:tcPr>
          <w:p>
            <w:pPr>
              <w:jc w:val="right"/>
              <w:spacing w:after="0" w:line="151" w:lineRule="exact"/>
              <w:rPr>
                <w:sz w:val="20"/>
                <w:szCs w:val="20"/>
                <w:color w:val="auto"/>
              </w:rPr>
            </w:pPr>
            <w:r>
              <w:rPr>
                <w:rFonts w:ascii="Arial" w:cs="Arial" w:eastAsia="Arial" w:hAnsi="Arial"/>
                <w:sz w:val="14"/>
                <w:szCs w:val="14"/>
                <w:color w:val="auto"/>
              </w:rPr>
              <w:t>1,492,552</w:t>
            </w:r>
          </w:p>
        </w:tc>
        <w:tc>
          <w:tcPr>
            <w:tcW w:w="140" w:type="dxa"/>
            <w:vAlign w:val="bottom"/>
            <w:tcBorders>
              <w:top w:val="single" w:sz="8" w:color="CCEEFF"/>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jc w:val="right"/>
              <w:spacing w:after="0" w:line="151" w:lineRule="exact"/>
              <w:rPr>
                <w:sz w:val="20"/>
                <w:szCs w:val="20"/>
                <w:color w:val="auto"/>
              </w:rPr>
            </w:pPr>
            <w:r>
              <w:rPr>
                <w:rFonts w:ascii="Arial" w:cs="Arial" w:eastAsia="Arial" w:hAnsi="Arial"/>
                <w:sz w:val="14"/>
                <w:szCs w:val="14"/>
                <w:color w:val="auto"/>
              </w:rPr>
              <w:t>15.4</w:t>
            </w:r>
          </w:p>
        </w:tc>
        <w:tc>
          <w:tcPr>
            <w:tcW w:w="1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jc w:val="right"/>
              <w:spacing w:after="0" w:line="151" w:lineRule="exact"/>
              <w:rPr>
                <w:sz w:val="20"/>
                <w:szCs w:val="20"/>
                <w:color w:val="auto"/>
              </w:rPr>
            </w:pPr>
            <w:r>
              <w:rPr>
                <w:rFonts w:ascii="Arial" w:cs="Arial" w:eastAsia="Arial" w:hAnsi="Arial"/>
                <w:sz w:val="14"/>
                <w:szCs w:val="14"/>
                <w:color w:val="auto"/>
                <w:w w:val="89"/>
              </w:rPr>
              <w:t>$ 1,293,797</w:t>
            </w:r>
          </w:p>
        </w:tc>
      </w:tr>
      <w:tr>
        <w:trPr>
          <w:trHeight w:val="170"/>
        </w:trPr>
        <w:tc>
          <w:tcPr>
            <w:tcW w:w="20" w:type="dxa"/>
            <w:vAlign w:val="bottom"/>
          </w:tcPr>
          <w:p>
            <w:pPr>
              <w:spacing w:after="0"/>
              <w:rPr>
                <w:sz w:val="14"/>
                <w:szCs w:val="14"/>
                <w:color w:val="auto"/>
              </w:rPr>
            </w:pPr>
          </w:p>
        </w:tc>
        <w:tc>
          <w:tcPr>
            <w:tcW w:w="3040" w:type="dxa"/>
            <w:vAlign w:val="bottom"/>
            <w:gridSpan w:val="2"/>
          </w:tcPr>
          <w:p>
            <w:pPr>
              <w:spacing w:after="0"/>
              <w:rPr>
                <w:sz w:val="20"/>
                <w:szCs w:val="20"/>
                <w:color w:val="auto"/>
              </w:rPr>
            </w:pPr>
            <w:r>
              <w:rPr>
                <w:rFonts w:ascii="Arial" w:cs="Arial" w:eastAsia="Arial" w:hAnsi="Arial"/>
                <w:sz w:val="14"/>
                <w:szCs w:val="14"/>
                <w:color w:val="auto"/>
              </w:rPr>
              <w:t>Industrial</w:t>
            </w:r>
          </w:p>
        </w:tc>
        <w:tc>
          <w:tcPr>
            <w:tcW w:w="2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1,557,011</w:t>
            </w: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16.1</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1,341,319</w:t>
            </w: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35.8</w:t>
            </w:r>
          </w:p>
        </w:tc>
        <w:tc>
          <w:tcPr>
            <w:tcW w:w="12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988,050</w:t>
            </w:r>
          </w:p>
        </w:tc>
      </w:tr>
      <w:tr>
        <w:trPr>
          <w:trHeight w:val="190"/>
        </w:trPr>
        <w:tc>
          <w:tcPr>
            <w:tcW w:w="20" w:type="dxa"/>
            <w:vAlign w:val="bottom"/>
          </w:tcPr>
          <w:p>
            <w:pPr>
              <w:spacing w:after="0"/>
              <w:rPr>
                <w:sz w:val="16"/>
                <w:szCs w:val="16"/>
                <w:color w:val="auto"/>
              </w:rPr>
            </w:pPr>
          </w:p>
        </w:tc>
        <w:tc>
          <w:tcPr>
            <w:tcW w:w="30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Construction</w:t>
            </w:r>
          </w:p>
        </w:tc>
        <w:tc>
          <w:tcPr>
            <w:tcW w:w="2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1,345,843</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14.8</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1,172,332</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15.4</w:t>
            </w:r>
          </w:p>
        </w:tc>
        <w:tc>
          <w:tcPr>
            <w:tcW w:w="12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1,015,530</w:t>
            </w:r>
          </w:p>
        </w:tc>
      </w:tr>
      <w:tr>
        <w:trPr>
          <w:trHeight w:val="151"/>
        </w:trPr>
        <w:tc>
          <w:tcPr>
            <w:tcW w:w="20" w:type="dxa"/>
            <w:vAlign w:val="bottom"/>
          </w:tcPr>
          <w:p>
            <w:pPr>
              <w:spacing w:after="0"/>
              <w:rPr>
                <w:sz w:val="13"/>
                <w:szCs w:val="13"/>
                <w:color w:val="auto"/>
              </w:rPr>
            </w:pPr>
          </w:p>
        </w:tc>
        <w:tc>
          <w:tcPr>
            <w:tcW w:w="3040" w:type="dxa"/>
            <w:vAlign w:val="bottom"/>
            <w:tcBorders>
              <w:top w:val="single" w:sz="8" w:color="CCEEFF"/>
            </w:tcBorders>
            <w:gridSpan w:val="2"/>
          </w:tcPr>
          <w:p>
            <w:pPr>
              <w:spacing w:after="0" w:line="151" w:lineRule="exact"/>
              <w:rPr>
                <w:sz w:val="20"/>
                <w:szCs w:val="20"/>
                <w:color w:val="auto"/>
              </w:rPr>
            </w:pPr>
            <w:r>
              <w:rPr>
                <w:rFonts w:ascii="Arial" w:cs="Arial" w:eastAsia="Arial" w:hAnsi="Arial"/>
                <w:sz w:val="14"/>
                <w:szCs w:val="14"/>
                <w:color w:val="auto"/>
              </w:rPr>
              <w:t>Total Gross Sales</w:t>
            </w:r>
          </w:p>
        </w:tc>
        <w:tc>
          <w:tcPr>
            <w:tcW w:w="2000" w:type="dxa"/>
            <w:vAlign w:val="bottom"/>
            <w:tcBorders>
              <w:top w:val="single" w:sz="8" w:color="CCEEFF"/>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right"/>
              <w:spacing w:after="0" w:line="151" w:lineRule="exact"/>
              <w:rPr>
                <w:sz w:val="20"/>
                <w:szCs w:val="20"/>
                <w:color w:val="auto"/>
              </w:rPr>
            </w:pPr>
            <w:r>
              <w:rPr>
                <w:rFonts w:ascii="Arial" w:cs="Arial" w:eastAsia="Arial" w:hAnsi="Arial"/>
                <w:sz w:val="14"/>
                <w:szCs w:val="14"/>
                <w:color w:val="auto"/>
              </w:rPr>
              <w:t>4,565,749</w:t>
            </w:r>
          </w:p>
        </w:tc>
        <w:tc>
          <w:tcPr>
            <w:tcW w:w="660" w:type="dxa"/>
            <w:vAlign w:val="bottom"/>
            <w:tcBorders>
              <w:top w:val="single" w:sz="8" w:color="CCEEFF"/>
            </w:tcBorders>
            <w:gridSpan w:val="2"/>
          </w:tcPr>
          <w:p>
            <w:pPr>
              <w:jc w:val="right"/>
              <w:spacing w:after="0" w:line="151" w:lineRule="exact"/>
              <w:rPr>
                <w:sz w:val="20"/>
                <w:szCs w:val="20"/>
                <w:color w:val="auto"/>
              </w:rPr>
            </w:pPr>
            <w:r>
              <w:rPr>
                <w:rFonts w:ascii="Arial" w:cs="Arial" w:eastAsia="Arial" w:hAnsi="Arial"/>
                <w:sz w:val="14"/>
                <w:szCs w:val="14"/>
                <w:color w:val="auto"/>
              </w:rPr>
              <w:t>14.0</w:t>
            </w:r>
          </w:p>
        </w:tc>
        <w:tc>
          <w:tcPr>
            <w:tcW w:w="160" w:type="dxa"/>
            <w:vAlign w:val="bottom"/>
            <w:tcBorders>
              <w:top w:val="single" w:sz="8" w:color="CCEEFF"/>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spacing w:after="0" w:line="151" w:lineRule="exact"/>
              <w:rPr>
                <w:sz w:val="20"/>
                <w:szCs w:val="20"/>
                <w:color w:val="auto"/>
              </w:rPr>
            </w:pPr>
            <w:r>
              <w:rPr>
                <w:rFonts w:ascii="Arial" w:cs="Arial" w:eastAsia="Arial" w:hAnsi="Arial"/>
                <w:sz w:val="14"/>
                <w:szCs w:val="14"/>
                <w:color w:val="auto"/>
              </w:rPr>
              <w:t>4,006,203</w:t>
            </w:r>
          </w:p>
        </w:tc>
        <w:tc>
          <w:tcPr>
            <w:tcW w:w="660" w:type="dxa"/>
            <w:vAlign w:val="bottom"/>
            <w:tcBorders>
              <w:top w:val="single" w:sz="8" w:color="CCEEFF"/>
            </w:tcBorders>
            <w:gridSpan w:val="2"/>
          </w:tcPr>
          <w:p>
            <w:pPr>
              <w:jc w:val="right"/>
              <w:spacing w:after="0" w:line="151" w:lineRule="exact"/>
              <w:rPr>
                <w:sz w:val="20"/>
                <w:szCs w:val="20"/>
                <w:color w:val="auto"/>
              </w:rPr>
            </w:pPr>
            <w:r>
              <w:rPr>
                <w:rFonts w:ascii="Arial" w:cs="Arial" w:eastAsia="Arial" w:hAnsi="Arial"/>
                <w:sz w:val="14"/>
                <w:szCs w:val="14"/>
                <w:color w:val="auto"/>
              </w:rPr>
              <w:t>21.5</w:t>
            </w:r>
          </w:p>
        </w:tc>
        <w:tc>
          <w:tcPr>
            <w:tcW w:w="12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720" w:type="dxa"/>
            <w:vAlign w:val="bottom"/>
            <w:tcBorders>
              <w:top w:val="single" w:sz="8" w:color="auto"/>
            </w:tcBorders>
          </w:tcPr>
          <w:p>
            <w:pPr>
              <w:jc w:val="right"/>
              <w:spacing w:after="0" w:line="151" w:lineRule="exact"/>
              <w:rPr>
                <w:sz w:val="20"/>
                <w:szCs w:val="20"/>
                <w:color w:val="auto"/>
              </w:rPr>
            </w:pPr>
            <w:r>
              <w:rPr>
                <w:rFonts w:ascii="Arial" w:cs="Arial" w:eastAsia="Arial" w:hAnsi="Arial"/>
                <w:sz w:val="14"/>
                <w:szCs w:val="14"/>
                <w:color w:val="auto"/>
              </w:rPr>
              <w:t>3,297,377</w:t>
            </w:r>
          </w:p>
        </w:tc>
      </w:tr>
      <w:tr>
        <w:trPr>
          <w:trHeight w:val="190"/>
        </w:trPr>
        <w:tc>
          <w:tcPr>
            <w:tcW w:w="20" w:type="dxa"/>
            <w:vAlign w:val="bottom"/>
          </w:tcPr>
          <w:p>
            <w:pPr>
              <w:spacing w:after="0"/>
              <w:rPr>
                <w:sz w:val="16"/>
                <w:szCs w:val="16"/>
                <w:color w:val="auto"/>
              </w:rPr>
            </w:pPr>
          </w:p>
        </w:tc>
        <w:tc>
          <w:tcPr>
            <w:tcW w:w="30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Sales Allowances</w:t>
            </w:r>
          </w:p>
        </w:tc>
        <w:tc>
          <w:tcPr>
            <w:tcW w:w="20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(76,569)</w:t>
            </w:r>
          </w:p>
        </w:tc>
        <w:tc>
          <w:tcPr>
            <w:tcW w:w="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17.8</w:t>
            </w:r>
          </w:p>
        </w:tc>
        <w:tc>
          <w:tcPr>
            <w:tcW w:w="1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(65,021)</w:t>
            </w:r>
          </w:p>
        </w:tc>
        <w:tc>
          <w:tcPr>
            <w:tcW w:w="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14.3</w:t>
            </w:r>
          </w:p>
        </w:tc>
        <w:tc>
          <w:tcPr>
            <w:tcW w:w="1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(56,884)</w:t>
            </w:r>
          </w:p>
        </w:tc>
      </w:tr>
      <w:tr>
        <w:trPr>
          <w:trHeight w:val="152"/>
        </w:trPr>
        <w:tc>
          <w:tcPr>
            <w:tcW w:w="3060" w:type="dxa"/>
            <w:vAlign w:val="bottom"/>
            <w:gridSpan w:val="3"/>
          </w:tcPr>
          <w:p>
            <w:pPr>
              <w:spacing w:after="0" w:line="151" w:lineRule="exact"/>
              <w:rPr>
                <w:sz w:val="20"/>
                <w:szCs w:val="20"/>
                <w:color w:val="auto"/>
              </w:rPr>
            </w:pPr>
            <w:r>
              <w:rPr>
                <w:rFonts w:ascii="Arial" w:cs="Arial" w:eastAsia="Arial" w:hAnsi="Arial"/>
                <w:sz w:val="14"/>
                <w:szCs w:val="14"/>
                <w:color w:val="auto"/>
              </w:rPr>
              <w:t>Total Net Sales</w:t>
            </w:r>
          </w:p>
        </w:tc>
        <w:tc>
          <w:tcPr>
            <w:tcW w:w="2000" w:type="dxa"/>
            <w:vAlign w:val="bottom"/>
          </w:tcPr>
          <w:p>
            <w:pPr>
              <w:spacing w:after="0"/>
              <w:rPr>
                <w:sz w:val="13"/>
                <w:szCs w:val="13"/>
                <w:color w:val="auto"/>
              </w:rPr>
            </w:pPr>
          </w:p>
        </w:tc>
        <w:tc>
          <w:tcPr>
            <w:tcW w:w="8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4,489,180</w:t>
            </w:r>
          </w:p>
        </w:tc>
        <w:tc>
          <w:tcPr>
            <w:tcW w:w="660" w:type="dxa"/>
            <w:vAlign w:val="bottom"/>
            <w:gridSpan w:val="2"/>
          </w:tcPr>
          <w:p>
            <w:pPr>
              <w:jc w:val="right"/>
              <w:spacing w:after="0" w:line="151" w:lineRule="exact"/>
              <w:rPr>
                <w:sz w:val="20"/>
                <w:szCs w:val="20"/>
                <w:color w:val="auto"/>
              </w:rPr>
            </w:pPr>
            <w:r>
              <w:rPr>
                <w:rFonts w:ascii="Arial" w:cs="Arial" w:eastAsia="Arial" w:hAnsi="Arial"/>
                <w:sz w:val="14"/>
                <w:szCs w:val="14"/>
                <w:color w:val="auto"/>
              </w:rPr>
              <w:t>13.9</w:t>
            </w:r>
          </w:p>
        </w:tc>
        <w:tc>
          <w:tcPr>
            <w:tcW w:w="16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3,941,182</w:t>
            </w:r>
          </w:p>
        </w:tc>
        <w:tc>
          <w:tcPr>
            <w:tcW w:w="660" w:type="dxa"/>
            <w:vAlign w:val="bottom"/>
            <w:gridSpan w:val="2"/>
          </w:tcPr>
          <w:p>
            <w:pPr>
              <w:jc w:val="right"/>
              <w:spacing w:after="0" w:line="151" w:lineRule="exact"/>
              <w:rPr>
                <w:sz w:val="20"/>
                <w:szCs w:val="20"/>
                <w:color w:val="auto"/>
              </w:rPr>
            </w:pPr>
            <w:r>
              <w:rPr>
                <w:rFonts w:ascii="Arial" w:cs="Arial" w:eastAsia="Arial" w:hAnsi="Arial"/>
                <w:sz w:val="14"/>
                <w:szCs w:val="14"/>
                <w:color w:val="auto"/>
              </w:rPr>
              <w:t>21.6</w:t>
            </w:r>
          </w:p>
        </w:tc>
        <w:tc>
          <w:tcPr>
            <w:tcW w:w="1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w w:val="89"/>
              </w:rPr>
              <w:t>$ 3,240,493</w:t>
            </w:r>
          </w:p>
        </w:tc>
      </w:tr>
    </w:tbl>
    <w:p>
      <w:pPr>
        <w:spacing w:after="0" w:line="155" w:lineRule="exact"/>
        <w:rPr>
          <w:sz w:val="20"/>
          <w:szCs w:val="20"/>
          <w:color w:val="auto"/>
        </w:rPr>
      </w:pPr>
    </w:p>
    <w:p>
      <w:pPr>
        <w:spacing w:after="0"/>
        <w:rPr>
          <w:sz w:val="20"/>
          <w:szCs w:val="20"/>
          <w:color w:val="auto"/>
        </w:rPr>
      </w:pPr>
      <w:r>
        <w:rPr>
          <w:rFonts w:ascii="Arial" w:cs="Arial" w:eastAsia="Arial" w:hAnsi="Arial"/>
          <w:sz w:val="11"/>
          <w:szCs w:val="11"/>
          <w:color w:val="auto"/>
        </w:rPr>
        <w:t>Note: During 2018, certain customers were reclassified to a different market. Prior year information has been restated to reflect these changes.</w:t>
      </w:r>
    </w:p>
    <w:p>
      <w:pPr>
        <w:spacing w:after="0" w:line="165"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The following table presents estimates, for the periods indicated, of our percentage change in gross sales which were attributable to changes in overall selling prices versus changes in units shipped.</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20" w:type="dxa"/>
            <w:vAlign w:val="bottom"/>
          </w:tcPr>
          <w:p>
            <w:pPr>
              <w:spacing w:after="0"/>
              <w:rPr>
                <w:sz w:val="11"/>
                <w:szCs w:val="11"/>
                <w:color w:val="auto"/>
              </w:rPr>
            </w:pPr>
          </w:p>
        </w:tc>
        <w:tc>
          <w:tcPr>
            <w:tcW w:w="626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gridSpan w:val="2"/>
          </w:tcPr>
          <w:p>
            <w:pPr>
              <w:jc w:val="right"/>
              <w:ind w:right="449"/>
              <w:spacing w:after="0"/>
              <w:rPr>
                <w:sz w:val="20"/>
                <w:szCs w:val="20"/>
                <w:color w:val="auto"/>
              </w:rPr>
            </w:pPr>
            <w:r>
              <w:rPr>
                <w:rFonts w:ascii="Arial" w:cs="Arial" w:eastAsia="Arial" w:hAnsi="Arial"/>
                <w:sz w:val="11"/>
                <w:szCs w:val="11"/>
                <w:b w:val="1"/>
                <w:bCs w:val="1"/>
                <w:color w:val="auto"/>
              </w:rPr>
              <w:t>% Change</w:t>
            </w:r>
          </w:p>
        </w:tc>
        <w:tc>
          <w:tcPr>
            <w:tcW w:w="58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r>
      <w:tr>
        <w:trPr>
          <w:trHeight w:val="107"/>
        </w:trPr>
        <w:tc>
          <w:tcPr>
            <w:tcW w:w="20" w:type="dxa"/>
            <w:vAlign w:val="bottom"/>
          </w:tcPr>
          <w:p>
            <w:pPr>
              <w:spacing w:after="0"/>
              <w:rPr>
                <w:sz w:val="9"/>
                <w:szCs w:val="9"/>
                <w:color w:val="auto"/>
              </w:rPr>
            </w:pPr>
          </w:p>
        </w:tc>
        <w:tc>
          <w:tcPr>
            <w:tcW w:w="6260" w:type="dxa"/>
            <w:vAlign w:val="bottom"/>
          </w:tcPr>
          <w:p>
            <w:pPr>
              <w:spacing w:after="0"/>
              <w:rPr>
                <w:sz w:val="9"/>
                <w:szCs w:val="9"/>
                <w:color w:val="auto"/>
              </w:rPr>
            </w:pPr>
          </w:p>
        </w:tc>
        <w:tc>
          <w:tcPr>
            <w:tcW w:w="840" w:type="dxa"/>
            <w:vAlign w:val="bottom"/>
            <w:gridSpan w:val="2"/>
          </w:tcPr>
          <w:p>
            <w:pPr>
              <w:jc w:val="right"/>
              <w:ind w:right="289"/>
              <w:spacing w:after="0" w:line="107" w:lineRule="exact"/>
              <w:rPr>
                <w:sz w:val="20"/>
                <w:szCs w:val="20"/>
                <w:color w:val="auto"/>
              </w:rPr>
            </w:pPr>
            <w:r>
              <w:rPr>
                <w:rFonts w:ascii="Arial" w:cs="Arial" w:eastAsia="Arial" w:hAnsi="Arial"/>
                <w:sz w:val="11"/>
                <w:szCs w:val="11"/>
                <w:b w:val="1"/>
                <w:bCs w:val="1"/>
                <w:color w:val="auto"/>
              </w:rPr>
              <w:t>in Sales</w:t>
            </w:r>
          </w:p>
        </w:tc>
        <w:tc>
          <w:tcPr>
            <w:tcW w:w="1260" w:type="dxa"/>
            <w:vAlign w:val="bottom"/>
            <w:gridSpan w:val="2"/>
          </w:tcPr>
          <w:p>
            <w:pPr>
              <w:jc w:val="right"/>
              <w:ind w:right="309"/>
              <w:spacing w:after="0" w:line="107" w:lineRule="exact"/>
              <w:rPr>
                <w:sz w:val="20"/>
                <w:szCs w:val="20"/>
                <w:color w:val="auto"/>
              </w:rPr>
            </w:pPr>
            <w:r>
              <w:rPr>
                <w:rFonts w:ascii="Arial" w:cs="Arial" w:eastAsia="Arial" w:hAnsi="Arial"/>
                <w:sz w:val="11"/>
                <w:szCs w:val="11"/>
                <w:b w:val="1"/>
                <w:bCs w:val="1"/>
                <w:color w:val="auto"/>
              </w:rPr>
              <w:t>in Selling Prices</w:t>
            </w:r>
          </w:p>
        </w:tc>
        <w:tc>
          <w:tcPr>
            <w:tcW w:w="580" w:type="dxa"/>
            <w:vAlign w:val="bottom"/>
          </w:tcPr>
          <w:p>
            <w:pPr>
              <w:jc w:val="right"/>
              <w:ind w:right="33"/>
              <w:spacing w:after="0" w:line="107" w:lineRule="exact"/>
              <w:rPr>
                <w:sz w:val="20"/>
                <w:szCs w:val="20"/>
                <w:color w:val="auto"/>
              </w:rPr>
            </w:pPr>
            <w:r>
              <w:rPr>
                <w:rFonts w:ascii="Arial" w:cs="Arial" w:eastAsia="Arial" w:hAnsi="Arial"/>
                <w:sz w:val="11"/>
                <w:szCs w:val="11"/>
                <w:b w:val="1"/>
                <w:bCs w:val="1"/>
                <w:color w:val="auto"/>
              </w:rPr>
              <w:t>in Units</w:t>
            </w:r>
          </w:p>
        </w:tc>
        <w:tc>
          <w:tcPr>
            <w:tcW w:w="140" w:type="dxa"/>
            <w:vAlign w:val="bottom"/>
          </w:tcPr>
          <w:p>
            <w:pPr>
              <w:spacing w:after="0"/>
              <w:rPr>
                <w:sz w:val="9"/>
                <w:szCs w:val="9"/>
                <w:color w:val="auto"/>
              </w:rPr>
            </w:pPr>
          </w:p>
        </w:tc>
      </w:tr>
      <w:tr>
        <w:trPr>
          <w:trHeight w:val="161"/>
        </w:trPr>
        <w:tc>
          <w:tcPr>
            <w:tcW w:w="20" w:type="dxa"/>
            <w:vAlign w:val="bottom"/>
          </w:tcPr>
          <w:p>
            <w:pPr>
              <w:spacing w:after="0"/>
              <w:rPr>
                <w:sz w:val="13"/>
                <w:szCs w:val="13"/>
                <w:color w:val="auto"/>
              </w:rPr>
            </w:pPr>
          </w:p>
        </w:tc>
        <w:tc>
          <w:tcPr>
            <w:tcW w:w="6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color w:val="auto"/>
              </w:rPr>
              <w:t>2018 versus 2017</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14.0</w:t>
            </w:r>
          </w:p>
        </w:tc>
        <w:tc>
          <w:tcPr>
            <w:tcW w:w="260" w:type="dxa"/>
            <w:vAlign w:val="bottom"/>
            <w:tcBorders>
              <w:top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w:t>
            </w:r>
          </w:p>
        </w:tc>
        <w:tc>
          <w:tcPr>
            <w:tcW w:w="240" w:type="dxa"/>
            <w:vAlign w:val="bottom"/>
            <w:tcBorders>
              <w:top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w w:val="74"/>
              </w:rPr>
              <w:t>%</w:t>
            </w:r>
          </w:p>
        </w:tc>
      </w:tr>
      <w:tr>
        <w:trPr>
          <w:trHeight w:val="170"/>
        </w:trPr>
        <w:tc>
          <w:tcPr>
            <w:tcW w:w="20" w:type="dxa"/>
            <w:vAlign w:val="bottom"/>
          </w:tcPr>
          <w:p>
            <w:pPr>
              <w:spacing w:after="0"/>
              <w:rPr>
                <w:sz w:val="14"/>
                <w:szCs w:val="14"/>
                <w:color w:val="auto"/>
              </w:rPr>
            </w:pPr>
          </w:p>
        </w:tc>
        <w:tc>
          <w:tcPr>
            <w:tcW w:w="6260" w:type="dxa"/>
            <w:vAlign w:val="bottom"/>
          </w:tcPr>
          <w:p>
            <w:pPr>
              <w:spacing w:after="0"/>
              <w:rPr>
                <w:sz w:val="20"/>
                <w:szCs w:val="20"/>
                <w:color w:val="auto"/>
              </w:rPr>
            </w:pPr>
            <w:r>
              <w:rPr>
                <w:rFonts w:ascii="Arial" w:cs="Arial" w:eastAsia="Arial" w:hAnsi="Arial"/>
                <w:sz w:val="14"/>
                <w:szCs w:val="14"/>
                <w:color w:val="auto"/>
              </w:rPr>
              <w:t>2017 versus 2016</w:t>
            </w:r>
          </w:p>
        </w:tc>
        <w:tc>
          <w:tcPr>
            <w:tcW w:w="840" w:type="dxa"/>
            <w:vAlign w:val="bottom"/>
            <w:gridSpan w:val="2"/>
          </w:tcPr>
          <w:p>
            <w:pPr>
              <w:jc w:val="right"/>
              <w:ind w:right="69"/>
              <w:spacing w:after="0"/>
              <w:rPr>
                <w:sz w:val="20"/>
                <w:szCs w:val="20"/>
                <w:color w:val="auto"/>
              </w:rPr>
            </w:pPr>
            <w:r>
              <w:rPr>
                <w:rFonts w:ascii="Arial" w:cs="Arial" w:eastAsia="Arial" w:hAnsi="Arial"/>
                <w:sz w:val="14"/>
                <w:szCs w:val="14"/>
                <w:color w:val="auto"/>
              </w:rPr>
              <w:t>21.5 %</w:t>
            </w:r>
          </w:p>
        </w:tc>
        <w:tc>
          <w:tcPr>
            <w:tcW w:w="1260" w:type="dxa"/>
            <w:vAlign w:val="bottom"/>
            <w:gridSpan w:val="2"/>
          </w:tcPr>
          <w:p>
            <w:pPr>
              <w:jc w:val="right"/>
              <w:ind w:right="49"/>
              <w:spacing w:after="0"/>
              <w:rPr>
                <w:sz w:val="20"/>
                <w:szCs w:val="20"/>
                <w:color w:val="auto"/>
              </w:rPr>
            </w:pPr>
            <w:r>
              <w:rPr>
                <w:rFonts w:ascii="Arial" w:cs="Arial" w:eastAsia="Arial" w:hAnsi="Arial"/>
                <w:sz w:val="14"/>
                <w:szCs w:val="14"/>
                <w:color w:val="auto"/>
              </w:rPr>
              <w:t>6.6 %</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14.9 %</w:t>
            </w:r>
          </w:p>
        </w:tc>
      </w:tr>
      <w:tr>
        <w:trPr>
          <w:trHeight w:val="170"/>
        </w:trPr>
        <w:tc>
          <w:tcPr>
            <w:tcW w:w="20" w:type="dxa"/>
            <w:vAlign w:val="bottom"/>
          </w:tcPr>
          <w:p>
            <w:pPr>
              <w:spacing w:after="0"/>
              <w:rPr>
                <w:sz w:val="14"/>
                <w:szCs w:val="14"/>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4"/>
                <w:szCs w:val="14"/>
                <w:color w:val="auto"/>
              </w:rPr>
              <w:t>2016 versus 2015</w:t>
            </w:r>
          </w:p>
        </w:tc>
        <w:tc>
          <w:tcPr>
            <w:tcW w:w="840" w:type="dxa"/>
            <w:vAlign w:val="bottom"/>
            <w:gridSpan w:val="2"/>
            <w:shd w:val="clear" w:color="auto" w:fill="CCEEFF"/>
          </w:tcPr>
          <w:p>
            <w:pPr>
              <w:jc w:val="right"/>
              <w:ind w:right="69"/>
              <w:spacing w:after="0"/>
              <w:rPr>
                <w:sz w:val="20"/>
                <w:szCs w:val="20"/>
                <w:color w:val="auto"/>
              </w:rPr>
            </w:pPr>
            <w:r>
              <w:rPr>
                <w:rFonts w:ascii="Arial" w:cs="Arial" w:eastAsia="Arial" w:hAnsi="Arial"/>
                <w:sz w:val="14"/>
                <w:szCs w:val="14"/>
                <w:color w:val="auto"/>
              </w:rPr>
              <w:t>12.4 %</w:t>
            </w:r>
          </w:p>
        </w:tc>
        <w:tc>
          <w:tcPr>
            <w:tcW w:w="1260" w:type="dxa"/>
            <w:vAlign w:val="bottom"/>
            <w:gridSpan w:val="2"/>
            <w:shd w:val="clear" w:color="auto" w:fill="CCEEFF"/>
          </w:tcPr>
          <w:p>
            <w:pPr>
              <w:jc w:val="right"/>
              <w:ind w:right="49"/>
              <w:spacing w:after="0"/>
              <w:rPr>
                <w:sz w:val="20"/>
                <w:szCs w:val="20"/>
                <w:color w:val="auto"/>
              </w:rPr>
            </w:pPr>
            <w:r>
              <w:rPr>
                <w:rFonts w:ascii="Arial" w:cs="Arial" w:eastAsia="Arial" w:hAnsi="Arial"/>
                <w:sz w:val="14"/>
                <w:szCs w:val="14"/>
                <w:color w:val="auto"/>
              </w:rPr>
              <w:t>1.2 %</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11.2 %</w:t>
            </w:r>
          </w:p>
        </w:tc>
      </w:tr>
    </w:tbl>
    <w:p>
      <w:pPr>
        <w:spacing w:after="0" w:line="15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Retail:</w:t>
      </w:r>
    </w:p>
    <w:p>
      <w:pPr>
        <w:spacing w:after="0" w:line="183"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Gross sales to the retail market increased over 11% in 2018 compared to 2017 due to a 4% increase in unit sales and a 7% increase in selling prices. Within this market, sales to our big box customers increased 8% while our sales to other retailers increased 17%. Businesses we acquired contributed 2% to our growth, while new products contributed to our 2% organic unit sales growth. Comparatively, our large retail customers reported year over year store sales growth of approximately 6% during the first nine months of 2018, the latest information available to us. In the third and fourth quarter of 2017, our sales increased due to hurricanes Irma and Harvey.</w:t>
      </w: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66675</wp:posOffset>
            </wp:positionV>
            <wp:extent cx="5779135" cy="203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7">
                      <a:extLst>
                        <a:ext uri="{28A0092B-C50C-407E-A947-70E740481C1C}"/>
                      </a:extLst>
                    </a:blip>
                    <a:srcRect/>
                    <a:stretch>
                      <a:fillRect/>
                    </a:stretch>
                  </pic:blipFill>
                  <pic:spPr bwMode="auto">
                    <a:xfrm>
                      <a:off x="0" y="0"/>
                      <a:ext cx="5779135" cy="20320"/>
                    </a:xfrm>
                    <a:prstGeom prst="rect">
                      <a:avLst/>
                    </a:prstGeom>
                    <a:noFill/>
                  </pic:spPr>
                </pic:pic>
              </a:graphicData>
            </a:graphic>
          </wp:anchor>
        </w:drawing>
      </w:r>
    </w:p>
    <w:p>
      <w:pPr>
        <w:sectPr>
          <w:pgSz w:w="11900" w:h="16838" w:orient="portrait"/>
          <w:cols w:equalWidth="0" w:num="1">
            <w:col w:w="9100"/>
          </w:cols>
          <w:pgMar w:left="1400" w:top="129" w:right="1399" w:bottom="1440" w:gutter="0" w:footer="0" w:header="0"/>
        </w:sectPr>
      </w:pPr>
    </w:p>
    <w:bookmarkStart w:id="52" w:name="page53"/>
    <w:bookmarkEnd w:id="52"/>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UNIVERSAL FOREST PRODUCTS,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MANAGEMENT’S DISCUSSION AND ANALYSIS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FINANCIAL CONDITION AND RESULTS OF OPERATIONS</w:t>
      </w:r>
    </w:p>
    <w:p>
      <w:pPr>
        <w:spacing w:after="0" w:line="169"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Gross sales to the retail market increased over 15% in 2017 compared to 2016 due to a 10% increase in unit sales and a 5% increase in selling prices. Within this market, sales to our big box customers increased 16% while our sales to other retailers increased 14%. Businesses we acquired contributed 7% to our growth, while new products contributed to our 3% organic unit sales growth. Comparatively, our large retail customers reported year over year same store sales growth of approximately 8% during the first nine months of 2017, the latest information available to us.</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color w:val="auto"/>
        </w:rPr>
        <w:t>See Notes to Consolidated Financial Statements, Note C, "Business Combinations" for additional information concerning acquired businesses.</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Industrial:</w:t>
      </w:r>
    </w:p>
    <w:p>
      <w:pPr>
        <w:spacing w:after="0" w:line="183" w:lineRule="exact"/>
        <w:rPr>
          <w:sz w:val="20"/>
          <w:szCs w:val="20"/>
          <w:color w:val="auto"/>
        </w:rPr>
      </w:pPr>
    </w:p>
    <w:p>
      <w:pPr>
        <w:jc w:val="both"/>
        <w:spacing w:after="0" w:line="297" w:lineRule="auto"/>
        <w:rPr>
          <w:sz w:val="20"/>
          <w:szCs w:val="20"/>
          <w:color w:val="auto"/>
        </w:rPr>
      </w:pPr>
      <w:r>
        <w:rPr>
          <w:rFonts w:ascii="Arial" w:cs="Arial" w:eastAsia="Arial" w:hAnsi="Arial"/>
          <w:sz w:val="13"/>
          <w:szCs w:val="13"/>
          <w:color w:val="auto"/>
        </w:rPr>
        <w:t>Gross sales to the industrial market increased 16% in 2018 compared to 2017, resulting from a 10% increase in overall unit sales and a 6% increase in selling prices. Businesses we acquired contributed 5% to our growth in unit sales. Our organic unit sales growth of 5% was primarily achieved through share gains including adding 200 new customers during the year and increasing the number of locations we serve of existing customers by 346.</w:t>
      </w:r>
    </w:p>
    <w:p>
      <w:pPr>
        <w:spacing w:after="0" w:line="125" w:lineRule="exact"/>
        <w:rPr>
          <w:sz w:val="20"/>
          <w:szCs w:val="20"/>
          <w:color w:val="auto"/>
        </w:rPr>
      </w:pPr>
    </w:p>
    <w:p>
      <w:pPr>
        <w:jc w:val="both"/>
        <w:spacing w:after="0" w:line="297" w:lineRule="auto"/>
        <w:rPr>
          <w:sz w:val="20"/>
          <w:szCs w:val="20"/>
          <w:color w:val="auto"/>
        </w:rPr>
      </w:pPr>
      <w:r>
        <w:rPr>
          <w:rFonts w:ascii="Arial" w:cs="Arial" w:eastAsia="Arial" w:hAnsi="Arial"/>
          <w:sz w:val="13"/>
          <w:szCs w:val="13"/>
          <w:color w:val="auto"/>
        </w:rPr>
        <w:t>Gross sales to the industrial market increased 36% in 2017 compared to 2016, resulting from a 30% increase in overall unit sales and a 6% increase in selling prices. Businesses we acquired contributed 25% to our growth in unit sales. Our organic unit sales growth of 5% was primarily achieved through share gains including adding 390 new customers during the year and increasing the number of locations we serve existing customers by 142.</w:t>
      </w: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color w:val="auto"/>
        </w:rPr>
        <w:t>See Notes to Consolidated Financial Statements, Note C, "Business Combinations" for additional information concerning acquired businesses.</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Construction:</w:t>
      </w:r>
    </w:p>
    <w:p>
      <w:pPr>
        <w:spacing w:after="0" w:line="183"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 xml:space="preserve">Gross sales to the construction market increased almost 15% in 2018 compared to 2017, due to a unit sales increase of 7% and an 8% increase in selling prices. Unit sales increased due to a 7% increase in units shipped to residential construction customers, a 4% increase in shipments to manufactured housing customers, and a 14% increase in unit sales to commercial construction customers. Businesses we acquired in 2018 contributed 4% to our commercial construction unit sales growth. Comparatively, the </w:t>
      </w:r>
      <w:r>
        <w:rPr>
          <w:rFonts w:ascii="Arial" w:cs="Arial" w:eastAsia="Arial" w:hAnsi="Arial"/>
          <w:sz w:val="14"/>
          <w:szCs w:val="14"/>
          <w:i w:val="1"/>
          <w:iCs w:val="1"/>
          <w:color w:val="auto"/>
        </w:rPr>
        <w:t>Mortgage Bankers Association of America</w:t>
      </w:r>
      <w:r>
        <w:rPr>
          <w:rFonts w:ascii="Arial" w:cs="Arial" w:eastAsia="Arial" w:hAnsi="Arial"/>
          <w:sz w:val="14"/>
          <w:szCs w:val="14"/>
          <w:color w:val="auto"/>
        </w:rPr>
        <w:t xml:space="preserve"> reported </w:t>
      </w:r>
      <w:r>
        <w:rPr>
          <w:rFonts w:ascii="Arial" w:cs="Arial" w:eastAsia="Arial" w:hAnsi="Arial"/>
          <w:sz w:val="14"/>
          <w:szCs w:val="14"/>
          <w:i w:val="1"/>
          <w:iCs w:val="1"/>
          <w:color w:val="auto"/>
        </w:rPr>
        <w:t>year</w:t>
      </w:r>
      <w:r>
        <w:rPr>
          <w:rFonts w:ascii="Arial" w:cs="Arial" w:eastAsia="Arial" w:hAnsi="Arial"/>
          <w:sz w:val="14"/>
          <w:szCs w:val="14"/>
          <w:color w:val="auto"/>
        </w:rPr>
        <w:t xml:space="preserve"> over year national housing starts increased 4%, the </w:t>
      </w:r>
      <w:r>
        <w:rPr>
          <w:rFonts w:ascii="Arial" w:cs="Arial" w:eastAsia="Arial" w:hAnsi="Arial"/>
          <w:sz w:val="14"/>
          <w:szCs w:val="14"/>
          <w:i w:val="1"/>
          <w:iCs w:val="1"/>
          <w:color w:val="auto"/>
        </w:rPr>
        <w:t>United States</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Census Bureau </w:t>
      </w:r>
      <w:r>
        <w:rPr>
          <w:rFonts w:ascii="Arial" w:cs="Arial" w:eastAsia="Arial" w:hAnsi="Arial"/>
          <w:sz w:val="14"/>
          <w:szCs w:val="14"/>
          <w:color w:val="auto"/>
        </w:rPr>
        <w:t>reported commercial construction market increased 6% and the</w:t>
      </w:r>
      <w:r>
        <w:rPr>
          <w:rFonts w:ascii="Arial" w:cs="Arial" w:eastAsia="Arial" w:hAnsi="Arial"/>
          <w:sz w:val="14"/>
          <w:szCs w:val="14"/>
          <w:i w:val="1"/>
          <w:iCs w:val="1"/>
          <w:color w:val="auto"/>
        </w:rPr>
        <w:t xml:space="preserve"> National Association of Home Builders </w:t>
      </w:r>
      <w:r>
        <w:rPr>
          <w:rFonts w:ascii="Arial" w:cs="Arial" w:eastAsia="Arial" w:hAnsi="Arial"/>
          <w:sz w:val="14"/>
          <w:szCs w:val="14"/>
          <w:color w:val="auto"/>
        </w:rPr>
        <w:t>reported industry production of HUD-code homes increased almost 5%.</w:t>
      </w:r>
    </w:p>
    <w:p>
      <w:pPr>
        <w:spacing w:after="0" w:line="151"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 xml:space="preserve">Gross sales to the construction market increased almost 16% in 2017 compared to 2016, due to a unit sales increase of 7% and a 9% increase in selling prices. Unit sales increased due to a 7% increase in units shipped to residential construction customers and a 9% increase in shipments to manufactured housing customers while unit sales to commercial construction customers remained flat. Businesses we acquired in 2017 contributed 1% to unit sales growth. Comparatively, the </w:t>
      </w:r>
      <w:r>
        <w:rPr>
          <w:rFonts w:ascii="Arial" w:cs="Arial" w:eastAsia="Arial" w:hAnsi="Arial"/>
          <w:sz w:val="14"/>
          <w:szCs w:val="14"/>
          <w:i w:val="1"/>
          <w:iCs w:val="1"/>
          <w:color w:val="auto"/>
        </w:rPr>
        <w:t>Mortgage Bankers Association of America</w:t>
      </w:r>
      <w:r>
        <w:rPr>
          <w:rFonts w:ascii="Arial" w:cs="Arial" w:eastAsia="Arial" w:hAnsi="Arial"/>
          <w:sz w:val="14"/>
          <w:szCs w:val="14"/>
          <w:color w:val="auto"/>
        </w:rPr>
        <w:t xml:space="preserve"> reported </w:t>
      </w:r>
      <w:r>
        <w:rPr>
          <w:rFonts w:ascii="Arial" w:cs="Arial" w:eastAsia="Arial" w:hAnsi="Arial"/>
          <w:sz w:val="14"/>
          <w:szCs w:val="14"/>
          <w:i w:val="1"/>
          <w:iCs w:val="1"/>
          <w:color w:val="auto"/>
        </w:rPr>
        <w:t>year</w:t>
      </w:r>
      <w:r>
        <w:rPr>
          <w:rFonts w:ascii="Arial" w:cs="Arial" w:eastAsia="Arial" w:hAnsi="Arial"/>
          <w:sz w:val="14"/>
          <w:szCs w:val="14"/>
          <w:color w:val="auto"/>
        </w:rPr>
        <w:t xml:space="preserve"> over year national housing starts increased 4%, the </w:t>
      </w:r>
      <w:r>
        <w:rPr>
          <w:rFonts w:ascii="Arial" w:cs="Arial" w:eastAsia="Arial" w:hAnsi="Arial"/>
          <w:sz w:val="14"/>
          <w:szCs w:val="14"/>
          <w:i w:val="1"/>
          <w:iCs w:val="1"/>
          <w:color w:val="auto"/>
        </w:rPr>
        <w:t>United States Census Bureau</w:t>
      </w:r>
      <w:r>
        <w:rPr>
          <w:rFonts w:ascii="Arial" w:cs="Arial" w:eastAsia="Arial" w:hAnsi="Arial"/>
          <w:sz w:val="14"/>
          <w:szCs w:val="14"/>
          <w:color w:val="auto"/>
        </w:rPr>
        <w:t xml:space="preserve"> reported commercial construction market increased 3% and the </w:t>
      </w:r>
      <w:r>
        <w:rPr>
          <w:rFonts w:ascii="Arial" w:cs="Arial" w:eastAsia="Arial" w:hAnsi="Arial"/>
          <w:sz w:val="14"/>
          <w:szCs w:val="14"/>
          <w:i w:val="1"/>
          <w:iCs w:val="1"/>
          <w:color w:val="auto"/>
        </w:rPr>
        <w:t>National Association of Home Builders</w:t>
      </w:r>
      <w:r>
        <w:rPr>
          <w:rFonts w:ascii="Arial" w:cs="Arial" w:eastAsia="Arial" w:hAnsi="Arial"/>
          <w:sz w:val="14"/>
          <w:szCs w:val="14"/>
          <w:color w:val="auto"/>
        </w:rPr>
        <w:t xml:space="preserve"> reported industry production of HUD-code homes increased over 15%.</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COST OF GOODS SOLD AND GROSS PROFIT</w:t>
      </w:r>
    </w:p>
    <w:p>
      <w:pPr>
        <w:spacing w:after="0" w:line="183"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 xml:space="preserve">Our gross profit percentage decreased from 13.8% in 2017 to 13.2% in 2018 due, in part, to the high </w:t>
      </w:r>
      <w:r>
        <w:rPr>
          <w:rFonts w:ascii="Arial" w:cs="Arial" w:eastAsia="Arial" w:hAnsi="Arial"/>
          <w:sz w:val="14"/>
          <w:szCs w:val="14"/>
          <w:u w:val="single" w:color="auto"/>
          <w:color w:val="auto"/>
        </w:rPr>
        <w:t>level</w:t>
      </w:r>
      <w:r>
        <w:rPr>
          <w:rFonts w:ascii="Arial" w:cs="Arial" w:eastAsia="Arial" w:hAnsi="Arial"/>
          <w:sz w:val="14"/>
          <w:szCs w:val="14"/>
          <w:color w:val="auto"/>
        </w:rPr>
        <w:t xml:space="preserve"> of lumber prices in 2018. This is evident when comparing our increase in gross profits with our increase in units shipped. Our gross profit</w:t>
      </w: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66675</wp:posOffset>
            </wp:positionV>
            <wp:extent cx="5779135" cy="203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8">
                      <a:extLst>
                        <a:ext uri="{28A0092B-C50C-407E-A947-70E740481C1C}"/>
                      </a:extLst>
                    </a:blip>
                    <a:srcRect/>
                    <a:stretch>
                      <a:fillRect/>
                    </a:stretch>
                  </pic:blipFill>
                  <pic:spPr bwMode="auto">
                    <a:xfrm>
                      <a:off x="0" y="0"/>
                      <a:ext cx="5779135" cy="20320"/>
                    </a:xfrm>
                    <a:prstGeom prst="rect">
                      <a:avLst/>
                    </a:prstGeom>
                    <a:noFill/>
                  </pic:spPr>
                </pic:pic>
              </a:graphicData>
            </a:graphic>
          </wp:anchor>
        </w:drawing>
      </w:r>
    </w:p>
    <w:p>
      <w:pPr>
        <w:sectPr>
          <w:pgSz w:w="11900" w:h="16838" w:orient="portrait"/>
          <w:cols w:equalWidth="0" w:num="1">
            <w:col w:w="9100"/>
          </w:cols>
          <w:pgMar w:left="1400" w:top="129" w:right="1399" w:bottom="1440" w:gutter="0" w:footer="0" w:header="0"/>
        </w:sectPr>
      </w:pPr>
    </w:p>
    <w:bookmarkStart w:id="53" w:name="page54"/>
    <w:bookmarkEnd w:id="53"/>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UNIVERSAL FOREST PRODUCTS,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MANAGEMENT’S DISCUSSION AND ANALYSIS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FINANCIAL CONDITION AND RESULTS OF OPERATIONS</w:t>
      </w:r>
    </w:p>
    <w:p>
      <w:pPr>
        <w:spacing w:after="0" w:line="169" w:lineRule="exact"/>
        <w:rPr>
          <w:sz w:val="20"/>
          <w:szCs w:val="20"/>
          <w:color w:val="auto"/>
        </w:rPr>
      </w:pPr>
    </w:p>
    <w:p>
      <w:pPr>
        <w:spacing w:after="0"/>
        <w:rPr>
          <w:sz w:val="20"/>
          <w:szCs w:val="20"/>
          <w:color w:val="auto"/>
        </w:rPr>
      </w:pPr>
      <w:r>
        <w:rPr>
          <w:rFonts w:ascii="Arial" w:cs="Arial" w:eastAsia="Arial" w:hAnsi="Arial"/>
          <w:sz w:val="13"/>
          <w:szCs w:val="13"/>
          <w:color w:val="auto"/>
        </w:rPr>
        <w:t>dollars increased by over $50 million, or 9.2%, which exceeds our 6.8% increase in unit sales. Our profitability in 2018 was impacted by the following factors:</w:t>
      </w:r>
    </w:p>
    <w:p>
      <w:pPr>
        <w:spacing w:after="0" w:line="190" w:lineRule="exact"/>
        <w:rPr>
          <w:sz w:val="20"/>
          <w:szCs w:val="20"/>
          <w:color w:val="auto"/>
        </w:rPr>
      </w:pPr>
    </w:p>
    <w:p>
      <w:pPr>
        <w:ind w:left="520" w:hanging="261"/>
        <w:spacing w:after="0"/>
        <w:tabs>
          <w:tab w:leader="none" w:pos="5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An $8 million, or 5%, increase in our gross profit on sales to the retail market, primarily driven by a 4% increase in unit sales.</w:t>
      </w:r>
    </w:p>
    <w:p>
      <w:pPr>
        <w:spacing w:after="0" w:line="178" w:lineRule="exact"/>
        <w:rPr>
          <w:rFonts w:ascii="Arial" w:cs="Arial" w:eastAsia="Arial" w:hAnsi="Arial"/>
          <w:sz w:val="14"/>
          <w:szCs w:val="14"/>
          <w:color w:val="auto"/>
        </w:rPr>
      </w:pPr>
    </w:p>
    <w:p>
      <w:pPr>
        <w:jc w:val="both"/>
        <w:ind w:left="520" w:hanging="261"/>
        <w:spacing w:after="0" w:line="267" w:lineRule="auto"/>
        <w:tabs>
          <w:tab w:leader="none" w:pos="5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A $27 million, or 13%, increase in our gross profit on sales to the industrial market, primarily driven by a 10% increase in unit sales as well as favorable changes in product mix and a decline in lumber prices in the last six months of 2018. Most products sold to this market have fixed selling prices for a period of time.</w:t>
      </w:r>
    </w:p>
    <w:p>
      <w:pPr>
        <w:spacing w:after="0" w:line="142" w:lineRule="exact"/>
        <w:rPr>
          <w:rFonts w:ascii="Arial" w:cs="Arial" w:eastAsia="Arial" w:hAnsi="Arial"/>
          <w:sz w:val="14"/>
          <w:szCs w:val="14"/>
          <w:color w:val="auto"/>
        </w:rPr>
      </w:pPr>
    </w:p>
    <w:p>
      <w:pPr>
        <w:ind w:left="520" w:hanging="261"/>
        <w:spacing w:after="0" w:line="281" w:lineRule="auto"/>
        <w:tabs>
          <w:tab w:leader="none" w:pos="5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A $24 million, or 15%, increase in gross profit on sales to the construction market, primarily driven by unit growth and a decline in lumber prices in the last six months of 2018. Acquired businesses contributed $1 million of this gross profit increase.</w:t>
      </w:r>
    </w:p>
    <w:p>
      <w:pPr>
        <w:spacing w:after="0" w:line="132" w:lineRule="exact"/>
        <w:rPr>
          <w:rFonts w:ascii="Arial" w:cs="Arial" w:eastAsia="Arial" w:hAnsi="Arial"/>
          <w:sz w:val="14"/>
          <w:szCs w:val="14"/>
          <w:color w:val="auto"/>
        </w:rPr>
      </w:pPr>
    </w:p>
    <w:p>
      <w:pPr>
        <w:ind w:left="520" w:hanging="261"/>
        <w:spacing w:after="0" w:line="281" w:lineRule="auto"/>
        <w:tabs>
          <w:tab w:leader="none" w:pos="5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The remaining $9 million decrease in our gross profit was due to a variety of factors including unfavorable labor and overhead cost variances in certain areas of our business and an increase in customer rebates compared to 2017.</w:t>
      </w:r>
    </w:p>
    <w:p>
      <w:pPr>
        <w:spacing w:after="0" w:line="133"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 xml:space="preserve">Our gross profit percentage decreased from 14.6% in 2016 to 13.8% in 2017 due, in part, to the high </w:t>
      </w:r>
      <w:r>
        <w:rPr>
          <w:rFonts w:ascii="Arial" w:cs="Arial" w:eastAsia="Arial" w:hAnsi="Arial"/>
          <w:sz w:val="14"/>
          <w:szCs w:val="14"/>
          <w:u w:val="single" w:color="auto"/>
          <w:color w:val="auto"/>
        </w:rPr>
        <w:t>level</w:t>
      </w:r>
      <w:r>
        <w:rPr>
          <w:rFonts w:ascii="Arial" w:cs="Arial" w:eastAsia="Arial" w:hAnsi="Arial"/>
          <w:sz w:val="14"/>
          <w:szCs w:val="14"/>
          <w:color w:val="auto"/>
        </w:rPr>
        <w:t xml:space="preserve"> of lumber prices. This is evident when comparing our increase in gross profits with our increase in units shipped. Our gross profit dollars increased by over $68 million, or 14%, which is slightly below our 15% increase in unit sales. Our profitability in 2017 was impacted by the following factors:</w:t>
      </w:r>
    </w:p>
    <w:p>
      <w:pPr>
        <w:spacing w:after="0" w:line="142" w:lineRule="exact"/>
        <w:rPr>
          <w:sz w:val="20"/>
          <w:szCs w:val="20"/>
          <w:color w:val="auto"/>
        </w:rPr>
      </w:pPr>
    </w:p>
    <w:p>
      <w:pPr>
        <w:jc w:val="both"/>
        <w:ind w:left="520" w:right="20" w:hanging="261"/>
        <w:spacing w:after="0" w:line="262" w:lineRule="auto"/>
        <w:tabs>
          <w:tab w:leader="none" w:pos="5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An $8 million, or 5%, increase in our gross profit on sales to the retail market, was primarily driven by a 10% increase in unit sales to that market. Businesses we acquired in 2017 contributed $1.6 million of our gross profit increase. Our increase in gross profit was less than our increase in unit sales as a result of adverse changes in lumber prices, particularly in the second quarter which is our primary selling season, and the acquisition of Robbins in the first quarter of 2017, which primarily sells lower margin treated lumber products.</w:t>
      </w:r>
    </w:p>
    <w:p>
      <w:pPr>
        <w:spacing w:after="0" w:line="146" w:lineRule="exact"/>
        <w:rPr>
          <w:rFonts w:ascii="Arial" w:cs="Arial" w:eastAsia="Arial" w:hAnsi="Arial"/>
          <w:sz w:val="14"/>
          <w:szCs w:val="14"/>
          <w:color w:val="auto"/>
        </w:rPr>
      </w:pPr>
    </w:p>
    <w:p>
      <w:pPr>
        <w:jc w:val="both"/>
        <w:ind w:left="520" w:right="20" w:hanging="261"/>
        <w:spacing w:after="0" w:line="267" w:lineRule="auto"/>
        <w:tabs>
          <w:tab w:leader="none" w:pos="5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Our 30% growth in unit sales to the industrial market resulted in a $34 million, or 20%, increase in our gross profit, which was due primarily to businesses we acquired in 2017 and 2016. Our increase in gross profit was less than our increase in unit sales primarily due to the impact of higher lumber prices on our products sold with fixed selling prices during part of the year.</w:t>
      </w:r>
    </w:p>
    <w:p>
      <w:pPr>
        <w:spacing w:after="0" w:line="142" w:lineRule="exact"/>
        <w:rPr>
          <w:rFonts w:ascii="Arial" w:cs="Arial" w:eastAsia="Arial" w:hAnsi="Arial"/>
          <w:sz w:val="14"/>
          <w:szCs w:val="14"/>
          <w:color w:val="auto"/>
        </w:rPr>
      </w:pPr>
    </w:p>
    <w:p>
      <w:pPr>
        <w:jc w:val="both"/>
        <w:ind w:left="520" w:hanging="261"/>
        <w:spacing w:after="0" w:line="297" w:lineRule="auto"/>
        <w:tabs>
          <w:tab w:leader="none" w:pos="520" w:val="left"/>
        </w:tabs>
        <w:numPr>
          <w:ilvl w:val="0"/>
          <w:numId w:val="27"/>
        </w:numPr>
        <w:rPr>
          <w:rFonts w:ascii="Arial" w:cs="Arial" w:eastAsia="Arial" w:hAnsi="Arial"/>
          <w:sz w:val="13"/>
          <w:szCs w:val="13"/>
          <w:color w:val="auto"/>
        </w:rPr>
      </w:pPr>
      <w:r>
        <w:rPr>
          <w:rFonts w:ascii="Arial" w:cs="Arial" w:eastAsia="Arial" w:hAnsi="Arial"/>
          <w:sz w:val="13"/>
          <w:szCs w:val="13"/>
          <w:color w:val="auto"/>
        </w:rPr>
        <w:t>Almost $13 million, or 9%, of our gross profit improvement was primarily due to 7% unit sales growth on sales to the construction market. Our gross profit increase exceeded our increase in unit sales primarily due to leveraging our fixed manufacturing costs, which helped offset the impact of higher lumber prices on products sold with fixed selling prices during part of the year and higher labor rates and benefit costs.</w:t>
      </w:r>
    </w:p>
    <w:p>
      <w:pPr>
        <w:spacing w:after="0" w:line="124" w:lineRule="exact"/>
        <w:rPr>
          <w:rFonts w:ascii="Arial" w:cs="Arial" w:eastAsia="Arial" w:hAnsi="Arial"/>
          <w:sz w:val="13"/>
          <w:szCs w:val="13"/>
          <w:color w:val="auto"/>
        </w:rPr>
      </w:pPr>
    </w:p>
    <w:p>
      <w:pPr>
        <w:ind w:left="520" w:hanging="261"/>
        <w:spacing w:after="0" w:line="281" w:lineRule="auto"/>
        <w:tabs>
          <w:tab w:leader="none" w:pos="5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The remaining $13 million increase in our gross profit was due to a variety of factors including favorable labor and overhead cost variances in certain areas of our business, increases in vendor rebates, and a decrease in customer rebates compared to 2016.</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SELLING, GENERAL, AND ADMINISTRATIVE EXPENSES</w:t>
      </w:r>
    </w:p>
    <w:p>
      <w:pPr>
        <w:spacing w:after="0" w:line="183" w:lineRule="exact"/>
        <w:rPr>
          <w:sz w:val="20"/>
          <w:szCs w:val="20"/>
          <w:color w:val="auto"/>
        </w:rPr>
      </w:pPr>
    </w:p>
    <w:p>
      <w:pPr>
        <w:jc w:val="both"/>
        <w:spacing w:after="0" w:line="332" w:lineRule="auto"/>
        <w:rPr>
          <w:sz w:val="20"/>
          <w:szCs w:val="20"/>
          <w:color w:val="auto"/>
        </w:rPr>
      </w:pPr>
      <w:r>
        <w:rPr>
          <w:rFonts w:ascii="Arial" w:cs="Arial" w:eastAsia="Arial" w:hAnsi="Arial"/>
          <w:sz w:val="12"/>
          <w:szCs w:val="12"/>
          <w:color w:val="auto"/>
        </w:rPr>
        <w:t>Selling, general and administrative ("SG&amp;A") expenses increased by approximately $30.0 million, or 8.3%, in 2018 compared to 2017, while we reported a 7% increase in unit sales. Acquired businesses contributed $8.3 million to our increase. The remaining increase in SG&amp;A was primarily due to an $11.4 million increase in compensation and benefit costs resulting from annual raises, healthcare cost increases, and hiring additional personnel to support sales growth, and</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66675</wp:posOffset>
            </wp:positionV>
            <wp:extent cx="5779135" cy="203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9">
                      <a:extLst>
                        <a:ext uri="{28A0092B-C50C-407E-A947-70E740481C1C}"/>
                      </a:extLst>
                    </a:blip>
                    <a:srcRect/>
                    <a:stretch>
                      <a:fillRect/>
                    </a:stretch>
                  </pic:blipFill>
                  <pic:spPr bwMode="auto">
                    <a:xfrm>
                      <a:off x="0" y="0"/>
                      <a:ext cx="5779135" cy="20320"/>
                    </a:xfrm>
                    <a:prstGeom prst="rect">
                      <a:avLst/>
                    </a:prstGeom>
                    <a:noFill/>
                  </pic:spPr>
                </pic:pic>
              </a:graphicData>
            </a:graphic>
          </wp:anchor>
        </w:drawing>
      </w:r>
    </w:p>
    <w:p>
      <w:pPr>
        <w:sectPr>
          <w:pgSz w:w="11900" w:h="16838" w:orient="portrait"/>
          <w:cols w:equalWidth="0" w:num="1">
            <w:col w:w="9100"/>
          </w:cols>
          <w:pgMar w:left="1400" w:top="129" w:right="1399" w:bottom="1440" w:gutter="0" w:footer="0" w:header="0"/>
        </w:sectPr>
      </w:pPr>
    </w:p>
    <w:bookmarkStart w:id="54" w:name="page55"/>
    <w:bookmarkEnd w:id="54"/>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UNIVERSAL FOREST PRODUCTS,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MANAGEMENT’S DISCUSSION AND ANALYSIS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FINANCIAL CONDITION AND RESULTS OF OPERATIONS</w:t>
      </w:r>
    </w:p>
    <w:p>
      <w:pPr>
        <w:spacing w:after="0" w:line="169"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a $6.1 million increase in sales and other incentive compensation. Finally, our annual bonus expense increased by $4 million to almost $48 million in 2018 compared to last year. Our annual bonus expense is tied to operating profits and return on investment.</w:t>
      </w:r>
    </w:p>
    <w:p>
      <w:pPr>
        <w:spacing w:after="0" w:line="133" w:lineRule="exact"/>
        <w:rPr>
          <w:sz w:val="20"/>
          <w:szCs w:val="20"/>
          <w:color w:val="auto"/>
        </w:rPr>
      </w:pPr>
    </w:p>
    <w:p>
      <w:pPr>
        <w:jc w:val="both"/>
        <w:spacing w:after="0" w:line="285" w:lineRule="auto"/>
        <w:rPr>
          <w:sz w:val="20"/>
          <w:szCs w:val="20"/>
          <w:color w:val="auto"/>
        </w:rPr>
      </w:pPr>
      <w:r>
        <w:rPr>
          <w:rFonts w:ascii="Arial" w:cs="Arial" w:eastAsia="Arial" w:hAnsi="Arial"/>
          <w:sz w:val="13"/>
          <w:szCs w:val="13"/>
          <w:color w:val="auto"/>
        </w:rPr>
        <w:t>Selling, general and administrative ("SG&amp;A") expenses increased by approximately $52.1 million, or 16.7%, in 2017 compared to 2016, while we reported a 15% increase in unit sales. Acquired businesses contributed $41.0 million to our increase. The remaining increase in SG&amp;A was primarily due to an $11.1 million increase in compensation and related costs resulting from annual raises, greater benefit costs, and hiring additional personnel to support sales growth. Finally, our annual bonus expense was almost $44 million compared to $45 million in 2016. This decrease, in spite of an increase in profits, was due to a decline in our return on investment, a key performance metric for determining the annual bonus amount.</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INTEREST, NET</w:t>
      </w:r>
    </w:p>
    <w:p>
      <w:pPr>
        <w:spacing w:after="0" w:line="172"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Net interest costs were higher in 2018 compared to 2017, due to a higher outstanding balance on our revolving line of credit throughout 2018, an increase in variable borrowing rates, and issuance of additional long-term Senior Notes under our shelf facility at an average rate of 4.23%.</w:t>
      </w:r>
    </w:p>
    <w:p>
      <w:pPr>
        <w:spacing w:after="0" w:line="111"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Net interest costs were higher in 2017 compared to 2016, due to a higher outstanding balance on our revolving line of credit throughout 2017 as well as an increase in the borrowing rate on our revolving credit facility which is tied to LIBOR.</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INCOME TAXES</w:t>
      </w:r>
    </w:p>
    <w:p>
      <w:pPr>
        <w:spacing w:after="0" w:line="172"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Effective tax rates differ from statutory federal income tax rates, primarily due to provisions for state and local income taxes, permanent tax differences, and the impact of the Tax Act in the U.S. Our effective tax rate decreased to 23.0% in 2018 compared to 29.5% in 2017. The decrease in the 2018 effective tax rate was primarily due to the impact of the Tax Act, which reduced the statutory federal income tax rate from 35% to 21%.</w:t>
      </w:r>
    </w:p>
    <w:p>
      <w:pPr>
        <w:spacing w:after="0" w:line="110"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Our effective tax rate decreased to 29.5% in 2017 compared to 34.3% in 2016. The decrease in the 2017 tax rate was primarily due to the impact of the Tax Act, which resulted in a $6.4 million reduction in our net deferred tax liability at the end of December 2017. The remaining decrease was due to increases in tax credits and permanent tax differences.</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SEGMENT REPORTING</w:t>
      </w:r>
    </w:p>
    <w:p>
      <w:pPr>
        <w:spacing w:after="0" w:line="151"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tables present, for the periods indicated, our net sales and earnings from operations by reportable segment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275"/>
              <w:spacing w:after="0"/>
              <w:rPr>
                <w:sz w:val="20"/>
                <w:szCs w:val="20"/>
                <w:color w:val="auto"/>
              </w:rPr>
            </w:pPr>
            <w:r>
              <w:rPr>
                <w:rFonts w:ascii="Arial" w:cs="Arial" w:eastAsia="Arial" w:hAnsi="Arial"/>
                <w:sz w:val="11"/>
                <w:szCs w:val="11"/>
                <w:b w:val="1"/>
                <w:bCs w:val="1"/>
                <w:color w:val="auto"/>
              </w:rPr>
              <w:t>Net Sales</w:t>
            </w:r>
          </w:p>
        </w:tc>
        <w:tc>
          <w:tcPr>
            <w:tcW w:w="8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2500" w:type="dxa"/>
            <w:vAlign w:val="bottom"/>
          </w:tcPr>
          <w:p>
            <w:pPr>
              <w:spacing w:after="0"/>
              <w:rPr>
                <w:sz w:val="8"/>
                <w:szCs w:val="8"/>
                <w:color w:val="auto"/>
              </w:rPr>
            </w:pPr>
          </w:p>
        </w:tc>
        <w:tc>
          <w:tcPr>
            <w:tcW w:w="2540" w:type="dxa"/>
            <w:vAlign w:val="bottom"/>
          </w:tcPr>
          <w:p>
            <w:pPr>
              <w:spacing w:after="0"/>
              <w:rPr>
                <w:sz w:val="8"/>
                <w:szCs w:val="8"/>
                <w:color w:val="auto"/>
              </w:rPr>
            </w:pPr>
          </w:p>
        </w:tc>
        <w:tc>
          <w:tcPr>
            <w:tcW w:w="760" w:type="dxa"/>
            <w:vAlign w:val="bottom"/>
          </w:tcPr>
          <w:p>
            <w:pPr>
              <w:jc w:val="right"/>
              <w:ind w:right="14"/>
              <w:spacing w:after="0" w:line="100" w:lineRule="exact"/>
              <w:rPr>
                <w:sz w:val="20"/>
                <w:szCs w:val="20"/>
                <w:color w:val="auto"/>
              </w:rPr>
            </w:pPr>
            <w:r>
              <w:rPr>
                <w:rFonts w:ascii="Arial" w:cs="Arial" w:eastAsia="Arial" w:hAnsi="Arial"/>
                <w:sz w:val="11"/>
                <w:szCs w:val="11"/>
                <w:b w:val="1"/>
                <w:bCs w:val="1"/>
                <w:color w:val="auto"/>
                <w:w w:val="92"/>
              </w:rPr>
              <w:t>December 29,</w:t>
            </w:r>
          </w:p>
        </w:tc>
        <w:tc>
          <w:tcPr>
            <w:tcW w:w="860" w:type="dxa"/>
            <w:vAlign w:val="bottom"/>
          </w:tcPr>
          <w:p>
            <w:pPr>
              <w:jc w:val="right"/>
              <w:ind w:right="13"/>
              <w:spacing w:after="0" w:line="100" w:lineRule="exact"/>
              <w:rPr>
                <w:sz w:val="20"/>
                <w:szCs w:val="20"/>
                <w:color w:val="auto"/>
              </w:rPr>
            </w:pPr>
            <w:r>
              <w:rPr>
                <w:rFonts w:ascii="Arial" w:cs="Arial" w:eastAsia="Arial" w:hAnsi="Arial"/>
                <w:sz w:val="11"/>
                <w:szCs w:val="11"/>
                <w:b w:val="1"/>
                <w:bCs w:val="1"/>
                <w:color w:val="auto"/>
              </w:rPr>
              <w:t>December 30,</w:t>
            </w:r>
          </w:p>
        </w:tc>
        <w:tc>
          <w:tcPr>
            <w:tcW w:w="880" w:type="dxa"/>
            <w:vAlign w:val="bottom"/>
          </w:tcPr>
          <w:p>
            <w:pPr>
              <w:jc w:val="right"/>
              <w:ind w:right="35"/>
              <w:spacing w:after="0" w:line="100" w:lineRule="exact"/>
              <w:rPr>
                <w:sz w:val="20"/>
                <w:szCs w:val="20"/>
                <w:color w:val="auto"/>
              </w:rPr>
            </w:pPr>
            <w:r>
              <w:rPr>
                <w:rFonts w:ascii="Arial" w:cs="Arial" w:eastAsia="Arial" w:hAnsi="Arial"/>
                <w:sz w:val="11"/>
                <w:szCs w:val="11"/>
                <w:b w:val="1"/>
                <w:bCs w:val="1"/>
                <w:color w:val="auto"/>
              </w:rPr>
              <w:t>December 31,</w:t>
            </w:r>
          </w:p>
        </w:tc>
        <w:tc>
          <w:tcPr>
            <w:tcW w:w="800" w:type="dxa"/>
            <w:vAlign w:val="bottom"/>
          </w:tcPr>
          <w:p>
            <w:pPr>
              <w:jc w:val="center"/>
              <w:ind w:right="15"/>
              <w:spacing w:after="0" w:line="100" w:lineRule="exact"/>
              <w:rPr>
                <w:sz w:val="20"/>
                <w:szCs w:val="20"/>
                <w:color w:val="auto"/>
              </w:rPr>
            </w:pPr>
            <w:r>
              <w:rPr>
                <w:rFonts w:ascii="Arial" w:cs="Arial" w:eastAsia="Arial" w:hAnsi="Arial"/>
                <w:sz w:val="11"/>
                <w:szCs w:val="11"/>
                <w:b w:val="1"/>
                <w:bCs w:val="1"/>
                <w:color w:val="auto"/>
                <w:w w:val="97"/>
              </w:rPr>
              <w:t>% Change</w:t>
            </w:r>
          </w:p>
        </w:tc>
        <w:tc>
          <w:tcPr>
            <w:tcW w:w="600" w:type="dxa"/>
            <w:vAlign w:val="bottom"/>
          </w:tcPr>
          <w:p>
            <w:pPr>
              <w:jc w:val="center"/>
              <w:spacing w:after="0" w:line="100" w:lineRule="exact"/>
              <w:rPr>
                <w:sz w:val="20"/>
                <w:szCs w:val="20"/>
                <w:color w:val="auto"/>
              </w:rPr>
            </w:pPr>
            <w:r>
              <w:rPr>
                <w:rFonts w:ascii="Arial" w:cs="Arial" w:eastAsia="Arial" w:hAnsi="Arial"/>
                <w:sz w:val="11"/>
                <w:szCs w:val="11"/>
                <w:b w:val="1"/>
                <w:bCs w:val="1"/>
                <w:color w:val="auto"/>
                <w:w w:val="93"/>
              </w:rPr>
              <w:t>% Change</w:t>
            </w: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3300" w:type="dxa"/>
            <w:vAlign w:val="bottom"/>
            <w:gridSpan w:val="2"/>
            <w:vMerge w:val="restart"/>
          </w:tcPr>
          <w:p>
            <w:pPr>
              <w:jc w:val="right"/>
              <w:ind w:right="234"/>
              <w:spacing w:after="0"/>
              <w:rPr>
                <w:sz w:val="20"/>
                <w:szCs w:val="20"/>
                <w:color w:val="auto"/>
              </w:rPr>
            </w:pPr>
            <w:r>
              <w:rPr>
                <w:rFonts w:ascii="Arial" w:cs="Arial" w:eastAsia="Arial" w:hAnsi="Arial"/>
                <w:sz w:val="11"/>
                <w:szCs w:val="11"/>
                <w:b w:val="1"/>
                <w:bCs w:val="1"/>
                <w:color w:val="auto"/>
              </w:rPr>
              <w:t>2018</w:t>
            </w:r>
          </w:p>
        </w:tc>
        <w:tc>
          <w:tcPr>
            <w:tcW w:w="860" w:type="dxa"/>
            <w:vAlign w:val="bottom"/>
            <w:vMerge w:val="restart"/>
          </w:tcPr>
          <w:p>
            <w:pPr>
              <w:jc w:val="right"/>
              <w:ind w:right="233"/>
              <w:spacing w:after="0"/>
              <w:rPr>
                <w:sz w:val="20"/>
                <w:szCs w:val="20"/>
                <w:color w:val="auto"/>
              </w:rPr>
            </w:pPr>
            <w:r>
              <w:rPr>
                <w:rFonts w:ascii="Arial" w:cs="Arial" w:eastAsia="Arial" w:hAnsi="Arial"/>
                <w:sz w:val="11"/>
                <w:szCs w:val="11"/>
                <w:b w:val="1"/>
                <w:bCs w:val="1"/>
                <w:color w:val="auto"/>
              </w:rPr>
              <w:t>2017</w:t>
            </w:r>
          </w:p>
        </w:tc>
        <w:tc>
          <w:tcPr>
            <w:tcW w:w="880" w:type="dxa"/>
            <w:vAlign w:val="bottom"/>
            <w:vMerge w:val="restart"/>
          </w:tcPr>
          <w:p>
            <w:pPr>
              <w:jc w:val="right"/>
              <w:ind w:right="255"/>
              <w:spacing w:after="0"/>
              <w:rPr>
                <w:sz w:val="20"/>
                <w:szCs w:val="20"/>
                <w:color w:val="auto"/>
              </w:rPr>
            </w:pPr>
            <w:r>
              <w:rPr>
                <w:rFonts w:ascii="Arial" w:cs="Arial" w:eastAsia="Arial" w:hAnsi="Arial"/>
                <w:sz w:val="11"/>
                <w:szCs w:val="11"/>
                <w:b w:val="1"/>
                <w:bCs w:val="1"/>
                <w:color w:val="auto"/>
              </w:rPr>
              <w:t>2016</w:t>
            </w:r>
          </w:p>
        </w:tc>
        <w:tc>
          <w:tcPr>
            <w:tcW w:w="800" w:type="dxa"/>
            <w:vAlign w:val="bottom"/>
          </w:tcPr>
          <w:p>
            <w:pPr>
              <w:jc w:val="center"/>
              <w:ind w:right="15"/>
              <w:spacing w:after="0" w:line="117" w:lineRule="exact"/>
              <w:rPr>
                <w:sz w:val="20"/>
                <w:szCs w:val="20"/>
                <w:color w:val="auto"/>
              </w:rPr>
            </w:pPr>
            <w:r>
              <w:rPr>
                <w:rFonts w:ascii="Arial" w:cs="Arial" w:eastAsia="Arial" w:hAnsi="Arial"/>
                <w:sz w:val="11"/>
                <w:szCs w:val="11"/>
                <w:b w:val="1"/>
                <w:bCs w:val="1"/>
                <w:color w:val="auto"/>
                <w:w w:val="90"/>
              </w:rPr>
              <w:t>2018 vs</w:t>
            </w:r>
          </w:p>
        </w:tc>
        <w:tc>
          <w:tcPr>
            <w:tcW w:w="740" w:type="dxa"/>
            <w:vAlign w:val="bottom"/>
            <w:gridSpan w:val="2"/>
          </w:tcPr>
          <w:p>
            <w:pPr>
              <w:jc w:val="center"/>
              <w:ind w:right="59"/>
              <w:spacing w:after="0" w:line="117" w:lineRule="exact"/>
              <w:rPr>
                <w:sz w:val="20"/>
                <w:szCs w:val="20"/>
                <w:color w:val="auto"/>
              </w:rPr>
            </w:pPr>
            <w:r>
              <w:rPr>
                <w:rFonts w:ascii="Arial" w:cs="Arial" w:eastAsia="Arial" w:hAnsi="Arial"/>
                <w:sz w:val="11"/>
                <w:szCs w:val="11"/>
                <w:b w:val="1"/>
                <w:bCs w:val="1"/>
                <w:color w:val="auto"/>
                <w:w w:val="85"/>
              </w:rPr>
              <w:t>2017 vs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3300" w:type="dxa"/>
            <w:vAlign w:val="bottom"/>
            <w:gridSpan w:val="2"/>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800" w:type="dxa"/>
            <w:vAlign w:val="bottom"/>
          </w:tcPr>
          <w:p>
            <w:pPr>
              <w:jc w:val="center"/>
              <w:ind w:right="35"/>
              <w:spacing w:after="0"/>
              <w:rPr>
                <w:sz w:val="20"/>
                <w:szCs w:val="20"/>
                <w:color w:val="auto"/>
              </w:rPr>
            </w:pPr>
            <w:r>
              <w:rPr>
                <w:rFonts w:ascii="Arial" w:cs="Arial" w:eastAsia="Arial" w:hAnsi="Arial"/>
                <w:sz w:val="11"/>
                <w:szCs w:val="11"/>
                <w:b w:val="1"/>
                <w:bCs w:val="1"/>
                <w:color w:val="auto"/>
                <w:w w:val="89"/>
              </w:rPr>
              <w:t>2017</w:t>
            </w:r>
          </w:p>
        </w:tc>
        <w:tc>
          <w:tcPr>
            <w:tcW w:w="600" w:type="dxa"/>
            <w:vAlign w:val="bottom"/>
          </w:tcPr>
          <w:p>
            <w:pPr>
              <w:jc w:val="center"/>
              <w:spacing w:after="0"/>
              <w:rPr>
                <w:sz w:val="20"/>
                <w:szCs w:val="20"/>
                <w:color w:val="auto"/>
              </w:rPr>
            </w:pPr>
            <w:r>
              <w:rPr>
                <w:rFonts w:ascii="Arial" w:cs="Arial" w:eastAsia="Arial" w:hAnsi="Arial"/>
                <w:sz w:val="11"/>
                <w:szCs w:val="11"/>
                <w:b w:val="1"/>
                <w:bCs w:val="1"/>
                <w:color w:val="auto"/>
                <w:w w:val="89"/>
              </w:rPr>
              <w:t>2016</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color w:val="auto"/>
              </w:rPr>
              <w:t>North</w:t>
            </w:r>
          </w:p>
        </w:tc>
        <w:tc>
          <w:tcPr>
            <w:tcW w:w="2540" w:type="dxa"/>
            <w:vAlign w:val="bottom"/>
            <w:tcBorders>
              <w:top w:val="single" w:sz="8" w:color="CCEEFF"/>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14"/>
                <w:szCs w:val="14"/>
                <w:color w:val="auto"/>
                <w:w w:val="86"/>
              </w:rPr>
              <w:t>$ 1,279,459</w:t>
            </w:r>
          </w:p>
        </w:tc>
        <w:tc>
          <w:tcPr>
            <w:tcW w:w="860" w:type="dxa"/>
            <w:vAlign w:val="bottom"/>
            <w:tcBorders>
              <w:top w:val="single" w:sz="8" w:color="auto"/>
            </w:tcBorders>
            <w:shd w:val="clear" w:color="auto" w:fill="CCEEFF"/>
          </w:tcPr>
          <w:p>
            <w:pPr>
              <w:jc w:val="right"/>
              <w:ind w:right="33"/>
              <w:spacing w:after="0"/>
              <w:rPr>
                <w:sz w:val="20"/>
                <w:szCs w:val="20"/>
                <w:color w:val="auto"/>
              </w:rPr>
            </w:pPr>
            <w:r>
              <w:rPr>
                <w:rFonts w:ascii="Arial" w:cs="Arial" w:eastAsia="Arial" w:hAnsi="Arial"/>
                <w:sz w:val="14"/>
                <w:szCs w:val="14"/>
                <w:color w:val="auto"/>
              </w:rPr>
              <w:t>$ 1,133,656</w:t>
            </w:r>
          </w:p>
        </w:tc>
        <w:tc>
          <w:tcPr>
            <w:tcW w:w="880" w:type="dxa"/>
            <w:vAlign w:val="bottom"/>
            <w:tcBorders>
              <w:top w:val="single" w:sz="8" w:color="auto"/>
            </w:tcBorders>
            <w:shd w:val="clear" w:color="auto" w:fill="CCEEFF"/>
          </w:tcPr>
          <w:p>
            <w:pPr>
              <w:jc w:val="right"/>
              <w:ind w:right="55"/>
              <w:spacing w:after="0"/>
              <w:rPr>
                <w:sz w:val="20"/>
                <w:szCs w:val="20"/>
                <w:color w:val="auto"/>
              </w:rPr>
            </w:pPr>
            <w:r>
              <w:rPr>
                <w:rFonts w:ascii="Arial" w:cs="Arial" w:eastAsia="Arial" w:hAnsi="Arial"/>
                <w:sz w:val="14"/>
                <w:szCs w:val="14"/>
                <w:color w:val="auto"/>
              </w:rPr>
              <w:t>$ 1,000,426</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12.9 %</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13.3</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w w:val="74"/>
              </w:rPr>
              <w:t>%</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500" w:type="dxa"/>
            <w:vAlign w:val="bottom"/>
          </w:tcPr>
          <w:p>
            <w:pPr>
              <w:spacing w:after="0"/>
              <w:rPr>
                <w:sz w:val="20"/>
                <w:szCs w:val="20"/>
                <w:color w:val="auto"/>
              </w:rPr>
            </w:pPr>
            <w:r>
              <w:rPr>
                <w:rFonts w:ascii="Arial" w:cs="Arial" w:eastAsia="Arial" w:hAnsi="Arial"/>
                <w:sz w:val="14"/>
                <w:szCs w:val="14"/>
                <w:color w:val="auto"/>
              </w:rPr>
              <w:t>South</w:t>
            </w:r>
          </w:p>
        </w:tc>
        <w:tc>
          <w:tcPr>
            <w:tcW w:w="3300" w:type="dxa"/>
            <w:vAlign w:val="bottom"/>
            <w:gridSpan w:val="2"/>
          </w:tcPr>
          <w:p>
            <w:pPr>
              <w:jc w:val="right"/>
              <w:ind w:right="34"/>
              <w:spacing w:after="0"/>
              <w:rPr>
                <w:sz w:val="20"/>
                <w:szCs w:val="20"/>
                <w:color w:val="auto"/>
              </w:rPr>
            </w:pPr>
            <w:r>
              <w:rPr>
                <w:rFonts w:ascii="Arial" w:cs="Arial" w:eastAsia="Arial" w:hAnsi="Arial"/>
                <w:sz w:val="14"/>
                <w:szCs w:val="14"/>
                <w:color w:val="auto"/>
              </w:rPr>
              <w:t>1,024,747</w:t>
            </w:r>
          </w:p>
        </w:tc>
        <w:tc>
          <w:tcPr>
            <w:tcW w:w="860" w:type="dxa"/>
            <w:vAlign w:val="bottom"/>
          </w:tcPr>
          <w:p>
            <w:pPr>
              <w:jc w:val="right"/>
              <w:ind w:right="33"/>
              <w:spacing w:after="0"/>
              <w:rPr>
                <w:sz w:val="20"/>
                <w:szCs w:val="20"/>
                <w:color w:val="auto"/>
              </w:rPr>
            </w:pPr>
            <w:r>
              <w:rPr>
                <w:rFonts w:ascii="Arial" w:cs="Arial" w:eastAsia="Arial" w:hAnsi="Arial"/>
                <w:sz w:val="14"/>
                <w:szCs w:val="14"/>
                <w:color w:val="auto"/>
              </w:rPr>
              <w:t>837,370</w:t>
            </w:r>
          </w:p>
        </w:tc>
        <w:tc>
          <w:tcPr>
            <w:tcW w:w="880" w:type="dxa"/>
            <w:vAlign w:val="bottom"/>
          </w:tcPr>
          <w:p>
            <w:pPr>
              <w:jc w:val="right"/>
              <w:ind w:right="55"/>
              <w:spacing w:after="0"/>
              <w:rPr>
                <w:sz w:val="20"/>
                <w:szCs w:val="20"/>
                <w:color w:val="auto"/>
              </w:rPr>
            </w:pPr>
            <w:r>
              <w:rPr>
                <w:rFonts w:ascii="Arial" w:cs="Arial" w:eastAsia="Arial" w:hAnsi="Arial"/>
                <w:sz w:val="14"/>
                <w:szCs w:val="14"/>
                <w:color w:val="auto"/>
              </w:rPr>
              <w:t>711,862</w:t>
            </w:r>
          </w:p>
        </w:tc>
        <w:tc>
          <w:tcPr>
            <w:tcW w:w="800" w:type="dxa"/>
            <w:vAlign w:val="bottom"/>
          </w:tcPr>
          <w:p>
            <w:pPr>
              <w:jc w:val="right"/>
              <w:ind w:right="135"/>
              <w:spacing w:after="0"/>
              <w:rPr>
                <w:sz w:val="20"/>
                <w:szCs w:val="20"/>
                <w:color w:val="auto"/>
              </w:rPr>
            </w:pPr>
            <w:r>
              <w:rPr>
                <w:rFonts w:ascii="Arial" w:cs="Arial" w:eastAsia="Arial" w:hAnsi="Arial"/>
                <w:sz w:val="14"/>
                <w:szCs w:val="14"/>
                <w:color w:val="auto"/>
              </w:rPr>
              <w:t>22.4</w:t>
            </w:r>
          </w:p>
        </w:tc>
        <w:tc>
          <w:tcPr>
            <w:tcW w:w="600" w:type="dxa"/>
            <w:vAlign w:val="bottom"/>
          </w:tcPr>
          <w:p>
            <w:pPr>
              <w:jc w:val="right"/>
              <w:spacing w:after="0"/>
              <w:rPr>
                <w:sz w:val="20"/>
                <w:szCs w:val="20"/>
                <w:color w:val="auto"/>
              </w:rPr>
            </w:pPr>
            <w:r>
              <w:rPr>
                <w:rFonts w:ascii="Arial" w:cs="Arial" w:eastAsia="Arial" w:hAnsi="Arial"/>
                <w:sz w:val="14"/>
                <w:szCs w:val="14"/>
                <w:color w:val="auto"/>
              </w:rPr>
              <w:t>17.6</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4"/>
                <w:szCs w:val="14"/>
                <w:color w:val="auto"/>
              </w:rPr>
              <w:t>West</w:t>
            </w:r>
          </w:p>
        </w:tc>
        <w:tc>
          <w:tcPr>
            <w:tcW w:w="3300" w:type="dxa"/>
            <w:vAlign w:val="bottom"/>
            <w:gridSpan w:val="2"/>
            <w:shd w:val="clear" w:color="auto" w:fill="CCEEFF"/>
          </w:tcPr>
          <w:p>
            <w:pPr>
              <w:jc w:val="right"/>
              <w:ind w:right="34"/>
              <w:spacing w:after="0"/>
              <w:rPr>
                <w:sz w:val="20"/>
                <w:szCs w:val="20"/>
                <w:color w:val="auto"/>
              </w:rPr>
            </w:pPr>
            <w:r>
              <w:rPr>
                <w:rFonts w:ascii="Arial" w:cs="Arial" w:eastAsia="Arial" w:hAnsi="Arial"/>
                <w:sz w:val="14"/>
                <w:szCs w:val="14"/>
                <w:color w:val="auto"/>
              </w:rPr>
              <w:t>1,599,274</w:t>
            </w:r>
          </w:p>
        </w:tc>
        <w:tc>
          <w:tcPr>
            <w:tcW w:w="86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1,417,924</w:t>
            </w:r>
          </w:p>
        </w:tc>
        <w:tc>
          <w:tcPr>
            <w:tcW w:w="880" w:type="dxa"/>
            <w:vAlign w:val="bottom"/>
            <w:shd w:val="clear" w:color="auto" w:fill="CCEEFF"/>
          </w:tcPr>
          <w:p>
            <w:pPr>
              <w:jc w:val="right"/>
              <w:ind w:right="55"/>
              <w:spacing w:after="0"/>
              <w:rPr>
                <w:sz w:val="20"/>
                <w:szCs w:val="20"/>
                <w:color w:val="auto"/>
              </w:rPr>
            </w:pPr>
            <w:r>
              <w:rPr>
                <w:rFonts w:ascii="Arial" w:cs="Arial" w:eastAsia="Arial" w:hAnsi="Arial"/>
                <w:sz w:val="14"/>
                <w:szCs w:val="14"/>
                <w:color w:val="auto"/>
              </w:rPr>
              <w:t>1,251,093</w:t>
            </w:r>
          </w:p>
        </w:tc>
        <w:tc>
          <w:tcPr>
            <w:tcW w:w="800" w:type="dxa"/>
            <w:vAlign w:val="bottom"/>
            <w:shd w:val="clear" w:color="auto" w:fill="CCEEFF"/>
          </w:tcPr>
          <w:p>
            <w:pPr>
              <w:jc w:val="right"/>
              <w:ind w:right="135"/>
              <w:spacing w:after="0"/>
              <w:rPr>
                <w:sz w:val="20"/>
                <w:szCs w:val="20"/>
                <w:color w:val="auto"/>
              </w:rPr>
            </w:pPr>
            <w:r>
              <w:rPr>
                <w:rFonts w:ascii="Arial" w:cs="Arial" w:eastAsia="Arial" w:hAnsi="Arial"/>
                <w:sz w:val="14"/>
                <w:szCs w:val="14"/>
                <w:color w:val="auto"/>
              </w:rPr>
              <w:t>12.8</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500" w:type="dxa"/>
            <w:vAlign w:val="bottom"/>
          </w:tcPr>
          <w:p>
            <w:pPr>
              <w:spacing w:after="0"/>
              <w:rPr>
                <w:sz w:val="20"/>
                <w:szCs w:val="20"/>
                <w:color w:val="auto"/>
              </w:rPr>
            </w:pPr>
            <w:r>
              <w:rPr>
                <w:rFonts w:ascii="Arial" w:cs="Arial" w:eastAsia="Arial" w:hAnsi="Arial"/>
                <w:sz w:val="14"/>
                <w:szCs w:val="14"/>
                <w:color w:val="auto"/>
              </w:rPr>
              <w:t>All Other</w:t>
            </w:r>
          </w:p>
        </w:tc>
        <w:tc>
          <w:tcPr>
            <w:tcW w:w="3300" w:type="dxa"/>
            <w:vAlign w:val="bottom"/>
            <w:gridSpan w:val="2"/>
          </w:tcPr>
          <w:p>
            <w:pPr>
              <w:jc w:val="right"/>
              <w:ind w:right="34"/>
              <w:spacing w:after="0"/>
              <w:rPr>
                <w:sz w:val="20"/>
                <w:szCs w:val="20"/>
                <w:color w:val="auto"/>
              </w:rPr>
            </w:pPr>
            <w:r>
              <w:rPr>
                <w:rFonts w:ascii="Arial" w:cs="Arial" w:eastAsia="Arial" w:hAnsi="Arial"/>
                <w:sz w:val="14"/>
                <w:szCs w:val="14"/>
                <w:color w:val="auto"/>
              </w:rPr>
              <w:t>585,700</w:t>
            </w:r>
          </w:p>
        </w:tc>
        <w:tc>
          <w:tcPr>
            <w:tcW w:w="860" w:type="dxa"/>
            <w:vAlign w:val="bottom"/>
          </w:tcPr>
          <w:p>
            <w:pPr>
              <w:jc w:val="right"/>
              <w:ind w:right="33"/>
              <w:spacing w:after="0"/>
              <w:rPr>
                <w:sz w:val="20"/>
                <w:szCs w:val="20"/>
                <w:color w:val="auto"/>
              </w:rPr>
            </w:pPr>
            <w:r>
              <w:rPr>
                <w:rFonts w:ascii="Arial" w:cs="Arial" w:eastAsia="Arial" w:hAnsi="Arial"/>
                <w:sz w:val="14"/>
                <w:szCs w:val="14"/>
                <w:color w:val="auto"/>
              </w:rPr>
              <w:t>552,232</w:t>
            </w:r>
          </w:p>
        </w:tc>
        <w:tc>
          <w:tcPr>
            <w:tcW w:w="880" w:type="dxa"/>
            <w:vAlign w:val="bottom"/>
          </w:tcPr>
          <w:p>
            <w:pPr>
              <w:jc w:val="right"/>
              <w:ind w:right="55"/>
              <w:spacing w:after="0"/>
              <w:rPr>
                <w:sz w:val="20"/>
                <w:szCs w:val="20"/>
                <w:color w:val="auto"/>
              </w:rPr>
            </w:pPr>
            <w:r>
              <w:rPr>
                <w:rFonts w:ascii="Arial" w:cs="Arial" w:eastAsia="Arial" w:hAnsi="Arial"/>
                <w:sz w:val="14"/>
                <w:szCs w:val="14"/>
                <w:color w:val="auto"/>
              </w:rPr>
              <w:t>277,112</w:t>
            </w:r>
          </w:p>
        </w:tc>
        <w:tc>
          <w:tcPr>
            <w:tcW w:w="800" w:type="dxa"/>
            <w:vAlign w:val="bottom"/>
          </w:tcPr>
          <w:p>
            <w:pPr>
              <w:jc w:val="right"/>
              <w:ind w:right="135"/>
              <w:spacing w:after="0"/>
              <w:rPr>
                <w:sz w:val="20"/>
                <w:szCs w:val="20"/>
                <w:color w:val="auto"/>
              </w:rPr>
            </w:pPr>
            <w:r>
              <w:rPr>
                <w:rFonts w:ascii="Arial" w:cs="Arial" w:eastAsia="Arial" w:hAnsi="Arial"/>
                <w:sz w:val="14"/>
                <w:szCs w:val="14"/>
                <w:color w:val="auto"/>
              </w:rPr>
              <w:t>6.1</w:t>
            </w:r>
          </w:p>
        </w:tc>
        <w:tc>
          <w:tcPr>
            <w:tcW w:w="600" w:type="dxa"/>
            <w:vAlign w:val="bottom"/>
          </w:tcPr>
          <w:p>
            <w:pPr>
              <w:jc w:val="right"/>
              <w:spacing w:after="0"/>
              <w:rPr>
                <w:sz w:val="20"/>
                <w:szCs w:val="20"/>
                <w:color w:val="auto"/>
              </w:rPr>
            </w:pPr>
            <w:r>
              <w:rPr>
                <w:rFonts w:ascii="Arial" w:cs="Arial" w:eastAsia="Arial" w:hAnsi="Arial"/>
                <w:sz w:val="14"/>
                <w:szCs w:val="14"/>
                <w:color w:val="auto"/>
              </w:rPr>
              <w:t>99.3</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5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Total</w:t>
            </w:r>
          </w:p>
        </w:tc>
        <w:tc>
          <w:tcPr>
            <w:tcW w:w="2540" w:type="dxa"/>
            <w:vAlign w:val="bottom"/>
            <w:tcBorders>
              <w:top w:val="single" w:sz="8" w:color="CCEEFF"/>
              <w:bottom w:val="single" w:sz="8" w:color="CCEEFF"/>
            </w:tcBorders>
            <w:shd w:val="clear" w:color="auto" w:fill="CCEEFF"/>
          </w:tcPr>
          <w:p>
            <w:pPr>
              <w:spacing w:after="0"/>
              <w:rPr>
                <w:sz w:val="16"/>
                <w:szCs w:val="16"/>
                <w:color w:val="auto"/>
              </w:rPr>
            </w:pPr>
          </w:p>
        </w:tc>
        <w:tc>
          <w:tcPr>
            <w:tcW w:w="76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Arial" w:cs="Arial" w:eastAsia="Arial" w:hAnsi="Arial"/>
                <w:sz w:val="14"/>
                <w:szCs w:val="14"/>
                <w:color w:val="auto"/>
                <w:w w:val="86"/>
              </w:rPr>
              <w:t>$ 4,489,180</w:t>
            </w:r>
          </w:p>
        </w:tc>
        <w:tc>
          <w:tcPr>
            <w:tcW w:w="86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Arial" w:cs="Arial" w:eastAsia="Arial" w:hAnsi="Arial"/>
                <w:sz w:val="14"/>
                <w:szCs w:val="14"/>
                <w:color w:val="auto"/>
              </w:rPr>
              <w:t>$ 3,941,182</w:t>
            </w:r>
          </w:p>
        </w:tc>
        <w:tc>
          <w:tcPr>
            <w:tcW w:w="88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Arial" w:cs="Arial" w:eastAsia="Arial" w:hAnsi="Arial"/>
                <w:sz w:val="14"/>
                <w:szCs w:val="14"/>
                <w:color w:val="auto"/>
              </w:rPr>
              <w:t>$ 3,240,493</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13.9 %</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21.6</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w w:val="74"/>
              </w:rPr>
              <w:t>%</w:t>
            </w:r>
          </w:p>
        </w:tc>
        <w:tc>
          <w:tcPr>
            <w:tcW w:w="0" w:type="dxa"/>
            <w:vAlign w:val="bottom"/>
          </w:tcPr>
          <w:p>
            <w:pPr>
              <w:spacing w:after="0"/>
              <w:rPr>
                <w:sz w:val="1"/>
                <w:szCs w:val="1"/>
                <w:color w:val="auto"/>
              </w:rPr>
            </w:pPr>
          </w:p>
        </w:tc>
      </w:tr>
      <w:tr>
        <w:trPr>
          <w:trHeight w:val="607"/>
        </w:trPr>
        <w:tc>
          <w:tcPr>
            <w:tcW w:w="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2540" w:type="dxa"/>
            <w:vAlign w:val="bottom"/>
          </w:tcPr>
          <w:p>
            <w:pPr>
              <w:jc w:val="right"/>
              <w:ind w:right="372"/>
              <w:spacing w:after="0"/>
              <w:rPr>
                <w:sz w:val="20"/>
                <w:szCs w:val="20"/>
                <w:color w:val="auto"/>
              </w:rPr>
            </w:pPr>
            <w:r>
              <w:rPr>
                <w:rFonts w:ascii="Arial" w:cs="Arial" w:eastAsia="Arial" w:hAnsi="Arial"/>
                <w:sz w:val="14"/>
                <w:szCs w:val="14"/>
                <w:color w:val="auto"/>
              </w:rPr>
              <w:t>12</w:t>
            </w:r>
          </w:p>
        </w:tc>
        <w:tc>
          <w:tcPr>
            <w:tcW w:w="7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20" w:type="dxa"/>
            <w:vAlign w:val="bottom"/>
            <w:tcBorders>
              <w:bottom w:val="single" w:sz="8" w:color="auto"/>
            </w:tcBorders>
          </w:tcPr>
          <w:p>
            <w:pPr>
              <w:spacing w:after="0"/>
              <w:rPr>
                <w:sz w:val="8"/>
                <w:szCs w:val="8"/>
                <w:color w:val="auto"/>
              </w:rPr>
            </w:pPr>
          </w:p>
        </w:tc>
        <w:tc>
          <w:tcPr>
            <w:tcW w:w="2500" w:type="dxa"/>
            <w:vAlign w:val="bottom"/>
            <w:tcBorders>
              <w:bottom w:val="single" w:sz="8" w:color="auto"/>
            </w:tcBorders>
          </w:tcPr>
          <w:p>
            <w:pPr>
              <w:spacing w:after="0"/>
              <w:rPr>
                <w:sz w:val="8"/>
                <w:szCs w:val="8"/>
                <w:color w:val="auto"/>
              </w:rPr>
            </w:pPr>
          </w:p>
        </w:tc>
        <w:tc>
          <w:tcPr>
            <w:tcW w:w="254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9100"/>
          </w:cols>
          <w:pgMar w:left="1400" w:top="129" w:right="1399" w:bottom="1440" w:gutter="0" w:footer="0" w:header="0"/>
        </w:sectPr>
      </w:pPr>
    </w:p>
    <w:bookmarkStart w:id="55" w:name="page56"/>
    <w:bookmarkEnd w:id="55"/>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UNIVERSAL FOREST PRODUCTS,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MANAGEMENT’S DISCUSSION AND ANALYSIS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FINANCIAL CONDITION AND RESULTS OF OPERATIONS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2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2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260" w:type="dxa"/>
            <w:vAlign w:val="bottom"/>
            <w:tcBorders>
              <w:bottom w:val="single" w:sz="8" w:color="auto"/>
            </w:tcBorders>
            <w:gridSpan w:val="4"/>
          </w:tcPr>
          <w:p>
            <w:pPr>
              <w:jc w:val="right"/>
              <w:ind w:right="554"/>
              <w:spacing w:after="0"/>
              <w:rPr>
                <w:sz w:val="20"/>
                <w:szCs w:val="20"/>
                <w:color w:val="auto"/>
              </w:rPr>
            </w:pPr>
            <w:r>
              <w:rPr>
                <w:rFonts w:ascii="Arial" w:cs="Arial" w:eastAsia="Arial" w:hAnsi="Arial"/>
                <w:sz w:val="11"/>
                <w:szCs w:val="11"/>
                <w:b w:val="1"/>
                <w:bCs w:val="1"/>
                <w:color w:val="auto"/>
              </w:rPr>
              <w:t>Earnings from Operations</w:t>
            </w:r>
          </w:p>
        </w:tc>
        <w:tc>
          <w:tcPr>
            <w:tcW w:w="66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2260" w:type="dxa"/>
            <w:vAlign w:val="bottom"/>
          </w:tcPr>
          <w:p>
            <w:pPr>
              <w:spacing w:after="0"/>
              <w:rPr>
                <w:sz w:val="8"/>
                <w:szCs w:val="8"/>
                <w:color w:val="auto"/>
              </w:rPr>
            </w:pPr>
          </w:p>
        </w:tc>
        <w:tc>
          <w:tcPr>
            <w:tcW w:w="2840" w:type="dxa"/>
            <w:vAlign w:val="bottom"/>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gridSpan w:val="2"/>
          </w:tcPr>
          <w:p>
            <w:pPr>
              <w:spacing w:after="0" w:line="100" w:lineRule="exact"/>
              <w:rPr>
                <w:sz w:val="20"/>
                <w:szCs w:val="20"/>
                <w:color w:val="auto"/>
              </w:rPr>
            </w:pPr>
            <w:r>
              <w:rPr>
                <w:rFonts w:ascii="Arial" w:cs="Arial" w:eastAsia="Arial" w:hAnsi="Arial"/>
                <w:sz w:val="11"/>
                <w:szCs w:val="11"/>
                <w:b w:val="1"/>
                <w:bCs w:val="1"/>
                <w:color w:val="auto"/>
                <w:w w:val="97"/>
              </w:rPr>
              <w:t>December 29,</w:t>
            </w:r>
          </w:p>
        </w:tc>
        <w:tc>
          <w:tcPr>
            <w:tcW w:w="800" w:type="dxa"/>
            <w:vAlign w:val="bottom"/>
            <w:gridSpan w:val="2"/>
          </w:tcPr>
          <w:p>
            <w:pPr>
              <w:ind w:left="60"/>
              <w:spacing w:after="0" w:line="100" w:lineRule="exact"/>
              <w:rPr>
                <w:sz w:val="20"/>
                <w:szCs w:val="20"/>
                <w:color w:val="auto"/>
              </w:rPr>
            </w:pPr>
            <w:r>
              <w:rPr>
                <w:rFonts w:ascii="Arial" w:cs="Arial" w:eastAsia="Arial" w:hAnsi="Arial"/>
                <w:sz w:val="11"/>
                <w:szCs w:val="11"/>
                <w:b w:val="1"/>
                <w:bCs w:val="1"/>
                <w:color w:val="auto"/>
              </w:rPr>
              <w:t>December 30,</w:t>
            </w:r>
          </w:p>
        </w:tc>
        <w:tc>
          <w:tcPr>
            <w:tcW w:w="860" w:type="dxa"/>
            <w:vAlign w:val="bottom"/>
            <w:gridSpan w:val="2"/>
          </w:tcPr>
          <w:p>
            <w:pPr>
              <w:jc w:val="right"/>
              <w:ind w:right="51"/>
              <w:spacing w:after="0" w:line="100" w:lineRule="exact"/>
              <w:rPr>
                <w:sz w:val="20"/>
                <w:szCs w:val="20"/>
                <w:color w:val="auto"/>
              </w:rPr>
            </w:pPr>
            <w:r>
              <w:rPr>
                <w:rFonts w:ascii="Arial" w:cs="Arial" w:eastAsia="Arial" w:hAnsi="Arial"/>
                <w:sz w:val="11"/>
                <w:szCs w:val="11"/>
                <w:b w:val="1"/>
                <w:bCs w:val="1"/>
                <w:color w:val="auto"/>
              </w:rPr>
              <w:t>December 31,</w:t>
            </w:r>
          </w:p>
        </w:tc>
        <w:tc>
          <w:tcPr>
            <w:tcW w:w="780" w:type="dxa"/>
            <w:vAlign w:val="bottom"/>
          </w:tcPr>
          <w:p>
            <w:pPr>
              <w:jc w:val="center"/>
              <w:ind w:right="34"/>
              <w:spacing w:after="0" w:line="100" w:lineRule="exact"/>
              <w:rPr>
                <w:sz w:val="20"/>
                <w:szCs w:val="20"/>
                <w:color w:val="auto"/>
              </w:rPr>
            </w:pPr>
            <w:r>
              <w:rPr>
                <w:rFonts w:ascii="Arial" w:cs="Arial" w:eastAsia="Arial" w:hAnsi="Arial"/>
                <w:sz w:val="11"/>
                <w:szCs w:val="11"/>
                <w:b w:val="1"/>
                <w:bCs w:val="1"/>
                <w:color w:val="auto"/>
                <w:w w:val="97"/>
              </w:rPr>
              <w:t>% Change</w:t>
            </w:r>
          </w:p>
        </w:tc>
        <w:tc>
          <w:tcPr>
            <w:tcW w:w="660" w:type="dxa"/>
            <w:vAlign w:val="bottom"/>
          </w:tcPr>
          <w:p>
            <w:pPr>
              <w:jc w:val="right"/>
              <w:spacing w:after="0" w:line="100" w:lineRule="exact"/>
              <w:rPr>
                <w:sz w:val="20"/>
                <w:szCs w:val="20"/>
                <w:color w:val="auto"/>
              </w:rPr>
            </w:pPr>
            <w:r>
              <w:rPr>
                <w:rFonts w:ascii="Arial" w:cs="Arial" w:eastAsia="Arial" w:hAnsi="Arial"/>
                <w:sz w:val="11"/>
                <w:szCs w:val="11"/>
                <w:b w:val="1"/>
                <w:bCs w:val="1"/>
                <w:color w:val="auto"/>
              </w:rPr>
              <w:t>% Change</w:t>
            </w: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28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restart"/>
          </w:tcPr>
          <w:p>
            <w:pPr>
              <w:jc w:val="right"/>
              <w:ind w:right="231"/>
              <w:spacing w:after="0"/>
              <w:rPr>
                <w:sz w:val="20"/>
                <w:szCs w:val="20"/>
                <w:color w:val="auto"/>
              </w:rPr>
            </w:pPr>
            <w:r>
              <w:rPr>
                <w:rFonts w:ascii="Arial" w:cs="Arial" w:eastAsia="Arial" w:hAnsi="Arial"/>
                <w:sz w:val="11"/>
                <w:szCs w:val="11"/>
                <w:b w:val="1"/>
                <w:bCs w:val="1"/>
                <w:color w:val="auto"/>
              </w:rPr>
              <w:t>2018</w:t>
            </w:r>
          </w:p>
        </w:tc>
        <w:tc>
          <w:tcPr>
            <w:tcW w:w="180" w:type="dxa"/>
            <w:vAlign w:val="bottom"/>
          </w:tcPr>
          <w:p>
            <w:pPr>
              <w:spacing w:after="0"/>
              <w:rPr>
                <w:sz w:val="10"/>
                <w:szCs w:val="10"/>
                <w:color w:val="auto"/>
              </w:rPr>
            </w:pPr>
          </w:p>
        </w:tc>
        <w:tc>
          <w:tcPr>
            <w:tcW w:w="620" w:type="dxa"/>
            <w:vAlign w:val="bottom"/>
            <w:vMerge w:val="restart"/>
          </w:tcPr>
          <w:p>
            <w:pPr>
              <w:jc w:val="right"/>
              <w:ind w:right="233"/>
              <w:spacing w:after="0"/>
              <w:rPr>
                <w:sz w:val="20"/>
                <w:szCs w:val="20"/>
                <w:color w:val="auto"/>
              </w:rPr>
            </w:pPr>
            <w:r>
              <w:rPr>
                <w:rFonts w:ascii="Arial" w:cs="Arial" w:eastAsia="Arial" w:hAnsi="Arial"/>
                <w:sz w:val="11"/>
                <w:szCs w:val="11"/>
                <w:b w:val="1"/>
                <w:bCs w:val="1"/>
                <w:color w:val="auto"/>
              </w:rPr>
              <w:t>2017</w:t>
            </w:r>
          </w:p>
        </w:tc>
        <w:tc>
          <w:tcPr>
            <w:tcW w:w="200" w:type="dxa"/>
            <w:vAlign w:val="bottom"/>
          </w:tcPr>
          <w:p>
            <w:pPr>
              <w:spacing w:after="0"/>
              <w:rPr>
                <w:sz w:val="10"/>
                <w:szCs w:val="10"/>
                <w:color w:val="auto"/>
              </w:rPr>
            </w:pPr>
          </w:p>
        </w:tc>
        <w:tc>
          <w:tcPr>
            <w:tcW w:w="660" w:type="dxa"/>
            <w:vAlign w:val="bottom"/>
            <w:vMerge w:val="restart"/>
          </w:tcPr>
          <w:p>
            <w:pPr>
              <w:jc w:val="right"/>
              <w:ind w:right="271"/>
              <w:spacing w:after="0"/>
              <w:rPr>
                <w:sz w:val="20"/>
                <w:szCs w:val="20"/>
                <w:color w:val="auto"/>
              </w:rPr>
            </w:pPr>
            <w:r>
              <w:rPr>
                <w:rFonts w:ascii="Arial" w:cs="Arial" w:eastAsia="Arial" w:hAnsi="Arial"/>
                <w:sz w:val="11"/>
                <w:szCs w:val="11"/>
                <w:b w:val="1"/>
                <w:bCs w:val="1"/>
                <w:color w:val="auto"/>
              </w:rPr>
              <w:t>2016</w:t>
            </w:r>
          </w:p>
        </w:tc>
        <w:tc>
          <w:tcPr>
            <w:tcW w:w="780" w:type="dxa"/>
            <w:vAlign w:val="bottom"/>
          </w:tcPr>
          <w:p>
            <w:pPr>
              <w:jc w:val="center"/>
              <w:ind w:right="34"/>
              <w:spacing w:after="0" w:line="117" w:lineRule="exact"/>
              <w:rPr>
                <w:sz w:val="20"/>
                <w:szCs w:val="20"/>
                <w:color w:val="auto"/>
              </w:rPr>
            </w:pPr>
            <w:r>
              <w:rPr>
                <w:rFonts w:ascii="Arial" w:cs="Arial" w:eastAsia="Arial" w:hAnsi="Arial"/>
                <w:sz w:val="11"/>
                <w:szCs w:val="11"/>
                <w:b w:val="1"/>
                <w:bCs w:val="1"/>
                <w:color w:val="auto"/>
                <w:w w:val="90"/>
              </w:rPr>
              <w:t>2018 vs</w:t>
            </w:r>
          </w:p>
        </w:tc>
        <w:tc>
          <w:tcPr>
            <w:tcW w:w="800" w:type="dxa"/>
            <w:vAlign w:val="bottom"/>
            <w:gridSpan w:val="2"/>
            <w:vMerge w:val="restart"/>
          </w:tcPr>
          <w:p>
            <w:pPr>
              <w:jc w:val="right"/>
              <w:ind w:right="99"/>
              <w:spacing w:after="0"/>
              <w:rPr>
                <w:sz w:val="20"/>
                <w:szCs w:val="20"/>
                <w:color w:val="auto"/>
              </w:rPr>
            </w:pPr>
            <w:r>
              <w:rPr>
                <w:rFonts w:ascii="Arial" w:cs="Arial" w:eastAsia="Arial" w:hAnsi="Arial"/>
                <w:sz w:val="11"/>
                <w:szCs w:val="11"/>
                <w:b w:val="1"/>
                <w:bCs w:val="1"/>
                <w:color w:val="auto"/>
                <w:w w:val="92"/>
              </w:rPr>
              <w:t>2017 vs 2016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2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780" w:type="dxa"/>
            <w:vAlign w:val="bottom"/>
          </w:tcPr>
          <w:p>
            <w:pPr>
              <w:jc w:val="center"/>
              <w:ind w:right="34"/>
              <w:spacing w:after="0"/>
              <w:rPr>
                <w:sz w:val="20"/>
                <w:szCs w:val="20"/>
                <w:color w:val="auto"/>
              </w:rPr>
            </w:pPr>
            <w:r>
              <w:rPr>
                <w:rFonts w:ascii="Arial" w:cs="Arial" w:eastAsia="Arial" w:hAnsi="Arial"/>
                <w:sz w:val="11"/>
                <w:szCs w:val="11"/>
                <w:b w:val="1"/>
                <w:bCs w:val="1"/>
                <w:color w:val="auto"/>
                <w:w w:val="97"/>
              </w:rPr>
              <w:t>2017</w:t>
            </w:r>
          </w:p>
        </w:tc>
        <w:tc>
          <w:tcPr>
            <w:tcW w:w="8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1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North</w:t>
            </w:r>
          </w:p>
        </w:tc>
        <w:tc>
          <w:tcPr>
            <w:tcW w:w="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66,239</w:t>
            </w:r>
          </w:p>
        </w:tc>
        <w:tc>
          <w:tcPr>
            <w:tcW w:w="18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tcBorders>
            <w:shd w:val="clear" w:color="auto" w:fill="CCEEFF"/>
          </w:tcPr>
          <w:p>
            <w:pPr>
              <w:jc w:val="right"/>
              <w:ind w:right="73"/>
              <w:spacing w:after="0"/>
              <w:rPr>
                <w:sz w:val="20"/>
                <w:szCs w:val="20"/>
                <w:color w:val="auto"/>
              </w:rPr>
            </w:pPr>
            <w:r>
              <w:rPr>
                <w:rFonts w:ascii="Arial" w:cs="Arial" w:eastAsia="Arial" w:hAnsi="Arial"/>
                <w:sz w:val="14"/>
                <w:szCs w:val="14"/>
                <w:color w:val="auto"/>
              </w:rPr>
              <w:t>61,326</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shd w:val="clear" w:color="auto" w:fill="CCEEFF"/>
          </w:tcPr>
          <w:p>
            <w:pPr>
              <w:jc w:val="right"/>
              <w:ind w:right="71"/>
              <w:spacing w:after="0"/>
              <w:rPr>
                <w:sz w:val="20"/>
                <w:szCs w:val="20"/>
                <w:color w:val="auto"/>
              </w:rPr>
            </w:pPr>
            <w:r>
              <w:rPr>
                <w:rFonts w:ascii="Arial" w:cs="Arial" w:eastAsia="Arial" w:hAnsi="Arial"/>
                <w:sz w:val="14"/>
                <w:szCs w:val="14"/>
                <w:color w:val="auto"/>
              </w:rPr>
              <w:t>59,408</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8.0 %</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w w:val="74"/>
              </w:rPr>
              <w:t>%</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100" w:type="dxa"/>
            <w:vAlign w:val="bottom"/>
            <w:gridSpan w:val="2"/>
          </w:tcPr>
          <w:p>
            <w:pPr>
              <w:spacing w:after="0"/>
              <w:rPr>
                <w:sz w:val="20"/>
                <w:szCs w:val="20"/>
                <w:color w:val="auto"/>
              </w:rPr>
            </w:pPr>
            <w:r>
              <w:rPr>
                <w:rFonts w:ascii="Arial" w:cs="Arial" w:eastAsia="Arial" w:hAnsi="Arial"/>
                <w:sz w:val="14"/>
                <w:szCs w:val="14"/>
                <w:color w:val="auto"/>
              </w:rPr>
              <w:t>South</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ind w:right="51"/>
              <w:spacing w:after="0"/>
              <w:rPr>
                <w:sz w:val="20"/>
                <w:szCs w:val="20"/>
                <w:color w:val="auto"/>
              </w:rPr>
            </w:pPr>
            <w:r>
              <w:rPr>
                <w:rFonts w:ascii="Arial" w:cs="Arial" w:eastAsia="Arial" w:hAnsi="Arial"/>
                <w:sz w:val="14"/>
                <w:szCs w:val="14"/>
                <w:color w:val="auto"/>
              </w:rPr>
              <w:t>60,049</w:t>
            </w:r>
          </w:p>
        </w:tc>
        <w:tc>
          <w:tcPr>
            <w:tcW w:w="180" w:type="dxa"/>
            <w:vAlign w:val="bottom"/>
          </w:tcPr>
          <w:p>
            <w:pPr>
              <w:spacing w:after="0"/>
              <w:rPr>
                <w:sz w:val="14"/>
                <w:szCs w:val="14"/>
                <w:color w:val="auto"/>
              </w:rPr>
            </w:pPr>
          </w:p>
        </w:tc>
        <w:tc>
          <w:tcPr>
            <w:tcW w:w="620" w:type="dxa"/>
            <w:vAlign w:val="bottom"/>
          </w:tcPr>
          <w:p>
            <w:pPr>
              <w:jc w:val="right"/>
              <w:ind w:right="73"/>
              <w:spacing w:after="0"/>
              <w:rPr>
                <w:sz w:val="20"/>
                <w:szCs w:val="20"/>
                <w:color w:val="auto"/>
              </w:rPr>
            </w:pPr>
            <w:r>
              <w:rPr>
                <w:rFonts w:ascii="Arial" w:cs="Arial" w:eastAsia="Arial" w:hAnsi="Arial"/>
                <w:sz w:val="14"/>
                <w:szCs w:val="14"/>
                <w:color w:val="auto"/>
              </w:rPr>
              <w:t>46,646</w:t>
            </w:r>
          </w:p>
        </w:tc>
        <w:tc>
          <w:tcPr>
            <w:tcW w:w="200" w:type="dxa"/>
            <w:vAlign w:val="bottom"/>
          </w:tcPr>
          <w:p>
            <w:pPr>
              <w:spacing w:after="0"/>
              <w:rPr>
                <w:sz w:val="14"/>
                <w:szCs w:val="14"/>
                <w:color w:val="auto"/>
              </w:rPr>
            </w:pPr>
          </w:p>
        </w:tc>
        <w:tc>
          <w:tcPr>
            <w:tcW w:w="660" w:type="dxa"/>
            <w:vAlign w:val="bottom"/>
          </w:tcPr>
          <w:p>
            <w:pPr>
              <w:jc w:val="right"/>
              <w:ind w:right="71"/>
              <w:spacing w:after="0"/>
              <w:rPr>
                <w:sz w:val="20"/>
                <w:szCs w:val="20"/>
                <w:color w:val="auto"/>
              </w:rPr>
            </w:pPr>
            <w:r>
              <w:rPr>
                <w:rFonts w:ascii="Arial" w:cs="Arial" w:eastAsia="Arial" w:hAnsi="Arial"/>
                <w:sz w:val="14"/>
                <w:szCs w:val="14"/>
                <w:color w:val="auto"/>
              </w:rPr>
              <w:t>47,146</w:t>
            </w:r>
          </w:p>
        </w:tc>
        <w:tc>
          <w:tcPr>
            <w:tcW w:w="780" w:type="dxa"/>
            <w:vAlign w:val="bottom"/>
          </w:tcPr>
          <w:p>
            <w:pPr>
              <w:jc w:val="right"/>
              <w:ind w:right="134"/>
              <w:spacing w:after="0"/>
              <w:rPr>
                <w:sz w:val="20"/>
                <w:szCs w:val="20"/>
                <w:color w:val="auto"/>
              </w:rPr>
            </w:pPr>
            <w:r>
              <w:rPr>
                <w:rFonts w:ascii="Arial" w:cs="Arial" w:eastAsia="Arial" w:hAnsi="Arial"/>
                <w:sz w:val="14"/>
                <w:szCs w:val="14"/>
                <w:color w:val="auto"/>
              </w:rPr>
              <w:t>28.7</w:t>
            </w:r>
          </w:p>
        </w:tc>
        <w:tc>
          <w:tcPr>
            <w:tcW w:w="660" w:type="dxa"/>
            <w:vAlign w:val="bottom"/>
          </w:tcPr>
          <w:p>
            <w:pPr>
              <w:jc w:val="right"/>
              <w:spacing w:after="0"/>
              <w:rPr>
                <w:sz w:val="20"/>
                <w:szCs w:val="20"/>
                <w:color w:val="auto"/>
              </w:rPr>
            </w:pPr>
            <w:r>
              <w:rPr>
                <w:rFonts w:ascii="Arial" w:cs="Arial" w:eastAsia="Arial" w:hAnsi="Arial"/>
                <w:sz w:val="14"/>
                <w:szCs w:val="14"/>
                <w:color w:val="auto"/>
              </w:rPr>
              <w:t>(1.1)</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1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West</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w w:val="94"/>
              </w:rPr>
              <w:t>103,357</w:t>
            </w: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73"/>
              <w:spacing w:after="0"/>
              <w:rPr>
                <w:sz w:val="20"/>
                <w:szCs w:val="20"/>
                <w:color w:val="auto"/>
              </w:rPr>
            </w:pPr>
            <w:r>
              <w:rPr>
                <w:rFonts w:ascii="Arial" w:cs="Arial" w:eastAsia="Arial" w:hAnsi="Arial"/>
                <w:sz w:val="14"/>
                <w:szCs w:val="14"/>
                <w:color w:val="auto"/>
              </w:rPr>
              <w:t>82,465</w:t>
            </w: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76,875</w:t>
            </w:r>
          </w:p>
        </w:tc>
        <w:tc>
          <w:tcPr>
            <w:tcW w:w="780" w:type="dxa"/>
            <w:vAlign w:val="bottom"/>
            <w:shd w:val="clear" w:color="auto" w:fill="CCEEFF"/>
          </w:tcPr>
          <w:p>
            <w:pPr>
              <w:jc w:val="right"/>
              <w:ind w:right="134"/>
              <w:spacing w:after="0"/>
              <w:rPr>
                <w:sz w:val="20"/>
                <w:szCs w:val="20"/>
                <w:color w:val="auto"/>
              </w:rPr>
            </w:pPr>
            <w:r>
              <w:rPr>
                <w:rFonts w:ascii="Arial" w:cs="Arial" w:eastAsia="Arial" w:hAnsi="Arial"/>
                <w:sz w:val="14"/>
                <w:szCs w:val="14"/>
                <w:color w:val="auto"/>
              </w:rPr>
              <w:t>25.3</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100" w:type="dxa"/>
            <w:vAlign w:val="bottom"/>
            <w:gridSpan w:val="2"/>
          </w:tcPr>
          <w:p>
            <w:pPr>
              <w:spacing w:after="0"/>
              <w:rPr>
                <w:sz w:val="20"/>
                <w:szCs w:val="20"/>
                <w:color w:val="auto"/>
              </w:rPr>
            </w:pPr>
            <w:r>
              <w:rPr>
                <w:rFonts w:ascii="Arial" w:cs="Arial" w:eastAsia="Arial" w:hAnsi="Arial"/>
                <w:sz w:val="14"/>
                <w:szCs w:val="14"/>
                <w:color w:val="auto"/>
              </w:rPr>
              <w:t>All Other</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ind w:right="51"/>
              <w:spacing w:after="0"/>
              <w:rPr>
                <w:sz w:val="20"/>
                <w:szCs w:val="20"/>
                <w:color w:val="auto"/>
              </w:rPr>
            </w:pPr>
            <w:r>
              <w:rPr>
                <w:rFonts w:ascii="Arial" w:cs="Arial" w:eastAsia="Arial" w:hAnsi="Arial"/>
                <w:sz w:val="14"/>
                <w:szCs w:val="14"/>
                <w:color w:val="auto"/>
              </w:rPr>
              <w:t>6,779</w:t>
            </w:r>
          </w:p>
        </w:tc>
        <w:tc>
          <w:tcPr>
            <w:tcW w:w="180" w:type="dxa"/>
            <w:vAlign w:val="bottom"/>
          </w:tcPr>
          <w:p>
            <w:pPr>
              <w:spacing w:after="0"/>
              <w:rPr>
                <w:sz w:val="14"/>
                <w:szCs w:val="14"/>
                <w:color w:val="auto"/>
              </w:rPr>
            </w:pPr>
          </w:p>
        </w:tc>
        <w:tc>
          <w:tcPr>
            <w:tcW w:w="620" w:type="dxa"/>
            <w:vAlign w:val="bottom"/>
          </w:tcPr>
          <w:p>
            <w:pPr>
              <w:jc w:val="right"/>
              <w:ind w:right="73"/>
              <w:spacing w:after="0"/>
              <w:rPr>
                <w:sz w:val="20"/>
                <w:szCs w:val="20"/>
                <w:color w:val="auto"/>
              </w:rPr>
            </w:pPr>
            <w:r>
              <w:rPr>
                <w:rFonts w:ascii="Arial" w:cs="Arial" w:eastAsia="Arial" w:hAnsi="Arial"/>
                <w:sz w:val="14"/>
                <w:szCs w:val="14"/>
                <w:color w:val="auto"/>
              </w:rPr>
              <w:t>17,296</w:t>
            </w:r>
          </w:p>
        </w:tc>
        <w:tc>
          <w:tcPr>
            <w:tcW w:w="200" w:type="dxa"/>
            <w:vAlign w:val="bottom"/>
          </w:tcPr>
          <w:p>
            <w:pPr>
              <w:spacing w:after="0"/>
              <w:rPr>
                <w:sz w:val="14"/>
                <w:szCs w:val="14"/>
                <w:color w:val="auto"/>
              </w:rPr>
            </w:pPr>
          </w:p>
        </w:tc>
        <w:tc>
          <w:tcPr>
            <w:tcW w:w="660" w:type="dxa"/>
            <w:vAlign w:val="bottom"/>
          </w:tcPr>
          <w:p>
            <w:pPr>
              <w:jc w:val="right"/>
              <w:ind w:right="71"/>
              <w:spacing w:after="0"/>
              <w:rPr>
                <w:sz w:val="20"/>
                <w:szCs w:val="20"/>
                <w:color w:val="auto"/>
              </w:rPr>
            </w:pPr>
            <w:r>
              <w:rPr>
                <w:rFonts w:ascii="Arial" w:cs="Arial" w:eastAsia="Arial" w:hAnsi="Arial"/>
                <w:sz w:val="14"/>
                <w:szCs w:val="14"/>
                <w:color w:val="auto"/>
              </w:rPr>
              <w:t>16,639</w:t>
            </w:r>
          </w:p>
        </w:tc>
        <w:tc>
          <w:tcPr>
            <w:tcW w:w="780" w:type="dxa"/>
            <w:vAlign w:val="bottom"/>
          </w:tcPr>
          <w:p>
            <w:pPr>
              <w:jc w:val="right"/>
              <w:ind w:right="94"/>
              <w:spacing w:after="0"/>
              <w:rPr>
                <w:sz w:val="20"/>
                <w:szCs w:val="20"/>
                <w:color w:val="auto"/>
              </w:rPr>
            </w:pPr>
            <w:r>
              <w:rPr>
                <w:rFonts w:ascii="Arial" w:cs="Arial" w:eastAsia="Arial" w:hAnsi="Arial"/>
                <w:sz w:val="14"/>
                <w:szCs w:val="14"/>
                <w:color w:val="auto"/>
              </w:rPr>
              <w:t>(60.8)</w:t>
            </w:r>
          </w:p>
        </w:tc>
        <w:tc>
          <w:tcPr>
            <w:tcW w:w="660" w:type="dxa"/>
            <w:vAlign w:val="bottom"/>
          </w:tcPr>
          <w:p>
            <w:pPr>
              <w:jc w:val="right"/>
              <w:spacing w:after="0"/>
              <w:rPr>
                <w:sz w:val="20"/>
                <w:szCs w:val="20"/>
                <w:color w:val="auto"/>
              </w:rPr>
            </w:pPr>
            <w:r>
              <w:rPr>
                <w:rFonts w:ascii="Arial" w:cs="Arial" w:eastAsia="Arial" w:hAnsi="Arial"/>
                <w:sz w:val="14"/>
                <w:szCs w:val="14"/>
                <w:color w:val="auto"/>
              </w:rPr>
              <w:t>3.9</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1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Corporate</w:t>
            </w:r>
            <w:r>
              <w:rPr>
                <w:rFonts w:ascii="Arial" w:cs="Arial" w:eastAsia="Arial" w:hAnsi="Arial"/>
                <w:sz w:val="7"/>
                <w:szCs w:val="7"/>
                <w:color w:val="auto"/>
              </w:rPr>
              <w:t>1</w:t>
            </w: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w w:val="99"/>
              </w:rPr>
              <w:t>(29,161)</w:t>
            </w:r>
          </w:p>
        </w:tc>
        <w:tc>
          <w:tcPr>
            <w:tcW w:w="18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4"/>
                <w:szCs w:val="14"/>
                <w:color w:val="auto"/>
                <w:w w:val="99"/>
              </w:rPr>
              <w:t>(26,264)</w:t>
            </w:r>
          </w:p>
        </w:tc>
        <w:tc>
          <w:tcPr>
            <w:tcW w:w="20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(35,630)</w:t>
            </w:r>
          </w:p>
        </w:tc>
        <w:tc>
          <w:tcPr>
            <w:tcW w:w="7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4"/>
                <w:szCs w:val="14"/>
                <w:color w:val="auto"/>
              </w:rPr>
              <w:t>(11.0)</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26.3</w:t>
            </w:r>
          </w:p>
        </w:tc>
        <w:tc>
          <w:tcPr>
            <w:tcW w:w="1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120" w:type="dxa"/>
            <w:vAlign w:val="bottom"/>
            <w:gridSpan w:val="3"/>
          </w:tcPr>
          <w:p>
            <w:pPr>
              <w:spacing w:after="0" w:line="151" w:lineRule="exact"/>
              <w:rPr>
                <w:sz w:val="20"/>
                <w:szCs w:val="20"/>
                <w:color w:val="auto"/>
              </w:rPr>
            </w:pPr>
            <w:r>
              <w:rPr>
                <w:rFonts w:ascii="Arial" w:cs="Arial" w:eastAsia="Arial" w:hAnsi="Arial"/>
                <w:sz w:val="14"/>
                <w:szCs w:val="14"/>
                <w:color w:val="auto"/>
              </w:rPr>
              <w:t>Total</w:t>
            </w: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line="151" w:lineRule="exact"/>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ind w:right="51"/>
              <w:spacing w:after="0" w:line="151" w:lineRule="exact"/>
              <w:rPr>
                <w:sz w:val="20"/>
                <w:szCs w:val="20"/>
                <w:color w:val="auto"/>
              </w:rPr>
            </w:pPr>
            <w:r>
              <w:rPr>
                <w:rFonts w:ascii="Arial" w:cs="Arial" w:eastAsia="Arial" w:hAnsi="Arial"/>
                <w:sz w:val="14"/>
                <w:szCs w:val="14"/>
                <w:color w:val="auto"/>
                <w:w w:val="94"/>
              </w:rPr>
              <w:t>207,263</w:t>
            </w:r>
          </w:p>
        </w:tc>
        <w:tc>
          <w:tcPr>
            <w:tcW w:w="180" w:type="dxa"/>
            <w:vAlign w:val="bottom"/>
            <w:tcBorders>
              <w:bottom w:val="single" w:sz="8" w:color="auto"/>
            </w:tcBorders>
          </w:tcPr>
          <w:p>
            <w:pPr>
              <w:ind w:left="60"/>
              <w:spacing w:after="0" w:line="151" w:lineRule="exact"/>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ind w:right="73"/>
              <w:spacing w:after="0" w:line="151" w:lineRule="exact"/>
              <w:rPr>
                <w:sz w:val="20"/>
                <w:szCs w:val="20"/>
                <w:color w:val="auto"/>
              </w:rPr>
            </w:pPr>
            <w:r>
              <w:rPr>
                <w:rFonts w:ascii="Arial" w:cs="Arial" w:eastAsia="Arial" w:hAnsi="Arial"/>
                <w:sz w:val="14"/>
                <w:szCs w:val="14"/>
                <w:color w:val="auto"/>
                <w:w w:val="90"/>
              </w:rPr>
              <w:t>181,469</w:t>
            </w:r>
          </w:p>
        </w:tc>
        <w:tc>
          <w:tcPr>
            <w:tcW w:w="20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71"/>
              <w:spacing w:after="0" w:line="151" w:lineRule="exact"/>
              <w:rPr>
                <w:sz w:val="20"/>
                <w:szCs w:val="20"/>
                <w:color w:val="auto"/>
              </w:rPr>
            </w:pPr>
            <w:r>
              <w:rPr>
                <w:rFonts w:ascii="Arial" w:cs="Arial" w:eastAsia="Arial" w:hAnsi="Arial"/>
                <w:sz w:val="14"/>
                <w:szCs w:val="14"/>
                <w:color w:val="auto"/>
                <w:w w:val="98"/>
              </w:rPr>
              <w:t>164,438</w:t>
            </w:r>
          </w:p>
        </w:tc>
        <w:tc>
          <w:tcPr>
            <w:tcW w:w="78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14.2 %</w:t>
            </w:r>
          </w:p>
        </w:tc>
        <w:tc>
          <w:tcPr>
            <w:tcW w:w="66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10.4</w:t>
            </w:r>
          </w:p>
        </w:tc>
        <w:tc>
          <w:tcPr>
            <w:tcW w:w="140" w:type="dxa"/>
            <w:vAlign w:val="bottom"/>
          </w:tcPr>
          <w:p>
            <w:pPr>
              <w:jc w:val="right"/>
              <w:spacing w:after="0"/>
              <w:rPr>
                <w:sz w:val="20"/>
                <w:szCs w:val="20"/>
                <w:color w:val="auto"/>
              </w:rPr>
            </w:pPr>
            <w:r>
              <w:rPr>
                <w:rFonts w:ascii="Arial" w:cs="Arial" w:eastAsia="Arial" w:hAnsi="Arial"/>
                <w:sz w:val="12"/>
                <w:szCs w:val="12"/>
                <w:color w:val="auto"/>
                <w:w w:val="74"/>
              </w:rPr>
              <w:t>%</w:t>
            </w:r>
          </w:p>
        </w:tc>
        <w:tc>
          <w:tcPr>
            <w:tcW w:w="0" w:type="dxa"/>
            <w:vAlign w:val="bottom"/>
          </w:tcPr>
          <w:p>
            <w:pPr>
              <w:spacing w:after="0"/>
              <w:rPr>
                <w:sz w:val="1"/>
                <w:szCs w:val="1"/>
                <w:color w:val="auto"/>
              </w:rPr>
            </w:pPr>
          </w:p>
        </w:tc>
      </w:tr>
      <w:tr>
        <w:trPr>
          <w:trHeight w:val="85"/>
        </w:trPr>
        <w:tc>
          <w:tcPr>
            <w:tcW w:w="20" w:type="dxa"/>
            <w:vAlign w:val="bottom"/>
            <w:tcBorders>
              <w:bottom w:val="single" w:sz="8" w:color="auto"/>
            </w:tcBorders>
          </w:tcPr>
          <w:p>
            <w:pPr>
              <w:spacing w:after="0"/>
              <w:rPr>
                <w:sz w:val="7"/>
                <w:szCs w:val="7"/>
                <w:color w:val="auto"/>
              </w:rPr>
            </w:pPr>
          </w:p>
        </w:tc>
        <w:tc>
          <w:tcPr>
            <w:tcW w:w="2260" w:type="dxa"/>
            <w:vAlign w:val="bottom"/>
            <w:tcBorders>
              <w:bottom w:val="single" w:sz="8" w:color="auto"/>
            </w:tcBorders>
          </w:tcPr>
          <w:p>
            <w:pPr>
              <w:spacing w:after="0"/>
              <w:rPr>
                <w:sz w:val="7"/>
                <w:szCs w:val="7"/>
                <w:color w:val="auto"/>
              </w:rPr>
            </w:pPr>
          </w:p>
        </w:tc>
        <w:tc>
          <w:tcPr>
            <w:tcW w:w="28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8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0" w:lineRule="exact"/>
        <w:rPr>
          <w:sz w:val="20"/>
          <w:szCs w:val="20"/>
          <w:color w:val="auto"/>
        </w:rPr>
      </w:pPr>
    </w:p>
    <w:p>
      <w:pPr>
        <w:ind w:left="260" w:hanging="256"/>
        <w:spacing w:after="0"/>
        <w:tabs>
          <w:tab w:leader="none" w:pos="260" w:val="left"/>
        </w:tabs>
        <w:numPr>
          <w:ilvl w:val="0"/>
          <w:numId w:val="28"/>
        </w:numPr>
        <w:rPr>
          <w:rFonts w:ascii="Arial" w:cs="Arial" w:eastAsia="Arial" w:hAnsi="Arial"/>
          <w:sz w:val="11"/>
          <w:szCs w:val="11"/>
          <w:color w:val="auto"/>
        </w:rPr>
      </w:pPr>
      <w:r>
        <w:rPr>
          <w:rFonts w:ascii="Arial" w:cs="Arial" w:eastAsia="Arial" w:hAnsi="Arial"/>
          <w:sz w:val="11"/>
          <w:szCs w:val="11"/>
          <w:color w:val="auto"/>
        </w:rPr>
        <w:t>Corporate primarily represents over (under) allocated administrative costs and certain incentive compensation expense.</w:t>
      </w:r>
    </w:p>
    <w:p>
      <w:pPr>
        <w:spacing w:after="0" w:line="165"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North</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106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520" w:type="dxa"/>
            <w:vAlign w:val="bottom"/>
            <w:tcBorders>
              <w:bottom w:val="single" w:sz="8" w:color="auto"/>
            </w:tcBorders>
            <w:gridSpan w:val="3"/>
          </w:tcPr>
          <w:p>
            <w:pPr>
              <w:jc w:val="right"/>
              <w:ind w:right="573"/>
              <w:spacing w:after="0"/>
              <w:rPr>
                <w:sz w:val="20"/>
                <w:szCs w:val="20"/>
                <w:color w:val="auto"/>
              </w:rPr>
            </w:pPr>
            <w:r>
              <w:rPr>
                <w:rFonts w:ascii="Arial" w:cs="Arial" w:eastAsia="Arial" w:hAnsi="Arial"/>
                <w:sz w:val="11"/>
                <w:szCs w:val="11"/>
                <w:b w:val="1"/>
                <w:bCs w:val="1"/>
                <w:color w:val="auto"/>
                <w:w w:val="93"/>
              </w:rPr>
              <w:t>Net Sales of North Segment by Market</w:t>
            </w:r>
          </w:p>
        </w:tc>
        <w:tc>
          <w:tcPr>
            <w:tcW w:w="106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r>
      <w:tr>
        <w:trPr>
          <w:trHeight w:val="118"/>
        </w:trPr>
        <w:tc>
          <w:tcPr>
            <w:tcW w:w="1060" w:type="dxa"/>
            <w:vAlign w:val="bottom"/>
          </w:tcPr>
          <w:p>
            <w:pPr>
              <w:spacing w:after="0"/>
              <w:rPr>
                <w:sz w:val="10"/>
                <w:szCs w:val="10"/>
                <w:color w:val="auto"/>
              </w:rPr>
            </w:pPr>
          </w:p>
        </w:tc>
        <w:tc>
          <w:tcPr>
            <w:tcW w:w="25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2260" w:type="dxa"/>
            <w:vAlign w:val="bottom"/>
            <w:tcBorders>
              <w:bottom w:val="single" w:sz="8" w:color="auto"/>
            </w:tcBorders>
            <w:gridSpan w:val="2"/>
          </w:tcPr>
          <w:p>
            <w:pPr>
              <w:ind w:left="140"/>
              <w:spacing w:after="0" w:line="117" w:lineRule="exact"/>
              <w:rPr>
                <w:sz w:val="20"/>
                <w:szCs w:val="20"/>
                <w:color w:val="auto"/>
              </w:rPr>
            </w:pPr>
            <w:r>
              <w:rPr>
                <w:rFonts w:ascii="Arial" w:cs="Arial" w:eastAsia="Arial" w:hAnsi="Arial"/>
                <w:sz w:val="11"/>
                <w:szCs w:val="11"/>
                <w:b w:val="1"/>
                <w:bCs w:val="1"/>
                <w:color w:val="auto"/>
              </w:rPr>
              <w:t>Twelve Months Ended</w:t>
            </w:r>
          </w:p>
        </w:tc>
        <w:tc>
          <w:tcPr>
            <w:tcW w:w="106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r>
      <w:tr>
        <w:trPr>
          <w:trHeight w:val="100"/>
        </w:trPr>
        <w:tc>
          <w:tcPr>
            <w:tcW w:w="1060" w:type="dxa"/>
            <w:vAlign w:val="bottom"/>
          </w:tcPr>
          <w:p>
            <w:pPr>
              <w:spacing w:after="0"/>
              <w:rPr>
                <w:sz w:val="8"/>
                <w:szCs w:val="8"/>
                <w:color w:val="auto"/>
              </w:rPr>
            </w:pPr>
          </w:p>
        </w:tc>
        <w:tc>
          <w:tcPr>
            <w:tcW w:w="2580" w:type="dxa"/>
            <w:vAlign w:val="bottom"/>
          </w:tcPr>
          <w:p>
            <w:pPr>
              <w:spacing w:after="0"/>
              <w:rPr>
                <w:sz w:val="8"/>
                <w:szCs w:val="8"/>
                <w:color w:val="auto"/>
              </w:rPr>
            </w:pPr>
          </w:p>
        </w:tc>
        <w:tc>
          <w:tcPr>
            <w:tcW w:w="820" w:type="dxa"/>
            <w:vAlign w:val="bottom"/>
            <w:gridSpan w:val="2"/>
          </w:tcPr>
          <w:p>
            <w:pPr>
              <w:jc w:val="right"/>
              <w:ind w:right="51"/>
              <w:spacing w:after="0" w:line="100" w:lineRule="exact"/>
              <w:rPr>
                <w:sz w:val="20"/>
                <w:szCs w:val="20"/>
                <w:color w:val="auto"/>
              </w:rPr>
            </w:pPr>
            <w:r>
              <w:rPr>
                <w:rFonts w:ascii="Arial" w:cs="Arial" w:eastAsia="Arial" w:hAnsi="Arial"/>
                <w:sz w:val="11"/>
                <w:szCs w:val="11"/>
                <w:b w:val="1"/>
                <w:bCs w:val="1"/>
                <w:color w:val="auto"/>
                <w:w w:val="94"/>
              </w:rPr>
              <w:t>December 29,</w:t>
            </w:r>
          </w:p>
        </w:tc>
        <w:tc>
          <w:tcPr>
            <w:tcW w:w="860" w:type="dxa"/>
            <w:vAlign w:val="bottom"/>
            <w:gridSpan w:val="2"/>
          </w:tcPr>
          <w:p>
            <w:pPr>
              <w:jc w:val="right"/>
              <w:ind w:right="11"/>
              <w:spacing w:after="0" w:line="100" w:lineRule="exact"/>
              <w:rPr>
                <w:sz w:val="20"/>
                <w:szCs w:val="20"/>
                <w:color w:val="auto"/>
              </w:rPr>
            </w:pPr>
            <w:r>
              <w:rPr>
                <w:rFonts w:ascii="Arial" w:cs="Arial" w:eastAsia="Arial" w:hAnsi="Arial"/>
                <w:sz w:val="11"/>
                <w:szCs w:val="11"/>
                <w:b w:val="1"/>
                <w:bCs w:val="1"/>
                <w:color w:val="auto"/>
              </w:rPr>
              <w:t>December 30,</w:t>
            </w:r>
          </w:p>
        </w:tc>
        <w:tc>
          <w:tcPr>
            <w:tcW w:w="1120" w:type="dxa"/>
            <w:vAlign w:val="bottom"/>
            <w:gridSpan w:val="2"/>
          </w:tcPr>
          <w:p>
            <w:pPr>
              <w:jc w:val="right"/>
              <w:ind w:right="213"/>
              <w:spacing w:after="0" w:line="100" w:lineRule="exact"/>
              <w:rPr>
                <w:sz w:val="20"/>
                <w:szCs w:val="20"/>
                <w:color w:val="auto"/>
              </w:rPr>
            </w:pPr>
            <w:r>
              <w:rPr>
                <w:rFonts w:ascii="Arial" w:cs="Arial" w:eastAsia="Arial" w:hAnsi="Arial"/>
                <w:sz w:val="11"/>
                <w:szCs w:val="11"/>
                <w:b w:val="1"/>
                <w:bCs w:val="1"/>
                <w:color w:val="auto"/>
              </w:rPr>
              <w:t>December 31,</w:t>
            </w:r>
          </w:p>
        </w:tc>
        <w:tc>
          <w:tcPr>
            <w:tcW w:w="1400" w:type="dxa"/>
            <w:vAlign w:val="bottom"/>
          </w:tcPr>
          <w:p>
            <w:pPr>
              <w:jc w:val="right"/>
              <w:ind w:right="553"/>
              <w:spacing w:after="0" w:line="100" w:lineRule="exact"/>
              <w:rPr>
                <w:sz w:val="20"/>
                <w:szCs w:val="20"/>
                <w:color w:val="auto"/>
              </w:rPr>
            </w:pPr>
            <w:r>
              <w:rPr>
                <w:rFonts w:ascii="Arial" w:cs="Arial" w:eastAsia="Arial" w:hAnsi="Arial"/>
                <w:sz w:val="11"/>
                <w:szCs w:val="11"/>
                <w:b w:val="1"/>
                <w:bCs w:val="1"/>
                <w:color w:val="auto"/>
              </w:rPr>
              <w:t>% Change</w:t>
            </w:r>
          </w:p>
        </w:tc>
        <w:tc>
          <w:tcPr>
            <w:tcW w:w="1060" w:type="dxa"/>
            <w:vAlign w:val="bottom"/>
          </w:tcPr>
          <w:p>
            <w:pPr>
              <w:jc w:val="right"/>
              <w:ind w:right="253"/>
              <w:spacing w:after="0" w:line="100" w:lineRule="exact"/>
              <w:rPr>
                <w:sz w:val="20"/>
                <w:szCs w:val="20"/>
                <w:color w:val="auto"/>
              </w:rPr>
            </w:pPr>
            <w:r>
              <w:rPr>
                <w:rFonts w:ascii="Arial" w:cs="Arial" w:eastAsia="Arial" w:hAnsi="Arial"/>
                <w:sz w:val="11"/>
                <w:szCs w:val="11"/>
                <w:b w:val="1"/>
                <w:bCs w:val="1"/>
                <w:color w:val="auto"/>
              </w:rPr>
              <w:t>% Change</w:t>
            </w:r>
          </w:p>
        </w:tc>
        <w:tc>
          <w:tcPr>
            <w:tcW w:w="200" w:type="dxa"/>
            <w:vAlign w:val="bottom"/>
          </w:tcPr>
          <w:p>
            <w:pPr>
              <w:spacing w:after="0"/>
              <w:rPr>
                <w:sz w:val="8"/>
                <w:szCs w:val="8"/>
                <w:color w:val="auto"/>
              </w:rPr>
            </w:pPr>
          </w:p>
        </w:tc>
      </w:tr>
      <w:tr>
        <w:trPr>
          <w:trHeight w:val="154"/>
        </w:trPr>
        <w:tc>
          <w:tcPr>
            <w:tcW w:w="106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w w:val="94"/>
              </w:rPr>
              <w:t>Market Classification</w:t>
            </w:r>
          </w:p>
        </w:tc>
        <w:tc>
          <w:tcPr>
            <w:tcW w:w="25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71"/>
              <w:spacing w:after="0"/>
              <w:rPr>
                <w:sz w:val="20"/>
                <w:szCs w:val="20"/>
                <w:color w:val="auto"/>
              </w:rPr>
            </w:pPr>
            <w:r>
              <w:rPr>
                <w:rFonts w:ascii="Arial" w:cs="Arial" w:eastAsia="Arial" w:hAnsi="Arial"/>
                <w:sz w:val="11"/>
                <w:szCs w:val="11"/>
                <w:b w:val="1"/>
                <w:bCs w:val="1"/>
                <w:color w:val="auto"/>
              </w:rPr>
              <w:t>2018</w:t>
            </w:r>
          </w:p>
        </w:tc>
        <w:tc>
          <w:tcPr>
            <w:tcW w:w="1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31"/>
              <w:spacing w:after="0"/>
              <w:rPr>
                <w:sz w:val="20"/>
                <w:szCs w:val="20"/>
                <w:color w:val="auto"/>
              </w:rPr>
            </w:pPr>
            <w:r>
              <w:rPr>
                <w:rFonts w:ascii="Arial" w:cs="Arial" w:eastAsia="Arial" w:hAnsi="Arial"/>
                <w:sz w:val="11"/>
                <w:szCs w:val="11"/>
                <w:b w:val="1"/>
                <w:bCs w:val="1"/>
                <w:color w:val="auto"/>
              </w:rPr>
              <w:t>2017</w:t>
            </w: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ind w:left="140"/>
              <w:spacing w:after="0"/>
              <w:rPr>
                <w:sz w:val="20"/>
                <w:szCs w:val="20"/>
                <w:color w:val="auto"/>
              </w:rPr>
            </w:pPr>
            <w:r>
              <w:rPr>
                <w:rFonts w:ascii="Arial" w:cs="Arial" w:eastAsia="Arial" w:hAnsi="Arial"/>
                <w:sz w:val="11"/>
                <w:szCs w:val="11"/>
                <w:b w:val="1"/>
                <w:bCs w:val="1"/>
                <w:color w:val="auto"/>
              </w:rPr>
              <w:t>2016</w:t>
            </w:r>
          </w:p>
        </w:tc>
        <w:tc>
          <w:tcPr>
            <w:tcW w:w="1400" w:type="dxa"/>
            <w:vAlign w:val="bottom"/>
            <w:tcBorders>
              <w:bottom w:val="single" w:sz="8" w:color="auto"/>
            </w:tcBorders>
          </w:tcPr>
          <w:p>
            <w:pPr>
              <w:jc w:val="right"/>
              <w:ind w:right="493"/>
              <w:spacing w:after="0"/>
              <w:rPr>
                <w:sz w:val="20"/>
                <w:szCs w:val="20"/>
                <w:color w:val="auto"/>
              </w:rPr>
            </w:pPr>
            <w:r>
              <w:rPr>
                <w:rFonts w:ascii="Arial" w:cs="Arial" w:eastAsia="Arial" w:hAnsi="Arial"/>
                <w:sz w:val="11"/>
                <w:szCs w:val="11"/>
                <w:b w:val="1"/>
                <w:bCs w:val="1"/>
                <w:color w:val="auto"/>
              </w:rPr>
              <w:t>2018 vs 2017</w:t>
            </w:r>
          </w:p>
        </w:tc>
        <w:tc>
          <w:tcPr>
            <w:tcW w:w="1060" w:type="dxa"/>
            <w:vAlign w:val="bottom"/>
            <w:tcBorders>
              <w:bottom w:val="single" w:sz="8" w:color="auto"/>
            </w:tcBorders>
          </w:tcPr>
          <w:p>
            <w:pPr>
              <w:jc w:val="right"/>
              <w:ind w:right="213"/>
              <w:spacing w:after="0"/>
              <w:rPr>
                <w:sz w:val="20"/>
                <w:szCs w:val="20"/>
                <w:color w:val="auto"/>
              </w:rPr>
            </w:pPr>
            <w:r>
              <w:rPr>
                <w:rFonts w:ascii="Arial" w:cs="Arial" w:eastAsia="Arial" w:hAnsi="Arial"/>
                <w:sz w:val="11"/>
                <w:szCs w:val="11"/>
                <w:b w:val="1"/>
                <w:bCs w:val="1"/>
                <w:color w:val="auto"/>
              </w:rPr>
              <w:t>2017 vs 2016</w:t>
            </w:r>
          </w:p>
        </w:tc>
        <w:tc>
          <w:tcPr>
            <w:tcW w:w="200" w:type="dxa"/>
            <w:vAlign w:val="bottom"/>
          </w:tcPr>
          <w:p>
            <w:pPr>
              <w:spacing w:after="0"/>
              <w:rPr>
                <w:sz w:val="13"/>
                <w:szCs w:val="13"/>
                <w:color w:val="auto"/>
              </w:rPr>
            </w:pPr>
          </w:p>
        </w:tc>
      </w:tr>
      <w:tr>
        <w:trPr>
          <w:trHeight w:val="151"/>
        </w:trPr>
        <w:tc>
          <w:tcPr>
            <w:tcW w:w="3640" w:type="dxa"/>
            <w:vAlign w:val="bottom"/>
            <w:tcBorders>
              <w:top w:val="single" w:sz="8" w:color="CCEEFF"/>
            </w:tcBorders>
            <w:gridSpan w:val="2"/>
            <w:shd w:val="clear" w:color="auto" w:fill="CCEEFF"/>
          </w:tcPr>
          <w:p>
            <w:pPr>
              <w:spacing w:after="0" w:line="151" w:lineRule="exact"/>
              <w:rPr>
                <w:sz w:val="20"/>
                <w:szCs w:val="20"/>
                <w:color w:val="auto"/>
              </w:rPr>
            </w:pPr>
            <w:r>
              <w:rPr>
                <w:rFonts w:ascii="Arial" w:cs="Arial" w:eastAsia="Arial" w:hAnsi="Arial"/>
                <w:sz w:val="14"/>
                <w:szCs w:val="14"/>
                <w:color w:val="auto"/>
              </w:rPr>
              <w:t>Retail</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tcBorders>
            <w:shd w:val="clear" w:color="auto" w:fill="CCEEFF"/>
          </w:tcPr>
          <w:p>
            <w:pPr>
              <w:jc w:val="right"/>
              <w:ind w:right="71"/>
              <w:spacing w:after="0" w:line="151" w:lineRule="exact"/>
              <w:rPr>
                <w:sz w:val="20"/>
                <w:szCs w:val="20"/>
                <w:color w:val="auto"/>
              </w:rPr>
            </w:pPr>
            <w:r>
              <w:rPr>
                <w:rFonts w:ascii="Arial" w:cs="Arial" w:eastAsia="Arial" w:hAnsi="Arial"/>
                <w:sz w:val="14"/>
                <w:szCs w:val="14"/>
                <w:color w:val="auto"/>
              </w:rPr>
              <w:t>541,798</w:t>
            </w:r>
          </w:p>
        </w:tc>
        <w:tc>
          <w:tcPr>
            <w:tcW w:w="180" w:type="dxa"/>
            <w:vAlign w:val="bottom"/>
            <w:tcBorders>
              <w:top w:val="single" w:sz="8" w:color="auto"/>
            </w:tcBorders>
            <w:shd w:val="clear" w:color="auto" w:fill="CCEEFF"/>
          </w:tcPr>
          <w:p>
            <w:pPr>
              <w:jc w:val="right"/>
              <w:spacing w:after="0" w:line="151" w:lineRule="exact"/>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CEEFF"/>
          </w:tcPr>
          <w:p>
            <w:pPr>
              <w:jc w:val="right"/>
              <w:spacing w:after="0" w:line="151" w:lineRule="exact"/>
              <w:rPr>
                <w:sz w:val="20"/>
                <w:szCs w:val="20"/>
                <w:color w:val="auto"/>
              </w:rPr>
            </w:pPr>
            <w:r>
              <w:rPr>
                <w:rFonts w:ascii="Arial" w:cs="Arial" w:eastAsia="Arial" w:hAnsi="Arial"/>
                <w:sz w:val="14"/>
                <w:szCs w:val="14"/>
                <w:color w:val="auto"/>
              </w:rPr>
              <w:t>489,269</w:t>
            </w:r>
          </w:p>
        </w:tc>
        <w:tc>
          <w:tcPr>
            <w:tcW w:w="260" w:type="dxa"/>
            <w:vAlign w:val="bottom"/>
            <w:tcBorders>
              <w:top w:val="single" w:sz="8" w:color="auto"/>
            </w:tcBorders>
            <w:shd w:val="clear" w:color="auto" w:fill="CCEEFF"/>
          </w:tcPr>
          <w:p>
            <w:pPr>
              <w:jc w:val="right"/>
              <w:spacing w:after="0" w:line="151" w:lineRule="exact"/>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shd w:val="clear" w:color="auto" w:fill="CCEEFF"/>
          </w:tcPr>
          <w:p>
            <w:pPr>
              <w:jc w:val="right"/>
              <w:ind w:right="193"/>
              <w:spacing w:after="0" w:line="151" w:lineRule="exact"/>
              <w:rPr>
                <w:sz w:val="20"/>
                <w:szCs w:val="20"/>
                <w:color w:val="auto"/>
              </w:rPr>
            </w:pPr>
            <w:r>
              <w:rPr>
                <w:rFonts w:ascii="Arial" w:cs="Arial" w:eastAsia="Arial" w:hAnsi="Arial"/>
                <w:sz w:val="14"/>
                <w:szCs w:val="14"/>
                <w:color w:val="auto"/>
              </w:rPr>
              <w:t>465,601</w:t>
            </w:r>
          </w:p>
        </w:tc>
        <w:tc>
          <w:tcPr>
            <w:tcW w:w="1400" w:type="dxa"/>
            <w:vAlign w:val="bottom"/>
            <w:tcBorders>
              <w:top w:val="single" w:sz="8" w:color="auto"/>
            </w:tcBorders>
            <w:shd w:val="clear" w:color="auto" w:fill="CCEEFF"/>
          </w:tcPr>
          <w:p>
            <w:pPr>
              <w:jc w:val="right"/>
              <w:ind w:right="113"/>
              <w:spacing w:after="0" w:line="151" w:lineRule="exact"/>
              <w:rPr>
                <w:sz w:val="20"/>
                <w:szCs w:val="20"/>
                <w:color w:val="auto"/>
              </w:rPr>
            </w:pPr>
            <w:r>
              <w:rPr>
                <w:rFonts w:ascii="Arial" w:cs="Arial" w:eastAsia="Arial" w:hAnsi="Arial"/>
                <w:sz w:val="14"/>
                <w:szCs w:val="14"/>
                <w:color w:val="auto"/>
              </w:rPr>
              <w:t>10.7 %</w:t>
            </w:r>
          </w:p>
        </w:tc>
        <w:tc>
          <w:tcPr>
            <w:tcW w:w="1060" w:type="dxa"/>
            <w:vAlign w:val="bottom"/>
            <w:tcBorders>
              <w:top w:val="single" w:sz="8" w:color="auto"/>
            </w:tcBorders>
            <w:shd w:val="clear" w:color="auto" w:fill="CCEEFF"/>
          </w:tcPr>
          <w:p>
            <w:pPr>
              <w:jc w:val="right"/>
              <w:spacing w:after="0" w:line="151" w:lineRule="exact"/>
              <w:rPr>
                <w:sz w:val="20"/>
                <w:szCs w:val="20"/>
                <w:color w:val="auto"/>
              </w:rPr>
            </w:pPr>
            <w:r>
              <w:rPr>
                <w:rFonts w:ascii="Arial" w:cs="Arial" w:eastAsia="Arial" w:hAnsi="Arial"/>
                <w:sz w:val="14"/>
                <w:szCs w:val="14"/>
                <w:color w:val="auto"/>
              </w:rPr>
              <w:t>5.1</w:t>
            </w:r>
          </w:p>
        </w:tc>
        <w:tc>
          <w:tcPr>
            <w:tcW w:w="200" w:type="dxa"/>
            <w:vAlign w:val="bottom"/>
            <w:tcBorders>
              <w:top w:val="single" w:sz="8" w:color="CCEEFF"/>
            </w:tcBorders>
            <w:shd w:val="clear" w:color="auto" w:fill="CCEEFF"/>
          </w:tcPr>
          <w:p>
            <w:pPr>
              <w:jc w:val="right"/>
              <w:ind w:right="9"/>
              <w:spacing w:after="0" w:line="151" w:lineRule="exact"/>
              <w:rPr>
                <w:sz w:val="20"/>
                <w:szCs w:val="20"/>
                <w:color w:val="auto"/>
              </w:rPr>
            </w:pPr>
            <w:r>
              <w:rPr>
                <w:rFonts w:ascii="Arial" w:cs="Arial" w:eastAsia="Arial" w:hAnsi="Arial"/>
                <w:sz w:val="14"/>
                <w:szCs w:val="14"/>
                <w:color w:val="auto"/>
                <w:w w:val="79"/>
              </w:rPr>
              <w:t>%</w:t>
            </w:r>
          </w:p>
        </w:tc>
      </w:tr>
      <w:tr>
        <w:trPr>
          <w:trHeight w:val="170"/>
        </w:trPr>
        <w:tc>
          <w:tcPr>
            <w:tcW w:w="3640" w:type="dxa"/>
            <w:vAlign w:val="bottom"/>
            <w:gridSpan w:val="2"/>
          </w:tcPr>
          <w:p>
            <w:pPr>
              <w:spacing w:after="0"/>
              <w:rPr>
                <w:sz w:val="20"/>
                <w:szCs w:val="20"/>
                <w:color w:val="auto"/>
              </w:rPr>
            </w:pPr>
            <w:r>
              <w:rPr>
                <w:rFonts w:ascii="Arial" w:cs="Arial" w:eastAsia="Arial" w:hAnsi="Arial"/>
                <w:sz w:val="14"/>
                <w:szCs w:val="14"/>
                <w:color w:val="auto"/>
              </w:rPr>
              <w:t>Industrial</w:t>
            </w:r>
          </w:p>
        </w:tc>
        <w:tc>
          <w:tcPr>
            <w:tcW w:w="100" w:type="dxa"/>
            <w:vAlign w:val="bottom"/>
          </w:tcPr>
          <w:p>
            <w:pPr>
              <w:spacing w:after="0"/>
              <w:rPr>
                <w:sz w:val="14"/>
                <w:szCs w:val="14"/>
                <w:color w:val="auto"/>
              </w:rPr>
            </w:pPr>
          </w:p>
        </w:tc>
        <w:tc>
          <w:tcPr>
            <w:tcW w:w="720" w:type="dxa"/>
            <w:vAlign w:val="bottom"/>
          </w:tcPr>
          <w:p>
            <w:pPr>
              <w:jc w:val="right"/>
              <w:ind w:right="71"/>
              <w:spacing w:after="0"/>
              <w:rPr>
                <w:sz w:val="20"/>
                <w:szCs w:val="20"/>
                <w:color w:val="auto"/>
              </w:rPr>
            </w:pPr>
            <w:r>
              <w:rPr>
                <w:rFonts w:ascii="Arial" w:cs="Arial" w:eastAsia="Arial" w:hAnsi="Arial"/>
                <w:sz w:val="14"/>
                <w:szCs w:val="14"/>
                <w:color w:val="auto"/>
              </w:rPr>
              <w:t>213,178</w:t>
            </w: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157,633</w:t>
            </w:r>
          </w:p>
        </w:tc>
        <w:tc>
          <w:tcPr>
            <w:tcW w:w="260" w:type="dxa"/>
            <w:vAlign w:val="bottom"/>
          </w:tcPr>
          <w:p>
            <w:pPr>
              <w:spacing w:after="0"/>
              <w:rPr>
                <w:sz w:val="14"/>
                <w:szCs w:val="14"/>
                <w:color w:val="auto"/>
              </w:rPr>
            </w:pPr>
          </w:p>
        </w:tc>
        <w:tc>
          <w:tcPr>
            <w:tcW w:w="860" w:type="dxa"/>
            <w:vAlign w:val="bottom"/>
          </w:tcPr>
          <w:p>
            <w:pPr>
              <w:jc w:val="right"/>
              <w:ind w:right="193"/>
              <w:spacing w:after="0"/>
              <w:rPr>
                <w:sz w:val="20"/>
                <w:szCs w:val="20"/>
                <w:color w:val="auto"/>
              </w:rPr>
            </w:pPr>
            <w:r>
              <w:rPr>
                <w:rFonts w:ascii="Arial" w:cs="Arial" w:eastAsia="Arial" w:hAnsi="Arial"/>
                <w:sz w:val="14"/>
                <w:szCs w:val="14"/>
                <w:color w:val="auto"/>
              </w:rPr>
              <w:t>115,867</w:t>
            </w:r>
          </w:p>
        </w:tc>
        <w:tc>
          <w:tcPr>
            <w:tcW w:w="1400" w:type="dxa"/>
            <w:vAlign w:val="bottom"/>
          </w:tcPr>
          <w:p>
            <w:pPr>
              <w:jc w:val="right"/>
              <w:ind w:right="273"/>
              <w:spacing w:after="0"/>
              <w:rPr>
                <w:sz w:val="20"/>
                <w:szCs w:val="20"/>
                <w:color w:val="auto"/>
              </w:rPr>
            </w:pPr>
            <w:r>
              <w:rPr>
                <w:rFonts w:ascii="Arial" w:cs="Arial" w:eastAsia="Arial" w:hAnsi="Arial"/>
                <w:sz w:val="14"/>
                <w:szCs w:val="14"/>
                <w:color w:val="auto"/>
              </w:rPr>
              <w:t>35.2</w:t>
            </w:r>
          </w:p>
        </w:tc>
        <w:tc>
          <w:tcPr>
            <w:tcW w:w="1060" w:type="dxa"/>
            <w:vAlign w:val="bottom"/>
          </w:tcPr>
          <w:p>
            <w:pPr>
              <w:jc w:val="right"/>
              <w:spacing w:after="0"/>
              <w:rPr>
                <w:sz w:val="20"/>
                <w:szCs w:val="20"/>
                <w:color w:val="auto"/>
              </w:rPr>
            </w:pPr>
            <w:r>
              <w:rPr>
                <w:rFonts w:ascii="Arial" w:cs="Arial" w:eastAsia="Arial" w:hAnsi="Arial"/>
                <w:sz w:val="14"/>
                <w:szCs w:val="14"/>
                <w:color w:val="auto"/>
              </w:rPr>
              <w:t>36.0</w:t>
            </w:r>
          </w:p>
        </w:tc>
        <w:tc>
          <w:tcPr>
            <w:tcW w:w="200" w:type="dxa"/>
            <w:vAlign w:val="bottom"/>
          </w:tcPr>
          <w:p>
            <w:pPr>
              <w:spacing w:after="0"/>
              <w:rPr>
                <w:sz w:val="14"/>
                <w:szCs w:val="14"/>
                <w:color w:val="auto"/>
              </w:rPr>
            </w:pPr>
          </w:p>
        </w:tc>
      </w:tr>
      <w:tr>
        <w:trPr>
          <w:trHeight w:val="190"/>
        </w:trPr>
        <w:tc>
          <w:tcPr>
            <w:tcW w:w="36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Construction</w:t>
            </w:r>
          </w:p>
        </w:tc>
        <w:tc>
          <w:tcPr>
            <w:tcW w:w="10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4"/>
                <w:szCs w:val="14"/>
                <w:color w:val="auto"/>
              </w:rPr>
              <w:t>550,630</w:t>
            </w:r>
          </w:p>
        </w:tc>
        <w:tc>
          <w:tcPr>
            <w:tcW w:w="18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510,144</w:t>
            </w:r>
          </w:p>
        </w:tc>
        <w:tc>
          <w:tcPr>
            <w:tcW w:w="26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ind w:right="193"/>
              <w:spacing w:after="0"/>
              <w:rPr>
                <w:sz w:val="20"/>
                <w:szCs w:val="20"/>
                <w:color w:val="auto"/>
              </w:rPr>
            </w:pPr>
            <w:r>
              <w:rPr>
                <w:rFonts w:ascii="Arial" w:cs="Arial" w:eastAsia="Arial" w:hAnsi="Arial"/>
                <w:sz w:val="14"/>
                <w:szCs w:val="14"/>
                <w:color w:val="auto"/>
              </w:rPr>
              <w:t>438,968</w:t>
            </w:r>
          </w:p>
        </w:tc>
        <w:tc>
          <w:tcPr>
            <w:tcW w:w="1400" w:type="dxa"/>
            <w:vAlign w:val="bottom"/>
            <w:tcBorders>
              <w:bottom w:val="single" w:sz="8" w:color="auto"/>
            </w:tcBorders>
            <w:shd w:val="clear" w:color="auto" w:fill="CCEEFF"/>
          </w:tcPr>
          <w:p>
            <w:pPr>
              <w:jc w:val="right"/>
              <w:ind w:right="273"/>
              <w:spacing w:after="0"/>
              <w:rPr>
                <w:sz w:val="20"/>
                <w:szCs w:val="20"/>
                <w:color w:val="auto"/>
              </w:rPr>
            </w:pPr>
            <w:r>
              <w:rPr>
                <w:rFonts w:ascii="Arial" w:cs="Arial" w:eastAsia="Arial" w:hAnsi="Arial"/>
                <w:sz w:val="14"/>
                <w:szCs w:val="14"/>
                <w:color w:val="auto"/>
              </w:rPr>
              <w:t>7.9</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16.2</w:t>
            </w:r>
          </w:p>
        </w:tc>
        <w:tc>
          <w:tcPr>
            <w:tcW w:w="200" w:type="dxa"/>
            <w:vAlign w:val="bottom"/>
            <w:tcBorders>
              <w:bottom w:val="single" w:sz="8" w:color="CCEEFF"/>
            </w:tcBorders>
            <w:shd w:val="clear" w:color="auto" w:fill="CCEEFF"/>
          </w:tcPr>
          <w:p>
            <w:pPr>
              <w:spacing w:after="0"/>
              <w:rPr>
                <w:sz w:val="16"/>
                <w:szCs w:val="16"/>
                <w:color w:val="auto"/>
              </w:rPr>
            </w:pPr>
          </w:p>
        </w:tc>
      </w:tr>
      <w:tr>
        <w:trPr>
          <w:trHeight w:val="151"/>
        </w:trPr>
        <w:tc>
          <w:tcPr>
            <w:tcW w:w="3640" w:type="dxa"/>
            <w:vAlign w:val="bottom"/>
            <w:gridSpan w:val="2"/>
          </w:tcPr>
          <w:p>
            <w:pPr>
              <w:spacing w:after="0" w:line="151" w:lineRule="exact"/>
              <w:rPr>
                <w:sz w:val="20"/>
                <w:szCs w:val="20"/>
                <w:color w:val="auto"/>
              </w:rPr>
            </w:pPr>
            <w:r>
              <w:rPr>
                <w:rFonts w:ascii="Arial" w:cs="Arial" w:eastAsia="Arial" w:hAnsi="Arial"/>
                <w:sz w:val="14"/>
                <w:szCs w:val="14"/>
                <w:color w:val="auto"/>
              </w:rPr>
              <w:t>Total Gross Sales</w:t>
            </w:r>
          </w:p>
        </w:tc>
        <w:tc>
          <w:tcPr>
            <w:tcW w:w="100" w:type="dxa"/>
            <w:vAlign w:val="bottom"/>
          </w:tcPr>
          <w:p>
            <w:pPr>
              <w:spacing w:after="0"/>
              <w:rPr>
                <w:sz w:val="13"/>
                <w:szCs w:val="13"/>
                <w:color w:val="auto"/>
              </w:rPr>
            </w:pPr>
          </w:p>
        </w:tc>
        <w:tc>
          <w:tcPr>
            <w:tcW w:w="720" w:type="dxa"/>
            <w:vAlign w:val="bottom"/>
          </w:tcPr>
          <w:p>
            <w:pPr>
              <w:jc w:val="right"/>
              <w:ind w:right="71"/>
              <w:spacing w:after="0" w:line="151" w:lineRule="exact"/>
              <w:rPr>
                <w:sz w:val="20"/>
                <w:szCs w:val="20"/>
                <w:color w:val="auto"/>
              </w:rPr>
            </w:pPr>
            <w:r>
              <w:rPr>
                <w:rFonts w:ascii="Arial" w:cs="Arial" w:eastAsia="Arial" w:hAnsi="Arial"/>
                <w:sz w:val="14"/>
                <w:szCs w:val="14"/>
                <w:color w:val="auto"/>
                <w:w w:val="89"/>
              </w:rPr>
              <w:t>1,305,606</w:t>
            </w:r>
          </w:p>
        </w:tc>
        <w:tc>
          <w:tcPr>
            <w:tcW w:w="180" w:type="dxa"/>
            <w:vAlign w:val="bottom"/>
          </w:tcPr>
          <w:p>
            <w:pPr>
              <w:spacing w:after="0"/>
              <w:rPr>
                <w:sz w:val="13"/>
                <w:szCs w:val="13"/>
                <w:color w:val="auto"/>
              </w:rPr>
            </w:pPr>
          </w:p>
        </w:tc>
        <w:tc>
          <w:tcPr>
            <w:tcW w:w="680" w:type="dxa"/>
            <w:vAlign w:val="bottom"/>
          </w:tcPr>
          <w:p>
            <w:pPr>
              <w:jc w:val="right"/>
              <w:spacing w:after="0" w:line="151" w:lineRule="exact"/>
              <w:rPr>
                <w:sz w:val="20"/>
                <w:szCs w:val="20"/>
                <w:color w:val="auto"/>
              </w:rPr>
            </w:pPr>
            <w:r>
              <w:rPr>
                <w:rFonts w:ascii="Arial" w:cs="Arial" w:eastAsia="Arial" w:hAnsi="Arial"/>
                <w:sz w:val="14"/>
                <w:szCs w:val="14"/>
                <w:color w:val="auto"/>
                <w:w w:val="96"/>
              </w:rPr>
              <w:t>1,157,046</w:t>
            </w:r>
          </w:p>
        </w:tc>
        <w:tc>
          <w:tcPr>
            <w:tcW w:w="260" w:type="dxa"/>
            <w:vAlign w:val="bottom"/>
          </w:tcPr>
          <w:p>
            <w:pPr>
              <w:spacing w:after="0"/>
              <w:rPr>
                <w:sz w:val="13"/>
                <w:szCs w:val="13"/>
                <w:color w:val="auto"/>
              </w:rPr>
            </w:pPr>
          </w:p>
        </w:tc>
        <w:tc>
          <w:tcPr>
            <w:tcW w:w="860" w:type="dxa"/>
            <w:vAlign w:val="bottom"/>
          </w:tcPr>
          <w:p>
            <w:pPr>
              <w:jc w:val="right"/>
              <w:ind w:right="193"/>
              <w:spacing w:after="0" w:line="151" w:lineRule="exact"/>
              <w:rPr>
                <w:sz w:val="20"/>
                <w:szCs w:val="20"/>
                <w:color w:val="auto"/>
              </w:rPr>
            </w:pPr>
            <w:r>
              <w:rPr>
                <w:rFonts w:ascii="Arial" w:cs="Arial" w:eastAsia="Arial" w:hAnsi="Arial"/>
                <w:sz w:val="14"/>
                <w:szCs w:val="14"/>
                <w:color w:val="auto"/>
                <w:w w:val="93"/>
              </w:rPr>
              <w:t>1,020,436</w:t>
            </w:r>
          </w:p>
        </w:tc>
        <w:tc>
          <w:tcPr>
            <w:tcW w:w="1400" w:type="dxa"/>
            <w:vAlign w:val="bottom"/>
          </w:tcPr>
          <w:p>
            <w:pPr>
              <w:jc w:val="right"/>
              <w:ind w:right="113"/>
              <w:spacing w:after="0" w:line="151" w:lineRule="exact"/>
              <w:rPr>
                <w:sz w:val="20"/>
                <w:szCs w:val="20"/>
                <w:color w:val="auto"/>
              </w:rPr>
            </w:pPr>
            <w:r>
              <w:rPr>
                <w:rFonts w:ascii="Arial" w:cs="Arial" w:eastAsia="Arial" w:hAnsi="Arial"/>
                <w:sz w:val="14"/>
                <w:szCs w:val="14"/>
                <w:color w:val="auto"/>
              </w:rPr>
              <w:t>12.8 %</w:t>
            </w:r>
          </w:p>
        </w:tc>
        <w:tc>
          <w:tcPr>
            <w:tcW w:w="1060" w:type="dxa"/>
            <w:vAlign w:val="bottom"/>
          </w:tcPr>
          <w:p>
            <w:pPr>
              <w:jc w:val="right"/>
              <w:spacing w:after="0" w:line="151" w:lineRule="exact"/>
              <w:rPr>
                <w:sz w:val="20"/>
                <w:szCs w:val="20"/>
                <w:color w:val="auto"/>
              </w:rPr>
            </w:pPr>
            <w:r>
              <w:rPr>
                <w:rFonts w:ascii="Arial" w:cs="Arial" w:eastAsia="Arial" w:hAnsi="Arial"/>
                <w:sz w:val="14"/>
                <w:szCs w:val="14"/>
                <w:color w:val="auto"/>
              </w:rPr>
              <w:t>13.4</w:t>
            </w:r>
          </w:p>
        </w:tc>
        <w:tc>
          <w:tcPr>
            <w:tcW w:w="200" w:type="dxa"/>
            <w:vAlign w:val="bottom"/>
          </w:tcPr>
          <w:p>
            <w:pPr>
              <w:jc w:val="right"/>
              <w:ind w:right="9"/>
              <w:spacing w:after="0" w:line="151" w:lineRule="exact"/>
              <w:rPr>
                <w:sz w:val="20"/>
                <w:szCs w:val="20"/>
                <w:color w:val="auto"/>
              </w:rPr>
            </w:pPr>
            <w:r>
              <w:rPr>
                <w:rFonts w:ascii="Arial" w:cs="Arial" w:eastAsia="Arial" w:hAnsi="Arial"/>
                <w:sz w:val="14"/>
                <w:szCs w:val="14"/>
                <w:color w:val="auto"/>
                <w:w w:val="79"/>
              </w:rPr>
              <w:t>%</w:t>
            </w:r>
          </w:p>
        </w:tc>
      </w:tr>
      <w:tr>
        <w:trPr>
          <w:trHeight w:val="190"/>
        </w:trPr>
        <w:tc>
          <w:tcPr>
            <w:tcW w:w="36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Sales Allowances</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(26,147)</w:t>
            </w: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(23,390)</w:t>
            </w: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153"/>
              <w:spacing w:after="0"/>
              <w:rPr>
                <w:sz w:val="20"/>
                <w:szCs w:val="20"/>
                <w:color w:val="auto"/>
              </w:rPr>
            </w:pPr>
            <w:r>
              <w:rPr>
                <w:rFonts w:ascii="Arial" w:cs="Arial" w:eastAsia="Arial" w:hAnsi="Arial"/>
                <w:sz w:val="14"/>
                <w:szCs w:val="14"/>
                <w:color w:val="auto"/>
              </w:rPr>
              <w:t>(20,010)</w:t>
            </w:r>
          </w:p>
        </w:tc>
        <w:tc>
          <w:tcPr>
            <w:tcW w:w="1400" w:type="dxa"/>
            <w:vAlign w:val="bottom"/>
            <w:shd w:val="clear" w:color="auto" w:fill="CCEEFF"/>
          </w:tcPr>
          <w:p>
            <w:pPr>
              <w:jc w:val="right"/>
              <w:ind w:right="233"/>
              <w:spacing w:after="0"/>
              <w:rPr>
                <w:sz w:val="20"/>
                <w:szCs w:val="20"/>
                <w:color w:val="auto"/>
              </w:rPr>
            </w:pPr>
            <w:r>
              <w:rPr>
                <w:rFonts w:ascii="Arial" w:cs="Arial" w:eastAsia="Arial" w:hAnsi="Arial"/>
                <w:sz w:val="14"/>
                <w:szCs w:val="14"/>
                <w:color w:val="auto"/>
              </w:rPr>
              <w:t>(11.8)</w:t>
            </w:r>
          </w:p>
        </w:tc>
        <w:tc>
          <w:tcPr>
            <w:tcW w:w="1260" w:type="dxa"/>
            <w:vAlign w:val="bottom"/>
            <w:gridSpan w:val="2"/>
            <w:shd w:val="clear" w:color="auto" w:fill="CCEEFF"/>
          </w:tcPr>
          <w:p>
            <w:pPr>
              <w:jc w:val="right"/>
              <w:ind w:right="129"/>
              <w:spacing w:after="0"/>
              <w:rPr>
                <w:sz w:val="20"/>
                <w:szCs w:val="20"/>
                <w:color w:val="auto"/>
              </w:rPr>
            </w:pPr>
            <w:r>
              <w:rPr>
                <w:rFonts w:ascii="Arial" w:cs="Arial" w:eastAsia="Arial" w:hAnsi="Arial"/>
                <w:sz w:val="14"/>
                <w:szCs w:val="14"/>
                <w:color w:val="auto"/>
              </w:rPr>
              <w:t>(16.9)</w:t>
            </w:r>
          </w:p>
        </w:tc>
      </w:tr>
      <w:tr>
        <w:trPr>
          <w:trHeight w:val="152"/>
        </w:trPr>
        <w:tc>
          <w:tcPr>
            <w:tcW w:w="3640" w:type="dxa"/>
            <w:vAlign w:val="bottom"/>
            <w:tcBorders>
              <w:top w:val="single" w:sz="8" w:color="CCEEFF"/>
            </w:tcBorders>
            <w:gridSpan w:val="2"/>
          </w:tcPr>
          <w:p>
            <w:pPr>
              <w:spacing w:after="0" w:line="151" w:lineRule="exact"/>
              <w:rPr>
                <w:sz w:val="20"/>
                <w:szCs w:val="20"/>
                <w:color w:val="auto"/>
              </w:rPr>
            </w:pPr>
            <w:r>
              <w:rPr>
                <w:rFonts w:ascii="Arial" w:cs="Arial" w:eastAsia="Arial" w:hAnsi="Arial"/>
                <w:sz w:val="14"/>
                <w:szCs w:val="14"/>
                <w:color w:val="auto"/>
              </w:rPr>
              <w:t>Total Net Sales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ind w:right="71"/>
              <w:spacing w:after="0" w:line="151" w:lineRule="exact"/>
              <w:rPr>
                <w:sz w:val="20"/>
                <w:szCs w:val="20"/>
                <w:color w:val="auto"/>
              </w:rPr>
            </w:pPr>
            <w:r>
              <w:rPr>
                <w:rFonts w:ascii="Arial" w:cs="Arial" w:eastAsia="Arial" w:hAnsi="Arial"/>
                <w:sz w:val="14"/>
                <w:szCs w:val="14"/>
                <w:color w:val="auto"/>
                <w:w w:val="89"/>
              </w:rPr>
              <w:t>1,279,459</w:t>
            </w:r>
          </w:p>
        </w:tc>
        <w:tc>
          <w:tcPr>
            <w:tcW w:w="180" w:type="dxa"/>
            <w:vAlign w:val="bottom"/>
            <w:tcBorders>
              <w:top w:val="single" w:sz="8" w:color="auto"/>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right"/>
              <w:spacing w:after="0" w:line="151" w:lineRule="exact"/>
              <w:rPr>
                <w:sz w:val="20"/>
                <w:szCs w:val="20"/>
                <w:color w:val="auto"/>
              </w:rPr>
            </w:pPr>
            <w:r>
              <w:rPr>
                <w:rFonts w:ascii="Arial" w:cs="Arial" w:eastAsia="Arial" w:hAnsi="Arial"/>
                <w:sz w:val="14"/>
                <w:szCs w:val="14"/>
                <w:color w:val="auto"/>
                <w:w w:val="96"/>
              </w:rPr>
              <w:t>1,133,656</w:t>
            </w:r>
          </w:p>
        </w:tc>
        <w:tc>
          <w:tcPr>
            <w:tcW w:w="260" w:type="dxa"/>
            <w:vAlign w:val="bottom"/>
            <w:tcBorders>
              <w:top w:val="single" w:sz="8" w:color="auto"/>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ind w:right="193"/>
              <w:spacing w:after="0" w:line="151" w:lineRule="exact"/>
              <w:rPr>
                <w:sz w:val="20"/>
                <w:szCs w:val="20"/>
                <w:color w:val="auto"/>
              </w:rPr>
            </w:pPr>
            <w:r>
              <w:rPr>
                <w:rFonts w:ascii="Arial" w:cs="Arial" w:eastAsia="Arial" w:hAnsi="Arial"/>
                <w:sz w:val="14"/>
                <w:szCs w:val="14"/>
                <w:color w:val="auto"/>
                <w:w w:val="93"/>
              </w:rPr>
              <w:t>1,000,426</w:t>
            </w:r>
          </w:p>
        </w:tc>
        <w:tc>
          <w:tcPr>
            <w:tcW w:w="1400" w:type="dxa"/>
            <w:vAlign w:val="bottom"/>
            <w:tcBorders>
              <w:top w:val="single" w:sz="8" w:color="auto"/>
              <w:bottom w:val="single" w:sz="8" w:color="auto"/>
            </w:tcBorders>
          </w:tcPr>
          <w:p>
            <w:pPr>
              <w:jc w:val="right"/>
              <w:ind w:right="113"/>
              <w:spacing w:after="0" w:line="151" w:lineRule="exact"/>
              <w:rPr>
                <w:sz w:val="20"/>
                <w:szCs w:val="20"/>
                <w:color w:val="auto"/>
              </w:rPr>
            </w:pPr>
            <w:r>
              <w:rPr>
                <w:rFonts w:ascii="Arial" w:cs="Arial" w:eastAsia="Arial" w:hAnsi="Arial"/>
                <w:sz w:val="14"/>
                <w:szCs w:val="14"/>
                <w:color w:val="auto"/>
              </w:rPr>
              <w:t>12.9 %</w:t>
            </w:r>
          </w:p>
        </w:tc>
        <w:tc>
          <w:tcPr>
            <w:tcW w:w="1060" w:type="dxa"/>
            <w:vAlign w:val="bottom"/>
            <w:tcBorders>
              <w:top w:val="single" w:sz="8" w:color="auto"/>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13.3</w:t>
            </w:r>
          </w:p>
        </w:tc>
        <w:tc>
          <w:tcPr>
            <w:tcW w:w="200" w:type="dxa"/>
            <w:vAlign w:val="bottom"/>
            <w:tcBorders>
              <w:top w:val="single" w:sz="8" w:color="CCEEFF"/>
            </w:tcBorders>
          </w:tcPr>
          <w:p>
            <w:pPr>
              <w:jc w:val="right"/>
              <w:ind w:right="9"/>
              <w:spacing w:after="0" w:line="151" w:lineRule="exact"/>
              <w:rPr>
                <w:sz w:val="20"/>
                <w:szCs w:val="20"/>
                <w:color w:val="auto"/>
              </w:rPr>
            </w:pPr>
            <w:r>
              <w:rPr>
                <w:rFonts w:ascii="Arial" w:cs="Arial" w:eastAsia="Arial" w:hAnsi="Arial"/>
                <w:sz w:val="14"/>
                <w:szCs w:val="14"/>
                <w:color w:val="auto"/>
                <w:w w:val="79"/>
              </w:rPr>
              <w:t>%</w:t>
            </w:r>
          </w:p>
        </w:tc>
      </w:tr>
    </w:tbl>
    <w:p>
      <w:pPr>
        <w:spacing w:after="0" w:line="329" w:lineRule="exact"/>
        <w:rPr>
          <w:sz w:val="20"/>
          <w:szCs w:val="20"/>
          <w:color w:val="auto"/>
        </w:rPr>
      </w:pPr>
    </w:p>
    <w:p>
      <w:pPr>
        <w:spacing w:after="0"/>
        <w:rPr>
          <w:sz w:val="20"/>
          <w:szCs w:val="20"/>
          <w:color w:val="auto"/>
        </w:rPr>
      </w:pPr>
      <w:r>
        <w:rPr>
          <w:rFonts w:ascii="Arial" w:cs="Arial" w:eastAsia="Arial" w:hAnsi="Arial"/>
          <w:sz w:val="14"/>
          <w:szCs w:val="14"/>
          <w:color w:val="auto"/>
        </w:rPr>
        <w:t>Net sales attributable to the North reportable segment increased by $145.8 million, or 12.9%, in 2018, due primarily to the following factors:</w:t>
      </w:r>
    </w:p>
    <w:p>
      <w:pPr>
        <w:spacing w:after="0" w:line="179" w:lineRule="exact"/>
        <w:rPr>
          <w:sz w:val="20"/>
          <w:szCs w:val="20"/>
          <w:color w:val="auto"/>
        </w:rPr>
      </w:pPr>
    </w:p>
    <w:p>
      <w:pPr>
        <w:ind w:left="520" w:hanging="261"/>
        <w:spacing w:after="0"/>
        <w:tabs>
          <w:tab w:leader="none" w:pos="520" w:val="left"/>
        </w:tabs>
        <w:numPr>
          <w:ilvl w:val="0"/>
          <w:numId w:val="29"/>
        </w:numPr>
        <w:rPr>
          <w:rFonts w:ascii="Arial" w:cs="Arial" w:eastAsia="Arial" w:hAnsi="Arial"/>
          <w:sz w:val="13"/>
          <w:szCs w:val="13"/>
          <w:color w:val="auto"/>
        </w:rPr>
      </w:pPr>
      <w:r>
        <w:rPr>
          <w:rFonts w:ascii="Arial" w:cs="Arial" w:eastAsia="Arial" w:hAnsi="Arial"/>
          <w:sz w:val="13"/>
          <w:szCs w:val="13"/>
          <w:color w:val="auto"/>
        </w:rPr>
        <w:t>Acquired operations contributed almost $27 million and $6 million to our growth in sales to the industrial and construction markets, respectively.</w:t>
      </w:r>
    </w:p>
    <w:p>
      <w:pPr>
        <w:spacing w:after="0" w:line="190" w:lineRule="exact"/>
        <w:rPr>
          <w:rFonts w:ascii="Arial" w:cs="Arial" w:eastAsia="Arial" w:hAnsi="Arial"/>
          <w:sz w:val="13"/>
          <w:szCs w:val="13"/>
          <w:color w:val="auto"/>
        </w:rPr>
      </w:pPr>
    </w:p>
    <w:p>
      <w:pPr>
        <w:ind w:left="520" w:hanging="261"/>
        <w:spacing w:after="0"/>
        <w:tabs>
          <w:tab w:leader="none" w:pos="5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Higher lumber prices resulted in an increase in our selling prices.</w:t>
      </w:r>
    </w:p>
    <w:p>
      <w:pPr>
        <w:spacing w:after="0" w:line="178" w:lineRule="exact"/>
        <w:rPr>
          <w:rFonts w:ascii="Arial" w:cs="Arial" w:eastAsia="Arial" w:hAnsi="Arial"/>
          <w:sz w:val="14"/>
          <w:szCs w:val="14"/>
          <w:color w:val="auto"/>
        </w:rPr>
      </w:pPr>
    </w:p>
    <w:p>
      <w:pPr>
        <w:ind w:left="520" w:hanging="261"/>
        <w:spacing w:after="0"/>
        <w:tabs>
          <w:tab w:leader="none" w:pos="5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Organic unit sales growth primarily to the retail and industrial markets.</w:t>
      </w:r>
    </w:p>
    <w:p>
      <w:pPr>
        <w:spacing w:after="0" w:line="179"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Earnings from operations for the North reportable segment increased in 2018 by $4.9 million, or 8.0%, due to an increase in gross profit of $7.9 million, offset by a $3.0 million increase in SG&amp;A expenses compared to last year. Acquired operations contributed $1.6 million to the North’s operating profits in 2018. Gross profits and SG&amp;A were impacted by the same factors discussed under “Cost of Goods Sold and Gross Profit” and “Selling, General, and Administrative Expenses.”</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color w:val="auto"/>
        </w:rPr>
        <w:t>Net sales attributable to the North reportable segment increased by $133 million, or 13.3%, in 2017, due primarily to the following factors:</w:t>
      </w:r>
    </w:p>
    <w:p>
      <w:pPr>
        <w:spacing w:after="0" w:line="179" w:lineRule="exact"/>
        <w:rPr>
          <w:sz w:val="20"/>
          <w:szCs w:val="20"/>
          <w:color w:val="auto"/>
        </w:rPr>
      </w:pPr>
    </w:p>
    <w:p>
      <w:pPr>
        <w:ind w:left="520" w:hanging="261"/>
        <w:spacing w:after="0"/>
        <w:tabs>
          <w:tab w:leader="none" w:pos="5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Acquired operations contributed over $29 million to our growth in sales to the industrial market.</w:t>
      </w:r>
    </w:p>
    <w:p>
      <w:pPr>
        <w:spacing w:after="0" w:line="178" w:lineRule="exact"/>
        <w:rPr>
          <w:rFonts w:ascii="Arial" w:cs="Arial" w:eastAsia="Arial" w:hAnsi="Arial"/>
          <w:sz w:val="14"/>
          <w:szCs w:val="14"/>
          <w:color w:val="auto"/>
        </w:rPr>
      </w:pPr>
    </w:p>
    <w:p>
      <w:pPr>
        <w:ind w:left="520" w:hanging="261"/>
        <w:spacing w:after="0"/>
        <w:tabs>
          <w:tab w:leader="none" w:pos="5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Higher lumber prices resulted in an increase in our selling prices.</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66675</wp:posOffset>
            </wp:positionV>
            <wp:extent cx="5779135" cy="203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0">
                      <a:extLst>
                        <a:ext uri="{28A0092B-C50C-407E-A947-70E740481C1C}"/>
                      </a:extLst>
                    </a:blip>
                    <a:srcRect/>
                    <a:stretch>
                      <a:fillRect/>
                    </a:stretch>
                  </pic:blipFill>
                  <pic:spPr bwMode="auto">
                    <a:xfrm>
                      <a:off x="0" y="0"/>
                      <a:ext cx="5779135" cy="20320"/>
                    </a:xfrm>
                    <a:prstGeom prst="rect">
                      <a:avLst/>
                    </a:prstGeom>
                    <a:noFill/>
                  </pic:spPr>
                </pic:pic>
              </a:graphicData>
            </a:graphic>
          </wp:anchor>
        </w:drawing>
      </w:r>
    </w:p>
    <w:p>
      <w:pPr>
        <w:sectPr>
          <w:pgSz w:w="11900" w:h="16838" w:orient="portrait"/>
          <w:cols w:equalWidth="0" w:num="1">
            <w:col w:w="9100"/>
          </w:cols>
          <w:pgMar w:left="1400" w:top="129" w:right="1399" w:bottom="1440" w:gutter="0" w:footer="0" w:header="0"/>
        </w:sectPr>
      </w:pPr>
    </w:p>
    <w:bookmarkStart w:id="56" w:name="page57"/>
    <w:bookmarkEnd w:id="56"/>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UNIVERSAL FOREST PRODUCTS,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MANAGEMENT’S DISCUSSION AND ANALYSIS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FINANCIAL CONDITION AND RESULTS OF OPERATIONS</w:t>
      </w:r>
    </w:p>
    <w:p>
      <w:pPr>
        <w:spacing w:after="0" w:line="169" w:lineRule="exact"/>
        <w:rPr>
          <w:sz w:val="20"/>
          <w:szCs w:val="20"/>
          <w:color w:val="auto"/>
        </w:rPr>
      </w:pPr>
    </w:p>
    <w:p>
      <w:pPr>
        <w:ind w:left="520" w:right="20" w:hanging="261"/>
        <w:spacing w:after="0" w:line="281" w:lineRule="auto"/>
        <w:tabs>
          <w:tab w:leader="none" w:pos="5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Organic unit sales growth to the industrial and construction markets was offset slightly by a decrease in unit sales to the retail market due to a decline in demand from certain customers.</w:t>
      </w:r>
    </w:p>
    <w:p>
      <w:pPr>
        <w:spacing w:after="0" w:line="133"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Earnings from operations for the North reportable segment increased in 2017 by $1.9 million, or 3.2%, due to an increase in gross profit of $9.2 million, offset by a $7.3 million increase in SG&amp;A expenses compared to last year. Acquired operations contributed $1.5 million to the North’s operating profits in 2017. Gross profits and SG&amp;A were impacted by the same factors discussed under “Cost of Goods Sold and Gross Profit” and “Selling, General, and Administrative Expenses.”</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South</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106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520" w:type="dxa"/>
            <w:vAlign w:val="bottom"/>
            <w:tcBorders>
              <w:bottom w:val="single" w:sz="8" w:color="auto"/>
            </w:tcBorders>
            <w:gridSpan w:val="3"/>
          </w:tcPr>
          <w:p>
            <w:pPr>
              <w:jc w:val="right"/>
              <w:ind w:right="573"/>
              <w:spacing w:after="0"/>
              <w:rPr>
                <w:sz w:val="20"/>
                <w:szCs w:val="20"/>
                <w:color w:val="auto"/>
              </w:rPr>
            </w:pPr>
            <w:r>
              <w:rPr>
                <w:rFonts w:ascii="Arial" w:cs="Arial" w:eastAsia="Arial" w:hAnsi="Arial"/>
                <w:sz w:val="11"/>
                <w:szCs w:val="11"/>
                <w:b w:val="1"/>
                <w:bCs w:val="1"/>
                <w:color w:val="auto"/>
                <w:w w:val="92"/>
              </w:rPr>
              <w:t>Net Sales of South Segment by Market</w:t>
            </w:r>
          </w:p>
        </w:tc>
        <w:tc>
          <w:tcPr>
            <w:tcW w:w="106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r>
      <w:tr>
        <w:trPr>
          <w:trHeight w:val="118"/>
        </w:trPr>
        <w:tc>
          <w:tcPr>
            <w:tcW w:w="1060" w:type="dxa"/>
            <w:vAlign w:val="bottom"/>
          </w:tcPr>
          <w:p>
            <w:pPr>
              <w:spacing w:after="0"/>
              <w:rPr>
                <w:sz w:val="10"/>
                <w:szCs w:val="10"/>
                <w:color w:val="auto"/>
              </w:rPr>
            </w:pPr>
          </w:p>
        </w:tc>
        <w:tc>
          <w:tcPr>
            <w:tcW w:w="25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2220" w:type="dxa"/>
            <w:vAlign w:val="bottom"/>
            <w:tcBorders>
              <w:bottom w:val="single" w:sz="8" w:color="auto"/>
            </w:tcBorders>
            <w:gridSpan w:val="2"/>
          </w:tcPr>
          <w:p>
            <w:pPr>
              <w:ind w:left="100"/>
              <w:spacing w:after="0" w:line="117" w:lineRule="exact"/>
              <w:rPr>
                <w:sz w:val="20"/>
                <w:szCs w:val="20"/>
                <w:color w:val="auto"/>
              </w:rPr>
            </w:pPr>
            <w:r>
              <w:rPr>
                <w:rFonts w:ascii="Arial" w:cs="Arial" w:eastAsia="Arial" w:hAnsi="Arial"/>
                <w:sz w:val="11"/>
                <w:szCs w:val="11"/>
                <w:b w:val="1"/>
                <w:bCs w:val="1"/>
                <w:color w:val="auto"/>
              </w:rPr>
              <w:t>Twelve Months Ended</w:t>
            </w:r>
          </w:p>
        </w:tc>
        <w:tc>
          <w:tcPr>
            <w:tcW w:w="106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r>
      <w:tr>
        <w:trPr>
          <w:trHeight w:val="100"/>
        </w:trPr>
        <w:tc>
          <w:tcPr>
            <w:tcW w:w="1060" w:type="dxa"/>
            <w:vAlign w:val="bottom"/>
          </w:tcPr>
          <w:p>
            <w:pPr>
              <w:spacing w:after="0"/>
              <w:rPr>
                <w:sz w:val="8"/>
                <w:szCs w:val="8"/>
                <w:color w:val="auto"/>
              </w:rPr>
            </w:pPr>
          </w:p>
        </w:tc>
        <w:tc>
          <w:tcPr>
            <w:tcW w:w="2580" w:type="dxa"/>
            <w:vAlign w:val="bottom"/>
          </w:tcPr>
          <w:p>
            <w:pPr>
              <w:spacing w:after="0"/>
              <w:rPr>
                <w:sz w:val="8"/>
                <w:szCs w:val="8"/>
                <w:color w:val="auto"/>
              </w:rPr>
            </w:pPr>
          </w:p>
        </w:tc>
        <w:tc>
          <w:tcPr>
            <w:tcW w:w="820" w:type="dxa"/>
            <w:vAlign w:val="bottom"/>
            <w:gridSpan w:val="2"/>
          </w:tcPr>
          <w:p>
            <w:pPr>
              <w:jc w:val="right"/>
              <w:ind w:right="51"/>
              <w:spacing w:after="0" w:line="100" w:lineRule="exact"/>
              <w:rPr>
                <w:sz w:val="20"/>
                <w:szCs w:val="20"/>
                <w:color w:val="auto"/>
              </w:rPr>
            </w:pPr>
            <w:r>
              <w:rPr>
                <w:rFonts w:ascii="Arial" w:cs="Arial" w:eastAsia="Arial" w:hAnsi="Arial"/>
                <w:sz w:val="11"/>
                <w:szCs w:val="11"/>
                <w:b w:val="1"/>
                <w:bCs w:val="1"/>
                <w:color w:val="auto"/>
                <w:w w:val="94"/>
              </w:rPr>
              <w:t>December 29,</w:t>
            </w:r>
          </w:p>
        </w:tc>
        <w:tc>
          <w:tcPr>
            <w:tcW w:w="860" w:type="dxa"/>
            <w:vAlign w:val="bottom"/>
            <w:gridSpan w:val="2"/>
          </w:tcPr>
          <w:p>
            <w:pPr>
              <w:jc w:val="right"/>
              <w:ind w:right="11"/>
              <w:spacing w:after="0" w:line="100" w:lineRule="exact"/>
              <w:rPr>
                <w:sz w:val="20"/>
                <w:szCs w:val="20"/>
                <w:color w:val="auto"/>
              </w:rPr>
            </w:pPr>
            <w:r>
              <w:rPr>
                <w:rFonts w:ascii="Arial" w:cs="Arial" w:eastAsia="Arial" w:hAnsi="Arial"/>
                <w:sz w:val="11"/>
                <w:szCs w:val="11"/>
                <w:b w:val="1"/>
                <w:bCs w:val="1"/>
                <w:color w:val="auto"/>
              </w:rPr>
              <w:t>December 30,</w:t>
            </w:r>
          </w:p>
        </w:tc>
        <w:tc>
          <w:tcPr>
            <w:tcW w:w="1120" w:type="dxa"/>
            <w:vAlign w:val="bottom"/>
            <w:gridSpan w:val="2"/>
          </w:tcPr>
          <w:p>
            <w:pPr>
              <w:jc w:val="right"/>
              <w:ind w:right="213"/>
              <w:spacing w:after="0" w:line="100" w:lineRule="exact"/>
              <w:rPr>
                <w:sz w:val="20"/>
                <w:szCs w:val="20"/>
                <w:color w:val="auto"/>
              </w:rPr>
            </w:pPr>
            <w:r>
              <w:rPr>
                <w:rFonts w:ascii="Arial" w:cs="Arial" w:eastAsia="Arial" w:hAnsi="Arial"/>
                <w:sz w:val="11"/>
                <w:szCs w:val="11"/>
                <w:b w:val="1"/>
                <w:bCs w:val="1"/>
                <w:color w:val="auto"/>
              </w:rPr>
              <w:t>December 31,</w:t>
            </w:r>
          </w:p>
        </w:tc>
        <w:tc>
          <w:tcPr>
            <w:tcW w:w="1400" w:type="dxa"/>
            <w:vAlign w:val="bottom"/>
          </w:tcPr>
          <w:p>
            <w:pPr>
              <w:jc w:val="right"/>
              <w:ind w:right="553"/>
              <w:spacing w:after="0" w:line="100" w:lineRule="exact"/>
              <w:rPr>
                <w:sz w:val="20"/>
                <w:szCs w:val="20"/>
                <w:color w:val="auto"/>
              </w:rPr>
            </w:pPr>
            <w:r>
              <w:rPr>
                <w:rFonts w:ascii="Arial" w:cs="Arial" w:eastAsia="Arial" w:hAnsi="Arial"/>
                <w:sz w:val="11"/>
                <w:szCs w:val="11"/>
                <w:b w:val="1"/>
                <w:bCs w:val="1"/>
                <w:color w:val="auto"/>
              </w:rPr>
              <w:t>% Change</w:t>
            </w:r>
          </w:p>
        </w:tc>
        <w:tc>
          <w:tcPr>
            <w:tcW w:w="1060" w:type="dxa"/>
            <w:vAlign w:val="bottom"/>
          </w:tcPr>
          <w:p>
            <w:pPr>
              <w:jc w:val="right"/>
              <w:ind w:right="253"/>
              <w:spacing w:after="0" w:line="100" w:lineRule="exact"/>
              <w:rPr>
                <w:sz w:val="20"/>
                <w:szCs w:val="20"/>
                <w:color w:val="auto"/>
              </w:rPr>
            </w:pPr>
            <w:r>
              <w:rPr>
                <w:rFonts w:ascii="Arial" w:cs="Arial" w:eastAsia="Arial" w:hAnsi="Arial"/>
                <w:sz w:val="11"/>
                <w:szCs w:val="11"/>
                <w:b w:val="1"/>
                <w:bCs w:val="1"/>
                <w:color w:val="auto"/>
              </w:rPr>
              <w:t>% Change</w:t>
            </w:r>
          </w:p>
        </w:tc>
        <w:tc>
          <w:tcPr>
            <w:tcW w:w="200" w:type="dxa"/>
            <w:vAlign w:val="bottom"/>
          </w:tcPr>
          <w:p>
            <w:pPr>
              <w:spacing w:after="0"/>
              <w:rPr>
                <w:sz w:val="8"/>
                <w:szCs w:val="8"/>
                <w:color w:val="auto"/>
              </w:rPr>
            </w:pPr>
          </w:p>
        </w:tc>
      </w:tr>
      <w:tr>
        <w:trPr>
          <w:trHeight w:val="154"/>
        </w:trPr>
        <w:tc>
          <w:tcPr>
            <w:tcW w:w="106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w w:val="94"/>
              </w:rPr>
              <w:t>Market Classification</w:t>
            </w:r>
          </w:p>
        </w:tc>
        <w:tc>
          <w:tcPr>
            <w:tcW w:w="25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71"/>
              <w:spacing w:after="0"/>
              <w:rPr>
                <w:sz w:val="20"/>
                <w:szCs w:val="20"/>
                <w:color w:val="auto"/>
              </w:rPr>
            </w:pPr>
            <w:r>
              <w:rPr>
                <w:rFonts w:ascii="Arial" w:cs="Arial" w:eastAsia="Arial" w:hAnsi="Arial"/>
                <w:sz w:val="11"/>
                <w:szCs w:val="11"/>
                <w:b w:val="1"/>
                <w:bCs w:val="1"/>
                <w:color w:val="auto"/>
              </w:rPr>
              <w:t>2018</w:t>
            </w:r>
          </w:p>
        </w:tc>
        <w:tc>
          <w:tcPr>
            <w:tcW w:w="2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231"/>
              <w:spacing w:after="0"/>
              <w:rPr>
                <w:sz w:val="20"/>
                <w:szCs w:val="20"/>
                <w:color w:val="auto"/>
              </w:rPr>
            </w:pPr>
            <w:r>
              <w:rPr>
                <w:rFonts w:ascii="Arial" w:cs="Arial" w:eastAsia="Arial" w:hAnsi="Arial"/>
                <w:sz w:val="11"/>
                <w:szCs w:val="11"/>
                <w:b w:val="1"/>
                <w:bCs w:val="1"/>
                <w:color w:val="auto"/>
              </w:rPr>
              <w:t>2017</w:t>
            </w:r>
          </w:p>
        </w:tc>
        <w:tc>
          <w:tcPr>
            <w:tcW w:w="3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ind w:left="100"/>
              <w:spacing w:after="0"/>
              <w:rPr>
                <w:sz w:val="20"/>
                <w:szCs w:val="20"/>
                <w:color w:val="auto"/>
              </w:rPr>
            </w:pPr>
            <w:r>
              <w:rPr>
                <w:rFonts w:ascii="Arial" w:cs="Arial" w:eastAsia="Arial" w:hAnsi="Arial"/>
                <w:sz w:val="11"/>
                <w:szCs w:val="11"/>
                <w:b w:val="1"/>
                <w:bCs w:val="1"/>
                <w:color w:val="auto"/>
              </w:rPr>
              <w:t>2016</w:t>
            </w:r>
          </w:p>
        </w:tc>
        <w:tc>
          <w:tcPr>
            <w:tcW w:w="1400" w:type="dxa"/>
            <w:vAlign w:val="bottom"/>
            <w:tcBorders>
              <w:bottom w:val="single" w:sz="8" w:color="auto"/>
            </w:tcBorders>
          </w:tcPr>
          <w:p>
            <w:pPr>
              <w:jc w:val="right"/>
              <w:ind w:right="493"/>
              <w:spacing w:after="0"/>
              <w:rPr>
                <w:sz w:val="20"/>
                <w:szCs w:val="20"/>
                <w:color w:val="auto"/>
              </w:rPr>
            </w:pPr>
            <w:r>
              <w:rPr>
                <w:rFonts w:ascii="Arial" w:cs="Arial" w:eastAsia="Arial" w:hAnsi="Arial"/>
                <w:sz w:val="11"/>
                <w:szCs w:val="11"/>
                <w:b w:val="1"/>
                <w:bCs w:val="1"/>
                <w:color w:val="auto"/>
              </w:rPr>
              <w:t>2018 vs 2017</w:t>
            </w:r>
          </w:p>
        </w:tc>
        <w:tc>
          <w:tcPr>
            <w:tcW w:w="1060" w:type="dxa"/>
            <w:vAlign w:val="bottom"/>
            <w:tcBorders>
              <w:bottom w:val="single" w:sz="8" w:color="auto"/>
            </w:tcBorders>
          </w:tcPr>
          <w:p>
            <w:pPr>
              <w:jc w:val="right"/>
              <w:ind w:right="213"/>
              <w:spacing w:after="0"/>
              <w:rPr>
                <w:sz w:val="20"/>
                <w:szCs w:val="20"/>
                <w:color w:val="auto"/>
              </w:rPr>
            </w:pPr>
            <w:r>
              <w:rPr>
                <w:rFonts w:ascii="Arial" w:cs="Arial" w:eastAsia="Arial" w:hAnsi="Arial"/>
                <w:sz w:val="11"/>
                <w:szCs w:val="11"/>
                <w:b w:val="1"/>
                <w:bCs w:val="1"/>
                <w:color w:val="auto"/>
              </w:rPr>
              <w:t>2017 vs 2016</w:t>
            </w:r>
          </w:p>
        </w:tc>
        <w:tc>
          <w:tcPr>
            <w:tcW w:w="200" w:type="dxa"/>
            <w:vAlign w:val="bottom"/>
          </w:tcPr>
          <w:p>
            <w:pPr>
              <w:spacing w:after="0"/>
              <w:rPr>
                <w:sz w:val="13"/>
                <w:szCs w:val="13"/>
                <w:color w:val="auto"/>
              </w:rPr>
            </w:pPr>
          </w:p>
        </w:tc>
      </w:tr>
      <w:tr>
        <w:trPr>
          <w:trHeight w:val="151"/>
        </w:trPr>
        <w:tc>
          <w:tcPr>
            <w:tcW w:w="3640" w:type="dxa"/>
            <w:vAlign w:val="bottom"/>
            <w:tcBorders>
              <w:top w:val="single" w:sz="8" w:color="CCEEFF"/>
            </w:tcBorders>
            <w:gridSpan w:val="2"/>
            <w:shd w:val="clear" w:color="auto" w:fill="CCEEFF"/>
          </w:tcPr>
          <w:p>
            <w:pPr>
              <w:spacing w:after="0" w:line="151" w:lineRule="exact"/>
              <w:rPr>
                <w:sz w:val="20"/>
                <w:szCs w:val="20"/>
                <w:color w:val="auto"/>
              </w:rPr>
            </w:pPr>
            <w:r>
              <w:rPr>
                <w:rFonts w:ascii="Arial" w:cs="Arial" w:eastAsia="Arial" w:hAnsi="Arial"/>
                <w:sz w:val="14"/>
                <w:szCs w:val="14"/>
                <w:color w:val="auto"/>
              </w:rPr>
              <w:t>Retail</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tcBorders>
            <w:shd w:val="clear" w:color="auto" w:fill="CCEEFF"/>
          </w:tcPr>
          <w:p>
            <w:pPr>
              <w:jc w:val="right"/>
              <w:ind w:right="71"/>
              <w:spacing w:after="0" w:line="151" w:lineRule="exact"/>
              <w:rPr>
                <w:sz w:val="20"/>
                <w:szCs w:val="20"/>
                <w:color w:val="auto"/>
              </w:rPr>
            </w:pPr>
            <w:r>
              <w:rPr>
                <w:rFonts w:ascii="Arial" w:cs="Arial" w:eastAsia="Arial" w:hAnsi="Arial"/>
                <w:sz w:val="14"/>
                <w:szCs w:val="14"/>
                <w:color w:val="auto"/>
              </w:rPr>
              <w:t>441,050</w:t>
            </w:r>
          </w:p>
        </w:tc>
        <w:tc>
          <w:tcPr>
            <w:tcW w:w="240" w:type="dxa"/>
            <w:vAlign w:val="bottom"/>
            <w:tcBorders>
              <w:top w:val="single" w:sz="8" w:color="auto"/>
            </w:tcBorders>
            <w:shd w:val="clear" w:color="auto" w:fill="CCEEFF"/>
          </w:tcPr>
          <w:p>
            <w:pPr>
              <w:jc w:val="right"/>
              <w:ind w:right="34"/>
              <w:spacing w:after="0" w:line="151" w:lineRule="exact"/>
              <w:rPr>
                <w:sz w:val="20"/>
                <w:szCs w:val="20"/>
                <w:color w:val="auto"/>
              </w:rPr>
            </w:pPr>
            <w:r>
              <w:rPr>
                <w:rFonts w:ascii="Arial" w:cs="Arial" w:eastAsia="Arial" w:hAnsi="Arial"/>
                <w:sz w:val="14"/>
                <w:szCs w:val="14"/>
                <w:color w:val="auto"/>
              </w:rPr>
              <w:t>$</w:t>
            </w:r>
          </w:p>
        </w:tc>
        <w:tc>
          <w:tcPr>
            <w:tcW w:w="620" w:type="dxa"/>
            <w:vAlign w:val="bottom"/>
            <w:tcBorders>
              <w:top w:val="single" w:sz="8" w:color="auto"/>
            </w:tcBorders>
            <w:shd w:val="clear" w:color="auto" w:fill="CCEEFF"/>
          </w:tcPr>
          <w:p>
            <w:pPr>
              <w:jc w:val="right"/>
              <w:spacing w:after="0" w:line="151" w:lineRule="exact"/>
              <w:rPr>
                <w:sz w:val="20"/>
                <w:szCs w:val="20"/>
                <w:color w:val="auto"/>
              </w:rPr>
            </w:pPr>
            <w:r>
              <w:rPr>
                <w:rFonts w:ascii="Arial" w:cs="Arial" w:eastAsia="Arial" w:hAnsi="Arial"/>
                <w:sz w:val="14"/>
                <w:szCs w:val="14"/>
                <w:color w:val="auto"/>
              </w:rPr>
              <w:t>388,273</w:t>
            </w:r>
          </w:p>
        </w:tc>
        <w:tc>
          <w:tcPr>
            <w:tcW w:w="300" w:type="dxa"/>
            <w:vAlign w:val="bottom"/>
            <w:tcBorders>
              <w:top w:val="single" w:sz="8" w:color="auto"/>
            </w:tcBorders>
            <w:shd w:val="clear" w:color="auto" w:fill="CCEEFF"/>
          </w:tcPr>
          <w:p>
            <w:pPr>
              <w:jc w:val="right"/>
              <w:ind w:right="16"/>
              <w:spacing w:after="0" w:line="151" w:lineRule="exact"/>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shd w:val="clear" w:color="auto" w:fill="CCEEFF"/>
          </w:tcPr>
          <w:p>
            <w:pPr>
              <w:jc w:val="right"/>
              <w:ind w:right="193"/>
              <w:spacing w:after="0" w:line="151" w:lineRule="exact"/>
              <w:rPr>
                <w:sz w:val="20"/>
                <w:szCs w:val="20"/>
                <w:color w:val="auto"/>
              </w:rPr>
            </w:pPr>
            <w:r>
              <w:rPr>
                <w:rFonts w:ascii="Arial" w:cs="Arial" w:eastAsia="Arial" w:hAnsi="Arial"/>
                <w:sz w:val="14"/>
                <w:szCs w:val="14"/>
                <w:color w:val="auto"/>
              </w:rPr>
              <w:t>317,003</w:t>
            </w:r>
          </w:p>
        </w:tc>
        <w:tc>
          <w:tcPr>
            <w:tcW w:w="1400" w:type="dxa"/>
            <w:vAlign w:val="bottom"/>
            <w:tcBorders>
              <w:top w:val="single" w:sz="8" w:color="auto"/>
            </w:tcBorders>
            <w:shd w:val="clear" w:color="auto" w:fill="CCEEFF"/>
          </w:tcPr>
          <w:p>
            <w:pPr>
              <w:jc w:val="right"/>
              <w:ind w:right="113"/>
              <w:spacing w:after="0" w:line="151" w:lineRule="exact"/>
              <w:rPr>
                <w:sz w:val="20"/>
                <w:szCs w:val="20"/>
                <w:color w:val="auto"/>
              </w:rPr>
            </w:pPr>
            <w:r>
              <w:rPr>
                <w:rFonts w:ascii="Arial" w:cs="Arial" w:eastAsia="Arial" w:hAnsi="Arial"/>
                <w:sz w:val="14"/>
                <w:szCs w:val="14"/>
                <w:color w:val="auto"/>
              </w:rPr>
              <w:t>13.6 %</w:t>
            </w:r>
          </w:p>
        </w:tc>
        <w:tc>
          <w:tcPr>
            <w:tcW w:w="1060" w:type="dxa"/>
            <w:vAlign w:val="bottom"/>
            <w:tcBorders>
              <w:top w:val="single" w:sz="8" w:color="auto"/>
            </w:tcBorders>
            <w:shd w:val="clear" w:color="auto" w:fill="CCEEFF"/>
          </w:tcPr>
          <w:p>
            <w:pPr>
              <w:jc w:val="right"/>
              <w:spacing w:after="0" w:line="151" w:lineRule="exact"/>
              <w:rPr>
                <w:sz w:val="20"/>
                <w:szCs w:val="20"/>
                <w:color w:val="auto"/>
              </w:rPr>
            </w:pPr>
            <w:r>
              <w:rPr>
                <w:rFonts w:ascii="Arial" w:cs="Arial" w:eastAsia="Arial" w:hAnsi="Arial"/>
                <w:sz w:val="14"/>
                <w:szCs w:val="14"/>
                <w:color w:val="auto"/>
              </w:rPr>
              <w:t>22.5</w:t>
            </w:r>
          </w:p>
        </w:tc>
        <w:tc>
          <w:tcPr>
            <w:tcW w:w="200" w:type="dxa"/>
            <w:vAlign w:val="bottom"/>
            <w:tcBorders>
              <w:top w:val="single" w:sz="8" w:color="CCEEFF"/>
            </w:tcBorders>
            <w:shd w:val="clear" w:color="auto" w:fill="CCEEFF"/>
          </w:tcPr>
          <w:p>
            <w:pPr>
              <w:jc w:val="right"/>
              <w:ind w:right="9"/>
              <w:spacing w:after="0" w:line="151" w:lineRule="exact"/>
              <w:rPr>
                <w:sz w:val="20"/>
                <w:szCs w:val="20"/>
                <w:color w:val="auto"/>
              </w:rPr>
            </w:pPr>
            <w:r>
              <w:rPr>
                <w:rFonts w:ascii="Arial" w:cs="Arial" w:eastAsia="Arial" w:hAnsi="Arial"/>
                <w:sz w:val="14"/>
                <w:szCs w:val="14"/>
                <w:color w:val="auto"/>
                <w:w w:val="79"/>
              </w:rPr>
              <w:t>%</w:t>
            </w:r>
          </w:p>
        </w:tc>
      </w:tr>
      <w:tr>
        <w:trPr>
          <w:trHeight w:val="170"/>
        </w:trPr>
        <w:tc>
          <w:tcPr>
            <w:tcW w:w="3640" w:type="dxa"/>
            <w:vAlign w:val="bottom"/>
            <w:gridSpan w:val="2"/>
          </w:tcPr>
          <w:p>
            <w:pPr>
              <w:spacing w:after="0"/>
              <w:rPr>
                <w:sz w:val="20"/>
                <w:szCs w:val="20"/>
                <w:color w:val="auto"/>
              </w:rPr>
            </w:pPr>
            <w:r>
              <w:rPr>
                <w:rFonts w:ascii="Arial" w:cs="Arial" w:eastAsia="Arial" w:hAnsi="Arial"/>
                <w:sz w:val="14"/>
                <w:szCs w:val="14"/>
                <w:color w:val="auto"/>
              </w:rPr>
              <w:t>Industrial</w:t>
            </w:r>
          </w:p>
        </w:tc>
        <w:tc>
          <w:tcPr>
            <w:tcW w:w="100" w:type="dxa"/>
            <w:vAlign w:val="bottom"/>
          </w:tcPr>
          <w:p>
            <w:pPr>
              <w:spacing w:after="0"/>
              <w:rPr>
                <w:sz w:val="14"/>
                <w:szCs w:val="14"/>
                <w:color w:val="auto"/>
              </w:rPr>
            </w:pPr>
          </w:p>
        </w:tc>
        <w:tc>
          <w:tcPr>
            <w:tcW w:w="720" w:type="dxa"/>
            <w:vAlign w:val="bottom"/>
          </w:tcPr>
          <w:p>
            <w:pPr>
              <w:jc w:val="right"/>
              <w:ind w:right="71"/>
              <w:spacing w:after="0"/>
              <w:rPr>
                <w:sz w:val="20"/>
                <w:szCs w:val="20"/>
                <w:color w:val="auto"/>
              </w:rPr>
            </w:pPr>
            <w:r>
              <w:rPr>
                <w:rFonts w:ascii="Arial" w:cs="Arial" w:eastAsia="Arial" w:hAnsi="Arial"/>
                <w:sz w:val="14"/>
                <w:szCs w:val="14"/>
                <w:color w:val="auto"/>
              </w:rPr>
              <w:t>392,971</w:t>
            </w:r>
          </w:p>
        </w:tc>
        <w:tc>
          <w:tcPr>
            <w:tcW w:w="2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276,848</w:t>
            </w:r>
          </w:p>
        </w:tc>
        <w:tc>
          <w:tcPr>
            <w:tcW w:w="300" w:type="dxa"/>
            <w:vAlign w:val="bottom"/>
          </w:tcPr>
          <w:p>
            <w:pPr>
              <w:spacing w:after="0"/>
              <w:rPr>
                <w:sz w:val="14"/>
                <w:szCs w:val="14"/>
                <w:color w:val="auto"/>
              </w:rPr>
            </w:pPr>
          </w:p>
        </w:tc>
        <w:tc>
          <w:tcPr>
            <w:tcW w:w="820" w:type="dxa"/>
            <w:vAlign w:val="bottom"/>
          </w:tcPr>
          <w:p>
            <w:pPr>
              <w:jc w:val="right"/>
              <w:ind w:right="193"/>
              <w:spacing w:after="0"/>
              <w:rPr>
                <w:sz w:val="20"/>
                <w:szCs w:val="20"/>
                <w:color w:val="auto"/>
              </w:rPr>
            </w:pPr>
            <w:r>
              <w:rPr>
                <w:rFonts w:ascii="Arial" w:cs="Arial" w:eastAsia="Arial" w:hAnsi="Arial"/>
                <w:sz w:val="14"/>
                <w:szCs w:val="14"/>
                <w:color w:val="auto"/>
              </w:rPr>
              <w:t>251,475</w:t>
            </w:r>
          </w:p>
        </w:tc>
        <w:tc>
          <w:tcPr>
            <w:tcW w:w="1400" w:type="dxa"/>
            <w:vAlign w:val="bottom"/>
          </w:tcPr>
          <w:p>
            <w:pPr>
              <w:jc w:val="right"/>
              <w:ind w:right="273"/>
              <w:spacing w:after="0"/>
              <w:rPr>
                <w:sz w:val="20"/>
                <w:szCs w:val="20"/>
                <w:color w:val="auto"/>
              </w:rPr>
            </w:pPr>
            <w:r>
              <w:rPr>
                <w:rFonts w:ascii="Arial" w:cs="Arial" w:eastAsia="Arial" w:hAnsi="Arial"/>
                <w:sz w:val="14"/>
                <w:szCs w:val="14"/>
                <w:color w:val="auto"/>
              </w:rPr>
              <w:t>41.9</w:t>
            </w:r>
          </w:p>
        </w:tc>
        <w:tc>
          <w:tcPr>
            <w:tcW w:w="1060" w:type="dxa"/>
            <w:vAlign w:val="bottom"/>
          </w:tcPr>
          <w:p>
            <w:pPr>
              <w:jc w:val="right"/>
              <w:spacing w:after="0"/>
              <w:rPr>
                <w:sz w:val="20"/>
                <w:szCs w:val="20"/>
                <w:color w:val="auto"/>
              </w:rPr>
            </w:pPr>
            <w:r>
              <w:rPr>
                <w:rFonts w:ascii="Arial" w:cs="Arial" w:eastAsia="Arial" w:hAnsi="Arial"/>
                <w:sz w:val="14"/>
                <w:szCs w:val="14"/>
                <w:color w:val="auto"/>
              </w:rPr>
              <w:t>10.1</w:t>
            </w:r>
          </w:p>
        </w:tc>
        <w:tc>
          <w:tcPr>
            <w:tcW w:w="200" w:type="dxa"/>
            <w:vAlign w:val="bottom"/>
          </w:tcPr>
          <w:p>
            <w:pPr>
              <w:spacing w:after="0"/>
              <w:rPr>
                <w:sz w:val="14"/>
                <w:szCs w:val="14"/>
                <w:color w:val="auto"/>
              </w:rPr>
            </w:pPr>
          </w:p>
        </w:tc>
      </w:tr>
      <w:tr>
        <w:trPr>
          <w:trHeight w:val="190"/>
        </w:trPr>
        <w:tc>
          <w:tcPr>
            <w:tcW w:w="36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Construction</w:t>
            </w:r>
          </w:p>
        </w:tc>
        <w:tc>
          <w:tcPr>
            <w:tcW w:w="10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4"/>
                <w:szCs w:val="14"/>
                <w:color w:val="auto"/>
              </w:rPr>
              <w:t>211,792</w:t>
            </w:r>
          </w:p>
        </w:tc>
        <w:tc>
          <w:tcPr>
            <w:tcW w:w="24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191,139</w:t>
            </w:r>
          </w:p>
        </w:tc>
        <w:tc>
          <w:tcPr>
            <w:tcW w:w="30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193"/>
              <w:spacing w:after="0"/>
              <w:rPr>
                <w:sz w:val="20"/>
                <w:szCs w:val="20"/>
                <w:color w:val="auto"/>
              </w:rPr>
            </w:pPr>
            <w:r>
              <w:rPr>
                <w:rFonts w:ascii="Arial" w:cs="Arial" w:eastAsia="Arial" w:hAnsi="Arial"/>
                <w:sz w:val="14"/>
                <w:szCs w:val="14"/>
                <w:color w:val="auto"/>
              </w:rPr>
              <w:t>157,612</w:t>
            </w:r>
          </w:p>
        </w:tc>
        <w:tc>
          <w:tcPr>
            <w:tcW w:w="1400" w:type="dxa"/>
            <w:vAlign w:val="bottom"/>
            <w:tcBorders>
              <w:bottom w:val="single" w:sz="8" w:color="auto"/>
            </w:tcBorders>
            <w:shd w:val="clear" w:color="auto" w:fill="CCEEFF"/>
          </w:tcPr>
          <w:p>
            <w:pPr>
              <w:jc w:val="right"/>
              <w:ind w:right="273"/>
              <w:spacing w:after="0"/>
              <w:rPr>
                <w:sz w:val="20"/>
                <w:szCs w:val="20"/>
                <w:color w:val="auto"/>
              </w:rPr>
            </w:pPr>
            <w:r>
              <w:rPr>
                <w:rFonts w:ascii="Arial" w:cs="Arial" w:eastAsia="Arial" w:hAnsi="Arial"/>
                <w:sz w:val="14"/>
                <w:szCs w:val="14"/>
                <w:color w:val="auto"/>
              </w:rPr>
              <w:t>10.8</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21.3</w:t>
            </w:r>
          </w:p>
        </w:tc>
        <w:tc>
          <w:tcPr>
            <w:tcW w:w="200" w:type="dxa"/>
            <w:vAlign w:val="bottom"/>
            <w:tcBorders>
              <w:bottom w:val="single" w:sz="8" w:color="CCEEFF"/>
            </w:tcBorders>
            <w:shd w:val="clear" w:color="auto" w:fill="CCEEFF"/>
          </w:tcPr>
          <w:p>
            <w:pPr>
              <w:spacing w:after="0"/>
              <w:rPr>
                <w:sz w:val="16"/>
                <w:szCs w:val="16"/>
                <w:color w:val="auto"/>
              </w:rPr>
            </w:pPr>
          </w:p>
        </w:tc>
      </w:tr>
      <w:tr>
        <w:trPr>
          <w:trHeight w:val="151"/>
        </w:trPr>
        <w:tc>
          <w:tcPr>
            <w:tcW w:w="3640" w:type="dxa"/>
            <w:vAlign w:val="bottom"/>
            <w:gridSpan w:val="2"/>
          </w:tcPr>
          <w:p>
            <w:pPr>
              <w:spacing w:after="0" w:line="151" w:lineRule="exact"/>
              <w:rPr>
                <w:sz w:val="20"/>
                <w:szCs w:val="20"/>
                <w:color w:val="auto"/>
              </w:rPr>
            </w:pPr>
            <w:r>
              <w:rPr>
                <w:rFonts w:ascii="Arial" w:cs="Arial" w:eastAsia="Arial" w:hAnsi="Arial"/>
                <w:sz w:val="14"/>
                <w:szCs w:val="14"/>
                <w:color w:val="auto"/>
              </w:rPr>
              <w:t>Total Gross Sales</w:t>
            </w:r>
          </w:p>
        </w:tc>
        <w:tc>
          <w:tcPr>
            <w:tcW w:w="100" w:type="dxa"/>
            <w:vAlign w:val="bottom"/>
          </w:tcPr>
          <w:p>
            <w:pPr>
              <w:spacing w:after="0"/>
              <w:rPr>
                <w:sz w:val="13"/>
                <w:szCs w:val="13"/>
                <w:color w:val="auto"/>
              </w:rPr>
            </w:pPr>
          </w:p>
        </w:tc>
        <w:tc>
          <w:tcPr>
            <w:tcW w:w="720" w:type="dxa"/>
            <w:vAlign w:val="bottom"/>
          </w:tcPr>
          <w:p>
            <w:pPr>
              <w:jc w:val="right"/>
              <w:ind w:right="71"/>
              <w:spacing w:after="0" w:line="151" w:lineRule="exact"/>
              <w:rPr>
                <w:sz w:val="20"/>
                <w:szCs w:val="20"/>
                <w:color w:val="auto"/>
              </w:rPr>
            </w:pPr>
            <w:r>
              <w:rPr>
                <w:rFonts w:ascii="Arial" w:cs="Arial" w:eastAsia="Arial" w:hAnsi="Arial"/>
                <w:sz w:val="14"/>
                <w:szCs w:val="14"/>
                <w:color w:val="auto"/>
                <w:w w:val="89"/>
              </w:rPr>
              <w:t>1,045,813</w:t>
            </w:r>
          </w:p>
        </w:tc>
        <w:tc>
          <w:tcPr>
            <w:tcW w:w="240" w:type="dxa"/>
            <w:vAlign w:val="bottom"/>
          </w:tcPr>
          <w:p>
            <w:pPr>
              <w:spacing w:after="0"/>
              <w:rPr>
                <w:sz w:val="13"/>
                <w:szCs w:val="13"/>
                <w:color w:val="auto"/>
              </w:rPr>
            </w:pPr>
          </w:p>
        </w:tc>
        <w:tc>
          <w:tcPr>
            <w:tcW w:w="620" w:type="dxa"/>
            <w:vAlign w:val="bottom"/>
          </w:tcPr>
          <w:p>
            <w:pPr>
              <w:jc w:val="right"/>
              <w:spacing w:after="0" w:line="151" w:lineRule="exact"/>
              <w:rPr>
                <w:sz w:val="20"/>
                <w:szCs w:val="20"/>
                <w:color w:val="auto"/>
              </w:rPr>
            </w:pPr>
            <w:r>
              <w:rPr>
                <w:rFonts w:ascii="Arial" w:cs="Arial" w:eastAsia="Arial" w:hAnsi="Arial"/>
                <w:sz w:val="14"/>
                <w:szCs w:val="14"/>
                <w:color w:val="auto"/>
              </w:rPr>
              <w:t>856,260</w:t>
            </w:r>
          </w:p>
        </w:tc>
        <w:tc>
          <w:tcPr>
            <w:tcW w:w="300" w:type="dxa"/>
            <w:vAlign w:val="bottom"/>
          </w:tcPr>
          <w:p>
            <w:pPr>
              <w:spacing w:after="0"/>
              <w:rPr>
                <w:sz w:val="13"/>
                <w:szCs w:val="13"/>
                <w:color w:val="auto"/>
              </w:rPr>
            </w:pPr>
          </w:p>
        </w:tc>
        <w:tc>
          <w:tcPr>
            <w:tcW w:w="820" w:type="dxa"/>
            <w:vAlign w:val="bottom"/>
          </w:tcPr>
          <w:p>
            <w:pPr>
              <w:jc w:val="right"/>
              <w:ind w:right="193"/>
              <w:spacing w:after="0" w:line="151" w:lineRule="exact"/>
              <w:rPr>
                <w:sz w:val="20"/>
                <w:szCs w:val="20"/>
                <w:color w:val="auto"/>
              </w:rPr>
            </w:pPr>
            <w:r>
              <w:rPr>
                <w:rFonts w:ascii="Arial" w:cs="Arial" w:eastAsia="Arial" w:hAnsi="Arial"/>
                <w:sz w:val="14"/>
                <w:szCs w:val="14"/>
                <w:color w:val="auto"/>
              </w:rPr>
              <w:t>726,090</w:t>
            </w:r>
          </w:p>
        </w:tc>
        <w:tc>
          <w:tcPr>
            <w:tcW w:w="1400" w:type="dxa"/>
            <w:vAlign w:val="bottom"/>
          </w:tcPr>
          <w:p>
            <w:pPr>
              <w:jc w:val="right"/>
              <w:ind w:right="113"/>
              <w:spacing w:after="0" w:line="151" w:lineRule="exact"/>
              <w:rPr>
                <w:sz w:val="20"/>
                <w:szCs w:val="20"/>
                <w:color w:val="auto"/>
              </w:rPr>
            </w:pPr>
            <w:r>
              <w:rPr>
                <w:rFonts w:ascii="Arial" w:cs="Arial" w:eastAsia="Arial" w:hAnsi="Arial"/>
                <w:sz w:val="14"/>
                <w:szCs w:val="14"/>
                <w:color w:val="auto"/>
              </w:rPr>
              <w:t>22.1 %</w:t>
            </w:r>
          </w:p>
        </w:tc>
        <w:tc>
          <w:tcPr>
            <w:tcW w:w="1060" w:type="dxa"/>
            <w:vAlign w:val="bottom"/>
          </w:tcPr>
          <w:p>
            <w:pPr>
              <w:jc w:val="right"/>
              <w:spacing w:after="0" w:line="151" w:lineRule="exact"/>
              <w:rPr>
                <w:sz w:val="20"/>
                <w:szCs w:val="20"/>
                <w:color w:val="auto"/>
              </w:rPr>
            </w:pPr>
            <w:r>
              <w:rPr>
                <w:rFonts w:ascii="Arial" w:cs="Arial" w:eastAsia="Arial" w:hAnsi="Arial"/>
                <w:sz w:val="14"/>
                <w:szCs w:val="14"/>
                <w:color w:val="auto"/>
              </w:rPr>
              <w:t>17.9</w:t>
            </w:r>
          </w:p>
        </w:tc>
        <w:tc>
          <w:tcPr>
            <w:tcW w:w="200" w:type="dxa"/>
            <w:vAlign w:val="bottom"/>
          </w:tcPr>
          <w:p>
            <w:pPr>
              <w:jc w:val="right"/>
              <w:ind w:right="9"/>
              <w:spacing w:after="0" w:line="151" w:lineRule="exact"/>
              <w:rPr>
                <w:sz w:val="20"/>
                <w:szCs w:val="20"/>
                <w:color w:val="auto"/>
              </w:rPr>
            </w:pPr>
            <w:r>
              <w:rPr>
                <w:rFonts w:ascii="Arial" w:cs="Arial" w:eastAsia="Arial" w:hAnsi="Arial"/>
                <w:sz w:val="14"/>
                <w:szCs w:val="14"/>
                <w:color w:val="auto"/>
                <w:w w:val="79"/>
              </w:rPr>
              <w:t>%</w:t>
            </w:r>
          </w:p>
        </w:tc>
      </w:tr>
      <w:tr>
        <w:trPr>
          <w:trHeight w:val="190"/>
        </w:trPr>
        <w:tc>
          <w:tcPr>
            <w:tcW w:w="36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Sales Allowances</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(21,066)</w:t>
            </w:r>
          </w:p>
        </w:tc>
        <w:tc>
          <w:tcPr>
            <w:tcW w:w="24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(18,890)</w:t>
            </w:r>
          </w:p>
        </w:tc>
        <w:tc>
          <w:tcPr>
            <w:tcW w:w="3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153"/>
              <w:spacing w:after="0"/>
              <w:rPr>
                <w:sz w:val="20"/>
                <w:szCs w:val="20"/>
                <w:color w:val="auto"/>
              </w:rPr>
            </w:pPr>
            <w:r>
              <w:rPr>
                <w:rFonts w:ascii="Arial" w:cs="Arial" w:eastAsia="Arial" w:hAnsi="Arial"/>
                <w:sz w:val="14"/>
                <w:szCs w:val="14"/>
                <w:color w:val="auto"/>
              </w:rPr>
              <w:t>(14,228)</w:t>
            </w:r>
          </w:p>
        </w:tc>
        <w:tc>
          <w:tcPr>
            <w:tcW w:w="1400" w:type="dxa"/>
            <w:vAlign w:val="bottom"/>
            <w:shd w:val="clear" w:color="auto" w:fill="CCEEFF"/>
          </w:tcPr>
          <w:p>
            <w:pPr>
              <w:jc w:val="right"/>
              <w:ind w:right="233"/>
              <w:spacing w:after="0"/>
              <w:rPr>
                <w:sz w:val="20"/>
                <w:szCs w:val="20"/>
                <w:color w:val="auto"/>
              </w:rPr>
            </w:pPr>
            <w:r>
              <w:rPr>
                <w:rFonts w:ascii="Arial" w:cs="Arial" w:eastAsia="Arial" w:hAnsi="Arial"/>
                <w:sz w:val="14"/>
                <w:szCs w:val="14"/>
                <w:color w:val="auto"/>
              </w:rPr>
              <w:t>(11.5)</w:t>
            </w:r>
          </w:p>
        </w:tc>
        <w:tc>
          <w:tcPr>
            <w:tcW w:w="1260" w:type="dxa"/>
            <w:vAlign w:val="bottom"/>
            <w:gridSpan w:val="2"/>
            <w:shd w:val="clear" w:color="auto" w:fill="CCEEFF"/>
          </w:tcPr>
          <w:p>
            <w:pPr>
              <w:jc w:val="right"/>
              <w:ind w:right="129"/>
              <w:spacing w:after="0"/>
              <w:rPr>
                <w:sz w:val="20"/>
                <w:szCs w:val="20"/>
                <w:color w:val="auto"/>
              </w:rPr>
            </w:pPr>
            <w:r>
              <w:rPr>
                <w:rFonts w:ascii="Arial" w:cs="Arial" w:eastAsia="Arial" w:hAnsi="Arial"/>
                <w:sz w:val="14"/>
                <w:szCs w:val="14"/>
                <w:color w:val="auto"/>
              </w:rPr>
              <w:t>(32.8)</w:t>
            </w:r>
          </w:p>
        </w:tc>
      </w:tr>
      <w:tr>
        <w:trPr>
          <w:trHeight w:val="152"/>
        </w:trPr>
        <w:tc>
          <w:tcPr>
            <w:tcW w:w="3640" w:type="dxa"/>
            <w:vAlign w:val="bottom"/>
            <w:tcBorders>
              <w:top w:val="single" w:sz="8" w:color="CCEEFF"/>
            </w:tcBorders>
            <w:gridSpan w:val="2"/>
          </w:tcPr>
          <w:p>
            <w:pPr>
              <w:spacing w:after="0" w:line="151" w:lineRule="exact"/>
              <w:rPr>
                <w:sz w:val="20"/>
                <w:szCs w:val="20"/>
                <w:color w:val="auto"/>
              </w:rPr>
            </w:pPr>
            <w:r>
              <w:rPr>
                <w:rFonts w:ascii="Arial" w:cs="Arial" w:eastAsia="Arial" w:hAnsi="Arial"/>
                <w:sz w:val="14"/>
                <w:szCs w:val="14"/>
                <w:color w:val="auto"/>
              </w:rPr>
              <w:t>Total Net Sales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ind w:right="71"/>
              <w:spacing w:after="0" w:line="151" w:lineRule="exact"/>
              <w:rPr>
                <w:sz w:val="20"/>
                <w:szCs w:val="20"/>
                <w:color w:val="auto"/>
              </w:rPr>
            </w:pPr>
            <w:r>
              <w:rPr>
                <w:rFonts w:ascii="Arial" w:cs="Arial" w:eastAsia="Arial" w:hAnsi="Arial"/>
                <w:sz w:val="14"/>
                <w:szCs w:val="14"/>
                <w:color w:val="auto"/>
                <w:w w:val="89"/>
              </w:rPr>
              <w:t>1,024,747</w:t>
            </w:r>
          </w:p>
        </w:tc>
        <w:tc>
          <w:tcPr>
            <w:tcW w:w="240" w:type="dxa"/>
            <w:vAlign w:val="bottom"/>
            <w:tcBorders>
              <w:top w:val="single" w:sz="8" w:color="auto"/>
              <w:bottom w:val="single" w:sz="8" w:color="auto"/>
            </w:tcBorders>
          </w:tcPr>
          <w:p>
            <w:pPr>
              <w:jc w:val="right"/>
              <w:ind w:right="34"/>
              <w:spacing w:after="0" w:line="151" w:lineRule="exact"/>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837,370</w:t>
            </w:r>
          </w:p>
        </w:tc>
        <w:tc>
          <w:tcPr>
            <w:tcW w:w="300" w:type="dxa"/>
            <w:vAlign w:val="bottom"/>
            <w:tcBorders>
              <w:top w:val="single" w:sz="8" w:color="auto"/>
              <w:bottom w:val="single" w:sz="8" w:color="auto"/>
            </w:tcBorders>
          </w:tcPr>
          <w:p>
            <w:pPr>
              <w:jc w:val="right"/>
              <w:ind w:right="16"/>
              <w:spacing w:after="0" w:line="151" w:lineRule="exact"/>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ind w:right="193"/>
              <w:spacing w:after="0" w:line="151" w:lineRule="exact"/>
              <w:rPr>
                <w:sz w:val="20"/>
                <w:szCs w:val="20"/>
                <w:color w:val="auto"/>
              </w:rPr>
            </w:pPr>
            <w:r>
              <w:rPr>
                <w:rFonts w:ascii="Arial" w:cs="Arial" w:eastAsia="Arial" w:hAnsi="Arial"/>
                <w:sz w:val="14"/>
                <w:szCs w:val="14"/>
                <w:color w:val="auto"/>
              </w:rPr>
              <w:t>711,862</w:t>
            </w:r>
          </w:p>
        </w:tc>
        <w:tc>
          <w:tcPr>
            <w:tcW w:w="1400" w:type="dxa"/>
            <w:vAlign w:val="bottom"/>
            <w:tcBorders>
              <w:top w:val="single" w:sz="8" w:color="auto"/>
              <w:bottom w:val="single" w:sz="8" w:color="auto"/>
            </w:tcBorders>
          </w:tcPr>
          <w:p>
            <w:pPr>
              <w:jc w:val="right"/>
              <w:ind w:right="113"/>
              <w:spacing w:after="0" w:line="151" w:lineRule="exact"/>
              <w:rPr>
                <w:sz w:val="20"/>
                <w:szCs w:val="20"/>
                <w:color w:val="auto"/>
              </w:rPr>
            </w:pPr>
            <w:r>
              <w:rPr>
                <w:rFonts w:ascii="Arial" w:cs="Arial" w:eastAsia="Arial" w:hAnsi="Arial"/>
                <w:sz w:val="14"/>
                <w:szCs w:val="14"/>
                <w:color w:val="auto"/>
              </w:rPr>
              <w:t>22.4 %</w:t>
            </w:r>
          </w:p>
        </w:tc>
        <w:tc>
          <w:tcPr>
            <w:tcW w:w="1060" w:type="dxa"/>
            <w:vAlign w:val="bottom"/>
            <w:tcBorders>
              <w:top w:val="single" w:sz="8" w:color="auto"/>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17.6</w:t>
            </w:r>
          </w:p>
        </w:tc>
        <w:tc>
          <w:tcPr>
            <w:tcW w:w="200" w:type="dxa"/>
            <w:vAlign w:val="bottom"/>
            <w:tcBorders>
              <w:top w:val="single" w:sz="8" w:color="CCEEFF"/>
            </w:tcBorders>
          </w:tcPr>
          <w:p>
            <w:pPr>
              <w:jc w:val="right"/>
              <w:ind w:right="9"/>
              <w:spacing w:after="0" w:line="151" w:lineRule="exact"/>
              <w:rPr>
                <w:sz w:val="20"/>
                <w:szCs w:val="20"/>
                <w:color w:val="auto"/>
              </w:rPr>
            </w:pPr>
            <w:r>
              <w:rPr>
                <w:rFonts w:ascii="Arial" w:cs="Arial" w:eastAsia="Arial" w:hAnsi="Arial"/>
                <w:sz w:val="14"/>
                <w:szCs w:val="14"/>
                <w:color w:val="auto"/>
                <w:w w:val="79"/>
              </w:rPr>
              <w:t>%</w:t>
            </w:r>
          </w:p>
        </w:tc>
      </w:tr>
    </w:tbl>
    <w:p>
      <w:pPr>
        <w:spacing w:after="0" w:line="329" w:lineRule="exact"/>
        <w:rPr>
          <w:sz w:val="20"/>
          <w:szCs w:val="20"/>
          <w:color w:val="auto"/>
        </w:rPr>
      </w:pPr>
    </w:p>
    <w:p>
      <w:pPr>
        <w:spacing w:after="0"/>
        <w:rPr>
          <w:sz w:val="20"/>
          <w:szCs w:val="20"/>
          <w:color w:val="auto"/>
        </w:rPr>
      </w:pPr>
      <w:r>
        <w:rPr>
          <w:rFonts w:ascii="Arial" w:cs="Arial" w:eastAsia="Arial" w:hAnsi="Arial"/>
          <w:sz w:val="14"/>
          <w:szCs w:val="14"/>
          <w:color w:val="auto"/>
        </w:rPr>
        <w:t>Net sales attributable to the South reportable segment increased by $187 million, or 22.4%, in 2018, primarily due to the following factors:</w:t>
      </w:r>
    </w:p>
    <w:p>
      <w:pPr>
        <w:spacing w:after="0" w:line="179" w:lineRule="exact"/>
        <w:rPr>
          <w:sz w:val="20"/>
          <w:szCs w:val="20"/>
          <w:color w:val="auto"/>
        </w:rPr>
      </w:pPr>
    </w:p>
    <w:p>
      <w:pPr>
        <w:ind w:left="520" w:hanging="261"/>
        <w:spacing w:after="0"/>
        <w:tabs>
          <w:tab w:leader="none" w:pos="5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Acquired operations contributed $33 million and $40 million to our retail and industrial markets, respectively.</w:t>
      </w:r>
    </w:p>
    <w:p>
      <w:pPr>
        <w:spacing w:after="0" w:line="178" w:lineRule="exact"/>
        <w:rPr>
          <w:rFonts w:ascii="Arial" w:cs="Arial" w:eastAsia="Arial" w:hAnsi="Arial"/>
          <w:sz w:val="14"/>
          <w:szCs w:val="14"/>
          <w:color w:val="auto"/>
        </w:rPr>
      </w:pPr>
    </w:p>
    <w:p>
      <w:pPr>
        <w:ind w:left="520" w:hanging="261"/>
        <w:spacing w:after="0"/>
        <w:tabs>
          <w:tab w:leader="none" w:pos="5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Higher lumber prices increased our selling prices.</w:t>
      </w:r>
    </w:p>
    <w:p>
      <w:pPr>
        <w:spacing w:after="0" w:line="178" w:lineRule="exact"/>
        <w:rPr>
          <w:rFonts w:ascii="Arial" w:cs="Arial" w:eastAsia="Arial" w:hAnsi="Arial"/>
          <w:sz w:val="14"/>
          <w:szCs w:val="14"/>
          <w:color w:val="auto"/>
        </w:rPr>
      </w:pPr>
    </w:p>
    <w:p>
      <w:pPr>
        <w:ind w:left="520" w:hanging="261"/>
        <w:spacing w:after="0"/>
        <w:tabs>
          <w:tab w:leader="none" w:pos="5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Strong organic unit sales growth, particularly to the industrial market.</w:t>
      </w:r>
    </w:p>
    <w:p>
      <w:pPr>
        <w:spacing w:after="0" w:line="179"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Earnings from operations for the South reportable segment increased in 2018 by $13.4 million, or 28.7%, which includes a $6.7 million gain from the sale of our Medley, Florida, plant and an increase in gross profit of $8.9 million, which was offset by a $2.2 million increase in SG&amp;A expenses compared to last year. Acquired operations had a $0.3 million operating loss in 2018.</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color w:val="auto"/>
        </w:rPr>
        <w:t>Net sales attributable to the South reportable segment increased by $125 million, or 17.6%, in 2017, primarily due to the following factors:</w:t>
      </w:r>
    </w:p>
    <w:p>
      <w:pPr>
        <w:spacing w:after="0" w:line="179" w:lineRule="exact"/>
        <w:rPr>
          <w:sz w:val="20"/>
          <w:szCs w:val="20"/>
          <w:color w:val="auto"/>
        </w:rPr>
      </w:pPr>
    </w:p>
    <w:p>
      <w:pPr>
        <w:ind w:left="520" w:hanging="261"/>
        <w:spacing w:after="0"/>
        <w:tabs>
          <w:tab w:leader="none" w:pos="5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Acquired operations contributed $88.4 million, $5.0 million, and $6.1 million to our retail, industrial, and construction markets, respectively.</w:t>
      </w:r>
    </w:p>
    <w:p>
      <w:pPr>
        <w:spacing w:after="0" w:line="178" w:lineRule="exact"/>
        <w:rPr>
          <w:rFonts w:ascii="Arial" w:cs="Arial" w:eastAsia="Arial" w:hAnsi="Arial"/>
          <w:sz w:val="14"/>
          <w:szCs w:val="14"/>
          <w:color w:val="auto"/>
        </w:rPr>
      </w:pPr>
    </w:p>
    <w:p>
      <w:pPr>
        <w:ind w:left="520" w:hanging="261"/>
        <w:spacing w:after="0"/>
        <w:tabs>
          <w:tab w:leader="none" w:pos="5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Higher lumber prices increased our selling prices.</w:t>
      </w:r>
    </w:p>
    <w:p>
      <w:pPr>
        <w:spacing w:after="0" w:line="178" w:lineRule="exact"/>
        <w:rPr>
          <w:rFonts w:ascii="Arial" w:cs="Arial" w:eastAsia="Arial" w:hAnsi="Arial"/>
          <w:sz w:val="14"/>
          <w:szCs w:val="14"/>
          <w:color w:val="auto"/>
        </w:rPr>
      </w:pPr>
    </w:p>
    <w:p>
      <w:pPr>
        <w:ind w:left="520" w:right="20" w:hanging="261"/>
        <w:spacing w:after="0" w:line="281" w:lineRule="auto"/>
        <w:tabs>
          <w:tab w:leader="none" w:pos="5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Organic unit sales growth to the construction and industrial markets was offset by a decline in unit sales to the retail market as a result of transferring our import and export business to our International segment and</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66675</wp:posOffset>
            </wp:positionV>
            <wp:extent cx="5779135" cy="203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1">
                      <a:extLst>
                        <a:ext uri="{28A0092B-C50C-407E-A947-70E740481C1C}"/>
                      </a:extLst>
                    </a:blip>
                    <a:srcRect/>
                    <a:stretch>
                      <a:fillRect/>
                    </a:stretch>
                  </pic:blipFill>
                  <pic:spPr bwMode="auto">
                    <a:xfrm>
                      <a:off x="0" y="0"/>
                      <a:ext cx="5779135" cy="20320"/>
                    </a:xfrm>
                    <a:prstGeom prst="rect">
                      <a:avLst/>
                    </a:prstGeom>
                    <a:noFill/>
                  </pic:spPr>
                </pic:pic>
              </a:graphicData>
            </a:graphic>
          </wp:anchor>
        </w:drawing>
      </w:r>
    </w:p>
    <w:p>
      <w:pPr>
        <w:sectPr>
          <w:pgSz w:w="11900" w:h="16838" w:orient="portrait"/>
          <w:cols w:equalWidth="0" w:num="1">
            <w:col w:w="9100"/>
          </w:cols>
          <w:pgMar w:left="1400" w:top="129" w:right="1399" w:bottom="1440" w:gutter="0" w:footer="0" w:header="0"/>
        </w:sectPr>
      </w:pPr>
    </w:p>
    <w:bookmarkStart w:id="57" w:name="page58"/>
    <w:bookmarkEnd w:id="57"/>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UNIVERSAL FOREST PRODUCTS,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MANAGEMENT’S DISCUSSION AND ANALYSIS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FINANCIAL CONDITION AND RESULTS OF OPERATIONS</w:t>
      </w:r>
    </w:p>
    <w:p>
      <w:pPr>
        <w:spacing w:after="0" w:line="169" w:lineRule="exact"/>
        <w:rPr>
          <w:sz w:val="20"/>
          <w:szCs w:val="20"/>
          <w:color w:val="auto"/>
        </w:rPr>
      </w:pPr>
    </w:p>
    <w:p>
      <w:pPr>
        <w:ind w:left="520" w:right="20"/>
        <w:spacing w:after="0" w:line="281" w:lineRule="auto"/>
        <w:rPr>
          <w:sz w:val="20"/>
          <w:szCs w:val="20"/>
          <w:color w:val="auto"/>
        </w:rPr>
      </w:pPr>
      <w:r>
        <w:rPr>
          <w:rFonts w:ascii="Arial" w:cs="Arial" w:eastAsia="Arial" w:hAnsi="Arial"/>
          <w:sz w:val="14"/>
          <w:szCs w:val="14"/>
          <w:color w:val="auto"/>
        </w:rPr>
        <w:t>management team. Our International segment was formed, among other reasons, to gain efficiencies by consolidating our international business into one unit.</w:t>
      </w:r>
    </w:p>
    <w:p>
      <w:pPr>
        <w:spacing w:after="0" w:line="133"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Earnings from operations for the South reportable segment decreased in 2017 by $0.5 million, or 1.1%, as the increase in gross profit of $3.9 million was more than offset by a $4.4 million increase in SG&amp;A expenses compared to last year. Acquired operations contributed $3.5 million to our operating profits in 2017. Our decline in profitability was due to customer attrition in our East Central and Southeast regions.</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West</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106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520" w:type="dxa"/>
            <w:vAlign w:val="bottom"/>
            <w:tcBorders>
              <w:bottom w:val="single" w:sz="8" w:color="auto"/>
            </w:tcBorders>
            <w:gridSpan w:val="3"/>
          </w:tcPr>
          <w:p>
            <w:pPr>
              <w:jc w:val="right"/>
              <w:ind w:right="593"/>
              <w:spacing w:after="0"/>
              <w:rPr>
                <w:sz w:val="20"/>
                <w:szCs w:val="20"/>
                <w:color w:val="auto"/>
              </w:rPr>
            </w:pPr>
            <w:r>
              <w:rPr>
                <w:rFonts w:ascii="Arial" w:cs="Arial" w:eastAsia="Arial" w:hAnsi="Arial"/>
                <w:sz w:val="11"/>
                <w:szCs w:val="11"/>
                <w:b w:val="1"/>
                <w:bCs w:val="1"/>
                <w:color w:val="auto"/>
                <w:w w:val="93"/>
              </w:rPr>
              <w:t>Net Sales of West Segment by Market</w:t>
            </w:r>
          </w:p>
        </w:tc>
        <w:tc>
          <w:tcPr>
            <w:tcW w:w="106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r>
      <w:tr>
        <w:trPr>
          <w:trHeight w:val="118"/>
        </w:trPr>
        <w:tc>
          <w:tcPr>
            <w:tcW w:w="1060" w:type="dxa"/>
            <w:vAlign w:val="bottom"/>
          </w:tcPr>
          <w:p>
            <w:pPr>
              <w:spacing w:after="0"/>
              <w:rPr>
                <w:sz w:val="10"/>
                <w:szCs w:val="10"/>
                <w:color w:val="auto"/>
              </w:rPr>
            </w:pPr>
          </w:p>
        </w:tc>
        <w:tc>
          <w:tcPr>
            <w:tcW w:w="25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2260" w:type="dxa"/>
            <w:vAlign w:val="bottom"/>
            <w:tcBorders>
              <w:bottom w:val="single" w:sz="8" w:color="auto"/>
            </w:tcBorders>
            <w:gridSpan w:val="2"/>
          </w:tcPr>
          <w:p>
            <w:pPr>
              <w:ind w:left="140"/>
              <w:spacing w:after="0" w:line="117" w:lineRule="exact"/>
              <w:rPr>
                <w:sz w:val="20"/>
                <w:szCs w:val="20"/>
                <w:color w:val="auto"/>
              </w:rPr>
            </w:pPr>
            <w:r>
              <w:rPr>
                <w:rFonts w:ascii="Arial" w:cs="Arial" w:eastAsia="Arial" w:hAnsi="Arial"/>
                <w:sz w:val="11"/>
                <w:szCs w:val="11"/>
                <w:b w:val="1"/>
                <w:bCs w:val="1"/>
                <w:color w:val="auto"/>
              </w:rPr>
              <w:t>Twelve Months Ended</w:t>
            </w:r>
          </w:p>
        </w:tc>
        <w:tc>
          <w:tcPr>
            <w:tcW w:w="106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r>
      <w:tr>
        <w:trPr>
          <w:trHeight w:val="100"/>
        </w:trPr>
        <w:tc>
          <w:tcPr>
            <w:tcW w:w="1060" w:type="dxa"/>
            <w:vAlign w:val="bottom"/>
          </w:tcPr>
          <w:p>
            <w:pPr>
              <w:spacing w:after="0"/>
              <w:rPr>
                <w:sz w:val="8"/>
                <w:szCs w:val="8"/>
                <w:color w:val="auto"/>
              </w:rPr>
            </w:pPr>
          </w:p>
        </w:tc>
        <w:tc>
          <w:tcPr>
            <w:tcW w:w="2580" w:type="dxa"/>
            <w:vAlign w:val="bottom"/>
          </w:tcPr>
          <w:p>
            <w:pPr>
              <w:spacing w:after="0"/>
              <w:rPr>
                <w:sz w:val="8"/>
                <w:szCs w:val="8"/>
                <w:color w:val="auto"/>
              </w:rPr>
            </w:pPr>
          </w:p>
        </w:tc>
        <w:tc>
          <w:tcPr>
            <w:tcW w:w="820" w:type="dxa"/>
            <w:vAlign w:val="bottom"/>
            <w:gridSpan w:val="2"/>
          </w:tcPr>
          <w:p>
            <w:pPr>
              <w:jc w:val="right"/>
              <w:ind w:right="51"/>
              <w:spacing w:after="0" w:line="100" w:lineRule="exact"/>
              <w:rPr>
                <w:sz w:val="20"/>
                <w:szCs w:val="20"/>
                <w:color w:val="auto"/>
              </w:rPr>
            </w:pPr>
            <w:r>
              <w:rPr>
                <w:rFonts w:ascii="Arial" w:cs="Arial" w:eastAsia="Arial" w:hAnsi="Arial"/>
                <w:sz w:val="11"/>
                <w:szCs w:val="11"/>
                <w:b w:val="1"/>
                <w:bCs w:val="1"/>
                <w:color w:val="auto"/>
                <w:w w:val="94"/>
              </w:rPr>
              <w:t>December 29,</w:t>
            </w:r>
          </w:p>
        </w:tc>
        <w:tc>
          <w:tcPr>
            <w:tcW w:w="860" w:type="dxa"/>
            <w:vAlign w:val="bottom"/>
            <w:gridSpan w:val="2"/>
          </w:tcPr>
          <w:p>
            <w:pPr>
              <w:jc w:val="right"/>
              <w:ind w:right="11"/>
              <w:spacing w:after="0" w:line="100" w:lineRule="exact"/>
              <w:rPr>
                <w:sz w:val="20"/>
                <w:szCs w:val="20"/>
                <w:color w:val="auto"/>
              </w:rPr>
            </w:pPr>
            <w:r>
              <w:rPr>
                <w:rFonts w:ascii="Arial" w:cs="Arial" w:eastAsia="Arial" w:hAnsi="Arial"/>
                <w:sz w:val="11"/>
                <w:szCs w:val="11"/>
                <w:b w:val="1"/>
                <w:bCs w:val="1"/>
                <w:color w:val="auto"/>
              </w:rPr>
              <w:t>December 30,</w:t>
            </w:r>
          </w:p>
        </w:tc>
        <w:tc>
          <w:tcPr>
            <w:tcW w:w="1120" w:type="dxa"/>
            <w:vAlign w:val="bottom"/>
            <w:gridSpan w:val="2"/>
          </w:tcPr>
          <w:p>
            <w:pPr>
              <w:jc w:val="right"/>
              <w:ind w:right="213"/>
              <w:spacing w:after="0" w:line="100" w:lineRule="exact"/>
              <w:rPr>
                <w:sz w:val="20"/>
                <w:szCs w:val="20"/>
                <w:color w:val="auto"/>
              </w:rPr>
            </w:pPr>
            <w:r>
              <w:rPr>
                <w:rFonts w:ascii="Arial" w:cs="Arial" w:eastAsia="Arial" w:hAnsi="Arial"/>
                <w:sz w:val="11"/>
                <w:szCs w:val="11"/>
                <w:b w:val="1"/>
                <w:bCs w:val="1"/>
                <w:color w:val="auto"/>
              </w:rPr>
              <w:t>December 31,</w:t>
            </w:r>
          </w:p>
        </w:tc>
        <w:tc>
          <w:tcPr>
            <w:tcW w:w="1400" w:type="dxa"/>
            <w:vAlign w:val="bottom"/>
          </w:tcPr>
          <w:p>
            <w:pPr>
              <w:jc w:val="right"/>
              <w:ind w:right="553"/>
              <w:spacing w:after="0" w:line="100" w:lineRule="exact"/>
              <w:rPr>
                <w:sz w:val="20"/>
                <w:szCs w:val="20"/>
                <w:color w:val="auto"/>
              </w:rPr>
            </w:pPr>
            <w:r>
              <w:rPr>
                <w:rFonts w:ascii="Arial" w:cs="Arial" w:eastAsia="Arial" w:hAnsi="Arial"/>
                <w:sz w:val="11"/>
                <w:szCs w:val="11"/>
                <w:b w:val="1"/>
                <w:bCs w:val="1"/>
                <w:color w:val="auto"/>
              </w:rPr>
              <w:t>% Change</w:t>
            </w:r>
          </w:p>
        </w:tc>
        <w:tc>
          <w:tcPr>
            <w:tcW w:w="1060" w:type="dxa"/>
            <w:vAlign w:val="bottom"/>
          </w:tcPr>
          <w:p>
            <w:pPr>
              <w:jc w:val="right"/>
              <w:ind w:right="253"/>
              <w:spacing w:after="0" w:line="100" w:lineRule="exact"/>
              <w:rPr>
                <w:sz w:val="20"/>
                <w:szCs w:val="20"/>
                <w:color w:val="auto"/>
              </w:rPr>
            </w:pPr>
            <w:r>
              <w:rPr>
                <w:rFonts w:ascii="Arial" w:cs="Arial" w:eastAsia="Arial" w:hAnsi="Arial"/>
                <w:sz w:val="11"/>
                <w:szCs w:val="11"/>
                <w:b w:val="1"/>
                <w:bCs w:val="1"/>
                <w:color w:val="auto"/>
              </w:rPr>
              <w:t>% Change</w:t>
            </w:r>
          </w:p>
        </w:tc>
        <w:tc>
          <w:tcPr>
            <w:tcW w:w="200" w:type="dxa"/>
            <w:vAlign w:val="bottom"/>
          </w:tcPr>
          <w:p>
            <w:pPr>
              <w:spacing w:after="0"/>
              <w:rPr>
                <w:sz w:val="8"/>
                <w:szCs w:val="8"/>
                <w:color w:val="auto"/>
              </w:rPr>
            </w:pPr>
          </w:p>
        </w:tc>
      </w:tr>
      <w:tr>
        <w:trPr>
          <w:trHeight w:val="154"/>
        </w:trPr>
        <w:tc>
          <w:tcPr>
            <w:tcW w:w="106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w w:val="94"/>
              </w:rPr>
              <w:t>Market Classification</w:t>
            </w:r>
          </w:p>
        </w:tc>
        <w:tc>
          <w:tcPr>
            <w:tcW w:w="25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71"/>
              <w:spacing w:after="0"/>
              <w:rPr>
                <w:sz w:val="20"/>
                <w:szCs w:val="20"/>
                <w:color w:val="auto"/>
              </w:rPr>
            </w:pPr>
            <w:r>
              <w:rPr>
                <w:rFonts w:ascii="Arial" w:cs="Arial" w:eastAsia="Arial" w:hAnsi="Arial"/>
                <w:sz w:val="11"/>
                <w:szCs w:val="11"/>
                <w:b w:val="1"/>
                <w:bCs w:val="1"/>
                <w:color w:val="auto"/>
              </w:rPr>
              <w:t>2018</w:t>
            </w:r>
          </w:p>
        </w:tc>
        <w:tc>
          <w:tcPr>
            <w:tcW w:w="1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31"/>
              <w:spacing w:after="0"/>
              <w:rPr>
                <w:sz w:val="20"/>
                <w:szCs w:val="20"/>
                <w:color w:val="auto"/>
              </w:rPr>
            </w:pPr>
            <w:r>
              <w:rPr>
                <w:rFonts w:ascii="Arial" w:cs="Arial" w:eastAsia="Arial" w:hAnsi="Arial"/>
                <w:sz w:val="11"/>
                <w:szCs w:val="11"/>
                <w:b w:val="1"/>
                <w:bCs w:val="1"/>
                <w:color w:val="auto"/>
              </w:rPr>
              <w:t>2017</w:t>
            </w: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ind w:left="140"/>
              <w:spacing w:after="0"/>
              <w:rPr>
                <w:sz w:val="20"/>
                <w:szCs w:val="20"/>
                <w:color w:val="auto"/>
              </w:rPr>
            </w:pPr>
            <w:r>
              <w:rPr>
                <w:rFonts w:ascii="Arial" w:cs="Arial" w:eastAsia="Arial" w:hAnsi="Arial"/>
                <w:sz w:val="11"/>
                <w:szCs w:val="11"/>
                <w:b w:val="1"/>
                <w:bCs w:val="1"/>
                <w:color w:val="auto"/>
              </w:rPr>
              <w:t>2016</w:t>
            </w:r>
          </w:p>
        </w:tc>
        <w:tc>
          <w:tcPr>
            <w:tcW w:w="1400" w:type="dxa"/>
            <w:vAlign w:val="bottom"/>
            <w:tcBorders>
              <w:bottom w:val="single" w:sz="8" w:color="auto"/>
            </w:tcBorders>
          </w:tcPr>
          <w:p>
            <w:pPr>
              <w:jc w:val="right"/>
              <w:ind w:right="493"/>
              <w:spacing w:after="0"/>
              <w:rPr>
                <w:sz w:val="20"/>
                <w:szCs w:val="20"/>
                <w:color w:val="auto"/>
              </w:rPr>
            </w:pPr>
            <w:r>
              <w:rPr>
                <w:rFonts w:ascii="Arial" w:cs="Arial" w:eastAsia="Arial" w:hAnsi="Arial"/>
                <w:sz w:val="11"/>
                <w:szCs w:val="11"/>
                <w:b w:val="1"/>
                <w:bCs w:val="1"/>
                <w:color w:val="auto"/>
              </w:rPr>
              <w:t>2018 vs 2017</w:t>
            </w:r>
          </w:p>
        </w:tc>
        <w:tc>
          <w:tcPr>
            <w:tcW w:w="1060" w:type="dxa"/>
            <w:vAlign w:val="bottom"/>
            <w:tcBorders>
              <w:bottom w:val="single" w:sz="8" w:color="auto"/>
            </w:tcBorders>
          </w:tcPr>
          <w:p>
            <w:pPr>
              <w:jc w:val="right"/>
              <w:ind w:right="213"/>
              <w:spacing w:after="0"/>
              <w:rPr>
                <w:sz w:val="20"/>
                <w:szCs w:val="20"/>
                <w:color w:val="auto"/>
              </w:rPr>
            </w:pPr>
            <w:r>
              <w:rPr>
                <w:rFonts w:ascii="Arial" w:cs="Arial" w:eastAsia="Arial" w:hAnsi="Arial"/>
                <w:sz w:val="11"/>
                <w:szCs w:val="11"/>
                <w:b w:val="1"/>
                <w:bCs w:val="1"/>
                <w:color w:val="auto"/>
              </w:rPr>
              <w:t>2017 vs 2016</w:t>
            </w:r>
          </w:p>
        </w:tc>
        <w:tc>
          <w:tcPr>
            <w:tcW w:w="200" w:type="dxa"/>
            <w:vAlign w:val="bottom"/>
          </w:tcPr>
          <w:p>
            <w:pPr>
              <w:spacing w:after="0"/>
              <w:rPr>
                <w:sz w:val="13"/>
                <w:szCs w:val="13"/>
                <w:color w:val="auto"/>
              </w:rPr>
            </w:pPr>
          </w:p>
        </w:tc>
      </w:tr>
      <w:tr>
        <w:trPr>
          <w:trHeight w:val="151"/>
        </w:trPr>
        <w:tc>
          <w:tcPr>
            <w:tcW w:w="3640" w:type="dxa"/>
            <w:vAlign w:val="bottom"/>
            <w:tcBorders>
              <w:top w:val="single" w:sz="8" w:color="CCEEFF"/>
            </w:tcBorders>
            <w:gridSpan w:val="2"/>
            <w:shd w:val="clear" w:color="auto" w:fill="CCEEFF"/>
          </w:tcPr>
          <w:p>
            <w:pPr>
              <w:spacing w:after="0" w:line="151" w:lineRule="exact"/>
              <w:rPr>
                <w:sz w:val="20"/>
                <w:szCs w:val="20"/>
                <w:color w:val="auto"/>
              </w:rPr>
            </w:pPr>
            <w:r>
              <w:rPr>
                <w:rFonts w:ascii="Arial" w:cs="Arial" w:eastAsia="Arial" w:hAnsi="Arial"/>
                <w:sz w:val="14"/>
                <w:szCs w:val="14"/>
                <w:color w:val="auto"/>
              </w:rPr>
              <w:t>Retail</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tcBorders>
            <w:shd w:val="clear" w:color="auto" w:fill="CCEEFF"/>
          </w:tcPr>
          <w:p>
            <w:pPr>
              <w:jc w:val="right"/>
              <w:ind w:right="71"/>
              <w:spacing w:after="0" w:line="151" w:lineRule="exact"/>
              <w:rPr>
                <w:sz w:val="20"/>
                <w:szCs w:val="20"/>
                <w:color w:val="auto"/>
              </w:rPr>
            </w:pPr>
            <w:r>
              <w:rPr>
                <w:rFonts w:ascii="Arial" w:cs="Arial" w:eastAsia="Arial" w:hAnsi="Arial"/>
                <w:sz w:val="14"/>
                <w:szCs w:val="14"/>
                <w:color w:val="auto"/>
              </w:rPr>
              <w:t>479,494</w:t>
            </w:r>
          </w:p>
        </w:tc>
        <w:tc>
          <w:tcPr>
            <w:tcW w:w="180" w:type="dxa"/>
            <w:vAlign w:val="bottom"/>
            <w:tcBorders>
              <w:top w:val="single" w:sz="8" w:color="auto"/>
            </w:tcBorders>
            <w:shd w:val="clear" w:color="auto" w:fill="CCEEFF"/>
          </w:tcPr>
          <w:p>
            <w:pPr>
              <w:jc w:val="right"/>
              <w:spacing w:after="0" w:line="151" w:lineRule="exact"/>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CEEFF"/>
          </w:tcPr>
          <w:p>
            <w:pPr>
              <w:jc w:val="right"/>
              <w:spacing w:after="0" w:line="151" w:lineRule="exact"/>
              <w:rPr>
                <w:sz w:val="20"/>
                <w:szCs w:val="20"/>
                <w:color w:val="auto"/>
              </w:rPr>
            </w:pPr>
            <w:r>
              <w:rPr>
                <w:rFonts w:ascii="Arial" w:cs="Arial" w:eastAsia="Arial" w:hAnsi="Arial"/>
                <w:sz w:val="14"/>
                <w:szCs w:val="14"/>
                <w:color w:val="auto"/>
              </w:rPr>
              <w:t>438,967</w:t>
            </w:r>
          </w:p>
        </w:tc>
        <w:tc>
          <w:tcPr>
            <w:tcW w:w="260" w:type="dxa"/>
            <w:vAlign w:val="bottom"/>
            <w:tcBorders>
              <w:top w:val="single" w:sz="8" w:color="auto"/>
            </w:tcBorders>
            <w:shd w:val="clear" w:color="auto" w:fill="CCEEFF"/>
          </w:tcPr>
          <w:p>
            <w:pPr>
              <w:jc w:val="right"/>
              <w:spacing w:after="0" w:line="151" w:lineRule="exact"/>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shd w:val="clear" w:color="auto" w:fill="CCEEFF"/>
          </w:tcPr>
          <w:p>
            <w:pPr>
              <w:jc w:val="right"/>
              <w:ind w:right="193"/>
              <w:spacing w:after="0" w:line="151" w:lineRule="exact"/>
              <w:rPr>
                <w:sz w:val="20"/>
                <w:szCs w:val="20"/>
                <w:color w:val="auto"/>
              </w:rPr>
            </w:pPr>
            <w:r>
              <w:rPr>
                <w:rFonts w:ascii="Arial" w:cs="Arial" w:eastAsia="Arial" w:hAnsi="Arial"/>
                <w:sz w:val="14"/>
                <w:szCs w:val="14"/>
                <w:color w:val="auto"/>
              </w:rPr>
              <w:t>383,899</w:t>
            </w:r>
          </w:p>
        </w:tc>
        <w:tc>
          <w:tcPr>
            <w:tcW w:w="1400" w:type="dxa"/>
            <w:vAlign w:val="bottom"/>
            <w:tcBorders>
              <w:top w:val="single" w:sz="8" w:color="auto"/>
            </w:tcBorders>
            <w:shd w:val="clear" w:color="auto" w:fill="CCEEFF"/>
          </w:tcPr>
          <w:p>
            <w:pPr>
              <w:jc w:val="right"/>
              <w:ind w:right="113"/>
              <w:spacing w:after="0" w:line="151" w:lineRule="exact"/>
              <w:rPr>
                <w:sz w:val="20"/>
                <w:szCs w:val="20"/>
                <w:color w:val="auto"/>
              </w:rPr>
            </w:pPr>
            <w:r>
              <w:rPr>
                <w:rFonts w:ascii="Arial" w:cs="Arial" w:eastAsia="Arial" w:hAnsi="Arial"/>
                <w:sz w:val="14"/>
                <w:szCs w:val="14"/>
                <w:color w:val="auto"/>
              </w:rPr>
              <w:t>9.2 %</w:t>
            </w:r>
          </w:p>
        </w:tc>
        <w:tc>
          <w:tcPr>
            <w:tcW w:w="1060" w:type="dxa"/>
            <w:vAlign w:val="bottom"/>
            <w:tcBorders>
              <w:top w:val="single" w:sz="8" w:color="auto"/>
            </w:tcBorders>
            <w:shd w:val="clear" w:color="auto" w:fill="CCEEFF"/>
          </w:tcPr>
          <w:p>
            <w:pPr>
              <w:jc w:val="right"/>
              <w:spacing w:after="0" w:line="151" w:lineRule="exact"/>
              <w:rPr>
                <w:sz w:val="20"/>
                <w:szCs w:val="20"/>
                <w:color w:val="auto"/>
              </w:rPr>
            </w:pPr>
            <w:r>
              <w:rPr>
                <w:rFonts w:ascii="Arial" w:cs="Arial" w:eastAsia="Arial" w:hAnsi="Arial"/>
                <w:sz w:val="14"/>
                <w:szCs w:val="14"/>
                <w:color w:val="auto"/>
              </w:rPr>
              <w:t>14.3</w:t>
            </w:r>
          </w:p>
        </w:tc>
        <w:tc>
          <w:tcPr>
            <w:tcW w:w="200" w:type="dxa"/>
            <w:vAlign w:val="bottom"/>
            <w:tcBorders>
              <w:top w:val="single" w:sz="8" w:color="CCEEFF"/>
            </w:tcBorders>
            <w:shd w:val="clear" w:color="auto" w:fill="CCEEFF"/>
          </w:tcPr>
          <w:p>
            <w:pPr>
              <w:jc w:val="right"/>
              <w:ind w:right="9"/>
              <w:spacing w:after="0" w:line="151" w:lineRule="exact"/>
              <w:rPr>
                <w:sz w:val="20"/>
                <w:szCs w:val="20"/>
                <w:color w:val="auto"/>
              </w:rPr>
            </w:pPr>
            <w:r>
              <w:rPr>
                <w:rFonts w:ascii="Arial" w:cs="Arial" w:eastAsia="Arial" w:hAnsi="Arial"/>
                <w:sz w:val="14"/>
                <w:szCs w:val="14"/>
                <w:color w:val="auto"/>
                <w:w w:val="79"/>
              </w:rPr>
              <w:t>%</w:t>
            </w:r>
          </w:p>
        </w:tc>
      </w:tr>
      <w:tr>
        <w:trPr>
          <w:trHeight w:val="170"/>
        </w:trPr>
        <w:tc>
          <w:tcPr>
            <w:tcW w:w="3640" w:type="dxa"/>
            <w:vAlign w:val="bottom"/>
            <w:gridSpan w:val="2"/>
          </w:tcPr>
          <w:p>
            <w:pPr>
              <w:spacing w:after="0"/>
              <w:rPr>
                <w:sz w:val="20"/>
                <w:szCs w:val="20"/>
                <w:color w:val="auto"/>
              </w:rPr>
            </w:pPr>
            <w:r>
              <w:rPr>
                <w:rFonts w:ascii="Arial" w:cs="Arial" w:eastAsia="Arial" w:hAnsi="Arial"/>
                <w:sz w:val="14"/>
                <w:szCs w:val="14"/>
                <w:color w:val="auto"/>
              </w:rPr>
              <w:t>Industrial</w:t>
            </w:r>
          </w:p>
        </w:tc>
        <w:tc>
          <w:tcPr>
            <w:tcW w:w="100" w:type="dxa"/>
            <w:vAlign w:val="bottom"/>
          </w:tcPr>
          <w:p>
            <w:pPr>
              <w:spacing w:after="0"/>
              <w:rPr>
                <w:sz w:val="14"/>
                <w:szCs w:val="14"/>
                <w:color w:val="auto"/>
              </w:rPr>
            </w:pPr>
          </w:p>
        </w:tc>
        <w:tc>
          <w:tcPr>
            <w:tcW w:w="720" w:type="dxa"/>
            <w:vAlign w:val="bottom"/>
          </w:tcPr>
          <w:p>
            <w:pPr>
              <w:jc w:val="right"/>
              <w:ind w:right="71"/>
              <w:spacing w:after="0"/>
              <w:rPr>
                <w:sz w:val="20"/>
                <w:szCs w:val="20"/>
                <w:color w:val="auto"/>
              </w:rPr>
            </w:pPr>
            <w:r>
              <w:rPr>
                <w:rFonts w:ascii="Arial" w:cs="Arial" w:eastAsia="Arial" w:hAnsi="Arial"/>
                <w:sz w:val="14"/>
                <w:szCs w:val="14"/>
                <w:color w:val="auto"/>
              </w:rPr>
              <w:t>559,277</w:t>
            </w: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525,946</w:t>
            </w:r>
          </w:p>
        </w:tc>
        <w:tc>
          <w:tcPr>
            <w:tcW w:w="260" w:type="dxa"/>
            <w:vAlign w:val="bottom"/>
          </w:tcPr>
          <w:p>
            <w:pPr>
              <w:spacing w:after="0"/>
              <w:rPr>
                <w:sz w:val="14"/>
                <w:szCs w:val="14"/>
                <w:color w:val="auto"/>
              </w:rPr>
            </w:pPr>
          </w:p>
        </w:tc>
        <w:tc>
          <w:tcPr>
            <w:tcW w:w="860" w:type="dxa"/>
            <w:vAlign w:val="bottom"/>
          </w:tcPr>
          <w:p>
            <w:pPr>
              <w:jc w:val="right"/>
              <w:ind w:right="193"/>
              <w:spacing w:after="0"/>
              <w:rPr>
                <w:sz w:val="20"/>
                <w:szCs w:val="20"/>
                <w:color w:val="auto"/>
              </w:rPr>
            </w:pPr>
            <w:r>
              <w:rPr>
                <w:rFonts w:ascii="Arial" w:cs="Arial" w:eastAsia="Arial" w:hAnsi="Arial"/>
                <w:sz w:val="14"/>
                <w:szCs w:val="14"/>
                <w:color w:val="auto"/>
              </w:rPr>
              <w:t>464,686</w:t>
            </w:r>
          </w:p>
        </w:tc>
        <w:tc>
          <w:tcPr>
            <w:tcW w:w="1400" w:type="dxa"/>
            <w:vAlign w:val="bottom"/>
          </w:tcPr>
          <w:p>
            <w:pPr>
              <w:jc w:val="right"/>
              <w:ind w:right="273"/>
              <w:spacing w:after="0"/>
              <w:rPr>
                <w:sz w:val="20"/>
                <w:szCs w:val="20"/>
                <w:color w:val="auto"/>
              </w:rPr>
            </w:pPr>
            <w:r>
              <w:rPr>
                <w:rFonts w:ascii="Arial" w:cs="Arial" w:eastAsia="Arial" w:hAnsi="Arial"/>
                <w:sz w:val="14"/>
                <w:szCs w:val="14"/>
                <w:color w:val="auto"/>
              </w:rPr>
              <w:t>6.3</w:t>
            </w:r>
          </w:p>
        </w:tc>
        <w:tc>
          <w:tcPr>
            <w:tcW w:w="1060" w:type="dxa"/>
            <w:vAlign w:val="bottom"/>
          </w:tcPr>
          <w:p>
            <w:pPr>
              <w:jc w:val="right"/>
              <w:spacing w:after="0"/>
              <w:rPr>
                <w:sz w:val="20"/>
                <w:szCs w:val="20"/>
                <w:color w:val="auto"/>
              </w:rPr>
            </w:pPr>
            <w:r>
              <w:rPr>
                <w:rFonts w:ascii="Arial" w:cs="Arial" w:eastAsia="Arial" w:hAnsi="Arial"/>
                <w:sz w:val="14"/>
                <w:szCs w:val="14"/>
                <w:color w:val="auto"/>
              </w:rPr>
              <w:t>13.2</w:t>
            </w:r>
          </w:p>
        </w:tc>
        <w:tc>
          <w:tcPr>
            <w:tcW w:w="200" w:type="dxa"/>
            <w:vAlign w:val="bottom"/>
          </w:tcPr>
          <w:p>
            <w:pPr>
              <w:spacing w:after="0"/>
              <w:rPr>
                <w:sz w:val="14"/>
                <w:szCs w:val="14"/>
                <w:color w:val="auto"/>
              </w:rPr>
            </w:pPr>
          </w:p>
        </w:tc>
      </w:tr>
      <w:tr>
        <w:trPr>
          <w:trHeight w:val="190"/>
        </w:trPr>
        <w:tc>
          <w:tcPr>
            <w:tcW w:w="36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Construction</w:t>
            </w:r>
          </w:p>
        </w:tc>
        <w:tc>
          <w:tcPr>
            <w:tcW w:w="10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4"/>
                <w:szCs w:val="14"/>
                <w:color w:val="auto"/>
              </w:rPr>
              <w:t>582,761</w:t>
            </w:r>
          </w:p>
        </w:tc>
        <w:tc>
          <w:tcPr>
            <w:tcW w:w="18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470,346</w:t>
            </w:r>
          </w:p>
        </w:tc>
        <w:tc>
          <w:tcPr>
            <w:tcW w:w="26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ind w:right="193"/>
              <w:spacing w:after="0"/>
              <w:rPr>
                <w:sz w:val="20"/>
                <w:szCs w:val="20"/>
                <w:color w:val="auto"/>
              </w:rPr>
            </w:pPr>
            <w:r>
              <w:rPr>
                <w:rFonts w:ascii="Arial" w:cs="Arial" w:eastAsia="Arial" w:hAnsi="Arial"/>
                <w:sz w:val="14"/>
                <w:szCs w:val="14"/>
                <w:color w:val="auto"/>
              </w:rPr>
              <w:t>418,946</w:t>
            </w:r>
          </w:p>
        </w:tc>
        <w:tc>
          <w:tcPr>
            <w:tcW w:w="1400" w:type="dxa"/>
            <w:vAlign w:val="bottom"/>
            <w:tcBorders>
              <w:bottom w:val="single" w:sz="8" w:color="auto"/>
            </w:tcBorders>
            <w:shd w:val="clear" w:color="auto" w:fill="CCEEFF"/>
          </w:tcPr>
          <w:p>
            <w:pPr>
              <w:jc w:val="right"/>
              <w:ind w:right="273"/>
              <w:spacing w:after="0"/>
              <w:rPr>
                <w:sz w:val="20"/>
                <w:szCs w:val="20"/>
                <w:color w:val="auto"/>
              </w:rPr>
            </w:pPr>
            <w:r>
              <w:rPr>
                <w:rFonts w:ascii="Arial" w:cs="Arial" w:eastAsia="Arial" w:hAnsi="Arial"/>
                <w:sz w:val="14"/>
                <w:szCs w:val="14"/>
                <w:color w:val="auto"/>
              </w:rPr>
              <w:t>23.9</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12.3</w:t>
            </w:r>
          </w:p>
        </w:tc>
        <w:tc>
          <w:tcPr>
            <w:tcW w:w="200" w:type="dxa"/>
            <w:vAlign w:val="bottom"/>
            <w:tcBorders>
              <w:bottom w:val="single" w:sz="8" w:color="CCEEFF"/>
            </w:tcBorders>
            <w:shd w:val="clear" w:color="auto" w:fill="CCEEFF"/>
          </w:tcPr>
          <w:p>
            <w:pPr>
              <w:spacing w:after="0"/>
              <w:rPr>
                <w:sz w:val="16"/>
                <w:szCs w:val="16"/>
                <w:color w:val="auto"/>
              </w:rPr>
            </w:pPr>
          </w:p>
        </w:tc>
      </w:tr>
      <w:tr>
        <w:trPr>
          <w:trHeight w:val="151"/>
        </w:trPr>
        <w:tc>
          <w:tcPr>
            <w:tcW w:w="3640" w:type="dxa"/>
            <w:vAlign w:val="bottom"/>
            <w:gridSpan w:val="2"/>
          </w:tcPr>
          <w:p>
            <w:pPr>
              <w:spacing w:after="0" w:line="151" w:lineRule="exact"/>
              <w:rPr>
                <w:sz w:val="20"/>
                <w:szCs w:val="20"/>
                <w:color w:val="auto"/>
              </w:rPr>
            </w:pPr>
            <w:r>
              <w:rPr>
                <w:rFonts w:ascii="Arial" w:cs="Arial" w:eastAsia="Arial" w:hAnsi="Arial"/>
                <w:sz w:val="14"/>
                <w:szCs w:val="14"/>
                <w:color w:val="auto"/>
              </w:rPr>
              <w:t>Total Gross Sales</w:t>
            </w:r>
          </w:p>
        </w:tc>
        <w:tc>
          <w:tcPr>
            <w:tcW w:w="100" w:type="dxa"/>
            <w:vAlign w:val="bottom"/>
          </w:tcPr>
          <w:p>
            <w:pPr>
              <w:spacing w:after="0"/>
              <w:rPr>
                <w:sz w:val="13"/>
                <w:szCs w:val="13"/>
                <w:color w:val="auto"/>
              </w:rPr>
            </w:pPr>
          </w:p>
        </w:tc>
        <w:tc>
          <w:tcPr>
            <w:tcW w:w="720" w:type="dxa"/>
            <w:vAlign w:val="bottom"/>
          </w:tcPr>
          <w:p>
            <w:pPr>
              <w:jc w:val="right"/>
              <w:ind w:right="71"/>
              <w:spacing w:after="0" w:line="151" w:lineRule="exact"/>
              <w:rPr>
                <w:sz w:val="20"/>
                <w:szCs w:val="20"/>
                <w:color w:val="auto"/>
              </w:rPr>
            </w:pPr>
            <w:r>
              <w:rPr>
                <w:rFonts w:ascii="Arial" w:cs="Arial" w:eastAsia="Arial" w:hAnsi="Arial"/>
                <w:sz w:val="14"/>
                <w:szCs w:val="14"/>
                <w:color w:val="auto"/>
                <w:w w:val="89"/>
              </w:rPr>
              <w:t>1,621,532</w:t>
            </w:r>
          </w:p>
        </w:tc>
        <w:tc>
          <w:tcPr>
            <w:tcW w:w="180" w:type="dxa"/>
            <w:vAlign w:val="bottom"/>
          </w:tcPr>
          <w:p>
            <w:pPr>
              <w:spacing w:after="0"/>
              <w:rPr>
                <w:sz w:val="13"/>
                <w:szCs w:val="13"/>
                <w:color w:val="auto"/>
              </w:rPr>
            </w:pPr>
          </w:p>
        </w:tc>
        <w:tc>
          <w:tcPr>
            <w:tcW w:w="680" w:type="dxa"/>
            <w:vAlign w:val="bottom"/>
          </w:tcPr>
          <w:p>
            <w:pPr>
              <w:jc w:val="right"/>
              <w:spacing w:after="0" w:line="151" w:lineRule="exact"/>
              <w:rPr>
                <w:sz w:val="20"/>
                <w:szCs w:val="20"/>
                <w:color w:val="auto"/>
              </w:rPr>
            </w:pPr>
            <w:r>
              <w:rPr>
                <w:rFonts w:ascii="Arial" w:cs="Arial" w:eastAsia="Arial" w:hAnsi="Arial"/>
                <w:sz w:val="14"/>
                <w:szCs w:val="14"/>
                <w:color w:val="auto"/>
                <w:w w:val="96"/>
              </w:rPr>
              <w:t>1,435,259</w:t>
            </w:r>
          </w:p>
        </w:tc>
        <w:tc>
          <w:tcPr>
            <w:tcW w:w="260" w:type="dxa"/>
            <w:vAlign w:val="bottom"/>
          </w:tcPr>
          <w:p>
            <w:pPr>
              <w:spacing w:after="0"/>
              <w:rPr>
                <w:sz w:val="13"/>
                <w:szCs w:val="13"/>
                <w:color w:val="auto"/>
              </w:rPr>
            </w:pPr>
          </w:p>
        </w:tc>
        <w:tc>
          <w:tcPr>
            <w:tcW w:w="860" w:type="dxa"/>
            <w:vAlign w:val="bottom"/>
          </w:tcPr>
          <w:p>
            <w:pPr>
              <w:jc w:val="right"/>
              <w:ind w:right="193"/>
              <w:spacing w:after="0" w:line="151" w:lineRule="exact"/>
              <w:rPr>
                <w:sz w:val="20"/>
                <w:szCs w:val="20"/>
                <w:color w:val="auto"/>
              </w:rPr>
            </w:pPr>
            <w:r>
              <w:rPr>
                <w:rFonts w:ascii="Arial" w:cs="Arial" w:eastAsia="Arial" w:hAnsi="Arial"/>
                <w:sz w:val="14"/>
                <w:szCs w:val="14"/>
                <w:color w:val="auto"/>
                <w:w w:val="93"/>
              </w:rPr>
              <w:t>1,267,531</w:t>
            </w:r>
          </w:p>
        </w:tc>
        <w:tc>
          <w:tcPr>
            <w:tcW w:w="1400" w:type="dxa"/>
            <w:vAlign w:val="bottom"/>
          </w:tcPr>
          <w:p>
            <w:pPr>
              <w:jc w:val="right"/>
              <w:ind w:right="113"/>
              <w:spacing w:after="0" w:line="151" w:lineRule="exact"/>
              <w:rPr>
                <w:sz w:val="20"/>
                <w:szCs w:val="20"/>
                <w:color w:val="auto"/>
              </w:rPr>
            </w:pPr>
            <w:r>
              <w:rPr>
                <w:rFonts w:ascii="Arial" w:cs="Arial" w:eastAsia="Arial" w:hAnsi="Arial"/>
                <w:sz w:val="14"/>
                <w:szCs w:val="14"/>
                <w:color w:val="auto"/>
              </w:rPr>
              <w:t>13.0 %</w:t>
            </w:r>
          </w:p>
        </w:tc>
        <w:tc>
          <w:tcPr>
            <w:tcW w:w="1060" w:type="dxa"/>
            <w:vAlign w:val="bottom"/>
          </w:tcPr>
          <w:p>
            <w:pPr>
              <w:jc w:val="right"/>
              <w:spacing w:after="0" w:line="151" w:lineRule="exact"/>
              <w:rPr>
                <w:sz w:val="20"/>
                <w:szCs w:val="20"/>
                <w:color w:val="auto"/>
              </w:rPr>
            </w:pPr>
            <w:r>
              <w:rPr>
                <w:rFonts w:ascii="Arial" w:cs="Arial" w:eastAsia="Arial" w:hAnsi="Arial"/>
                <w:sz w:val="14"/>
                <w:szCs w:val="14"/>
                <w:color w:val="auto"/>
              </w:rPr>
              <w:t>13.2</w:t>
            </w:r>
          </w:p>
        </w:tc>
        <w:tc>
          <w:tcPr>
            <w:tcW w:w="200" w:type="dxa"/>
            <w:vAlign w:val="bottom"/>
          </w:tcPr>
          <w:p>
            <w:pPr>
              <w:jc w:val="right"/>
              <w:ind w:right="9"/>
              <w:spacing w:after="0" w:line="151" w:lineRule="exact"/>
              <w:rPr>
                <w:sz w:val="20"/>
                <w:szCs w:val="20"/>
                <w:color w:val="auto"/>
              </w:rPr>
            </w:pPr>
            <w:r>
              <w:rPr>
                <w:rFonts w:ascii="Arial" w:cs="Arial" w:eastAsia="Arial" w:hAnsi="Arial"/>
                <w:sz w:val="14"/>
                <w:szCs w:val="14"/>
                <w:color w:val="auto"/>
                <w:w w:val="79"/>
              </w:rPr>
              <w:t>%</w:t>
            </w:r>
          </w:p>
        </w:tc>
      </w:tr>
      <w:tr>
        <w:trPr>
          <w:trHeight w:val="190"/>
        </w:trPr>
        <w:tc>
          <w:tcPr>
            <w:tcW w:w="36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Sales Allowances</w:t>
            </w:r>
          </w:p>
        </w:tc>
        <w:tc>
          <w:tcPr>
            <w:tcW w:w="10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(22,258)</w:t>
            </w:r>
          </w:p>
        </w:tc>
        <w:tc>
          <w:tcPr>
            <w:tcW w:w="18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(17,335)</w:t>
            </w:r>
          </w:p>
        </w:tc>
        <w:tc>
          <w:tcPr>
            <w:tcW w:w="26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4"/>
                <w:szCs w:val="14"/>
                <w:color w:val="auto"/>
              </w:rPr>
              <w:t>(16,438)</w:t>
            </w:r>
          </w:p>
        </w:tc>
        <w:tc>
          <w:tcPr>
            <w:tcW w:w="1400" w:type="dxa"/>
            <w:vAlign w:val="bottom"/>
            <w:tcBorders>
              <w:bottom w:val="single" w:sz="8" w:color="auto"/>
            </w:tcBorders>
            <w:shd w:val="clear" w:color="auto" w:fill="CCEEFF"/>
          </w:tcPr>
          <w:p>
            <w:pPr>
              <w:jc w:val="right"/>
              <w:ind w:right="273"/>
              <w:spacing w:after="0"/>
              <w:rPr>
                <w:sz w:val="20"/>
                <w:szCs w:val="20"/>
                <w:color w:val="auto"/>
              </w:rPr>
            </w:pPr>
            <w:r>
              <w:rPr>
                <w:rFonts w:ascii="Arial" w:cs="Arial" w:eastAsia="Arial" w:hAnsi="Arial"/>
                <w:sz w:val="14"/>
                <w:szCs w:val="14"/>
                <w:color w:val="auto"/>
              </w:rPr>
              <w:t>28.4</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w:t>
            </w:r>
          </w:p>
        </w:tc>
        <w:tc>
          <w:tcPr>
            <w:tcW w:w="200" w:type="dxa"/>
            <w:vAlign w:val="bottom"/>
            <w:tcBorders>
              <w:bottom w:val="single" w:sz="8" w:color="CCEEFF"/>
            </w:tcBorders>
            <w:shd w:val="clear" w:color="auto" w:fill="CCEEFF"/>
          </w:tcPr>
          <w:p>
            <w:pPr>
              <w:spacing w:after="0"/>
              <w:rPr>
                <w:sz w:val="16"/>
                <w:szCs w:val="16"/>
                <w:color w:val="auto"/>
              </w:rPr>
            </w:pPr>
          </w:p>
        </w:tc>
      </w:tr>
      <w:tr>
        <w:trPr>
          <w:trHeight w:val="152"/>
        </w:trPr>
        <w:tc>
          <w:tcPr>
            <w:tcW w:w="3640" w:type="dxa"/>
            <w:vAlign w:val="bottom"/>
            <w:gridSpan w:val="2"/>
          </w:tcPr>
          <w:p>
            <w:pPr>
              <w:spacing w:after="0" w:line="151" w:lineRule="exact"/>
              <w:rPr>
                <w:sz w:val="20"/>
                <w:szCs w:val="20"/>
                <w:color w:val="auto"/>
              </w:rPr>
            </w:pPr>
            <w:r>
              <w:rPr>
                <w:rFonts w:ascii="Arial" w:cs="Arial" w:eastAsia="Arial" w:hAnsi="Arial"/>
                <w:sz w:val="14"/>
                <w:szCs w:val="14"/>
                <w:color w:val="auto"/>
              </w:rPr>
              <w:t>Total Net Sales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tcPr>
          <w:p>
            <w:pPr>
              <w:jc w:val="right"/>
              <w:ind w:right="71"/>
              <w:spacing w:after="0" w:line="151" w:lineRule="exact"/>
              <w:rPr>
                <w:sz w:val="20"/>
                <w:szCs w:val="20"/>
                <w:color w:val="auto"/>
              </w:rPr>
            </w:pPr>
            <w:r>
              <w:rPr>
                <w:rFonts w:ascii="Arial" w:cs="Arial" w:eastAsia="Arial" w:hAnsi="Arial"/>
                <w:sz w:val="14"/>
                <w:szCs w:val="14"/>
                <w:color w:val="auto"/>
                <w:w w:val="89"/>
              </w:rPr>
              <w:t>1,599,274</w:t>
            </w:r>
          </w:p>
        </w:tc>
        <w:tc>
          <w:tcPr>
            <w:tcW w:w="18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w w:val="96"/>
              </w:rPr>
              <w:t>1,417,924</w:t>
            </w:r>
          </w:p>
        </w:tc>
        <w:tc>
          <w:tcPr>
            <w:tcW w:w="26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193"/>
              <w:spacing w:after="0" w:line="151" w:lineRule="exact"/>
              <w:rPr>
                <w:sz w:val="20"/>
                <w:szCs w:val="20"/>
                <w:color w:val="auto"/>
              </w:rPr>
            </w:pPr>
            <w:r>
              <w:rPr>
                <w:rFonts w:ascii="Arial" w:cs="Arial" w:eastAsia="Arial" w:hAnsi="Arial"/>
                <w:sz w:val="14"/>
                <w:szCs w:val="14"/>
                <w:color w:val="auto"/>
                <w:w w:val="93"/>
              </w:rPr>
              <w:t>1,251,093</w:t>
            </w:r>
          </w:p>
        </w:tc>
        <w:tc>
          <w:tcPr>
            <w:tcW w:w="1400" w:type="dxa"/>
            <w:vAlign w:val="bottom"/>
            <w:tcBorders>
              <w:bottom w:val="single" w:sz="8" w:color="auto"/>
            </w:tcBorders>
          </w:tcPr>
          <w:p>
            <w:pPr>
              <w:jc w:val="right"/>
              <w:ind w:right="113"/>
              <w:spacing w:after="0" w:line="151" w:lineRule="exact"/>
              <w:rPr>
                <w:sz w:val="20"/>
                <w:szCs w:val="20"/>
                <w:color w:val="auto"/>
              </w:rPr>
            </w:pPr>
            <w:r>
              <w:rPr>
                <w:rFonts w:ascii="Arial" w:cs="Arial" w:eastAsia="Arial" w:hAnsi="Arial"/>
                <w:sz w:val="14"/>
                <w:szCs w:val="14"/>
                <w:color w:val="auto"/>
              </w:rPr>
              <w:t>12.8 %</w:t>
            </w:r>
          </w:p>
        </w:tc>
        <w:tc>
          <w:tcPr>
            <w:tcW w:w="106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13.3</w:t>
            </w:r>
          </w:p>
        </w:tc>
        <w:tc>
          <w:tcPr>
            <w:tcW w:w="200" w:type="dxa"/>
            <w:vAlign w:val="bottom"/>
          </w:tcPr>
          <w:p>
            <w:pPr>
              <w:jc w:val="right"/>
              <w:ind w:right="9"/>
              <w:spacing w:after="0" w:line="151" w:lineRule="exact"/>
              <w:rPr>
                <w:sz w:val="20"/>
                <w:szCs w:val="20"/>
                <w:color w:val="auto"/>
              </w:rPr>
            </w:pPr>
            <w:r>
              <w:rPr>
                <w:rFonts w:ascii="Arial" w:cs="Arial" w:eastAsia="Arial" w:hAnsi="Arial"/>
                <w:sz w:val="14"/>
                <w:szCs w:val="14"/>
                <w:color w:val="auto"/>
                <w:w w:val="79"/>
              </w:rPr>
              <w:t>%</w:t>
            </w:r>
          </w:p>
        </w:tc>
      </w:tr>
    </w:tbl>
    <w:p>
      <w:pPr>
        <w:spacing w:after="0" w:line="329" w:lineRule="exact"/>
        <w:rPr>
          <w:sz w:val="20"/>
          <w:szCs w:val="20"/>
          <w:color w:val="auto"/>
        </w:rPr>
      </w:pPr>
    </w:p>
    <w:p>
      <w:pPr>
        <w:spacing w:after="0"/>
        <w:rPr>
          <w:sz w:val="20"/>
          <w:szCs w:val="20"/>
          <w:color w:val="auto"/>
        </w:rPr>
      </w:pPr>
      <w:r>
        <w:rPr>
          <w:rFonts w:ascii="Arial" w:cs="Arial" w:eastAsia="Arial" w:hAnsi="Arial"/>
          <w:sz w:val="14"/>
          <w:szCs w:val="14"/>
          <w:color w:val="auto"/>
        </w:rPr>
        <w:t>Net sales of the West reportable segment increased by $181 million, or 12.8%, in 2018, primarily due to the following factors:</w:t>
      </w:r>
    </w:p>
    <w:p>
      <w:pPr>
        <w:spacing w:after="0" w:line="179" w:lineRule="exact"/>
        <w:rPr>
          <w:sz w:val="20"/>
          <w:szCs w:val="20"/>
          <w:color w:val="auto"/>
        </w:rPr>
      </w:pPr>
    </w:p>
    <w:p>
      <w:pPr>
        <w:ind w:left="540" w:hanging="249"/>
        <w:spacing w:after="0"/>
        <w:tabs>
          <w:tab w:leader="none" w:pos="5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Higher lumber prices increased our selling prices.</w:t>
      </w:r>
    </w:p>
    <w:p>
      <w:pPr>
        <w:spacing w:after="0" w:line="178" w:lineRule="exact"/>
        <w:rPr>
          <w:rFonts w:ascii="Arial" w:cs="Arial" w:eastAsia="Arial" w:hAnsi="Arial"/>
          <w:sz w:val="14"/>
          <w:szCs w:val="14"/>
          <w:color w:val="auto"/>
        </w:rPr>
      </w:pPr>
    </w:p>
    <w:p>
      <w:pPr>
        <w:ind w:left="540" w:hanging="249"/>
        <w:spacing w:after="0"/>
        <w:tabs>
          <w:tab w:leader="none" w:pos="5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Organic unit sales growth to the retail and construction markets.</w:t>
      </w:r>
    </w:p>
    <w:p>
      <w:pPr>
        <w:spacing w:after="0" w:line="179"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Earnings from operations for the West reportable segment increased in 2018 by $20.9 million, or 25.3%, due to an increase in gross profit of $26.3 million, offset by a $5.4 million increase in SG&amp;A expenses compared to last year due to the same factors discussed under “Cost of Goods Sold and Gross Profit” and “Selling, General, and Administrative Expenses.”</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color w:val="auto"/>
        </w:rPr>
        <w:t>Net sales of the West reportable segment increased by $167 million, or 13.3%, in 2017, primarily due to the following factors:</w:t>
      </w:r>
    </w:p>
    <w:p>
      <w:pPr>
        <w:spacing w:after="0" w:line="179" w:lineRule="exact"/>
        <w:rPr>
          <w:sz w:val="20"/>
          <w:szCs w:val="20"/>
          <w:color w:val="auto"/>
        </w:rPr>
      </w:pPr>
    </w:p>
    <w:p>
      <w:pPr>
        <w:ind w:left="540" w:hanging="249"/>
        <w:spacing w:after="0"/>
        <w:tabs>
          <w:tab w:leader="none" w:pos="540" w:val="left"/>
        </w:tabs>
        <w:numPr>
          <w:ilvl w:val="0"/>
          <w:numId w:val="35"/>
        </w:numPr>
        <w:rPr>
          <w:rFonts w:ascii="Arial" w:cs="Arial" w:eastAsia="Arial" w:hAnsi="Arial"/>
          <w:sz w:val="14"/>
          <w:szCs w:val="14"/>
          <w:color w:val="auto"/>
        </w:rPr>
      </w:pPr>
      <w:r>
        <w:rPr>
          <w:rFonts w:ascii="Arial" w:cs="Arial" w:eastAsia="Arial" w:hAnsi="Arial"/>
          <w:sz w:val="14"/>
          <w:szCs w:val="14"/>
          <w:color w:val="auto"/>
        </w:rPr>
        <w:t>Acquired operations contributed $4.9 million, $3.2 million, and $6.8 million to our retail, industrial, and construction markets, respectively.</w:t>
      </w:r>
    </w:p>
    <w:p>
      <w:pPr>
        <w:spacing w:after="0" w:line="178" w:lineRule="exact"/>
        <w:rPr>
          <w:rFonts w:ascii="Arial" w:cs="Arial" w:eastAsia="Arial" w:hAnsi="Arial"/>
          <w:sz w:val="14"/>
          <w:szCs w:val="14"/>
          <w:color w:val="auto"/>
        </w:rPr>
      </w:pPr>
    </w:p>
    <w:p>
      <w:pPr>
        <w:ind w:left="540" w:hanging="249"/>
        <w:spacing w:after="0"/>
        <w:tabs>
          <w:tab w:leader="none" w:pos="540" w:val="left"/>
        </w:tabs>
        <w:numPr>
          <w:ilvl w:val="0"/>
          <w:numId w:val="35"/>
        </w:numPr>
        <w:rPr>
          <w:rFonts w:ascii="Arial" w:cs="Arial" w:eastAsia="Arial" w:hAnsi="Arial"/>
          <w:sz w:val="14"/>
          <w:szCs w:val="14"/>
          <w:color w:val="auto"/>
        </w:rPr>
      </w:pPr>
      <w:r>
        <w:rPr>
          <w:rFonts w:ascii="Arial" w:cs="Arial" w:eastAsia="Arial" w:hAnsi="Arial"/>
          <w:sz w:val="14"/>
          <w:szCs w:val="14"/>
          <w:color w:val="auto"/>
        </w:rPr>
        <w:t>Higher lumber prices increased our selling prices.</w:t>
      </w:r>
    </w:p>
    <w:p>
      <w:pPr>
        <w:spacing w:after="0" w:line="178" w:lineRule="exact"/>
        <w:rPr>
          <w:rFonts w:ascii="Arial" w:cs="Arial" w:eastAsia="Arial" w:hAnsi="Arial"/>
          <w:sz w:val="14"/>
          <w:szCs w:val="14"/>
          <w:color w:val="auto"/>
        </w:rPr>
      </w:pPr>
    </w:p>
    <w:p>
      <w:pPr>
        <w:ind w:left="540" w:hanging="249"/>
        <w:spacing w:after="0"/>
        <w:tabs>
          <w:tab w:leader="none" w:pos="540" w:val="left"/>
        </w:tabs>
        <w:numPr>
          <w:ilvl w:val="0"/>
          <w:numId w:val="35"/>
        </w:numPr>
        <w:rPr>
          <w:rFonts w:ascii="Arial" w:cs="Arial" w:eastAsia="Arial" w:hAnsi="Arial"/>
          <w:sz w:val="14"/>
          <w:szCs w:val="14"/>
          <w:color w:val="auto"/>
        </w:rPr>
      </w:pPr>
      <w:r>
        <w:rPr>
          <w:rFonts w:ascii="Arial" w:cs="Arial" w:eastAsia="Arial" w:hAnsi="Arial"/>
          <w:sz w:val="14"/>
          <w:szCs w:val="14"/>
          <w:color w:val="auto"/>
        </w:rPr>
        <w:t>Organic unit sales growth in each of our markets due to the factors discussed under “Gross Sales”.</w:t>
      </w:r>
    </w:p>
    <w:p>
      <w:pPr>
        <w:spacing w:after="0" w:line="179"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Earnings from operations for the West reportable segment increased in 2017 by $5.6 million, or 7.3%, due to an increase in gross profit of $12.1 million, offset by a $6.5 million increase in SG&amp;A expenses compared to last year due to the same factors discussed under “Cost of Goods Sold and Gross Profit” and “Selling, General, and Administrative Expenses.”</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66675</wp:posOffset>
            </wp:positionV>
            <wp:extent cx="5779135" cy="203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2">
                      <a:extLst>
                        <a:ext uri="{28A0092B-C50C-407E-A947-70E740481C1C}"/>
                      </a:extLst>
                    </a:blip>
                    <a:srcRect/>
                    <a:stretch>
                      <a:fillRect/>
                    </a:stretch>
                  </pic:blipFill>
                  <pic:spPr bwMode="auto">
                    <a:xfrm>
                      <a:off x="0" y="0"/>
                      <a:ext cx="5779135" cy="20320"/>
                    </a:xfrm>
                    <a:prstGeom prst="rect">
                      <a:avLst/>
                    </a:prstGeom>
                    <a:noFill/>
                  </pic:spPr>
                </pic:pic>
              </a:graphicData>
            </a:graphic>
          </wp:anchor>
        </w:drawing>
      </w:r>
    </w:p>
    <w:p>
      <w:pPr>
        <w:sectPr>
          <w:pgSz w:w="11900" w:h="16838" w:orient="portrait"/>
          <w:cols w:equalWidth="0" w:num="1">
            <w:col w:w="9100"/>
          </w:cols>
          <w:pgMar w:left="1400" w:top="129" w:right="1399" w:bottom="1440" w:gutter="0" w:footer="0" w:header="0"/>
        </w:sectPr>
      </w:pPr>
    </w:p>
    <w:bookmarkStart w:id="58" w:name="page59"/>
    <w:bookmarkEnd w:id="58"/>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UNIVERSAL FOREST PRODUCTS,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MANAGEMENT’S DISCUSSION AND ANALYSIS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FINANCIAL CONDITION AND RESULTS OF OPERATIONS</w:t>
      </w:r>
    </w:p>
    <w:p>
      <w:pPr>
        <w:spacing w:after="0" w:line="169"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All Other</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1060" w:type="dxa"/>
            <w:vAlign w:val="bottom"/>
          </w:tcPr>
          <w:p>
            <w:pPr>
              <w:spacing w:after="0"/>
              <w:rPr>
                <w:sz w:val="11"/>
                <w:szCs w:val="11"/>
                <w:color w:val="auto"/>
              </w:rPr>
            </w:pPr>
          </w:p>
        </w:tc>
        <w:tc>
          <w:tcPr>
            <w:tcW w:w="37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480" w:type="dxa"/>
            <w:vAlign w:val="bottom"/>
            <w:tcBorders>
              <w:bottom w:val="single" w:sz="8" w:color="auto"/>
            </w:tcBorders>
            <w:gridSpan w:val="4"/>
          </w:tcPr>
          <w:p>
            <w:pPr>
              <w:jc w:val="right"/>
              <w:ind w:right="133"/>
              <w:spacing w:after="0"/>
              <w:rPr>
                <w:sz w:val="20"/>
                <w:szCs w:val="20"/>
                <w:color w:val="auto"/>
              </w:rPr>
            </w:pPr>
            <w:r>
              <w:rPr>
                <w:rFonts w:ascii="Arial" w:cs="Arial" w:eastAsia="Arial" w:hAnsi="Arial"/>
                <w:sz w:val="11"/>
                <w:szCs w:val="11"/>
                <w:b w:val="1"/>
                <w:bCs w:val="1"/>
                <w:color w:val="auto"/>
              </w:rPr>
              <w:t>Net Sales of All Other Segment by Market</w:t>
            </w:r>
          </w:p>
        </w:tc>
        <w:tc>
          <w:tcPr>
            <w:tcW w:w="92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r>
      <w:tr>
        <w:trPr>
          <w:trHeight w:val="118"/>
        </w:trPr>
        <w:tc>
          <w:tcPr>
            <w:tcW w:w="1060" w:type="dxa"/>
            <w:vAlign w:val="bottom"/>
          </w:tcPr>
          <w:p>
            <w:pPr>
              <w:spacing w:after="0"/>
              <w:rPr>
                <w:sz w:val="10"/>
                <w:szCs w:val="10"/>
                <w:color w:val="auto"/>
              </w:rPr>
            </w:pPr>
          </w:p>
        </w:tc>
        <w:tc>
          <w:tcPr>
            <w:tcW w:w="376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860" w:type="dxa"/>
            <w:vAlign w:val="bottom"/>
            <w:tcBorders>
              <w:bottom w:val="single" w:sz="8" w:color="auto"/>
            </w:tcBorders>
            <w:gridSpan w:val="3"/>
          </w:tcPr>
          <w:p>
            <w:pPr>
              <w:jc w:val="right"/>
              <w:ind w:right="613"/>
              <w:spacing w:after="0" w:line="117" w:lineRule="exact"/>
              <w:rPr>
                <w:sz w:val="20"/>
                <w:szCs w:val="20"/>
                <w:color w:val="auto"/>
              </w:rPr>
            </w:pPr>
            <w:r>
              <w:rPr>
                <w:rFonts w:ascii="Arial" w:cs="Arial" w:eastAsia="Arial" w:hAnsi="Arial"/>
                <w:sz w:val="11"/>
                <w:szCs w:val="11"/>
                <w:b w:val="1"/>
                <w:bCs w:val="1"/>
                <w:color w:val="auto"/>
              </w:rPr>
              <w:t>Twelve Months Ended</w:t>
            </w:r>
          </w:p>
        </w:tc>
        <w:tc>
          <w:tcPr>
            <w:tcW w:w="92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r>
      <w:tr>
        <w:trPr>
          <w:trHeight w:val="100"/>
        </w:trPr>
        <w:tc>
          <w:tcPr>
            <w:tcW w:w="1060" w:type="dxa"/>
            <w:vAlign w:val="bottom"/>
          </w:tcPr>
          <w:p>
            <w:pPr>
              <w:spacing w:after="0"/>
              <w:rPr>
                <w:sz w:val="8"/>
                <w:szCs w:val="8"/>
                <w:color w:val="auto"/>
              </w:rPr>
            </w:pPr>
          </w:p>
        </w:tc>
        <w:tc>
          <w:tcPr>
            <w:tcW w:w="3760" w:type="dxa"/>
            <w:vAlign w:val="bottom"/>
          </w:tcPr>
          <w:p>
            <w:pPr>
              <w:spacing w:after="0"/>
              <w:rPr>
                <w:sz w:val="8"/>
                <w:szCs w:val="8"/>
                <w:color w:val="auto"/>
              </w:rPr>
            </w:pPr>
          </w:p>
        </w:tc>
        <w:tc>
          <w:tcPr>
            <w:tcW w:w="720" w:type="dxa"/>
            <w:vAlign w:val="bottom"/>
            <w:gridSpan w:val="2"/>
          </w:tcPr>
          <w:p>
            <w:pPr>
              <w:spacing w:after="0" w:line="100" w:lineRule="exact"/>
              <w:rPr>
                <w:sz w:val="20"/>
                <w:szCs w:val="20"/>
                <w:color w:val="auto"/>
              </w:rPr>
            </w:pPr>
            <w:r>
              <w:rPr>
                <w:rFonts w:ascii="Arial" w:cs="Arial" w:eastAsia="Arial" w:hAnsi="Arial"/>
                <w:sz w:val="11"/>
                <w:szCs w:val="11"/>
                <w:b w:val="1"/>
                <w:bCs w:val="1"/>
                <w:color w:val="auto"/>
                <w:w w:val="97"/>
              </w:rPr>
              <w:t>December 29,</w:t>
            </w:r>
          </w:p>
        </w:tc>
        <w:tc>
          <w:tcPr>
            <w:tcW w:w="780" w:type="dxa"/>
            <w:vAlign w:val="bottom"/>
            <w:gridSpan w:val="2"/>
          </w:tcPr>
          <w:p>
            <w:pPr>
              <w:ind w:left="60"/>
              <w:spacing w:after="0" w:line="100" w:lineRule="exact"/>
              <w:rPr>
                <w:sz w:val="20"/>
                <w:szCs w:val="20"/>
                <w:color w:val="auto"/>
              </w:rPr>
            </w:pPr>
            <w:r>
              <w:rPr>
                <w:rFonts w:ascii="Arial" w:cs="Arial" w:eastAsia="Arial" w:hAnsi="Arial"/>
                <w:sz w:val="11"/>
                <w:szCs w:val="11"/>
                <w:b w:val="1"/>
                <w:bCs w:val="1"/>
                <w:color w:val="auto"/>
                <w:w w:val="97"/>
              </w:rPr>
              <w:t>December 30,</w:t>
            </w:r>
          </w:p>
        </w:tc>
        <w:tc>
          <w:tcPr>
            <w:tcW w:w="840" w:type="dxa"/>
            <w:vAlign w:val="bottom"/>
            <w:gridSpan w:val="2"/>
          </w:tcPr>
          <w:p>
            <w:pPr>
              <w:ind w:left="60"/>
              <w:spacing w:after="0" w:line="100" w:lineRule="exact"/>
              <w:rPr>
                <w:sz w:val="20"/>
                <w:szCs w:val="20"/>
                <w:color w:val="auto"/>
              </w:rPr>
            </w:pPr>
            <w:r>
              <w:rPr>
                <w:rFonts w:ascii="Arial" w:cs="Arial" w:eastAsia="Arial" w:hAnsi="Arial"/>
                <w:sz w:val="11"/>
                <w:szCs w:val="11"/>
                <w:b w:val="1"/>
                <w:bCs w:val="1"/>
                <w:color w:val="auto"/>
              </w:rPr>
              <w:t>December 31,</w:t>
            </w:r>
          </w:p>
        </w:tc>
        <w:tc>
          <w:tcPr>
            <w:tcW w:w="1020" w:type="dxa"/>
            <w:vAlign w:val="bottom"/>
          </w:tcPr>
          <w:p>
            <w:pPr>
              <w:jc w:val="right"/>
              <w:ind w:right="253"/>
              <w:spacing w:after="0" w:line="100" w:lineRule="exact"/>
              <w:rPr>
                <w:sz w:val="20"/>
                <w:szCs w:val="20"/>
                <w:color w:val="auto"/>
              </w:rPr>
            </w:pPr>
            <w:r>
              <w:rPr>
                <w:rFonts w:ascii="Arial" w:cs="Arial" w:eastAsia="Arial" w:hAnsi="Arial"/>
                <w:sz w:val="11"/>
                <w:szCs w:val="11"/>
                <w:b w:val="1"/>
                <w:bCs w:val="1"/>
                <w:color w:val="auto"/>
              </w:rPr>
              <w:t>% Change</w:t>
            </w:r>
          </w:p>
        </w:tc>
        <w:tc>
          <w:tcPr>
            <w:tcW w:w="920" w:type="dxa"/>
            <w:vAlign w:val="bottom"/>
          </w:tcPr>
          <w:p>
            <w:pPr>
              <w:jc w:val="right"/>
              <w:ind w:right="133"/>
              <w:spacing w:after="0" w:line="100" w:lineRule="exact"/>
              <w:rPr>
                <w:sz w:val="20"/>
                <w:szCs w:val="20"/>
                <w:color w:val="auto"/>
              </w:rPr>
            </w:pPr>
            <w:r>
              <w:rPr>
                <w:rFonts w:ascii="Arial" w:cs="Arial" w:eastAsia="Arial" w:hAnsi="Arial"/>
                <w:sz w:val="11"/>
                <w:szCs w:val="11"/>
                <w:b w:val="1"/>
                <w:bCs w:val="1"/>
                <w:color w:val="auto"/>
              </w:rPr>
              <w:t>% Change</w:t>
            </w:r>
          </w:p>
        </w:tc>
        <w:tc>
          <w:tcPr>
            <w:tcW w:w="20" w:type="dxa"/>
            <w:vAlign w:val="bottom"/>
          </w:tcPr>
          <w:p>
            <w:pPr>
              <w:spacing w:after="0"/>
              <w:rPr>
                <w:sz w:val="8"/>
                <w:szCs w:val="8"/>
                <w:color w:val="auto"/>
              </w:rPr>
            </w:pPr>
          </w:p>
        </w:tc>
      </w:tr>
      <w:tr>
        <w:trPr>
          <w:trHeight w:val="154"/>
        </w:trPr>
        <w:tc>
          <w:tcPr>
            <w:tcW w:w="106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w w:val="94"/>
              </w:rPr>
              <w:t>Market Classification</w:t>
            </w:r>
          </w:p>
        </w:tc>
        <w:tc>
          <w:tcPr>
            <w:tcW w:w="37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211"/>
              <w:spacing w:after="0"/>
              <w:rPr>
                <w:sz w:val="20"/>
                <w:szCs w:val="20"/>
                <w:color w:val="auto"/>
              </w:rPr>
            </w:pPr>
            <w:r>
              <w:rPr>
                <w:rFonts w:ascii="Arial" w:cs="Arial" w:eastAsia="Arial" w:hAnsi="Arial"/>
                <w:sz w:val="11"/>
                <w:szCs w:val="11"/>
                <w:b w:val="1"/>
                <w:bCs w:val="1"/>
                <w:color w:val="auto"/>
              </w:rPr>
              <w:t>2018</w:t>
            </w:r>
          </w:p>
        </w:tc>
        <w:tc>
          <w:tcPr>
            <w:tcW w:w="1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213"/>
              <w:spacing w:after="0"/>
              <w:rPr>
                <w:sz w:val="20"/>
                <w:szCs w:val="20"/>
                <w:color w:val="auto"/>
              </w:rPr>
            </w:pPr>
            <w:r>
              <w:rPr>
                <w:rFonts w:ascii="Arial" w:cs="Arial" w:eastAsia="Arial" w:hAnsi="Arial"/>
                <w:sz w:val="11"/>
                <w:szCs w:val="11"/>
                <w:b w:val="1"/>
                <w:bCs w:val="1"/>
                <w:color w:val="auto"/>
              </w:rPr>
              <w:t>2017</w:t>
            </w:r>
          </w:p>
        </w:tc>
        <w:tc>
          <w:tcPr>
            <w:tcW w:w="1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71"/>
              <w:spacing w:after="0"/>
              <w:rPr>
                <w:sz w:val="20"/>
                <w:szCs w:val="20"/>
                <w:color w:val="auto"/>
              </w:rPr>
            </w:pPr>
            <w:r>
              <w:rPr>
                <w:rFonts w:ascii="Arial" w:cs="Arial" w:eastAsia="Arial" w:hAnsi="Arial"/>
                <w:sz w:val="11"/>
                <w:szCs w:val="11"/>
                <w:b w:val="1"/>
                <w:bCs w:val="1"/>
                <w:color w:val="auto"/>
              </w:rPr>
              <w:t>2016</w:t>
            </w:r>
          </w:p>
        </w:tc>
        <w:tc>
          <w:tcPr>
            <w:tcW w:w="1020" w:type="dxa"/>
            <w:vAlign w:val="bottom"/>
            <w:tcBorders>
              <w:bottom w:val="single" w:sz="8" w:color="auto"/>
            </w:tcBorders>
          </w:tcPr>
          <w:p>
            <w:pPr>
              <w:jc w:val="right"/>
              <w:ind w:right="213"/>
              <w:spacing w:after="0"/>
              <w:rPr>
                <w:sz w:val="20"/>
                <w:szCs w:val="20"/>
                <w:color w:val="auto"/>
              </w:rPr>
            </w:pPr>
            <w:r>
              <w:rPr>
                <w:rFonts w:ascii="Arial" w:cs="Arial" w:eastAsia="Arial" w:hAnsi="Arial"/>
                <w:sz w:val="11"/>
                <w:szCs w:val="11"/>
                <w:b w:val="1"/>
                <w:bCs w:val="1"/>
                <w:color w:val="auto"/>
              </w:rPr>
              <w:t>2018 vs 2017</w:t>
            </w:r>
          </w:p>
        </w:tc>
        <w:tc>
          <w:tcPr>
            <w:tcW w:w="920" w:type="dxa"/>
            <w:vAlign w:val="bottom"/>
            <w:tcBorders>
              <w:bottom w:val="single" w:sz="8" w:color="auto"/>
            </w:tcBorders>
          </w:tcPr>
          <w:p>
            <w:pPr>
              <w:jc w:val="right"/>
              <w:ind w:right="93"/>
              <w:spacing w:after="0"/>
              <w:rPr>
                <w:sz w:val="20"/>
                <w:szCs w:val="20"/>
                <w:color w:val="auto"/>
              </w:rPr>
            </w:pPr>
            <w:r>
              <w:rPr>
                <w:rFonts w:ascii="Arial" w:cs="Arial" w:eastAsia="Arial" w:hAnsi="Arial"/>
                <w:sz w:val="11"/>
                <w:szCs w:val="11"/>
                <w:b w:val="1"/>
                <w:bCs w:val="1"/>
                <w:color w:val="auto"/>
              </w:rPr>
              <w:t>2017 vs 2016</w:t>
            </w:r>
          </w:p>
        </w:tc>
        <w:tc>
          <w:tcPr>
            <w:tcW w:w="20" w:type="dxa"/>
            <w:vAlign w:val="bottom"/>
          </w:tcPr>
          <w:p>
            <w:pPr>
              <w:spacing w:after="0"/>
              <w:rPr>
                <w:sz w:val="13"/>
                <w:szCs w:val="13"/>
                <w:color w:val="auto"/>
              </w:rPr>
            </w:pPr>
          </w:p>
        </w:tc>
      </w:tr>
      <w:tr>
        <w:trPr>
          <w:trHeight w:val="151"/>
        </w:trPr>
        <w:tc>
          <w:tcPr>
            <w:tcW w:w="4820" w:type="dxa"/>
            <w:vAlign w:val="bottom"/>
            <w:tcBorders>
              <w:top w:val="single" w:sz="8" w:color="CCEEFF"/>
            </w:tcBorders>
            <w:gridSpan w:val="2"/>
            <w:shd w:val="clear" w:color="auto" w:fill="CCEEFF"/>
          </w:tcPr>
          <w:p>
            <w:pPr>
              <w:spacing w:after="0" w:line="151" w:lineRule="exact"/>
              <w:rPr>
                <w:sz w:val="20"/>
                <w:szCs w:val="20"/>
                <w:color w:val="auto"/>
              </w:rPr>
            </w:pPr>
            <w:r>
              <w:rPr>
                <w:rFonts w:ascii="Arial" w:cs="Arial" w:eastAsia="Arial" w:hAnsi="Arial"/>
                <w:sz w:val="14"/>
                <w:szCs w:val="14"/>
                <w:color w:val="auto"/>
              </w:rPr>
              <w:t>Retail</w:t>
            </w:r>
          </w:p>
        </w:tc>
        <w:tc>
          <w:tcPr>
            <w:tcW w:w="120" w:type="dxa"/>
            <w:vAlign w:val="bottom"/>
            <w:tcBorders>
              <w:top w:val="single" w:sz="8" w:color="auto"/>
            </w:tcBorders>
            <w:shd w:val="clear" w:color="auto" w:fill="CCEEFF"/>
          </w:tcPr>
          <w:p>
            <w:pPr>
              <w:spacing w:after="0" w:line="151" w:lineRule="exact"/>
              <w:rPr>
                <w:sz w:val="20"/>
                <w:szCs w:val="20"/>
                <w:color w:val="auto"/>
              </w:rPr>
            </w:pPr>
            <w:r>
              <w:rPr>
                <w:rFonts w:ascii="Arial" w:cs="Arial" w:eastAsia="Arial" w:hAnsi="Arial"/>
                <w:sz w:val="14"/>
                <w:szCs w:val="14"/>
                <w:color w:val="auto"/>
              </w:rPr>
              <w:t>$</w:t>
            </w:r>
          </w:p>
        </w:tc>
        <w:tc>
          <w:tcPr>
            <w:tcW w:w="600" w:type="dxa"/>
            <w:vAlign w:val="bottom"/>
            <w:tcBorders>
              <w:top w:val="single" w:sz="8" w:color="auto"/>
            </w:tcBorders>
            <w:shd w:val="clear" w:color="auto" w:fill="CCEEFF"/>
          </w:tcPr>
          <w:p>
            <w:pPr>
              <w:jc w:val="right"/>
              <w:ind w:right="31"/>
              <w:spacing w:after="0" w:line="151" w:lineRule="exact"/>
              <w:rPr>
                <w:sz w:val="20"/>
                <w:szCs w:val="20"/>
                <w:color w:val="auto"/>
              </w:rPr>
            </w:pPr>
            <w:r>
              <w:rPr>
                <w:rFonts w:ascii="Arial" w:cs="Arial" w:eastAsia="Arial" w:hAnsi="Arial"/>
                <w:sz w:val="14"/>
                <w:szCs w:val="14"/>
                <w:color w:val="auto"/>
                <w:w w:val="94"/>
              </w:rPr>
              <w:t>200,554</w:t>
            </w:r>
          </w:p>
        </w:tc>
        <w:tc>
          <w:tcPr>
            <w:tcW w:w="160" w:type="dxa"/>
            <w:vAlign w:val="bottom"/>
            <w:tcBorders>
              <w:top w:val="single" w:sz="8" w:color="auto"/>
            </w:tcBorders>
            <w:shd w:val="clear" w:color="auto" w:fill="CCEEFF"/>
          </w:tcPr>
          <w:p>
            <w:pPr>
              <w:ind w:left="60"/>
              <w:spacing w:after="0" w:line="151" w:lineRule="exact"/>
              <w:rPr>
                <w:sz w:val="20"/>
                <w:szCs w:val="20"/>
                <w:color w:val="auto"/>
              </w:rPr>
            </w:pPr>
            <w:r>
              <w:rPr>
                <w:rFonts w:ascii="Arial" w:cs="Arial" w:eastAsia="Arial" w:hAnsi="Arial"/>
                <w:sz w:val="14"/>
                <w:szCs w:val="14"/>
                <w:color w:val="auto"/>
              </w:rPr>
              <w:t>$</w:t>
            </w:r>
          </w:p>
        </w:tc>
        <w:tc>
          <w:tcPr>
            <w:tcW w:w="620" w:type="dxa"/>
            <w:vAlign w:val="bottom"/>
            <w:tcBorders>
              <w:top w:val="single" w:sz="8" w:color="auto"/>
            </w:tcBorders>
            <w:shd w:val="clear" w:color="auto" w:fill="CCEEFF"/>
          </w:tcPr>
          <w:p>
            <w:pPr>
              <w:jc w:val="right"/>
              <w:ind w:right="53"/>
              <w:spacing w:after="0" w:line="151" w:lineRule="exact"/>
              <w:rPr>
                <w:sz w:val="20"/>
                <w:szCs w:val="20"/>
                <w:color w:val="auto"/>
              </w:rPr>
            </w:pPr>
            <w:r>
              <w:rPr>
                <w:rFonts w:ascii="Arial" w:cs="Arial" w:eastAsia="Arial" w:hAnsi="Arial"/>
                <w:sz w:val="14"/>
                <w:szCs w:val="14"/>
                <w:color w:val="auto"/>
                <w:w w:val="94"/>
              </w:rPr>
              <w:t>176,043</w:t>
            </w:r>
          </w:p>
        </w:tc>
        <w:tc>
          <w:tcPr>
            <w:tcW w:w="160" w:type="dxa"/>
            <w:vAlign w:val="bottom"/>
            <w:tcBorders>
              <w:top w:val="single" w:sz="8" w:color="auto"/>
            </w:tcBorders>
            <w:shd w:val="clear" w:color="auto" w:fill="CCEEFF"/>
          </w:tcPr>
          <w:p>
            <w:pPr>
              <w:ind w:left="60"/>
              <w:spacing w:after="0" w:line="151" w:lineRule="exact"/>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CEEFF"/>
          </w:tcPr>
          <w:p>
            <w:pPr>
              <w:jc w:val="right"/>
              <w:ind w:right="111"/>
              <w:spacing w:after="0" w:line="151" w:lineRule="exact"/>
              <w:rPr>
                <w:sz w:val="20"/>
                <w:szCs w:val="20"/>
                <w:color w:val="auto"/>
              </w:rPr>
            </w:pPr>
            <w:r>
              <w:rPr>
                <w:rFonts w:ascii="Arial" w:cs="Arial" w:eastAsia="Arial" w:hAnsi="Arial"/>
                <w:sz w:val="14"/>
                <w:szCs w:val="14"/>
                <w:color w:val="auto"/>
                <w:w w:val="94"/>
              </w:rPr>
              <w:t>127,294</w:t>
            </w:r>
          </w:p>
        </w:tc>
        <w:tc>
          <w:tcPr>
            <w:tcW w:w="1020" w:type="dxa"/>
            <w:vAlign w:val="bottom"/>
            <w:tcBorders>
              <w:top w:val="single" w:sz="8" w:color="auto"/>
            </w:tcBorders>
            <w:shd w:val="clear" w:color="auto" w:fill="CCEEFF"/>
          </w:tcPr>
          <w:p>
            <w:pPr>
              <w:jc w:val="right"/>
              <w:ind w:right="93"/>
              <w:spacing w:after="0" w:line="151" w:lineRule="exact"/>
              <w:rPr>
                <w:sz w:val="20"/>
                <w:szCs w:val="20"/>
                <w:color w:val="auto"/>
              </w:rPr>
            </w:pPr>
            <w:r>
              <w:rPr>
                <w:rFonts w:ascii="Arial" w:cs="Arial" w:eastAsia="Arial" w:hAnsi="Arial"/>
                <w:sz w:val="14"/>
                <w:szCs w:val="14"/>
                <w:color w:val="auto"/>
              </w:rPr>
              <w:t>13.9</w:t>
            </w:r>
          </w:p>
        </w:tc>
        <w:tc>
          <w:tcPr>
            <w:tcW w:w="920" w:type="dxa"/>
            <w:vAlign w:val="bottom"/>
            <w:tcBorders>
              <w:top w:val="single" w:sz="8" w:color="auto"/>
            </w:tcBorders>
            <w:shd w:val="clear" w:color="auto" w:fill="CCEEFF"/>
          </w:tcPr>
          <w:p>
            <w:pPr>
              <w:jc w:val="right"/>
              <w:spacing w:after="0" w:line="151" w:lineRule="exact"/>
              <w:rPr>
                <w:sz w:val="20"/>
                <w:szCs w:val="20"/>
                <w:color w:val="auto"/>
              </w:rPr>
            </w:pPr>
            <w:r>
              <w:rPr>
                <w:rFonts w:ascii="Arial" w:cs="Arial" w:eastAsia="Arial" w:hAnsi="Arial"/>
                <w:sz w:val="14"/>
                <w:szCs w:val="14"/>
                <w:color w:val="auto"/>
              </w:rPr>
              <w:t>38.3</w:t>
            </w:r>
          </w:p>
        </w:tc>
        <w:tc>
          <w:tcPr>
            <w:tcW w:w="20" w:type="dxa"/>
            <w:vAlign w:val="bottom"/>
          </w:tcPr>
          <w:p>
            <w:pPr>
              <w:spacing w:after="0"/>
              <w:rPr>
                <w:sz w:val="13"/>
                <w:szCs w:val="13"/>
                <w:color w:val="auto"/>
              </w:rPr>
            </w:pPr>
          </w:p>
        </w:tc>
      </w:tr>
      <w:tr>
        <w:trPr>
          <w:trHeight w:val="170"/>
        </w:trPr>
        <w:tc>
          <w:tcPr>
            <w:tcW w:w="4820" w:type="dxa"/>
            <w:vAlign w:val="bottom"/>
            <w:gridSpan w:val="2"/>
          </w:tcPr>
          <w:p>
            <w:pPr>
              <w:spacing w:after="0"/>
              <w:rPr>
                <w:sz w:val="20"/>
                <w:szCs w:val="20"/>
                <w:color w:val="auto"/>
              </w:rPr>
            </w:pPr>
            <w:r>
              <w:rPr>
                <w:rFonts w:ascii="Arial" w:cs="Arial" w:eastAsia="Arial" w:hAnsi="Arial"/>
                <w:sz w:val="14"/>
                <w:szCs w:val="14"/>
                <w:color w:val="auto"/>
              </w:rPr>
              <w:t>Industrial</w:t>
            </w:r>
          </w:p>
        </w:tc>
        <w:tc>
          <w:tcPr>
            <w:tcW w:w="120" w:type="dxa"/>
            <w:vAlign w:val="bottom"/>
          </w:tcPr>
          <w:p>
            <w:pPr>
              <w:spacing w:after="0"/>
              <w:rPr>
                <w:sz w:val="14"/>
                <w:szCs w:val="14"/>
                <w:color w:val="auto"/>
              </w:rPr>
            </w:pPr>
          </w:p>
        </w:tc>
        <w:tc>
          <w:tcPr>
            <w:tcW w:w="600" w:type="dxa"/>
            <w:vAlign w:val="bottom"/>
          </w:tcPr>
          <w:p>
            <w:pPr>
              <w:jc w:val="right"/>
              <w:ind w:right="31"/>
              <w:spacing w:after="0"/>
              <w:rPr>
                <w:sz w:val="20"/>
                <w:szCs w:val="20"/>
                <w:color w:val="auto"/>
              </w:rPr>
            </w:pPr>
            <w:r>
              <w:rPr>
                <w:rFonts w:ascii="Arial" w:cs="Arial" w:eastAsia="Arial" w:hAnsi="Arial"/>
                <w:sz w:val="14"/>
                <w:szCs w:val="14"/>
                <w:color w:val="auto"/>
                <w:w w:val="94"/>
              </w:rPr>
              <w:t>391,585</w:t>
            </w:r>
          </w:p>
        </w:tc>
        <w:tc>
          <w:tcPr>
            <w:tcW w:w="160" w:type="dxa"/>
            <w:vAlign w:val="bottom"/>
          </w:tcPr>
          <w:p>
            <w:pPr>
              <w:spacing w:after="0"/>
              <w:rPr>
                <w:sz w:val="14"/>
                <w:szCs w:val="14"/>
                <w:color w:val="auto"/>
              </w:rPr>
            </w:pPr>
          </w:p>
        </w:tc>
        <w:tc>
          <w:tcPr>
            <w:tcW w:w="620" w:type="dxa"/>
            <w:vAlign w:val="bottom"/>
          </w:tcPr>
          <w:p>
            <w:pPr>
              <w:jc w:val="right"/>
              <w:ind w:right="53"/>
              <w:spacing w:after="0"/>
              <w:rPr>
                <w:sz w:val="20"/>
                <w:szCs w:val="20"/>
                <w:color w:val="auto"/>
              </w:rPr>
            </w:pPr>
            <w:r>
              <w:rPr>
                <w:rFonts w:ascii="Arial" w:cs="Arial" w:eastAsia="Arial" w:hAnsi="Arial"/>
                <w:sz w:val="14"/>
                <w:szCs w:val="14"/>
                <w:color w:val="auto"/>
                <w:w w:val="94"/>
              </w:rPr>
              <w:t>380,892</w:t>
            </w:r>
          </w:p>
        </w:tc>
        <w:tc>
          <w:tcPr>
            <w:tcW w:w="160" w:type="dxa"/>
            <w:vAlign w:val="bottom"/>
          </w:tcPr>
          <w:p>
            <w:pPr>
              <w:spacing w:after="0"/>
              <w:rPr>
                <w:sz w:val="14"/>
                <w:szCs w:val="14"/>
                <w:color w:val="auto"/>
              </w:rPr>
            </w:pPr>
          </w:p>
        </w:tc>
        <w:tc>
          <w:tcPr>
            <w:tcW w:w="680" w:type="dxa"/>
            <w:vAlign w:val="bottom"/>
          </w:tcPr>
          <w:p>
            <w:pPr>
              <w:jc w:val="right"/>
              <w:ind w:right="111"/>
              <w:spacing w:after="0"/>
              <w:rPr>
                <w:sz w:val="20"/>
                <w:szCs w:val="20"/>
                <w:color w:val="auto"/>
              </w:rPr>
            </w:pPr>
            <w:r>
              <w:rPr>
                <w:rFonts w:ascii="Arial" w:cs="Arial" w:eastAsia="Arial" w:hAnsi="Arial"/>
                <w:sz w:val="14"/>
                <w:szCs w:val="14"/>
                <w:color w:val="auto"/>
                <w:w w:val="94"/>
              </w:rPr>
              <w:t>156,022</w:t>
            </w:r>
          </w:p>
        </w:tc>
        <w:tc>
          <w:tcPr>
            <w:tcW w:w="1020" w:type="dxa"/>
            <w:vAlign w:val="bottom"/>
          </w:tcPr>
          <w:p>
            <w:pPr>
              <w:jc w:val="right"/>
              <w:ind w:right="93"/>
              <w:spacing w:after="0"/>
              <w:rPr>
                <w:sz w:val="20"/>
                <w:szCs w:val="20"/>
                <w:color w:val="auto"/>
              </w:rPr>
            </w:pPr>
            <w:r>
              <w:rPr>
                <w:rFonts w:ascii="Arial" w:cs="Arial" w:eastAsia="Arial" w:hAnsi="Arial"/>
                <w:sz w:val="14"/>
                <w:szCs w:val="14"/>
                <w:color w:val="auto"/>
              </w:rPr>
              <w:t>2.8</w:t>
            </w:r>
          </w:p>
        </w:tc>
        <w:tc>
          <w:tcPr>
            <w:tcW w:w="920" w:type="dxa"/>
            <w:vAlign w:val="bottom"/>
          </w:tcPr>
          <w:p>
            <w:pPr>
              <w:jc w:val="right"/>
              <w:spacing w:after="0"/>
              <w:rPr>
                <w:sz w:val="20"/>
                <w:szCs w:val="20"/>
                <w:color w:val="auto"/>
              </w:rPr>
            </w:pPr>
            <w:r>
              <w:rPr>
                <w:rFonts w:ascii="Arial" w:cs="Arial" w:eastAsia="Arial" w:hAnsi="Arial"/>
                <w:sz w:val="14"/>
                <w:szCs w:val="14"/>
                <w:color w:val="auto"/>
              </w:rPr>
              <w:t>144.1</w:t>
            </w:r>
          </w:p>
        </w:tc>
        <w:tc>
          <w:tcPr>
            <w:tcW w:w="20" w:type="dxa"/>
            <w:vAlign w:val="bottom"/>
          </w:tcPr>
          <w:p>
            <w:pPr>
              <w:spacing w:after="0"/>
              <w:rPr>
                <w:sz w:val="14"/>
                <w:szCs w:val="14"/>
                <w:color w:val="auto"/>
              </w:rPr>
            </w:pPr>
          </w:p>
        </w:tc>
      </w:tr>
      <w:tr>
        <w:trPr>
          <w:trHeight w:val="190"/>
        </w:trPr>
        <w:tc>
          <w:tcPr>
            <w:tcW w:w="48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Construction</w:t>
            </w:r>
          </w:p>
        </w:tc>
        <w:tc>
          <w:tcPr>
            <w:tcW w:w="12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659</w:t>
            </w:r>
          </w:p>
        </w:tc>
        <w:tc>
          <w:tcPr>
            <w:tcW w:w="16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4"/>
                <w:szCs w:val="14"/>
                <w:color w:val="auto"/>
              </w:rPr>
              <w:t>289</w:t>
            </w:r>
          </w:p>
        </w:tc>
        <w:tc>
          <w:tcPr>
            <w:tcW w:w="16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4"/>
                <w:szCs w:val="14"/>
                <w:color w:val="auto"/>
              </w:rPr>
              <w:t>3</w:t>
            </w:r>
          </w:p>
        </w:tc>
        <w:tc>
          <w:tcPr>
            <w:tcW w:w="102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4"/>
                <w:szCs w:val="14"/>
                <w:color w:val="auto"/>
              </w:rPr>
              <w:t>128.0</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9,533.3</w:t>
            </w:r>
          </w:p>
        </w:tc>
        <w:tc>
          <w:tcPr>
            <w:tcW w:w="20" w:type="dxa"/>
            <w:vAlign w:val="bottom"/>
          </w:tcPr>
          <w:p>
            <w:pPr>
              <w:spacing w:after="0"/>
              <w:rPr>
                <w:sz w:val="16"/>
                <w:szCs w:val="16"/>
                <w:color w:val="auto"/>
              </w:rPr>
            </w:pPr>
          </w:p>
        </w:tc>
      </w:tr>
      <w:tr>
        <w:trPr>
          <w:trHeight w:val="151"/>
        </w:trPr>
        <w:tc>
          <w:tcPr>
            <w:tcW w:w="4820" w:type="dxa"/>
            <w:vAlign w:val="bottom"/>
            <w:gridSpan w:val="2"/>
          </w:tcPr>
          <w:p>
            <w:pPr>
              <w:spacing w:after="0" w:line="151" w:lineRule="exact"/>
              <w:rPr>
                <w:sz w:val="20"/>
                <w:szCs w:val="20"/>
                <w:color w:val="auto"/>
              </w:rPr>
            </w:pPr>
            <w:r>
              <w:rPr>
                <w:rFonts w:ascii="Arial" w:cs="Arial" w:eastAsia="Arial" w:hAnsi="Arial"/>
                <w:sz w:val="14"/>
                <w:szCs w:val="14"/>
                <w:color w:val="auto"/>
              </w:rPr>
              <w:t>Total Gross Sales</w:t>
            </w:r>
          </w:p>
        </w:tc>
        <w:tc>
          <w:tcPr>
            <w:tcW w:w="120" w:type="dxa"/>
            <w:vAlign w:val="bottom"/>
          </w:tcPr>
          <w:p>
            <w:pPr>
              <w:spacing w:after="0"/>
              <w:rPr>
                <w:sz w:val="13"/>
                <w:szCs w:val="13"/>
                <w:color w:val="auto"/>
              </w:rPr>
            </w:pPr>
          </w:p>
        </w:tc>
        <w:tc>
          <w:tcPr>
            <w:tcW w:w="600" w:type="dxa"/>
            <w:vAlign w:val="bottom"/>
          </w:tcPr>
          <w:p>
            <w:pPr>
              <w:jc w:val="right"/>
              <w:ind w:right="31"/>
              <w:spacing w:after="0" w:line="151" w:lineRule="exact"/>
              <w:rPr>
                <w:sz w:val="20"/>
                <w:szCs w:val="20"/>
                <w:color w:val="auto"/>
              </w:rPr>
            </w:pPr>
            <w:r>
              <w:rPr>
                <w:rFonts w:ascii="Arial" w:cs="Arial" w:eastAsia="Arial" w:hAnsi="Arial"/>
                <w:sz w:val="14"/>
                <w:szCs w:val="14"/>
                <w:color w:val="auto"/>
                <w:w w:val="94"/>
              </w:rPr>
              <w:t>592,798</w:t>
            </w:r>
          </w:p>
        </w:tc>
        <w:tc>
          <w:tcPr>
            <w:tcW w:w="160" w:type="dxa"/>
            <w:vAlign w:val="bottom"/>
          </w:tcPr>
          <w:p>
            <w:pPr>
              <w:spacing w:after="0"/>
              <w:rPr>
                <w:sz w:val="13"/>
                <w:szCs w:val="13"/>
                <w:color w:val="auto"/>
              </w:rPr>
            </w:pPr>
          </w:p>
        </w:tc>
        <w:tc>
          <w:tcPr>
            <w:tcW w:w="620" w:type="dxa"/>
            <w:vAlign w:val="bottom"/>
          </w:tcPr>
          <w:p>
            <w:pPr>
              <w:jc w:val="right"/>
              <w:ind w:right="53"/>
              <w:spacing w:after="0" w:line="151" w:lineRule="exact"/>
              <w:rPr>
                <w:sz w:val="20"/>
                <w:szCs w:val="20"/>
                <w:color w:val="auto"/>
              </w:rPr>
            </w:pPr>
            <w:r>
              <w:rPr>
                <w:rFonts w:ascii="Arial" w:cs="Arial" w:eastAsia="Arial" w:hAnsi="Arial"/>
                <w:sz w:val="14"/>
                <w:szCs w:val="14"/>
                <w:color w:val="auto"/>
                <w:w w:val="94"/>
              </w:rPr>
              <w:t>557,224</w:t>
            </w:r>
          </w:p>
        </w:tc>
        <w:tc>
          <w:tcPr>
            <w:tcW w:w="160" w:type="dxa"/>
            <w:vAlign w:val="bottom"/>
          </w:tcPr>
          <w:p>
            <w:pPr>
              <w:spacing w:after="0"/>
              <w:rPr>
                <w:sz w:val="13"/>
                <w:szCs w:val="13"/>
                <w:color w:val="auto"/>
              </w:rPr>
            </w:pPr>
          </w:p>
        </w:tc>
        <w:tc>
          <w:tcPr>
            <w:tcW w:w="680" w:type="dxa"/>
            <w:vAlign w:val="bottom"/>
          </w:tcPr>
          <w:p>
            <w:pPr>
              <w:jc w:val="right"/>
              <w:ind w:right="111"/>
              <w:spacing w:after="0" w:line="151" w:lineRule="exact"/>
              <w:rPr>
                <w:sz w:val="20"/>
                <w:szCs w:val="20"/>
                <w:color w:val="auto"/>
              </w:rPr>
            </w:pPr>
            <w:r>
              <w:rPr>
                <w:rFonts w:ascii="Arial" w:cs="Arial" w:eastAsia="Arial" w:hAnsi="Arial"/>
                <w:sz w:val="14"/>
                <w:szCs w:val="14"/>
                <w:color w:val="auto"/>
                <w:w w:val="94"/>
              </w:rPr>
              <w:t>283,319</w:t>
            </w:r>
          </w:p>
        </w:tc>
        <w:tc>
          <w:tcPr>
            <w:tcW w:w="1020" w:type="dxa"/>
            <w:vAlign w:val="bottom"/>
          </w:tcPr>
          <w:p>
            <w:pPr>
              <w:jc w:val="right"/>
              <w:ind w:right="93"/>
              <w:spacing w:after="0" w:line="151" w:lineRule="exact"/>
              <w:rPr>
                <w:sz w:val="20"/>
                <w:szCs w:val="20"/>
                <w:color w:val="auto"/>
              </w:rPr>
            </w:pPr>
            <w:r>
              <w:rPr>
                <w:rFonts w:ascii="Arial" w:cs="Arial" w:eastAsia="Arial" w:hAnsi="Arial"/>
                <w:sz w:val="14"/>
                <w:szCs w:val="14"/>
                <w:color w:val="auto"/>
              </w:rPr>
              <w:t>6.4</w:t>
            </w:r>
          </w:p>
        </w:tc>
        <w:tc>
          <w:tcPr>
            <w:tcW w:w="920" w:type="dxa"/>
            <w:vAlign w:val="bottom"/>
          </w:tcPr>
          <w:p>
            <w:pPr>
              <w:jc w:val="right"/>
              <w:spacing w:after="0" w:line="151" w:lineRule="exact"/>
              <w:rPr>
                <w:sz w:val="20"/>
                <w:szCs w:val="20"/>
                <w:color w:val="auto"/>
              </w:rPr>
            </w:pPr>
            <w:r>
              <w:rPr>
                <w:rFonts w:ascii="Arial" w:cs="Arial" w:eastAsia="Arial" w:hAnsi="Arial"/>
                <w:sz w:val="14"/>
                <w:szCs w:val="14"/>
                <w:color w:val="auto"/>
              </w:rPr>
              <w:t>96.7</w:t>
            </w:r>
          </w:p>
        </w:tc>
        <w:tc>
          <w:tcPr>
            <w:tcW w:w="20" w:type="dxa"/>
            <w:vAlign w:val="bottom"/>
          </w:tcPr>
          <w:p>
            <w:pPr>
              <w:spacing w:after="0"/>
              <w:rPr>
                <w:sz w:val="13"/>
                <w:szCs w:val="13"/>
                <w:color w:val="auto"/>
              </w:rPr>
            </w:pPr>
          </w:p>
        </w:tc>
      </w:tr>
      <w:tr>
        <w:trPr>
          <w:trHeight w:val="190"/>
        </w:trPr>
        <w:tc>
          <w:tcPr>
            <w:tcW w:w="48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Sales Allowances</w:t>
            </w:r>
          </w:p>
        </w:tc>
        <w:tc>
          <w:tcPr>
            <w:tcW w:w="12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(7,098)</w:t>
            </w:r>
          </w:p>
        </w:tc>
        <w:tc>
          <w:tcPr>
            <w:tcW w:w="16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4"/>
                <w:szCs w:val="14"/>
                <w:color w:val="auto"/>
              </w:rPr>
              <w:t>(4,992)</w:t>
            </w:r>
          </w:p>
        </w:tc>
        <w:tc>
          <w:tcPr>
            <w:tcW w:w="16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4"/>
                <w:szCs w:val="14"/>
                <w:color w:val="auto"/>
              </w:rPr>
              <w:t>(6,207)</w:t>
            </w:r>
          </w:p>
        </w:tc>
        <w:tc>
          <w:tcPr>
            <w:tcW w:w="102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4"/>
                <w:szCs w:val="14"/>
                <w:color w:val="auto"/>
              </w:rPr>
              <w:t>42.2</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(19.6)</w:t>
            </w:r>
          </w:p>
        </w:tc>
        <w:tc>
          <w:tcPr>
            <w:tcW w:w="20" w:type="dxa"/>
            <w:vAlign w:val="bottom"/>
          </w:tcPr>
          <w:p>
            <w:pPr>
              <w:spacing w:after="0"/>
              <w:rPr>
                <w:sz w:val="16"/>
                <w:szCs w:val="16"/>
                <w:color w:val="auto"/>
              </w:rPr>
            </w:pPr>
          </w:p>
        </w:tc>
      </w:tr>
      <w:tr>
        <w:trPr>
          <w:trHeight w:val="152"/>
        </w:trPr>
        <w:tc>
          <w:tcPr>
            <w:tcW w:w="4820" w:type="dxa"/>
            <w:vAlign w:val="bottom"/>
            <w:gridSpan w:val="2"/>
          </w:tcPr>
          <w:p>
            <w:pPr>
              <w:spacing w:after="0" w:line="151" w:lineRule="exact"/>
              <w:rPr>
                <w:sz w:val="20"/>
                <w:szCs w:val="20"/>
                <w:color w:val="auto"/>
              </w:rPr>
            </w:pPr>
            <w:r>
              <w:rPr>
                <w:rFonts w:ascii="Arial" w:cs="Arial" w:eastAsia="Arial" w:hAnsi="Arial"/>
                <w:sz w:val="14"/>
                <w:szCs w:val="14"/>
                <w:color w:val="auto"/>
              </w:rPr>
              <w:t>Total Net Sales</w:t>
            </w:r>
          </w:p>
        </w:tc>
        <w:tc>
          <w:tcPr>
            <w:tcW w:w="120" w:type="dxa"/>
            <w:vAlign w:val="bottom"/>
            <w:tcBorders>
              <w:bottom w:val="single" w:sz="8" w:color="auto"/>
            </w:tcBorders>
          </w:tcPr>
          <w:p>
            <w:pPr>
              <w:spacing w:after="0" w:line="151" w:lineRule="exact"/>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ind w:right="31"/>
              <w:spacing w:after="0" w:line="151" w:lineRule="exact"/>
              <w:rPr>
                <w:sz w:val="20"/>
                <w:szCs w:val="20"/>
                <w:color w:val="auto"/>
              </w:rPr>
            </w:pPr>
            <w:r>
              <w:rPr>
                <w:rFonts w:ascii="Arial" w:cs="Arial" w:eastAsia="Arial" w:hAnsi="Arial"/>
                <w:sz w:val="14"/>
                <w:szCs w:val="14"/>
                <w:color w:val="auto"/>
                <w:w w:val="94"/>
              </w:rPr>
              <w:t>585,700</w:t>
            </w:r>
          </w:p>
        </w:tc>
        <w:tc>
          <w:tcPr>
            <w:tcW w:w="160" w:type="dxa"/>
            <w:vAlign w:val="bottom"/>
            <w:tcBorders>
              <w:bottom w:val="single" w:sz="8" w:color="auto"/>
            </w:tcBorders>
          </w:tcPr>
          <w:p>
            <w:pPr>
              <w:ind w:left="60"/>
              <w:spacing w:after="0" w:line="151" w:lineRule="exact"/>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ind w:right="53"/>
              <w:spacing w:after="0" w:line="151" w:lineRule="exact"/>
              <w:rPr>
                <w:sz w:val="20"/>
                <w:szCs w:val="20"/>
                <w:color w:val="auto"/>
              </w:rPr>
            </w:pPr>
            <w:r>
              <w:rPr>
                <w:rFonts w:ascii="Arial" w:cs="Arial" w:eastAsia="Arial" w:hAnsi="Arial"/>
                <w:sz w:val="14"/>
                <w:szCs w:val="14"/>
                <w:color w:val="auto"/>
                <w:w w:val="94"/>
              </w:rPr>
              <w:t>552,232</w:t>
            </w:r>
          </w:p>
        </w:tc>
        <w:tc>
          <w:tcPr>
            <w:tcW w:w="160" w:type="dxa"/>
            <w:vAlign w:val="bottom"/>
            <w:tcBorders>
              <w:bottom w:val="single" w:sz="8" w:color="auto"/>
            </w:tcBorders>
          </w:tcPr>
          <w:p>
            <w:pPr>
              <w:ind w:left="60"/>
              <w:spacing w:after="0" w:line="151" w:lineRule="exact"/>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111"/>
              <w:spacing w:after="0" w:line="151" w:lineRule="exact"/>
              <w:rPr>
                <w:sz w:val="20"/>
                <w:szCs w:val="20"/>
                <w:color w:val="auto"/>
              </w:rPr>
            </w:pPr>
            <w:r>
              <w:rPr>
                <w:rFonts w:ascii="Arial" w:cs="Arial" w:eastAsia="Arial" w:hAnsi="Arial"/>
                <w:sz w:val="14"/>
                <w:szCs w:val="14"/>
                <w:color w:val="auto"/>
                <w:w w:val="94"/>
              </w:rPr>
              <w:t>277,112</w:t>
            </w:r>
          </w:p>
        </w:tc>
        <w:tc>
          <w:tcPr>
            <w:tcW w:w="1020" w:type="dxa"/>
            <w:vAlign w:val="bottom"/>
            <w:tcBorders>
              <w:bottom w:val="single" w:sz="8" w:color="auto"/>
            </w:tcBorders>
          </w:tcPr>
          <w:p>
            <w:pPr>
              <w:jc w:val="right"/>
              <w:ind w:right="93"/>
              <w:spacing w:after="0" w:line="151" w:lineRule="exact"/>
              <w:rPr>
                <w:sz w:val="20"/>
                <w:szCs w:val="20"/>
                <w:color w:val="auto"/>
              </w:rPr>
            </w:pPr>
            <w:r>
              <w:rPr>
                <w:rFonts w:ascii="Arial" w:cs="Arial" w:eastAsia="Arial" w:hAnsi="Arial"/>
                <w:sz w:val="14"/>
                <w:szCs w:val="14"/>
                <w:color w:val="auto"/>
              </w:rPr>
              <w:t>6.1</w:t>
            </w:r>
          </w:p>
        </w:tc>
        <w:tc>
          <w:tcPr>
            <w:tcW w:w="92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99.3</w:t>
            </w:r>
          </w:p>
        </w:tc>
        <w:tc>
          <w:tcPr>
            <w:tcW w:w="20" w:type="dxa"/>
            <w:vAlign w:val="bottom"/>
          </w:tcPr>
          <w:p>
            <w:pPr>
              <w:spacing w:after="0"/>
              <w:rPr>
                <w:sz w:val="13"/>
                <w:szCs w:val="13"/>
                <w:color w:val="auto"/>
              </w:rPr>
            </w:pPr>
          </w:p>
        </w:tc>
      </w:tr>
    </w:tbl>
    <w:p>
      <w:pPr>
        <w:spacing w:after="0" w:line="271" w:lineRule="exact"/>
        <w:rPr>
          <w:sz w:val="20"/>
          <w:szCs w:val="20"/>
          <w:color w:val="auto"/>
        </w:rPr>
      </w:pPr>
    </w:p>
    <w:p>
      <w:pPr>
        <w:jc w:val="both"/>
        <w:spacing w:after="0" w:line="256" w:lineRule="auto"/>
        <w:rPr>
          <w:sz w:val="20"/>
          <w:szCs w:val="20"/>
          <w:color w:val="auto"/>
        </w:rPr>
      </w:pPr>
      <w:r>
        <w:rPr>
          <w:rFonts w:ascii="Arial" w:cs="Arial" w:eastAsia="Arial" w:hAnsi="Arial"/>
          <w:sz w:val="11"/>
          <w:szCs w:val="11"/>
          <w:color w:val="auto"/>
        </w:rPr>
        <w:t>Note that prior years have been restated to reflect the reclassification of captive insurance external revenue from the sales allowances line item into the industrial market. We believe these amounts to be immaterial to the financial statements.</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color w:val="auto"/>
        </w:rPr>
        <w:t>Our All Other reportable segment consists of our Alternative Materials, International, idX, and certain other segments which are not significant.</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color w:val="auto"/>
        </w:rPr>
        <w:t>Net sales of all other segments increased $33.5 million, or 6.1%, in 2018 primarily due to:</w:t>
      </w:r>
    </w:p>
    <w:p>
      <w:pPr>
        <w:spacing w:after="0" w:line="179" w:lineRule="exact"/>
        <w:rPr>
          <w:sz w:val="20"/>
          <w:szCs w:val="20"/>
          <w:color w:val="auto"/>
        </w:rPr>
      </w:pPr>
    </w:p>
    <w:p>
      <w:pPr>
        <w:ind w:left="540" w:hanging="249"/>
        <w:spacing w:after="0"/>
        <w:tabs>
          <w:tab w:leader="none" w:pos="5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Acquired operations contributed $2 million to our sales growth to the industrial market.</w:t>
      </w:r>
    </w:p>
    <w:p>
      <w:pPr>
        <w:spacing w:after="0" w:line="178" w:lineRule="exact"/>
        <w:rPr>
          <w:rFonts w:ascii="Arial" w:cs="Arial" w:eastAsia="Arial" w:hAnsi="Arial"/>
          <w:sz w:val="14"/>
          <w:szCs w:val="14"/>
          <w:color w:val="auto"/>
        </w:rPr>
      </w:pPr>
    </w:p>
    <w:p>
      <w:pPr>
        <w:ind w:left="540" w:right="20" w:hanging="249"/>
        <w:spacing w:after="0" w:line="281" w:lineRule="auto"/>
        <w:tabs>
          <w:tab w:leader="none" w:pos="5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Our increase in sales to the retail and industrial markets was primarily due to an increase in our import and export business within the international segment.</w:t>
      </w:r>
    </w:p>
    <w:p>
      <w:pPr>
        <w:spacing w:after="0" w:line="133" w:lineRule="exact"/>
        <w:rPr>
          <w:sz w:val="20"/>
          <w:szCs w:val="20"/>
          <w:color w:val="auto"/>
        </w:rPr>
      </w:pPr>
    </w:p>
    <w:p>
      <w:pPr>
        <w:jc w:val="both"/>
        <w:spacing w:after="0" w:line="332" w:lineRule="auto"/>
        <w:rPr>
          <w:sz w:val="20"/>
          <w:szCs w:val="20"/>
          <w:color w:val="auto"/>
        </w:rPr>
      </w:pPr>
      <w:r>
        <w:rPr>
          <w:rFonts w:ascii="Arial" w:cs="Arial" w:eastAsia="Arial" w:hAnsi="Arial"/>
          <w:sz w:val="12"/>
          <w:szCs w:val="12"/>
          <w:color w:val="auto"/>
        </w:rPr>
        <w:t>Earnings from operations for the All Other reportable segment decreased in 2018 by $10.5 million, or 60.8%, due to a decrease in gross profit of $5.2 million and a $5.3 million increase in SG&amp;A expenses compared to last year. The decrease in earnings from operations was primarily due to our idX operations, as a result of increased costs related to a facility relocation and unfavorable labor and overhead cost variances due in part to new business and related inefficiencies.</w:t>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color w:val="auto"/>
        </w:rPr>
        <w:t>Net sales of all other segments increased $275.1 million, or 99.3%, in 2017 primarily due to:</w:t>
      </w:r>
    </w:p>
    <w:p>
      <w:pPr>
        <w:spacing w:after="0" w:line="179" w:lineRule="exact"/>
        <w:rPr>
          <w:sz w:val="20"/>
          <w:szCs w:val="20"/>
          <w:color w:val="auto"/>
        </w:rPr>
      </w:pPr>
    </w:p>
    <w:p>
      <w:pPr>
        <w:ind w:left="540" w:hanging="249"/>
        <w:spacing w:after="0" w:line="281" w:lineRule="auto"/>
        <w:tabs>
          <w:tab w:leader="none" w:pos="5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Acquired operations, including idX, contributed $196 million to our sales growth to the industrial market. Additionally, the Mexico reporting unit of our international segment increased its sales to the industrial market.</w:t>
      </w:r>
    </w:p>
    <w:p>
      <w:pPr>
        <w:spacing w:after="0" w:line="132" w:lineRule="exact"/>
        <w:rPr>
          <w:rFonts w:ascii="Arial" w:cs="Arial" w:eastAsia="Arial" w:hAnsi="Arial"/>
          <w:sz w:val="14"/>
          <w:szCs w:val="14"/>
          <w:color w:val="auto"/>
        </w:rPr>
      </w:pPr>
    </w:p>
    <w:p>
      <w:pPr>
        <w:ind w:left="540" w:hanging="249"/>
        <w:spacing w:after="0"/>
        <w:tabs>
          <w:tab w:leader="none" w:pos="5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Our increase in sales to the retail market was due to the transfer of our import and export business into our international segment.</w:t>
      </w:r>
    </w:p>
    <w:p>
      <w:pPr>
        <w:spacing w:after="0" w:line="179" w:lineRule="exact"/>
        <w:rPr>
          <w:sz w:val="20"/>
          <w:szCs w:val="20"/>
          <w:color w:val="auto"/>
        </w:rPr>
      </w:pPr>
    </w:p>
    <w:p>
      <w:pPr>
        <w:spacing w:after="0" w:line="321" w:lineRule="auto"/>
        <w:rPr>
          <w:sz w:val="20"/>
          <w:szCs w:val="20"/>
          <w:color w:val="auto"/>
        </w:rPr>
      </w:pPr>
      <w:r>
        <w:rPr>
          <w:rFonts w:ascii="Arial" w:cs="Arial" w:eastAsia="Arial" w:hAnsi="Arial"/>
          <w:sz w:val="13"/>
          <w:szCs w:val="13"/>
          <w:color w:val="auto"/>
        </w:rPr>
        <w:t>Earnings from operations for the All Other reportable segment increased in 2017 by $0.7 million, or 3.9%, due to an increase in gross profit of $46.5 million, offset by a $45.8 million increase in SG&amp;A expenses compared to last year. Acquired operations increased earnings from operations by $1.7 million in 2017.</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66675</wp:posOffset>
            </wp:positionV>
            <wp:extent cx="5779135" cy="203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3">
                      <a:extLst>
                        <a:ext uri="{28A0092B-C50C-407E-A947-70E740481C1C}"/>
                      </a:extLst>
                    </a:blip>
                    <a:srcRect/>
                    <a:stretch>
                      <a:fillRect/>
                    </a:stretch>
                  </pic:blipFill>
                  <pic:spPr bwMode="auto">
                    <a:xfrm>
                      <a:off x="0" y="0"/>
                      <a:ext cx="5779135" cy="20320"/>
                    </a:xfrm>
                    <a:prstGeom prst="rect">
                      <a:avLst/>
                    </a:prstGeom>
                    <a:noFill/>
                  </pic:spPr>
                </pic:pic>
              </a:graphicData>
            </a:graphic>
          </wp:anchor>
        </w:drawing>
      </w:r>
    </w:p>
    <w:p>
      <w:pPr>
        <w:sectPr>
          <w:pgSz w:w="11900" w:h="16838" w:orient="portrait"/>
          <w:cols w:equalWidth="0" w:num="1">
            <w:col w:w="9100"/>
          </w:cols>
          <w:pgMar w:left="1400" w:top="129" w:right="1399" w:bottom="1440" w:gutter="0" w:footer="0" w:header="0"/>
        </w:sectPr>
      </w:pPr>
    </w:p>
    <w:bookmarkStart w:id="59" w:name="page60"/>
    <w:bookmarkEnd w:id="59"/>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UNIVERSAL FOREST PRODUCTS,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MANAGEMENT’S DISCUSSION AND ANALYSIS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FINANCIAL CONDITION AND RESULTS OF OPERATIONS</w:t>
      </w:r>
    </w:p>
    <w:p>
      <w:pPr>
        <w:spacing w:after="0" w:line="16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OFF-BALANCE SHEET COMMITMENTS AND CONTRACTUAL OBLIGATIONS</w:t>
      </w:r>
    </w:p>
    <w:p>
      <w:pPr>
        <w:spacing w:after="0" w:line="183"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We have no significant off-balance sheet commitments other than operating leases. The following table summarizes our contractual obligations as of December 29, 2018 (in thousands).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20" w:type="dxa"/>
            <w:vAlign w:val="bottom"/>
          </w:tcPr>
          <w:p>
            <w:pPr>
              <w:spacing w:after="0"/>
              <w:rPr>
                <w:sz w:val="11"/>
                <w:szCs w:val="11"/>
                <w:color w:val="auto"/>
              </w:rPr>
            </w:pPr>
          </w:p>
        </w:tc>
        <w:tc>
          <w:tcPr>
            <w:tcW w:w="53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60" w:type="dxa"/>
            <w:vAlign w:val="bottom"/>
            <w:tcBorders>
              <w:bottom w:val="single" w:sz="8" w:color="auto"/>
            </w:tcBorders>
            <w:gridSpan w:val="6"/>
          </w:tcPr>
          <w:p>
            <w:pPr>
              <w:jc w:val="right"/>
              <w:ind w:right="455"/>
              <w:spacing w:after="0"/>
              <w:rPr>
                <w:sz w:val="20"/>
                <w:szCs w:val="20"/>
                <w:color w:val="auto"/>
              </w:rPr>
            </w:pPr>
            <w:r>
              <w:rPr>
                <w:rFonts w:ascii="Arial" w:cs="Arial" w:eastAsia="Arial" w:hAnsi="Arial"/>
                <w:sz w:val="11"/>
                <w:szCs w:val="11"/>
                <w:b w:val="1"/>
                <w:bCs w:val="1"/>
                <w:color w:val="auto"/>
              </w:rPr>
              <w:t>Payments Due by Period</w:t>
            </w:r>
          </w:p>
        </w:tc>
        <w:tc>
          <w:tcPr>
            <w:tcW w:w="1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r>
      <w:tr>
        <w:trPr>
          <w:trHeight w:val="100"/>
        </w:trPr>
        <w:tc>
          <w:tcPr>
            <w:tcW w:w="20" w:type="dxa"/>
            <w:vAlign w:val="bottom"/>
          </w:tcPr>
          <w:p>
            <w:pPr>
              <w:spacing w:after="0"/>
              <w:rPr>
                <w:sz w:val="8"/>
                <w:szCs w:val="8"/>
                <w:color w:val="auto"/>
              </w:rPr>
            </w:pPr>
          </w:p>
        </w:tc>
        <w:tc>
          <w:tcPr>
            <w:tcW w:w="536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jc w:val="right"/>
              <w:ind w:right="13"/>
              <w:spacing w:after="0" w:line="100" w:lineRule="exact"/>
              <w:rPr>
                <w:sz w:val="20"/>
                <w:szCs w:val="20"/>
                <w:color w:val="auto"/>
              </w:rPr>
            </w:pPr>
            <w:r>
              <w:rPr>
                <w:rFonts w:ascii="Arial" w:cs="Arial" w:eastAsia="Arial" w:hAnsi="Arial"/>
                <w:sz w:val="11"/>
                <w:szCs w:val="11"/>
                <w:b w:val="1"/>
                <w:bCs w:val="1"/>
                <w:color w:val="auto"/>
                <w:w w:val="89"/>
              </w:rPr>
              <w:t>Less than</w:t>
            </w: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jc w:val="right"/>
              <w:ind w:right="155"/>
              <w:spacing w:after="0" w:line="100" w:lineRule="exact"/>
              <w:rPr>
                <w:sz w:val="20"/>
                <w:szCs w:val="20"/>
                <w:color w:val="auto"/>
              </w:rPr>
            </w:pPr>
            <w:r>
              <w:rPr>
                <w:rFonts w:ascii="Arial" w:cs="Arial" w:eastAsia="Arial" w:hAnsi="Arial"/>
                <w:sz w:val="11"/>
                <w:szCs w:val="11"/>
                <w:b w:val="1"/>
                <w:bCs w:val="1"/>
                <w:color w:val="auto"/>
              </w:rPr>
              <w:t>1 – 3</w:t>
            </w: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jc w:val="right"/>
              <w:ind w:right="153"/>
              <w:spacing w:after="0" w:line="100" w:lineRule="exact"/>
              <w:rPr>
                <w:sz w:val="20"/>
                <w:szCs w:val="20"/>
                <w:color w:val="auto"/>
              </w:rPr>
            </w:pPr>
            <w:r>
              <w:rPr>
                <w:rFonts w:ascii="Arial" w:cs="Arial" w:eastAsia="Arial" w:hAnsi="Arial"/>
                <w:sz w:val="11"/>
                <w:szCs w:val="11"/>
                <w:b w:val="1"/>
                <w:bCs w:val="1"/>
                <w:color w:val="auto"/>
              </w:rPr>
              <w:t>3 – 5</w:t>
            </w:r>
          </w:p>
        </w:tc>
        <w:tc>
          <w:tcPr>
            <w:tcW w:w="140" w:type="dxa"/>
            <w:vAlign w:val="bottom"/>
          </w:tcPr>
          <w:p>
            <w:pPr>
              <w:spacing w:after="0"/>
              <w:rPr>
                <w:sz w:val="8"/>
                <w:szCs w:val="8"/>
                <w:color w:val="auto"/>
              </w:rPr>
            </w:pPr>
          </w:p>
        </w:tc>
        <w:tc>
          <w:tcPr>
            <w:tcW w:w="620" w:type="dxa"/>
            <w:vAlign w:val="bottom"/>
          </w:tcPr>
          <w:p>
            <w:pPr>
              <w:jc w:val="right"/>
              <w:ind w:right="135"/>
              <w:spacing w:after="0" w:line="100" w:lineRule="exact"/>
              <w:rPr>
                <w:sz w:val="20"/>
                <w:szCs w:val="20"/>
                <w:color w:val="auto"/>
              </w:rPr>
            </w:pPr>
            <w:r>
              <w:rPr>
                <w:rFonts w:ascii="Arial" w:cs="Arial" w:eastAsia="Arial" w:hAnsi="Arial"/>
                <w:sz w:val="11"/>
                <w:szCs w:val="11"/>
                <w:b w:val="1"/>
                <w:bCs w:val="1"/>
                <w:color w:val="auto"/>
              </w:rPr>
              <w:t>After</w:t>
            </w: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r>
      <w:tr>
        <w:trPr>
          <w:trHeight w:val="135"/>
        </w:trPr>
        <w:tc>
          <w:tcPr>
            <w:tcW w:w="5380" w:type="dxa"/>
            <w:vAlign w:val="bottom"/>
            <w:gridSpan w:val="2"/>
          </w:tcPr>
          <w:p>
            <w:pPr>
              <w:spacing w:after="0"/>
              <w:rPr>
                <w:sz w:val="20"/>
                <w:szCs w:val="20"/>
                <w:color w:val="auto"/>
              </w:rPr>
            </w:pPr>
            <w:r>
              <w:rPr>
                <w:rFonts w:ascii="Arial" w:cs="Arial" w:eastAsia="Arial" w:hAnsi="Arial"/>
                <w:sz w:val="11"/>
                <w:szCs w:val="11"/>
                <w:b w:val="1"/>
                <w:bCs w:val="1"/>
                <w:color w:val="auto"/>
              </w:rPr>
              <w:t>Contractual Obligation</w:t>
            </w:r>
          </w:p>
        </w:tc>
        <w:tc>
          <w:tcPr>
            <w:tcW w:w="80" w:type="dxa"/>
            <w:vAlign w:val="bottom"/>
          </w:tcPr>
          <w:p>
            <w:pPr>
              <w:spacing w:after="0"/>
              <w:rPr>
                <w:sz w:val="11"/>
                <w:szCs w:val="11"/>
                <w:color w:val="auto"/>
              </w:rPr>
            </w:pPr>
          </w:p>
        </w:tc>
        <w:tc>
          <w:tcPr>
            <w:tcW w:w="560" w:type="dxa"/>
            <w:vAlign w:val="bottom"/>
          </w:tcPr>
          <w:p>
            <w:pPr>
              <w:jc w:val="right"/>
              <w:ind w:right="93"/>
              <w:spacing w:after="0"/>
              <w:rPr>
                <w:sz w:val="20"/>
                <w:szCs w:val="20"/>
                <w:color w:val="auto"/>
              </w:rPr>
            </w:pPr>
            <w:r>
              <w:rPr>
                <w:rFonts w:ascii="Arial" w:cs="Arial" w:eastAsia="Arial" w:hAnsi="Arial"/>
                <w:sz w:val="11"/>
                <w:szCs w:val="11"/>
                <w:b w:val="1"/>
                <w:bCs w:val="1"/>
                <w:color w:val="auto"/>
              </w:rPr>
              <w:t>1 Year</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jc w:val="right"/>
              <w:ind w:right="135"/>
              <w:spacing w:after="0"/>
              <w:rPr>
                <w:sz w:val="20"/>
                <w:szCs w:val="20"/>
                <w:color w:val="auto"/>
              </w:rPr>
            </w:pPr>
            <w:r>
              <w:rPr>
                <w:rFonts w:ascii="Arial" w:cs="Arial" w:eastAsia="Arial" w:hAnsi="Arial"/>
                <w:sz w:val="11"/>
                <w:szCs w:val="11"/>
                <w:b w:val="1"/>
                <w:bCs w:val="1"/>
                <w:color w:val="auto"/>
                <w:w w:val="99"/>
              </w:rPr>
              <w:t>Years</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jc w:val="right"/>
              <w:ind w:right="133"/>
              <w:spacing w:after="0"/>
              <w:rPr>
                <w:sz w:val="20"/>
                <w:szCs w:val="20"/>
                <w:color w:val="auto"/>
              </w:rPr>
            </w:pPr>
            <w:r>
              <w:rPr>
                <w:rFonts w:ascii="Arial" w:cs="Arial" w:eastAsia="Arial" w:hAnsi="Arial"/>
                <w:sz w:val="11"/>
                <w:szCs w:val="11"/>
                <w:b w:val="1"/>
                <w:bCs w:val="1"/>
                <w:color w:val="auto"/>
              </w:rPr>
              <w:t>Years</w:t>
            </w:r>
          </w:p>
        </w:tc>
        <w:tc>
          <w:tcPr>
            <w:tcW w:w="140" w:type="dxa"/>
            <w:vAlign w:val="bottom"/>
          </w:tcPr>
          <w:p>
            <w:pPr>
              <w:spacing w:after="0"/>
              <w:rPr>
                <w:sz w:val="11"/>
                <w:szCs w:val="11"/>
                <w:color w:val="auto"/>
              </w:rPr>
            </w:pPr>
          </w:p>
        </w:tc>
        <w:tc>
          <w:tcPr>
            <w:tcW w:w="620" w:type="dxa"/>
            <w:vAlign w:val="bottom"/>
          </w:tcPr>
          <w:p>
            <w:pPr>
              <w:jc w:val="right"/>
              <w:ind w:right="75"/>
              <w:spacing w:after="0"/>
              <w:rPr>
                <w:sz w:val="20"/>
                <w:szCs w:val="20"/>
                <w:color w:val="auto"/>
              </w:rPr>
            </w:pPr>
            <w:r>
              <w:rPr>
                <w:rFonts w:ascii="Arial" w:cs="Arial" w:eastAsia="Arial" w:hAnsi="Arial"/>
                <w:sz w:val="11"/>
                <w:szCs w:val="11"/>
                <w:b w:val="1"/>
                <w:bCs w:val="1"/>
                <w:color w:val="auto"/>
              </w:rPr>
              <w:t>5 Years</w:t>
            </w:r>
          </w:p>
        </w:tc>
        <w:tc>
          <w:tcPr>
            <w:tcW w:w="120" w:type="dxa"/>
            <w:vAlign w:val="bottom"/>
          </w:tcPr>
          <w:p>
            <w:pPr>
              <w:spacing w:after="0"/>
              <w:rPr>
                <w:sz w:val="11"/>
                <w:szCs w:val="11"/>
                <w:color w:val="auto"/>
              </w:rPr>
            </w:pPr>
          </w:p>
        </w:tc>
        <w:tc>
          <w:tcPr>
            <w:tcW w:w="620" w:type="dxa"/>
            <w:vAlign w:val="bottom"/>
          </w:tcPr>
          <w:p>
            <w:pPr>
              <w:jc w:val="right"/>
              <w:ind w:right="114"/>
              <w:spacing w:after="0"/>
              <w:rPr>
                <w:sz w:val="20"/>
                <w:szCs w:val="20"/>
                <w:color w:val="auto"/>
              </w:rPr>
            </w:pPr>
            <w:r>
              <w:rPr>
                <w:rFonts w:ascii="Arial" w:cs="Arial" w:eastAsia="Arial" w:hAnsi="Arial"/>
                <w:sz w:val="11"/>
                <w:szCs w:val="11"/>
                <w:b w:val="1"/>
                <w:bCs w:val="1"/>
                <w:color w:val="auto"/>
              </w:rPr>
              <w:t>Total</w:t>
            </w:r>
          </w:p>
        </w:tc>
      </w:tr>
      <w:tr>
        <w:trPr>
          <w:trHeight w:val="170"/>
        </w:trPr>
        <w:tc>
          <w:tcPr>
            <w:tcW w:w="20" w:type="dxa"/>
            <w:vAlign w:val="bottom"/>
          </w:tcPr>
          <w:p>
            <w:pPr>
              <w:spacing w:after="0"/>
              <w:rPr>
                <w:sz w:val="14"/>
                <w:szCs w:val="14"/>
                <w:color w:val="auto"/>
              </w:rPr>
            </w:pPr>
          </w:p>
        </w:tc>
        <w:tc>
          <w:tcPr>
            <w:tcW w:w="5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color w:val="auto"/>
              </w:rPr>
              <w:t>Long-term debt and capital lease obligations</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w:t>
            </w:r>
          </w:p>
        </w:tc>
        <w:tc>
          <w:tcPr>
            <w:tcW w:w="1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2,780</w:t>
            </w:r>
          </w:p>
        </w:tc>
        <w:tc>
          <w:tcPr>
            <w:tcW w:w="1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81,161</w:t>
            </w:r>
          </w:p>
        </w:tc>
        <w:tc>
          <w:tcPr>
            <w:tcW w:w="140" w:type="dxa"/>
            <w:vAlign w:val="bottom"/>
            <w:tcBorders>
              <w:top w:val="single" w:sz="8" w:color="CCEEFF"/>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86"/>
              </w:rPr>
              <w:t>$ 118,256</w:t>
            </w:r>
          </w:p>
        </w:tc>
        <w:tc>
          <w:tcPr>
            <w:tcW w:w="120" w:type="dxa"/>
            <w:vAlign w:val="bottom"/>
            <w:tcBorders>
              <w:top w:val="single" w:sz="8" w:color="CCEEFF"/>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89"/>
              </w:rPr>
              <w:t>$ 202,278</w:t>
            </w:r>
          </w:p>
        </w:tc>
      </w:tr>
      <w:tr>
        <w:trPr>
          <w:trHeight w:val="170"/>
        </w:trPr>
        <w:tc>
          <w:tcPr>
            <w:tcW w:w="20" w:type="dxa"/>
            <w:vAlign w:val="bottom"/>
          </w:tcPr>
          <w:p>
            <w:pPr>
              <w:spacing w:after="0"/>
              <w:rPr>
                <w:sz w:val="14"/>
                <w:szCs w:val="14"/>
                <w:color w:val="auto"/>
              </w:rPr>
            </w:pPr>
          </w:p>
        </w:tc>
        <w:tc>
          <w:tcPr>
            <w:tcW w:w="5360" w:type="dxa"/>
            <w:vAlign w:val="bottom"/>
          </w:tcPr>
          <w:p>
            <w:pPr>
              <w:spacing w:after="0"/>
              <w:rPr>
                <w:sz w:val="20"/>
                <w:szCs w:val="20"/>
                <w:color w:val="auto"/>
              </w:rPr>
            </w:pPr>
            <w:r>
              <w:rPr>
                <w:rFonts w:ascii="Arial" w:cs="Arial" w:eastAsia="Arial" w:hAnsi="Arial"/>
                <w:sz w:val="14"/>
                <w:szCs w:val="14"/>
                <w:color w:val="auto"/>
              </w:rPr>
              <w:t>Estimated interest on long-term debt and capital lease obligations</w:t>
            </w: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7,717</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15,163</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13,825</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19,155</w:t>
            </w: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55,860</w:t>
            </w:r>
          </w:p>
        </w:tc>
      </w:tr>
      <w:tr>
        <w:trPr>
          <w:trHeight w:val="170"/>
        </w:trPr>
        <w:tc>
          <w:tcPr>
            <w:tcW w:w="20" w:type="dxa"/>
            <w:vAlign w:val="bottom"/>
          </w:tcPr>
          <w:p>
            <w:pPr>
              <w:spacing w:after="0"/>
              <w:rPr>
                <w:sz w:val="14"/>
                <w:szCs w:val="14"/>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4"/>
                <w:szCs w:val="14"/>
                <w:color w:val="auto"/>
              </w:rPr>
              <w:t>Operating leases</w:t>
            </w: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17,242</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21,753</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14,728</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22,498</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76,221</w:t>
            </w:r>
          </w:p>
        </w:tc>
      </w:tr>
      <w:tr>
        <w:trPr>
          <w:trHeight w:val="171"/>
        </w:trPr>
        <w:tc>
          <w:tcPr>
            <w:tcW w:w="20" w:type="dxa"/>
            <w:vAlign w:val="bottom"/>
          </w:tcPr>
          <w:p>
            <w:pPr>
              <w:spacing w:after="0"/>
              <w:rPr>
                <w:sz w:val="14"/>
                <w:szCs w:val="14"/>
                <w:color w:val="auto"/>
              </w:rPr>
            </w:pPr>
          </w:p>
        </w:tc>
        <w:tc>
          <w:tcPr>
            <w:tcW w:w="5360" w:type="dxa"/>
            <w:vAlign w:val="bottom"/>
          </w:tcPr>
          <w:p>
            <w:pPr>
              <w:spacing w:after="0"/>
              <w:rPr>
                <w:sz w:val="20"/>
                <w:szCs w:val="20"/>
                <w:color w:val="auto"/>
              </w:rPr>
            </w:pPr>
            <w:r>
              <w:rPr>
                <w:rFonts w:ascii="Arial" w:cs="Arial" w:eastAsia="Arial" w:hAnsi="Arial"/>
                <w:sz w:val="14"/>
                <w:szCs w:val="14"/>
                <w:color w:val="auto"/>
              </w:rPr>
              <w:t>Capital project purchase obligations</w:t>
            </w: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14,316</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14,316</w:t>
            </w:r>
          </w:p>
        </w:tc>
      </w:tr>
      <w:tr>
        <w:trPr>
          <w:trHeight w:val="171"/>
        </w:trPr>
        <w:tc>
          <w:tcPr>
            <w:tcW w:w="20" w:type="dxa"/>
            <w:vAlign w:val="bottom"/>
          </w:tcPr>
          <w:p>
            <w:pPr>
              <w:spacing w:after="0"/>
              <w:rPr>
                <w:sz w:val="14"/>
                <w:szCs w:val="14"/>
                <w:color w:val="auto"/>
              </w:rPr>
            </w:pPr>
          </w:p>
        </w:tc>
        <w:tc>
          <w:tcPr>
            <w:tcW w:w="53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Total</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39,356</w:t>
            </w: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39,696</w:t>
            </w: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0"/>
              </w:rPr>
              <w:t>109,714</w:t>
            </w: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86"/>
              </w:rPr>
              <w:t>$ 159,909</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89"/>
              </w:rPr>
              <w:t>$ 348,675</w:t>
            </w:r>
          </w:p>
        </w:tc>
      </w:tr>
    </w:tbl>
    <w:p>
      <w:pPr>
        <w:spacing w:after="0" w:line="159"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As of December 29, 2018, we also had $30.3 million in outstanding letters of credit issued during the normal course of business, as required by some vendor contracts.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LIQUIDITY AND CAPITAL RESOURCES</w:t>
      </w:r>
    </w:p>
    <w:p>
      <w:pPr>
        <w:spacing w:after="0" w:line="183" w:lineRule="exact"/>
        <w:rPr>
          <w:sz w:val="20"/>
          <w:szCs w:val="20"/>
          <w:color w:val="auto"/>
        </w:rPr>
      </w:pPr>
    </w:p>
    <w:p>
      <w:pPr>
        <w:spacing w:after="0"/>
        <w:rPr>
          <w:sz w:val="20"/>
          <w:szCs w:val="20"/>
          <w:color w:val="auto"/>
        </w:rPr>
      </w:pPr>
      <w:r>
        <w:rPr>
          <w:rFonts w:ascii="Arial" w:cs="Arial" w:eastAsia="Arial" w:hAnsi="Arial"/>
          <w:sz w:val="14"/>
          <w:szCs w:val="14"/>
          <w:color w:val="auto"/>
        </w:rPr>
        <w:t>The table below presents, for the periods indicated, a summary of our cash flow statement (in thousands):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498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740" w:type="dxa"/>
            <w:vAlign w:val="bottom"/>
            <w:gridSpan w:val="2"/>
          </w:tcPr>
          <w:p>
            <w:pPr>
              <w:jc w:val="right"/>
              <w:spacing w:after="0"/>
              <w:rPr>
                <w:sz w:val="20"/>
                <w:szCs w:val="20"/>
                <w:color w:val="auto"/>
              </w:rPr>
            </w:pPr>
            <w:r>
              <w:rPr>
                <w:rFonts w:ascii="Arial" w:cs="Arial" w:eastAsia="Arial" w:hAnsi="Arial"/>
                <w:sz w:val="11"/>
                <w:szCs w:val="11"/>
                <w:b w:val="1"/>
                <w:bCs w:val="1"/>
                <w:color w:val="auto"/>
                <w:w w:val="94"/>
              </w:rPr>
              <w:t>December 29,</w:t>
            </w:r>
          </w:p>
        </w:tc>
        <w:tc>
          <w:tcPr>
            <w:tcW w:w="180" w:type="dxa"/>
            <w:vAlign w:val="bottom"/>
          </w:tcPr>
          <w:p>
            <w:pPr>
              <w:spacing w:after="0"/>
              <w:rPr>
                <w:sz w:val="10"/>
                <w:szCs w:val="10"/>
                <w:color w:val="auto"/>
              </w:rPr>
            </w:pPr>
          </w:p>
        </w:tc>
        <w:tc>
          <w:tcPr>
            <w:tcW w:w="740" w:type="dxa"/>
            <w:vAlign w:val="bottom"/>
            <w:gridSpan w:val="2"/>
          </w:tcPr>
          <w:p>
            <w:pPr>
              <w:jc w:val="right"/>
              <w:spacing w:after="0"/>
              <w:rPr>
                <w:sz w:val="20"/>
                <w:szCs w:val="20"/>
                <w:color w:val="auto"/>
              </w:rPr>
            </w:pPr>
            <w:r>
              <w:rPr>
                <w:rFonts w:ascii="Arial" w:cs="Arial" w:eastAsia="Arial" w:hAnsi="Arial"/>
                <w:sz w:val="11"/>
                <w:szCs w:val="11"/>
                <w:b w:val="1"/>
                <w:bCs w:val="1"/>
                <w:color w:val="auto"/>
                <w:w w:val="94"/>
              </w:rPr>
              <w:t>December 30,</w:t>
            </w:r>
          </w:p>
        </w:tc>
        <w:tc>
          <w:tcPr>
            <w:tcW w:w="180" w:type="dxa"/>
            <w:vAlign w:val="bottom"/>
          </w:tcPr>
          <w:p>
            <w:pPr>
              <w:spacing w:after="0"/>
              <w:rPr>
                <w:sz w:val="10"/>
                <w:szCs w:val="10"/>
                <w:color w:val="auto"/>
              </w:rPr>
            </w:pPr>
          </w:p>
        </w:tc>
        <w:tc>
          <w:tcPr>
            <w:tcW w:w="740" w:type="dxa"/>
            <w:vAlign w:val="bottom"/>
            <w:gridSpan w:val="2"/>
          </w:tcPr>
          <w:p>
            <w:pPr>
              <w:jc w:val="right"/>
              <w:spacing w:after="0"/>
              <w:rPr>
                <w:sz w:val="20"/>
                <w:szCs w:val="20"/>
                <w:color w:val="auto"/>
              </w:rPr>
            </w:pPr>
            <w:r>
              <w:rPr>
                <w:rFonts w:ascii="Arial" w:cs="Arial" w:eastAsia="Arial" w:hAnsi="Arial"/>
                <w:sz w:val="11"/>
                <w:szCs w:val="11"/>
                <w:b w:val="1"/>
                <w:bCs w:val="1"/>
                <w:color w:val="auto"/>
                <w:w w:val="94"/>
              </w:rPr>
              <w:t>December 31,</w:t>
            </w:r>
          </w:p>
        </w:tc>
      </w:tr>
      <w:tr>
        <w:trPr>
          <w:trHeight w:val="135"/>
        </w:trPr>
        <w:tc>
          <w:tcPr>
            <w:tcW w:w="20" w:type="dxa"/>
            <w:vAlign w:val="bottom"/>
          </w:tcPr>
          <w:p>
            <w:pPr>
              <w:spacing w:after="0"/>
              <w:rPr>
                <w:sz w:val="11"/>
                <w:szCs w:val="11"/>
                <w:color w:val="auto"/>
              </w:rPr>
            </w:pPr>
          </w:p>
        </w:tc>
        <w:tc>
          <w:tcPr>
            <w:tcW w:w="4980" w:type="dxa"/>
            <w:vAlign w:val="bottom"/>
            <w:tcBorders>
              <w:bottom w:val="single" w:sz="8" w:color="CCEEFF"/>
            </w:tcBorders>
          </w:tcPr>
          <w:p>
            <w:pPr>
              <w:spacing w:after="0"/>
              <w:rPr>
                <w:sz w:val="11"/>
                <w:szCs w:val="11"/>
                <w:color w:val="auto"/>
              </w:rPr>
            </w:pPr>
          </w:p>
        </w:tc>
        <w:tc>
          <w:tcPr>
            <w:tcW w:w="152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191"/>
              <w:spacing w:after="0"/>
              <w:rPr>
                <w:sz w:val="20"/>
                <w:szCs w:val="20"/>
                <w:color w:val="auto"/>
              </w:rPr>
            </w:pPr>
            <w:r>
              <w:rPr>
                <w:rFonts w:ascii="Arial" w:cs="Arial" w:eastAsia="Arial" w:hAnsi="Arial"/>
                <w:sz w:val="11"/>
                <w:szCs w:val="11"/>
                <w:b w:val="1"/>
                <w:bCs w:val="1"/>
                <w:color w:val="auto"/>
              </w:rPr>
              <w:t>2018</w:t>
            </w:r>
          </w:p>
        </w:tc>
        <w:tc>
          <w:tcPr>
            <w:tcW w:w="18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191"/>
              <w:spacing w:after="0"/>
              <w:rPr>
                <w:sz w:val="20"/>
                <w:szCs w:val="20"/>
                <w:color w:val="auto"/>
              </w:rPr>
            </w:pPr>
            <w:r>
              <w:rPr>
                <w:rFonts w:ascii="Arial" w:cs="Arial" w:eastAsia="Arial" w:hAnsi="Arial"/>
                <w:sz w:val="11"/>
                <w:szCs w:val="11"/>
                <w:b w:val="1"/>
                <w:bCs w:val="1"/>
                <w:color w:val="auto"/>
              </w:rPr>
              <w:t>2017</w:t>
            </w:r>
          </w:p>
        </w:tc>
        <w:tc>
          <w:tcPr>
            <w:tcW w:w="18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191"/>
              <w:spacing w:after="0"/>
              <w:rPr>
                <w:sz w:val="20"/>
                <w:szCs w:val="20"/>
                <w:color w:val="auto"/>
              </w:rPr>
            </w:pPr>
            <w:r>
              <w:rPr>
                <w:rFonts w:ascii="Arial" w:cs="Arial" w:eastAsia="Arial" w:hAnsi="Arial"/>
                <w:sz w:val="11"/>
                <w:szCs w:val="11"/>
                <w:b w:val="1"/>
                <w:bCs w:val="1"/>
                <w:color w:val="auto"/>
              </w:rPr>
              <w:t>2016</w:t>
            </w:r>
          </w:p>
        </w:tc>
      </w:tr>
      <w:tr>
        <w:trPr>
          <w:trHeight w:val="170"/>
        </w:trPr>
        <w:tc>
          <w:tcPr>
            <w:tcW w:w="20" w:type="dxa"/>
            <w:vAlign w:val="bottom"/>
          </w:tcPr>
          <w:p>
            <w:pPr>
              <w:spacing w:after="0"/>
              <w:rPr>
                <w:sz w:val="14"/>
                <w:szCs w:val="14"/>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4"/>
                <w:szCs w:val="14"/>
                <w:color w:val="auto"/>
              </w:rPr>
              <w:t>Cash from operating activities</w:t>
            </w:r>
          </w:p>
        </w:tc>
        <w:tc>
          <w:tcPr>
            <w:tcW w:w="1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116,685</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136,583</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172,520</w:t>
            </w:r>
          </w:p>
        </w:tc>
      </w:tr>
      <w:tr>
        <w:trPr>
          <w:trHeight w:val="170"/>
        </w:trPr>
        <w:tc>
          <w:tcPr>
            <w:tcW w:w="20" w:type="dxa"/>
            <w:vAlign w:val="bottom"/>
          </w:tcPr>
          <w:p>
            <w:pPr>
              <w:spacing w:after="0"/>
              <w:rPr>
                <w:sz w:val="14"/>
                <w:szCs w:val="14"/>
                <w:color w:val="auto"/>
              </w:rPr>
            </w:pPr>
          </w:p>
        </w:tc>
        <w:tc>
          <w:tcPr>
            <w:tcW w:w="4980" w:type="dxa"/>
            <w:vAlign w:val="bottom"/>
          </w:tcPr>
          <w:p>
            <w:pPr>
              <w:spacing w:after="0"/>
              <w:rPr>
                <w:sz w:val="20"/>
                <w:szCs w:val="20"/>
                <w:color w:val="auto"/>
              </w:rPr>
            </w:pPr>
            <w:r>
              <w:rPr>
                <w:rFonts w:ascii="Arial" w:cs="Arial" w:eastAsia="Arial" w:hAnsi="Arial"/>
                <w:sz w:val="14"/>
                <w:szCs w:val="14"/>
                <w:color w:val="auto"/>
              </w:rPr>
              <w:t>Cash used in investing activities</w:t>
            </w:r>
          </w:p>
        </w:tc>
        <w:tc>
          <w:tcPr>
            <w:tcW w:w="1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(121,232)</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(137,659)</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(227,657)</w:t>
            </w:r>
          </w:p>
        </w:tc>
      </w:tr>
      <w:tr>
        <w:trPr>
          <w:trHeight w:val="170"/>
        </w:trPr>
        <w:tc>
          <w:tcPr>
            <w:tcW w:w="20" w:type="dxa"/>
            <w:vAlign w:val="bottom"/>
          </w:tcPr>
          <w:p>
            <w:pPr>
              <w:spacing w:after="0"/>
              <w:rPr>
                <w:sz w:val="14"/>
                <w:szCs w:val="14"/>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4"/>
                <w:szCs w:val="14"/>
                <w:color w:val="auto"/>
              </w:rPr>
              <w:t>Cash from (used in) financing activities</w:t>
            </w:r>
          </w:p>
        </w:tc>
        <w:tc>
          <w:tcPr>
            <w:tcW w:w="1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4,393</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(5,247)</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3,211</w:t>
            </w:r>
          </w:p>
        </w:tc>
      </w:tr>
      <w:tr>
        <w:trPr>
          <w:trHeight w:val="171"/>
        </w:trPr>
        <w:tc>
          <w:tcPr>
            <w:tcW w:w="20" w:type="dxa"/>
            <w:vAlign w:val="bottom"/>
          </w:tcPr>
          <w:p>
            <w:pPr>
              <w:spacing w:after="0"/>
              <w:rPr>
                <w:sz w:val="14"/>
                <w:szCs w:val="14"/>
                <w:color w:val="auto"/>
              </w:rPr>
            </w:pPr>
          </w:p>
        </w:tc>
        <w:tc>
          <w:tcPr>
            <w:tcW w:w="498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Effect of exchange rate changes on cash</w:t>
            </w:r>
          </w:p>
        </w:tc>
        <w:tc>
          <w:tcPr>
            <w:tcW w:w="15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(464)</w:t>
            </w:r>
          </w:p>
        </w:tc>
        <w:tc>
          <w:tcPr>
            <w:tcW w:w="1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650</w:t>
            </w:r>
          </w:p>
        </w:tc>
        <w:tc>
          <w:tcPr>
            <w:tcW w:w="1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(1,927)</w:t>
            </w:r>
          </w:p>
        </w:tc>
      </w:tr>
      <w:tr>
        <w:trPr>
          <w:trHeight w:val="170"/>
        </w:trPr>
        <w:tc>
          <w:tcPr>
            <w:tcW w:w="20" w:type="dxa"/>
            <w:vAlign w:val="bottom"/>
          </w:tcPr>
          <w:p>
            <w:pPr>
              <w:spacing w:after="0"/>
              <w:rPr>
                <w:sz w:val="14"/>
                <w:szCs w:val="14"/>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4"/>
                <w:szCs w:val="14"/>
                <w:color w:val="auto"/>
              </w:rPr>
              <w:t>Net change in cash and cash equivalents</w:t>
            </w:r>
          </w:p>
        </w:tc>
        <w:tc>
          <w:tcPr>
            <w:tcW w:w="1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(618)</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(5,673)</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(53,853)</w:t>
            </w:r>
          </w:p>
        </w:tc>
      </w:tr>
      <w:tr>
        <w:trPr>
          <w:trHeight w:val="171"/>
        </w:trPr>
        <w:tc>
          <w:tcPr>
            <w:tcW w:w="20" w:type="dxa"/>
            <w:vAlign w:val="bottom"/>
          </w:tcPr>
          <w:p>
            <w:pPr>
              <w:spacing w:after="0"/>
              <w:rPr>
                <w:sz w:val="14"/>
                <w:szCs w:val="14"/>
                <w:color w:val="auto"/>
              </w:rPr>
            </w:pPr>
          </w:p>
        </w:tc>
        <w:tc>
          <w:tcPr>
            <w:tcW w:w="498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Cash, cash equivalents, and restricted cash, beginning of year</w:t>
            </w:r>
          </w:p>
        </w:tc>
        <w:tc>
          <w:tcPr>
            <w:tcW w:w="15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28,816</w:t>
            </w:r>
          </w:p>
        </w:tc>
        <w:tc>
          <w:tcPr>
            <w:tcW w:w="1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34,489</w:t>
            </w:r>
          </w:p>
        </w:tc>
        <w:tc>
          <w:tcPr>
            <w:tcW w:w="1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88,342</w:t>
            </w:r>
          </w:p>
        </w:tc>
      </w:tr>
      <w:tr>
        <w:trPr>
          <w:trHeight w:val="171"/>
        </w:trPr>
        <w:tc>
          <w:tcPr>
            <w:tcW w:w="20" w:type="dxa"/>
            <w:vAlign w:val="bottom"/>
          </w:tcPr>
          <w:p>
            <w:pPr>
              <w:spacing w:after="0"/>
              <w:rPr>
                <w:sz w:val="14"/>
                <w:szCs w:val="14"/>
                <w:color w:val="auto"/>
              </w:rPr>
            </w:pPr>
          </w:p>
        </w:tc>
        <w:tc>
          <w:tcPr>
            <w:tcW w:w="4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Cash, cash equivalents, and restricted cash, end of year</w:t>
            </w:r>
          </w:p>
        </w:tc>
        <w:tc>
          <w:tcPr>
            <w:tcW w:w="15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28,198</w:t>
            </w:r>
          </w:p>
        </w:tc>
        <w:tc>
          <w:tcPr>
            <w:tcW w:w="1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28,816</w:t>
            </w:r>
          </w:p>
        </w:tc>
        <w:tc>
          <w:tcPr>
            <w:tcW w:w="1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34,489</w:t>
            </w:r>
          </w:p>
        </w:tc>
      </w:tr>
    </w:tbl>
    <w:p>
      <w:pPr>
        <w:spacing w:after="0" w:line="159" w:lineRule="exact"/>
        <w:rPr>
          <w:sz w:val="20"/>
          <w:szCs w:val="20"/>
          <w:color w:val="auto"/>
        </w:rPr>
      </w:pPr>
    </w:p>
    <w:p>
      <w:pPr>
        <w:jc w:val="both"/>
        <w:spacing w:after="0" w:line="289" w:lineRule="auto"/>
        <w:rPr>
          <w:sz w:val="20"/>
          <w:szCs w:val="20"/>
          <w:color w:val="auto"/>
        </w:rPr>
      </w:pPr>
      <w:r>
        <w:rPr>
          <w:rFonts w:ascii="Arial" w:cs="Arial" w:eastAsia="Arial" w:hAnsi="Arial"/>
          <w:sz w:val="13"/>
          <w:szCs w:val="13"/>
          <w:color w:val="auto"/>
        </w:rPr>
        <w:t>In general, we financed our growth in the past through a combination of operating cash flows, our revolving credit facility, industrial development bonds (when circumstances permit), and issuance of long-term notes payable at times when interest rates are favorable. We manage our capital structure by attempting to maintain a targeted ratio of debt to equity and debt to earnings before interest, taxes, depreciation and amortization. We believe these financial ratios are among many other important factors to maintaining a strong credit profile, which in turn helps ensure timely access to capital when needed.</w:t>
      </w:r>
    </w:p>
    <w:p>
      <w:pPr>
        <w:spacing w:after="0" w:line="129"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Seasonality has a significant impact on our working capital due to our primary selling season which occurs during the period from March to August. Consequently, our working capital increases during our first and second quarters resulting in negative or modest cash flows from operations during those periods. Conversely, we experience a substantial decrease in working capital once we move beyond our peak selling season which typically results in significant cash flows from operations in our third and fourth quarters.</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66675</wp:posOffset>
            </wp:positionV>
            <wp:extent cx="5779135" cy="2032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4">
                      <a:extLst>
                        <a:ext uri="{28A0092B-C50C-407E-A947-70E740481C1C}"/>
                      </a:extLst>
                    </a:blip>
                    <a:srcRect/>
                    <a:stretch>
                      <a:fillRect/>
                    </a:stretch>
                  </pic:blipFill>
                  <pic:spPr bwMode="auto">
                    <a:xfrm>
                      <a:off x="0" y="0"/>
                      <a:ext cx="5779135" cy="20320"/>
                    </a:xfrm>
                    <a:prstGeom prst="rect">
                      <a:avLst/>
                    </a:prstGeom>
                    <a:noFill/>
                  </pic:spPr>
                </pic:pic>
              </a:graphicData>
            </a:graphic>
          </wp:anchor>
        </w:drawing>
      </w:r>
    </w:p>
    <w:p>
      <w:pPr>
        <w:sectPr>
          <w:pgSz w:w="11900" w:h="16838" w:orient="portrait"/>
          <w:cols w:equalWidth="0" w:num="1">
            <w:col w:w="9100"/>
          </w:cols>
          <w:pgMar w:left="1400" w:top="129" w:right="1399" w:bottom="1440" w:gutter="0" w:footer="0" w:header="0"/>
        </w:sectPr>
      </w:pPr>
    </w:p>
    <w:bookmarkStart w:id="60" w:name="page61"/>
    <w:bookmarkEnd w:id="60"/>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UNIVERSAL FOREST PRODUCTS,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MANAGEMENT’S DISCUSSION AND ANALYSIS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FINANCIAL CONDITION AND RESULTS OF OPERATIONS</w:t>
      </w:r>
    </w:p>
    <w:p>
      <w:pPr>
        <w:spacing w:after="0" w:line="169"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Due to the seasonality of our business and the effects of the Lumber Market, we believe our cash cycle (days of sales outstanding plus days supply of inventory less days payables outstanding) is a good indicator of our working capital management. As indicated in the table below, our cash cycle increased to 54 days in 2018 from 52 days in 2017.</w:t>
      </w:r>
    </w:p>
    <w:p>
      <w:pPr>
        <w:spacing w:after="0" w:line="146" w:lineRule="exact"/>
        <w:rPr>
          <w:sz w:val="20"/>
          <w:szCs w:val="20"/>
          <w:color w:val="auto"/>
        </w:rPr>
      </w:pPr>
    </w:p>
    <w:tbl>
      <w:tblPr>
        <w:tblLayout w:type="fixed"/>
        <w:tblInd w:w="920" w:type="dxa"/>
        <w:tblCellMar>
          <w:top w:w="0" w:type="dxa"/>
          <w:left w:w="0" w:type="dxa"/>
          <w:bottom w:w="0" w:type="dxa"/>
          <w:right w:w="0" w:type="dxa"/>
        </w:tblCellMar>
      </w:tblPr>
      <w:tr>
        <w:trPr>
          <w:trHeight w:val="135"/>
        </w:trPr>
        <w:tc>
          <w:tcPr>
            <w:tcW w:w="4880" w:type="dxa"/>
            <w:vAlign w:val="bottom"/>
          </w:tcPr>
          <w:p>
            <w:pPr>
              <w:spacing w:after="0"/>
              <w:rPr>
                <w:sz w:val="11"/>
                <w:szCs w:val="11"/>
                <w:color w:val="auto"/>
              </w:rPr>
            </w:pPr>
          </w:p>
        </w:tc>
        <w:tc>
          <w:tcPr>
            <w:tcW w:w="2400" w:type="dxa"/>
            <w:vAlign w:val="bottom"/>
            <w:tcBorders>
              <w:bottom w:val="single" w:sz="8" w:color="auto"/>
            </w:tcBorders>
            <w:gridSpan w:val="5"/>
          </w:tcPr>
          <w:p>
            <w:pPr>
              <w:jc w:val="center"/>
              <w:spacing w:after="0"/>
              <w:rPr>
                <w:sz w:val="20"/>
                <w:szCs w:val="20"/>
                <w:color w:val="auto"/>
              </w:rPr>
            </w:pPr>
            <w:r>
              <w:rPr>
                <w:rFonts w:ascii="Arial" w:cs="Arial" w:eastAsia="Arial" w:hAnsi="Arial"/>
                <w:sz w:val="11"/>
                <w:szCs w:val="11"/>
                <w:b w:val="1"/>
                <w:bCs w:val="1"/>
                <w:color w:val="auto"/>
                <w:w w:val="93"/>
              </w:rPr>
              <w:t>Twelve Months Ended</w:t>
            </w:r>
          </w:p>
        </w:tc>
      </w:tr>
      <w:tr>
        <w:trPr>
          <w:trHeight w:val="100"/>
        </w:trPr>
        <w:tc>
          <w:tcPr>
            <w:tcW w:w="4880" w:type="dxa"/>
            <w:vAlign w:val="bottom"/>
          </w:tcPr>
          <w:p>
            <w:pPr>
              <w:spacing w:after="0"/>
              <w:rPr>
                <w:sz w:val="8"/>
                <w:szCs w:val="8"/>
                <w:color w:val="auto"/>
              </w:rPr>
            </w:pPr>
          </w:p>
        </w:tc>
        <w:tc>
          <w:tcPr>
            <w:tcW w:w="820" w:type="dxa"/>
            <w:vAlign w:val="bottom"/>
            <w:gridSpan w:val="2"/>
          </w:tcPr>
          <w:p>
            <w:pPr>
              <w:spacing w:after="0" w:line="100" w:lineRule="exact"/>
              <w:rPr>
                <w:sz w:val="20"/>
                <w:szCs w:val="20"/>
                <w:color w:val="auto"/>
              </w:rPr>
            </w:pPr>
            <w:r>
              <w:rPr>
                <w:rFonts w:ascii="Arial" w:cs="Arial" w:eastAsia="Arial" w:hAnsi="Arial"/>
                <w:sz w:val="11"/>
                <w:szCs w:val="11"/>
                <w:b w:val="1"/>
                <w:bCs w:val="1"/>
                <w:color w:val="auto"/>
              </w:rPr>
              <w:t>December 29,</w:t>
            </w:r>
          </w:p>
        </w:tc>
        <w:tc>
          <w:tcPr>
            <w:tcW w:w="860" w:type="dxa"/>
            <w:vAlign w:val="bottom"/>
            <w:gridSpan w:val="2"/>
          </w:tcPr>
          <w:p>
            <w:pPr>
              <w:jc w:val="center"/>
              <w:ind w:right="160"/>
              <w:spacing w:after="0" w:line="100" w:lineRule="exact"/>
              <w:rPr>
                <w:sz w:val="20"/>
                <w:szCs w:val="20"/>
                <w:color w:val="auto"/>
              </w:rPr>
            </w:pPr>
            <w:r>
              <w:rPr>
                <w:rFonts w:ascii="Arial" w:cs="Arial" w:eastAsia="Arial" w:hAnsi="Arial"/>
                <w:sz w:val="11"/>
                <w:szCs w:val="11"/>
                <w:b w:val="1"/>
                <w:bCs w:val="1"/>
                <w:color w:val="auto"/>
                <w:w w:val="92"/>
              </w:rPr>
              <w:t>December 30,</w:t>
            </w:r>
          </w:p>
        </w:tc>
        <w:tc>
          <w:tcPr>
            <w:tcW w:w="720" w:type="dxa"/>
            <w:vAlign w:val="bottom"/>
          </w:tcPr>
          <w:p>
            <w:pPr>
              <w:jc w:val="right"/>
              <w:spacing w:after="0" w:line="100" w:lineRule="exact"/>
              <w:rPr>
                <w:sz w:val="20"/>
                <w:szCs w:val="20"/>
                <w:color w:val="auto"/>
              </w:rPr>
            </w:pPr>
            <w:r>
              <w:rPr>
                <w:rFonts w:ascii="Arial" w:cs="Arial" w:eastAsia="Arial" w:hAnsi="Arial"/>
                <w:sz w:val="11"/>
                <w:szCs w:val="11"/>
                <w:b w:val="1"/>
                <w:bCs w:val="1"/>
                <w:color w:val="auto"/>
                <w:w w:val="92"/>
              </w:rPr>
              <w:t>December 31,</w:t>
            </w:r>
          </w:p>
        </w:tc>
      </w:tr>
      <w:tr>
        <w:trPr>
          <w:trHeight w:val="135"/>
        </w:trPr>
        <w:tc>
          <w:tcPr>
            <w:tcW w:w="4880" w:type="dxa"/>
            <w:vAlign w:val="bottom"/>
            <w:tcBorders>
              <w:bottom w:val="single" w:sz="8" w:color="CCEEFF"/>
            </w:tcBorders>
          </w:tcPr>
          <w:p>
            <w:pPr>
              <w:spacing w:after="0"/>
              <w:rPr>
                <w:sz w:val="11"/>
                <w:szCs w:val="11"/>
                <w:color w:val="auto"/>
              </w:rPr>
            </w:pPr>
          </w:p>
        </w:tc>
        <w:tc>
          <w:tcPr>
            <w:tcW w:w="680" w:type="dxa"/>
            <w:vAlign w:val="bottom"/>
            <w:tcBorders>
              <w:bottom w:val="single" w:sz="8" w:color="auto"/>
            </w:tcBorders>
          </w:tcPr>
          <w:p>
            <w:pPr>
              <w:jc w:val="right"/>
              <w:ind w:right="175"/>
              <w:spacing w:after="0"/>
              <w:rPr>
                <w:sz w:val="20"/>
                <w:szCs w:val="20"/>
                <w:color w:val="auto"/>
              </w:rPr>
            </w:pPr>
            <w:r>
              <w:rPr>
                <w:rFonts w:ascii="Arial" w:cs="Arial" w:eastAsia="Arial" w:hAnsi="Arial"/>
                <w:sz w:val="11"/>
                <w:szCs w:val="11"/>
                <w:b w:val="1"/>
                <w:bCs w:val="1"/>
                <w:color w:val="auto"/>
              </w:rPr>
              <w:t>2018</w:t>
            </w:r>
          </w:p>
        </w:tc>
        <w:tc>
          <w:tcPr>
            <w:tcW w:w="140" w:type="dxa"/>
            <w:vAlign w:val="bottom"/>
            <w:tcBorders>
              <w:bottom w:val="single" w:sz="8" w:color="CCEEFF"/>
            </w:tcBorders>
          </w:tcPr>
          <w:p>
            <w:pPr>
              <w:spacing w:after="0"/>
              <w:rPr>
                <w:sz w:val="11"/>
                <w:szCs w:val="11"/>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9"/>
              </w:rPr>
              <w:t>2017</w:t>
            </w:r>
          </w:p>
        </w:tc>
        <w:tc>
          <w:tcPr>
            <w:tcW w:w="140" w:type="dxa"/>
            <w:vAlign w:val="bottom"/>
            <w:tcBorders>
              <w:bottom w:val="single" w:sz="8" w:color="CCEEFF"/>
            </w:tcBorders>
          </w:tcPr>
          <w:p>
            <w:pPr>
              <w:spacing w:after="0"/>
              <w:rPr>
                <w:sz w:val="11"/>
                <w:szCs w:val="11"/>
                <w:color w:val="auto"/>
              </w:rPr>
            </w:pPr>
          </w:p>
        </w:tc>
        <w:tc>
          <w:tcPr>
            <w:tcW w:w="720" w:type="dxa"/>
            <w:vAlign w:val="bottom"/>
            <w:tcBorders>
              <w:bottom w:val="single" w:sz="8" w:color="auto"/>
            </w:tcBorders>
          </w:tcPr>
          <w:p>
            <w:pPr>
              <w:jc w:val="right"/>
              <w:ind w:right="194"/>
              <w:spacing w:after="0"/>
              <w:rPr>
                <w:sz w:val="20"/>
                <w:szCs w:val="20"/>
                <w:color w:val="auto"/>
              </w:rPr>
            </w:pPr>
            <w:r>
              <w:rPr>
                <w:rFonts w:ascii="Arial" w:cs="Arial" w:eastAsia="Arial" w:hAnsi="Arial"/>
                <w:sz w:val="11"/>
                <w:szCs w:val="11"/>
                <w:b w:val="1"/>
                <w:bCs w:val="1"/>
                <w:color w:val="auto"/>
              </w:rPr>
              <w:t>2016</w:t>
            </w:r>
          </w:p>
        </w:tc>
      </w:tr>
      <w:tr>
        <w:trPr>
          <w:trHeight w:val="170"/>
        </w:trPr>
        <w:tc>
          <w:tcPr>
            <w:tcW w:w="4880" w:type="dxa"/>
            <w:vAlign w:val="bottom"/>
            <w:shd w:val="clear" w:color="auto" w:fill="CCEEFF"/>
          </w:tcPr>
          <w:p>
            <w:pPr>
              <w:spacing w:after="0"/>
              <w:rPr>
                <w:sz w:val="20"/>
                <w:szCs w:val="20"/>
                <w:color w:val="auto"/>
              </w:rPr>
            </w:pPr>
            <w:r>
              <w:rPr>
                <w:rFonts w:ascii="Arial" w:cs="Arial" w:eastAsia="Arial" w:hAnsi="Arial"/>
                <w:sz w:val="14"/>
                <w:szCs w:val="14"/>
                <w:color w:val="auto"/>
              </w:rPr>
              <w:t>Days of sales outstanding</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w:t>
            </w:r>
          </w:p>
        </w:tc>
      </w:tr>
      <w:tr>
        <w:trPr>
          <w:trHeight w:val="170"/>
        </w:trPr>
        <w:tc>
          <w:tcPr>
            <w:tcW w:w="4880" w:type="dxa"/>
            <w:vAlign w:val="bottom"/>
          </w:tcPr>
          <w:p>
            <w:pPr>
              <w:spacing w:after="0"/>
              <w:rPr>
                <w:sz w:val="20"/>
                <w:szCs w:val="20"/>
                <w:color w:val="auto"/>
              </w:rPr>
            </w:pPr>
            <w:r>
              <w:rPr>
                <w:rFonts w:ascii="Arial" w:cs="Arial" w:eastAsia="Arial" w:hAnsi="Arial"/>
                <w:sz w:val="14"/>
                <w:szCs w:val="14"/>
                <w:color w:val="auto"/>
              </w:rPr>
              <w:t>Days supply of inventory</w:t>
            </w:r>
          </w:p>
        </w:tc>
        <w:tc>
          <w:tcPr>
            <w:tcW w:w="680" w:type="dxa"/>
            <w:vAlign w:val="bottom"/>
          </w:tcPr>
          <w:p>
            <w:pPr>
              <w:jc w:val="right"/>
              <w:spacing w:after="0"/>
              <w:rPr>
                <w:sz w:val="20"/>
                <w:szCs w:val="20"/>
                <w:color w:val="auto"/>
              </w:rPr>
            </w:pPr>
            <w:r>
              <w:rPr>
                <w:rFonts w:ascii="Arial" w:cs="Arial" w:eastAsia="Arial" w:hAnsi="Arial"/>
                <w:sz w:val="14"/>
                <w:szCs w:val="14"/>
                <w:color w:val="auto"/>
              </w:rPr>
              <w:t>43</w:t>
            </w: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41</w:t>
            </w: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38</w:t>
            </w:r>
          </w:p>
        </w:tc>
      </w:tr>
      <w:tr>
        <w:trPr>
          <w:trHeight w:val="190"/>
        </w:trPr>
        <w:tc>
          <w:tcPr>
            <w:tcW w:w="4880" w:type="dxa"/>
            <w:vAlign w:val="bottom"/>
            <w:shd w:val="clear" w:color="auto" w:fill="CCEEFF"/>
          </w:tcPr>
          <w:p>
            <w:pPr>
              <w:spacing w:after="0"/>
              <w:rPr>
                <w:sz w:val="20"/>
                <w:szCs w:val="20"/>
                <w:color w:val="auto"/>
              </w:rPr>
            </w:pPr>
            <w:r>
              <w:rPr>
                <w:rFonts w:ascii="Arial" w:cs="Arial" w:eastAsia="Arial" w:hAnsi="Arial"/>
                <w:sz w:val="14"/>
                <w:szCs w:val="14"/>
                <w:color w:val="auto"/>
              </w:rPr>
              <w:t>Days payables outstanding</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(21)</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(20)</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r>
      <w:tr>
        <w:trPr>
          <w:trHeight w:val="152"/>
        </w:trPr>
        <w:tc>
          <w:tcPr>
            <w:tcW w:w="4880" w:type="dxa"/>
            <w:vAlign w:val="bottom"/>
            <w:tcBorders>
              <w:top w:val="single" w:sz="8" w:color="CCEEFF"/>
            </w:tcBorders>
          </w:tcPr>
          <w:p>
            <w:pPr>
              <w:spacing w:after="0" w:line="151" w:lineRule="exact"/>
              <w:rPr>
                <w:sz w:val="20"/>
                <w:szCs w:val="20"/>
                <w:color w:val="auto"/>
              </w:rPr>
            </w:pPr>
            <w:r>
              <w:rPr>
                <w:rFonts w:ascii="Arial" w:cs="Arial" w:eastAsia="Arial" w:hAnsi="Arial"/>
                <w:sz w:val="14"/>
                <w:szCs w:val="14"/>
                <w:color w:val="auto"/>
              </w:rPr>
              <w:t>Days in cash cycle</w:t>
            </w:r>
          </w:p>
        </w:tc>
        <w:tc>
          <w:tcPr>
            <w:tcW w:w="680" w:type="dxa"/>
            <w:vAlign w:val="bottom"/>
            <w:tcBorders>
              <w:top w:val="single" w:sz="8" w:color="auto"/>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54</w:t>
            </w:r>
          </w:p>
        </w:tc>
        <w:tc>
          <w:tcPr>
            <w:tcW w:w="140" w:type="dxa"/>
            <w:vAlign w:val="bottom"/>
            <w:tcBorders>
              <w:top w:val="single" w:sz="8" w:color="CCEEFF"/>
            </w:tcBorders>
          </w:tcPr>
          <w:p>
            <w:pPr>
              <w:spacing w:after="0"/>
              <w:rPr>
                <w:sz w:val="13"/>
                <w:szCs w:val="13"/>
                <w:color w:val="auto"/>
              </w:rPr>
            </w:pPr>
          </w:p>
        </w:tc>
        <w:tc>
          <w:tcPr>
            <w:tcW w:w="720" w:type="dxa"/>
            <w:vAlign w:val="bottom"/>
            <w:tcBorders>
              <w:top w:val="single" w:sz="8" w:color="auto"/>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52</w:t>
            </w:r>
          </w:p>
        </w:tc>
        <w:tc>
          <w:tcPr>
            <w:tcW w:w="140" w:type="dxa"/>
            <w:vAlign w:val="bottom"/>
            <w:tcBorders>
              <w:top w:val="single" w:sz="8" w:color="CCEEFF"/>
            </w:tcBorders>
          </w:tcPr>
          <w:p>
            <w:pPr>
              <w:spacing w:after="0"/>
              <w:rPr>
                <w:sz w:val="13"/>
                <w:szCs w:val="13"/>
                <w:color w:val="auto"/>
              </w:rPr>
            </w:pPr>
          </w:p>
        </w:tc>
        <w:tc>
          <w:tcPr>
            <w:tcW w:w="720" w:type="dxa"/>
            <w:vAlign w:val="bottom"/>
            <w:tcBorders>
              <w:top w:val="single" w:sz="8" w:color="auto"/>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48</w:t>
            </w:r>
          </w:p>
        </w:tc>
      </w:tr>
    </w:tbl>
    <w:p>
      <w:pPr>
        <w:spacing w:after="0" w:line="159"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The increase in our days’ supply of inventory from 2016 to 2017 was due to idX as its business requires a higher investment in inventory due to the long project lead time of its customers. The increase in our days’ supply of inventory from 2017 to 2018 was primarily due to opportunistic lumber purchases in the second half of 2018.</w:t>
      </w:r>
    </w:p>
    <w:p>
      <w:pPr>
        <w:spacing w:after="0" w:line="142" w:lineRule="exact"/>
        <w:rPr>
          <w:sz w:val="20"/>
          <w:szCs w:val="20"/>
          <w:color w:val="auto"/>
        </w:rPr>
      </w:pPr>
    </w:p>
    <w:p>
      <w:pPr>
        <w:jc w:val="both"/>
        <w:spacing w:after="0" w:line="289" w:lineRule="auto"/>
        <w:rPr>
          <w:sz w:val="20"/>
          <w:szCs w:val="20"/>
          <w:color w:val="auto"/>
        </w:rPr>
      </w:pPr>
      <w:r>
        <w:rPr>
          <w:rFonts w:ascii="Arial" w:cs="Arial" w:eastAsia="Arial" w:hAnsi="Arial"/>
          <w:sz w:val="13"/>
          <w:szCs w:val="13"/>
          <w:color w:val="auto"/>
        </w:rPr>
        <w:t>Our cash flows from operating activities in 2018 was $116.7 million, which was comprised of net earnings of $152.4 million and $61.1 million of non-cash expenses, offset by a $96.8 million increase in working capital since the end of December 2017. Comparatively, cash generated from operating activities was approximately $136.6 million in 2017, which was comprised of net earnings of $124.0 million, $47.7 million of non-cash expenses, and an $35.1 million increase in working capital since the end of 2016. The increase in working capital is primarily due to planned increases in inventory.</w:t>
      </w:r>
    </w:p>
    <w:p>
      <w:pPr>
        <w:spacing w:after="0" w:line="129"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Our cash used in investing activities during 2018 was $121.2 million, which was comprised primarily of purchases of property, plant, and equipment totaling $95.9 million and business acquisitions totaling $54.0 million, offset by the sale of property, plant, and equipment totaling $38.4 million, including the sale of our Medley, FL, plant for $36 million. The increase in our capital expenditures in 2018 is primarily due to the additional requirements of our recently acquired operations and an increase in our “expansionary and efficiency” capital expenditures tied to initiatives including new products, value-added product capacity expansion, automation, and the purchase of certain real estate related to geographical expansion. Outstanding purchase commitments on existing capital projects totaled approximately $14.3 million on December 29, 2018. The sale and purchase of investments totaling $3.7 million and $13.3 million, respectively, are due to investment activity in our captive insurance subsidiary.</w:t>
      </w:r>
    </w:p>
    <w:p>
      <w:pPr>
        <w:spacing w:after="0" w:line="148"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In 2017, investments in business acquisitions and purchases of property, plant, and equipment were $60.6 million and $71.1 million, respectively. Outstanding purchase commitments on existing capital projects totaled approximately $7.7 million on December 30, 2017.</w:t>
      </w:r>
    </w:p>
    <w:p>
      <w:pPr>
        <w:spacing w:after="0" w:line="133"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Cash flows from financing activities primarily consisted of the issuance of $75 million in Senior Notes under our shelf facility (See Notes to Consolidated Financial Statements “Debt”), offset by net repayments under our revolving credit facility of approximately $16.1 million, $22.1 million in dividend payments, and $24.6 million in repurchases of our common stock. We paid semi-annual dividends in June and December at a rate of $0.18 per share. Repurchases of our common stock were at an average price of $28.62 per share. Comparatively in 2017, cash flows from financing activities primarily consisted of net borrowings under our revolving credit facility of approximately $35.6 million, offset by $19.6 million in dividend payments and almost $13 million of stock repurchases at an average price of $29.11 per share.</w:t>
      </w:r>
    </w:p>
    <w:p>
      <w:pPr>
        <w:spacing w:after="0" w:line="151"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On November 1, 2018, we entered into a five-year, $375 million unsecured revolving credit facility with a syndicate of U.S. and Canadian banks led by JPMorgan Chase Bank, N.A., as administrative agent and Wells Fargo Bank, N.A., as syndication agent. The facilities include up to $40 million which may be advanced in the form of letters of credit, and up to $100 million (U.S. dollar equivalent) which may be advanced in Canadian dollars, Australian dollars, pounds Sterling,</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66675</wp:posOffset>
            </wp:positionV>
            <wp:extent cx="5779135" cy="2032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5">
                      <a:extLst>
                        <a:ext uri="{28A0092B-C50C-407E-A947-70E740481C1C}"/>
                      </a:extLst>
                    </a:blip>
                    <a:srcRect/>
                    <a:stretch>
                      <a:fillRect/>
                    </a:stretch>
                  </pic:blipFill>
                  <pic:spPr bwMode="auto">
                    <a:xfrm>
                      <a:off x="0" y="0"/>
                      <a:ext cx="5779135" cy="20320"/>
                    </a:xfrm>
                    <a:prstGeom prst="rect">
                      <a:avLst/>
                    </a:prstGeom>
                    <a:noFill/>
                  </pic:spPr>
                </pic:pic>
              </a:graphicData>
            </a:graphic>
          </wp:anchor>
        </w:drawing>
      </w:r>
    </w:p>
    <w:p>
      <w:pPr>
        <w:sectPr>
          <w:pgSz w:w="11900" w:h="16838" w:orient="portrait"/>
          <w:cols w:equalWidth="0" w:num="1">
            <w:col w:w="9100"/>
          </w:cols>
          <w:pgMar w:left="1400" w:top="129" w:right="1399" w:bottom="1440" w:gutter="0" w:footer="0" w:header="0"/>
        </w:sectPr>
      </w:pPr>
    </w:p>
    <w:bookmarkStart w:id="61" w:name="page62"/>
    <w:bookmarkEnd w:id="61"/>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UNIVERSAL FOREST PRODUCTS,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MANAGEMENT’S DISCUSSION AND ANALYSIS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FINANCIAL CONDITION AND RESULTS OF OPERATIONS</w:t>
      </w:r>
    </w:p>
    <w:p>
      <w:pPr>
        <w:spacing w:after="0" w:line="169"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Euros and such other foreign currencies as may subsequently be agreed upon among the parties. This facility replaced our $295 million unsecured revolving credit facility.</w:t>
      </w:r>
    </w:p>
    <w:p>
      <w:pPr>
        <w:spacing w:after="0" w:line="133"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On December 29, 2018, we had $42.5 million outstanding on our $375 million revolving credit facility. The revolving credit facility also supports letters of credit totaling approximately $9.8 million on December 29, 2018. As a result, we have approximately $323 million in remaining availability on our revolver. Additionally, we have $150 million in availability under a "shelf agreement" for long term debt with a current lender. Financial covenants on the unsecured revolving credit facility and unsecured notes include minimum interest tests and a maximum leverage ratio. The agreements also restrict the amount of additional indebtedness we may incur and the amount of assets which may be sold. We were in compliance with all our covenant requirements on December 29, 2018.</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ENVIRONMENTAL CONSIDERATIONS AND REGULATIONS</w:t>
      </w:r>
    </w:p>
    <w:p>
      <w:pPr>
        <w:spacing w:after="0" w:line="183" w:lineRule="exact"/>
        <w:rPr>
          <w:sz w:val="20"/>
          <w:szCs w:val="20"/>
          <w:color w:val="auto"/>
        </w:rPr>
      </w:pPr>
    </w:p>
    <w:p>
      <w:pPr>
        <w:spacing w:after="0"/>
        <w:rPr>
          <w:sz w:val="20"/>
          <w:szCs w:val="20"/>
          <w:color w:val="auto"/>
        </w:rPr>
      </w:pPr>
      <w:r>
        <w:rPr>
          <w:rFonts w:ascii="Arial" w:cs="Arial" w:eastAsia="Arial" w:hAnsi="Arial"/>
          <w:sz w:val="14"/>
          <w:szCs w:val="14"/>
          <w:color w:val="auto"/>
        </w:rPr>
        <w:t>See Notes to Consolidated Financial Statements, Note M, “Commitments, Contingencies, and Guarantees”.</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CRITICAL ACCOUNTING POLICIES</w:t>
      </w:r>
    </w:p>
    <w:p>
      <w:pPr>
        <w:spacing w:after="0" w:line="183"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In preparing our consolidated financial statements, we follow accounting principles generally accepted in the United States. These principles require us to make certain estimates and apply judgments that affect our financial position and results of operations. We continually review our accounting policies and financial information disclosures. Following is a summary of our more significant accounting policies that require the use of estimates and judgments in preparing the financial statements.</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ACCOUNTS RECEIVABLE ALLOWANCES</w:t>
      </w:r>
    </w:p>
    <w:p>
      <w:pPr>
        <w:spacing w:after="0" w:line="183" w:lineRule="exact"/>
        <w:rPr>
          <w:sz w:val="20"/>
          <w:szCs w:val="20"/>
          <w:color w:val="auto"/>
        </w:rPr>
      </w:pPr>
    </w:p>
    <w:p>
      <w:pPr>
        <w:jc w:val="both"/>
        <w:spacing w:after="0" w:line="289" w:lineRule="auto"/>
        <w:rPr>
          <w:sz w:val="20"/>
          <w:szCs w:val="20"/>
          <w:color w:val="auto"/>
        </w:rPr>
      </w:pPr>
      <w:r>
        <w:rPr>
          <w:rFonts w:ascii="Arial" w:cs="Arial" w:eastAsia="Arial" w:hAnsi="Arial"/>
          <w:sz w:val="13"/>
          <w:szCs w:val="13"/>
          <w:color w:val="auto"/>
        </w:rPr>
        <w:t>We record provisions against gross revenues for estimated returns and cash discounts in the period when the related revenue is recorded. These estimates are based on factors that include, but are not limited to, historical discounts taken, analysis of credit memorandums activity, and customer demand. We also evaluate the allowance for uncollectible accounts receivable and discounts based on historical collection experience and specific identification of other potential problems, including the economic climate. Actual collections can differ, requiring adjustments to the allowances.</w:t>
      </w: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LONG-LIVED ASSETS AND GOODWILL</w:t>
      </w:r>
    </w:p>
    <w:p>
      <w:pPr>
        <w:spacing w:after="0" w:line="183"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We evaluate long-lived assets for indicators of impairment when events or circumstances indicate that this risk may be present. Our judgments regarding the existence of impairment are based on market conditions, operational performance and estimated future cash flows. As a result of favorable factors in each of these areas combined with substantial excess equity value over carrying value from the prior year analysis, management has determined that the carryforward method is appropriate to use with the exception of the idX reporting unit where a more in-depth analysis was completed. The discounted cash flow analysis, from prior years, uses the following assumption: a business is worth today what it can generate in future cash flows; cash received today is worth more than an equal amount of cash received in the future; and future cash flows can be reasonably estimated. The discounted cash flow analysis is based on the present value of projected cash flows and residual values.</w:t>
      </w:r>
    </w:p>
    <w:p>
      <w:pPr>
        <w:spacing w:after="0" w:line="148"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As our annual testing date of October 1, 2018, based on the carryforward method and the analysis, the fair values would exceed the carrying values for each of the Company’s reporting units.</w:t>
      </w:r>
    </w:p>
    <w:p>
      <w:pPr>
        <w:spacing w:after="0" w:line="133"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If the carrying value of a long-lived asset is considered impaired, a level two analysis will be conducted and an impairment charge is recorded to adjust the asset to its fair value. Changes in forecasted operations and changes in discount rates can materially affect these estimates. In addition, we test goodwill annually for impairment or more frequently if changes in</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66675</wp:posOffset>
            </wp:positionV>
            <wp:extent cx="5779135" cy="2032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6">
                      <a:extLst>
                        <a:ext uri="{28A0092B-C50C-407E-A947-70E740481C1C}"/>
                      </a:extLst>
                    </a:blip>
                    <a:srcRect/>
                    <a:stretch>
                      <a:fillRect/>
                    </a:stretch>
                  </pic:blipFill>
                  <pic:spPr bwMode="auto">
                    <a:xfrm>
                      <a:off x="0" y="0"/>
                      <a:ext cx="5779135" cy="20320"/>
                    </a:xfrm>
                    <a:prstGeom prst="rect">
                      <a:avLst/>
                    </a:prstGeom>
                    <a:noFill/>
                  </pic:spPr>
                </pic:pic>
              </a:graphicData>
            </a:graphic>
          </wp:anchor>
        </w:drawing>
      </w:r>
    </w:p>
    <w:p>
      <w:pPr>
        <w:sectPr>
          <w:pgSz w:w="11900" w:h="16838" w:orient="portrait"/>
          <w:cols w:equalWidth="0" w:num="1">
            <w:col w:w="9100"/>
          </w:cols>
          <w:pgMar w:left="1400" w:top="129" w:right="1399" w:bottom="1440" w:gutter="0" w:footer="0" w:header="0"/>
        </w:sectPr>
      </w:pPr>
    </w:p>
    <w:bookmarkStart w:id="62" w:name="page63"/>
    <w:bookmarkEnd w:id="62"/>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UNIVERSAL FOREST PRODUCTS,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MANAGEMENT’S DISCUSSION AND ANALYSIS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FINANCIAL CONDITION AND RESULTS OF OPERATIONS</w:t>
      </w:r>
    </w:p>
    <w:p>
      <w:pPr>
        <w:spacing w:after="0" w:line="169"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circumstances or the occurrence of other events suggest impairments exist. The test for impairment requires us to make several estimates about fair value, most of which are based on projected future cash flows and market valuation multiples. Changes in these estimates may result in the recognition of an impairment loss.</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INSURANCE RESERVES</w:t>
      </w:r>
    </w:p>
    <w:p>
      <w:pPr>
        <w:spacing w:after="0" w:line="183" w:lineRule="exact"/>
        <w:rPr>
          <w:sz w:val="20"/>
          <w:szCs w:val="20"/>
          <w:color w:val="auto"/>
        </w:rPr>
      </w:pPr>
    </w:p>
    <w:p>
      <w:pPr>
        <w:jc w:val="both"/>
        <w:spacing w:after="0" w:line="289" w:lineRule="auto"/>
        <w:rPr>
          <w:sz w:val="20"/>
          <w:szCs w:val="20"/>
          <w:color w:val="auto"/>
        </w:rPr>
      </w:pPr>
      <w:r>
        <w:rPr>
          <w:rFonts w:ascii="Arial" w:cs="Arial" w:eastAsia="Arial" w:hAnsi="Arial"/>
          <w:sz w:val="13"/>
          <w:szCs w:val="13"/>
          <w:color w:val="auto"/>
        </w:rPr>
        <w:t>We are primarily self-insured for certain employee health benefits, and have self-funded retentions for general liability, automobile liability, property and workers’ compensation. We are fully self-insured for environmental liabilities. The general liability, automobile liability, property, workers’ compensation, and certain environmental liabilities are managed through a wholly-owned insurance company, the related assets and liabilities of which are included in the consolidated financial statements as of December 29, 2018. Our accounting policies with respect to the reserves are as follows:</w:t>
      </w:r>
    </w:p>
    <w:p>
      <w:pPr>
        <w:spacing w:after="0" w:line="129" w:lineRule="exact"/>
        <w:rPr>
          <w:sz w:val="20"/>
          <w:szCs w:val="20"/>
          <w:color w:val="auto"/>
        </w:rPr>
      </w:pPr>
    </w:p>
    <w:p>
      <w:pPr>
        <w:ind w:left="520" w:hanging="261"/>
        <w:spacing w:after="0" w:line="281" w:lineRule="auto"/>
        <w:tabs>
          <w:tab w:leader="none" w:pos="520" w:val="left"/>
        </w:tabs>
        <w:numPr>
          <w:ilvl w:val="0"/>
          <w:numId w:val="38"/>
        </w:numPr>
        <w:rPr>
          <w:rFonts w:ascii="Arial" w:cs="Arial" w:eastAsia="Arial" w:hAnsi="Arial"/>
          <w:sz w:val="14"/>
          <w:szCs w:val="14"/>
          <w:color w:val="auto"/>
        </w:rPr>
      </w:pPr>
      <w:r>
        <w:rPr>
          <w:rFonts w:ascii="Arial" w:cs="Arial" w:eastAsia="Arial" w:hAnsi="Arial"/>
          <w:sz w:val="14"/>
          <w:szCs w:val="14"/>
          <w:color w:val="auto"/>
        </w:rPr>
        <w:t>General liability, automobile, and workers’ compensation reserves are accrued based on third party actuarial valuations of the expected future liabilities.</w:t>
      </w:r>
    </w:p>
    <w:p>
      <w:pPr>
        <w:spacing w:after="0" w:line="132" w:lineRule="exact"/>
        <w:rPr>
          <w:rFonts w:ascii="Arial" w:cs="Arial" w:eastAsia="Arial" w:hAnsi="Arial"/>
          <w:sz w:val="14"/>
          <w:szCs w:val="14"/>
          <w:color w:val="auto"/>
        </w:rPr>
      </w:pPr>
    </w:p>
    <w:p>
      <w:pPr>
        <w:ind w:left="520" w:right="20" w:hanging="261"/>
        <w:spacing w:after="0" w:line="281" w:lineRule="auto"/>
        <w:tabs>
          <w:tab w:leader="none" w:pos="520" w:val="left"/>
        </w:tabs>
        <w:numPr>
          <w:ilvl w:val="0"/>
          <w:numId w:val="38"/>
        </w:numPr>
        <w:rPr>
          <w:rFonts w:ascii="Arial" w:cs="Arial" w:eastAsia="Arial" w:hAnsi="Arial"/>
          <w:sz w:val="14"/>
          <w:szCs w:val="14"/>
          <w:color w:val="auto"/>
        </w:rPr>
      </w:pPr>
      <w:r>
        <w:rPr>
          <w:rFonts w:ascii="Arial" w:cs="Arial" w:eastAsia="Arial" w:hAnsi="Arial"/>
          <w:sz w:val="14"/>
          <w:szCs w:val="14"/>
          <w:color w:val="auto"/>
        </w:rPr>
        <w:t>Health benefits are self-insured up to our pre-determined stop loss limits. These reserves, including incurred but not reported claims, are based on internal computations. These computations consider our historical claims experience, independent statistics, and trends.</w:t>
      </w:r>
    </w:p>
    <w:p>
      <w:pPr>
        <w:spacing w:after="0" w:line="132" w:lineRule="exact"/>
        <w:rPr>
          <w:rFonts w:ascii="Arial" w:cs="Arial" w:eastAsia="Arial" w:hAnsi="Arial"/>
          <w:sz w:val="14"/>
          <w:szCs w:val="14"/>
          <w:color w:val="auto"/>
        </w:rPr>
      </w:pPr>
    </w:p>
    <w:p>
      <w:pPr>
        <w:jc w:val="both"/>
        <w:ind w:left="520" w:right="20" w:hanging="261"/>
        <w:spacing w:after="0" w:line="267" w:lineRule="auto"/>
        <w:tabs>
          <w:tab w:leader="none" w:pos="520" w:val="left"/>
        </w:tabs>
        <w:numPr>
          <w:ilvl w:val="0"/>
          <w:numId w:val="38"/>
        </w:numPr>
        <w:rPr>
          <w:rFonts w:ascii="Arial" w:cs="Arial" w:eastAsia="Arial" w:hAnsi="Arial"/>
          <w:sz w:val="14"/>
          <w:szCs w:val="14"/>
          <w:color w:val="auto"/>
        </w:rPr>
      </w:pPr>
      <w:r>
        <w:rPr>
          <w:rFonts w:ascii="Arial" w:cs="Arial" w:eastAsia="Arial" w:hAnsi="Arial"/>
          <w:sz w:val="14"/>
          <w:szCs w:val="14"/>
          <w:color w:val="auto"/>
        </w:rPr>
        <w:t>The environmental reserve is based on known remediation activities at certain wood preservation facilities and the potential for undetected environmental matters at other sites. The reserve for known activities is based on expected future costs and is computed by in-house experts responsible for managing our monitoring and remediation activities.</w:t>
      </w:r>
    </w:p>
    <w:p>
      <w:pPr>
        <w:spacing w:after="0" w:line="142"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In addition to providing coverage for the Company, our wholly-owned insurance company, Ardellis Insurance Ltd., provides Excess Loss Insurance (primarily medical and prescription drug) to certain third parties. As of December 29, 2018, there were 39 such contracts in place. Reserves associated with these contracts were $4.9 million at December 29, 2018 and $3.4 million at December 30, 2017, and are accrued based on third party actuarial valuations of the expected future liabilities.</w:t>
      </w:r>
    </w:p>
    <w:p>
      <w:pPr>
        <w:spacing w:after="0" w:line="147"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On April 14, 2017 the U.S. Branch of Ardellis Insurance Ltd. was granted its Certificate of Authority to transact property and casualty insurance lines as an admitted carrier in the State of Michigan.</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INCOME TAXES</w:t>
      </w:r>
    </w:p>
    <w:p>
      <w:pPr>
        <w:spacing w:after="0" w:line="183" w:lineRule="exact"/>
        <w:rPr>
          <w:sz w:val="20"/>
          <w:szCs w:val="20"/>
          <w:color w:val="auto"/>
        </w:rPr>
      </w:pPr>
    </w:p>
    <w:p>
      <w:pPr>
        <w:jc w:val="both"/>
        <w:spacing w:after="0" w:line="289" w:lineRule="auto"/>
        <w:rPr>
          <w:sz w:val="20"/>
          <w:szCs w:val="20"/>
          <w:color w:val="auto"/>
        </w:rPr>
      </w:pPr>
      <w:r>
        <w:rPr>
          <w:rFonts w:ascii="Arial" w:cs="Arial" w:eastAsia="Arial" w:hAnsi="Arial"/>
          <w:sz w:val="13"/>
          <w:szCs w:val="13"/>
          <w:color w:val="auto"/>
        </w:rPr>
        <w:t>Deferred income tax assets and liabilities are computed for differences between the financial statement and tax basis of assets and liabilities that will result in taxable or deductible amounts in the future. Such deferred income tax asset and liability computations are based on enacted tax laws and rates. Valuation allowances are established when necessary to reduce deferred income tax assets to the amounts expected to be realized. Income tax expense is the tax payable or refundable for the period plus or minus the change during the period in deferred income tax assets and liabilities.</w:t>
      </w:r>
    </w:p>
    <w:p>
      <w:pPr>
        <w:spacing w:after="0" w:line="129" w:lineRule="exact"/>
        <w:rPr>
          <w:sz w:val="20"/>
          <w:szCs w:val="20"/>
          <w:color w:val="auto"/>
        </w:rPr>
      </w:pPr>
    </w:p>
    <w:p>
      <w:pPr>
        <w:jc w:val="both"/>
        <w:spacing w:after="0" w:line="321" w:lineRule="auto"/>
        <w:rPr>
          <w:sz w:val="20"/>
          <w:szCs w:val="20"/>
          <w:color w:val="auto"/>
        </w:rPr>
      </w:pPr>
      <w:r>
        <w:rPr>
          <w:rFonts w:ascii="Arial" w:cs="Arial" w:eastAsia="Arial" w:hAnsi="Arial"/>
          <w:sz w:val="13"/>
          <w:szCs w:val="13"/>
          <w:color w:val="auto"/>
        </w:rPr>
        <w:t>Tax laws are complex and subject to different interpretations by taxpayers and respective government taxing authorities, which results in judgment in determining our tax expense and in evaluating our tax positions. Our tax positions are reviewed quarterly and adjusted as new information becomes available.</w:t>
      </w:r>
    </w:p>
    <w:p>
      <w:pPr>
        <w:spacing w:after="0" w:line="10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REVENUE RECOGNITION</w:t>
      </w:r>
    </w:p>
    <w:p>
      <w:pPr>
        <w:spacing w:after="0" w:line="183"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Revenue for product sales is recognized at the time the performance obligation is satisfied, which is primarily when the goods are delivered to the carrier, Free On Board (FOB) shipping point. Generally, title passes at the time of shipment. In</w:t>
      </w: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66675</wp:posOffset>
            </wp:positionV>
            <wp:extent cx="5779135" cy="2032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7">
                      <a:extLst>
                        <a:ext uri="{28A0092B-C50C-407E-A947-70E740481C1C}"/>
                      </a:extLst>
                    </a:blip>
                    <a:srcRect/>
                    <a:stretch>
                      <a:fillRect/>
                    </a:stretch>
                  </pic:blipFill>
                  <pic:spPr bwMode="auto">
                    <a:xfrm>
                      <a:off x="0" y="0"/>
                      <a:ext cx="5779135" cy="20320"/>
                    </a:xfrm>
                    <a:prstGeom prst="rect">
                      <a:avLst/>
                    </a:prstGeom>
                    <a:noFill/>
                  </pic:spPr>
                </pic:pic>
              </a:graphicData>
            </a:graphic>
          </wp:anchor>
        </w:drawing>
      </w:r>
    </w:p>
    <w:p>
      <w:pPr>
        <w:sectPr>
          <w:pgSz w:w="11900" w:h="16838" w:orient="portrait"/>
          <w:cols w:equalWidth="0" w:num="1">
            <w:col w:w="9100"/>
          </w:cols>
          <w:pgMar w:left="1400" w:top="129" w:right="1399" w:bottom="1440" w:gutter="0" w:footer="0" w:header="0"/>
        </w:sectPr>
      </w:pPr>
    </w:p>
    <w:bookmarkStart w:id="63" w:name="page64"/>
    <w:bookmarkEnd w:id="63"/>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UNIVERSAL FOREST PRODUCTS,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MANAGEMENT’S DISCUSSION AND ANALYSIS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FINANCIAL CONDITION AND RESULTS OF OPERATIONS</w:t>
      </w:r>
    </w:p>
    <w:p>
      <w:pPr>
        <w:spacing w:after="0" w:line="169" w:lineRule="exact"/>
        <w:rPr>
          <w:sz w:val="20"/>
          <w:szCs w:val="20"/>
          <w:color w:val="auto"/>
        </w:rPr>
      </w:pPr>
    </w:p>
    <w:p>
      <w:pPr>
        <w:spacing w:after="0"/>
        <w:rPr>
          <w:sz w:val="20"/>
          <w:szCs w:val="20"/>
          <w:color w:val="auto"/>
        </w:rPr>
      </w:pPr>
      <w:r>
        <w:rPr>
          <w:rFonts w:ascii="Arial" w:cs="Arial" w:eastAsia="Arial" w:hAnsi="Arial"/>
          <w:sz w:val="12"/>
          <w:szCs w:val="12"/>
          <w:color w:val="auto"/>
        </w:rPr>
        <w:t>certain circumstances, the customer takes title when the shipment arrives at the destination. However, our shipping process is typically completed the same day.</w:t>
      </w:r>
    </w:p>
    <w:p>
      <w:pPr>
        <w:spacing w:after="0" w:line="202" w:lineRule="exact"/>
        <w:rPr>
          <w:sz w:val="20"/>
          <w:szCs w:val="20"/>
          <w:color w:val="auto"/>
        </w:rPr>
      </w:pPr>
    </w:p>
    <w:p>
      <w:pPr>
        <w:jc w:val="both"/>
        <w:spacing w:after="0" w:line="310" w:lineRule="auto"/>
        <w:rPr>
          <w:sz w:val="20"/>
          <w:szCs w:val="20"/>
          <w:color w:val="auto"/>
        </w:rPr>
      </w:pPr>
      <w:r>
        <w:rPr>
          <w:rFonts w:ascii="Arial" w:cs="Arial" w:eastAsia="Arial" w:hAnsi="Arial"/>
          <w:sz w:val="12"/>
          <w:szCs w:val="12"/>
          <w:color w:val="auto"/>
        </w:rPr>
        <w:t>Performance on construction contracts is reflected in operations using percentage-of-completion accounting, under either the cost to cost or units of delivery methods, depending on the nature of the business at individual operations. Under percentage-of-completion using the cost to cost method, revenues and related earnings on construction contracts are measured by the relationships of actual costs incurred related to the total estimated costs. Under percentage-of-completion using the units of delivery method, revenues and related earnings on construction contracts are measured by the relationships of actual units produced related to the total number of units per the contract. Revisions in earnings estimates on the construction contracts are recorded in the accounting period in which the basis for such revisions becomes known. Projected losses on individual contracts are charged to operations in their entirety when such losses become apparent.</w:t>
      </w:r>
    </w:p>
    <w:p>
      <w:pPr>
        <w:spacing w:after="0" w:line="120"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Our construction contracts are generally entered into with a fixed price and completion of the projects can range from 6 to 18 months in duration. Therefore, our operating results are impacted by, among many other things, labor rates and commodity costs. During the year, we update our estimated costs to complete our projects using current labor and commodity costs and recognize losses to the extent that they exist.</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FORWARD OUTLOOK</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GOALS</w:t>
      </w:r>
    </w:p>
    <w:p>
      <w:pPr>
        <w:spacing w:after="0" w:line="183" w:lineRule="exact"/>
        <w:rPr>
          <w:sz w:val="20"/>
          <w:szCs w:val="20"/>
          <w:color w:val="auto"/>
        </w:rPr>
      </w:pPr>
    </w:p>
    <w:p>
      <w:pPr>
        <w:spacing w:after="0"/>
        <w:rPr>
          <w:sz w:val="20"/>
          <w:szCs w:val="20"/>
          <w:color w:val="auto"/>
        </w:rPr>
      </w:pPr>
      <w:r>
        <w:rPr>
          <w:rFonts w:ascii="Arial" w:cs="Arial" w:eastAsia="Arial" w:hAnsi="Arial"/>
          <w:sz w:val="14"/>
          <w:szCs w:val="14"/>
          <w:color w:val="auto"/>
        </w:rPr>
        <w:t>The Company’s goal is to achieve long-term sales growth that exceeds positive U.S. GDP growth by 4 percent to 6 percent.</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color w:val="auto"/>
        </w:rPr>
        <w:t>Our general long-term objectives also include:</w:t>
      </w:r>
    </w:p>
    <w:p>
      <w:pPr>
        <w:spacing w:after="0" w:line="179" w:lineRule="exact"/>
        <w:rPr>
          <w:sz w:val="20"/>
          <w:szCs w:val="20"/>
          <w:color w:val="auto"/>
        </w:rPr>
      </w:pPr>
    </w:p>
    <w:p>
      <w:pPr>
        <w:ind w:left="520" w:right="20" w:hanging="261"/>
        <w:spacing w:after="0" w:line="281" w:lineRule="auto"/>
        <w:tabs>
          <w:tab w:leader="none" w:pos="520" w:val="left"/>
        </w:tabs>
        <w:numPr>
          <w:ilvl w:val="0"/>
          <w:numId w:val="39"/>
        </w:numPr>
        <w:rPr>
          <w:rFonts w:ascii="Arial" w:cs="Arial" w:eastAsia="Arial" w:hAnsi="Arial"/>
          <w:sz w:val="14"/>
          <w:szCs w:val="14"/>
          <w:color w:val="auto"/>
        </w:rPr>
      </w:pPr>
      <w:r>
        <w:rPr>
          <w:rFonts w:ascii="Arial" w:cs="Arial" w:eastAsia="Arial" w:hAnsi="Arial"/>
          <w:sz w:val="14"/>
          <w:szCs w:val="14"/>
          <w:color w:val="auto"/>
        </w:rPr>
        <w:t>Achieving sales growth primarily through new product introduction, international business expansion, and gaining additional market share, particularly in our core retail, industrial and commercial construction markets;</w:t>
      </w:r>
    </w:p>
    <w:p>
      <w:pPr>
        <w:spacing w:after="0" w:line="132" w:lineRule="exact"/>
        <w:rPr>
          <w:rFonts w:ascii="Arial" w:cs="Arial" w:eastAsia="Arial" w:hAnsi="Arial"/>
          <w:sz w:val="14"/>
          <w:szCs w:val="14"/>
          <w:color w:val="auto"/>
        </w:rPr>
      </w:pPr>
    </w:p>
    <w:p>
      <w:pPr>
        <w:ind w:left="520" w:hanging="261"/>
        <w:spacing w:after="0"/>
        <w:tabs>
          <w:tab w:leader="none" w:pos="520" w:val="left"/>
        </w:tabs>
        <w:numPr>
          <w:ilvl w:val="0"/>
          <w:numId w:val="39"/>
        </w:numPr>
        <w:rPr>
          <w:rFonts w:ascii="Arial" w:cs="Arial" w:eastAsia="Arial" w:hAnsi="Arial"/>
          <w:sz w:val="13"/>
          <w:szCs w:val="13"/>
          <w:color w:val="auto"/>
        </w:rPr>
      </w:pPr>
      <w:r>
        <w:rPr>
          <w:rFonts w:ascii="Arial" w:cs="Arial" w:eastAsia="Arial" w:hAnsi="Arial"/>
          <w:sz w:val="13"/>
          <w:szCs w:val="13"/>
          <w:color w:val="auto"/>
        </w:rPr>
        <w:t>Identifying new growth opportunities in businesses with adjacencies to our core businesses, primarily through strategic business acquisitions;</w:t>
      </w:r>
    </w:p>
    <w:p>
      <w:pPr>
        <w:spacing w:after="0" w:line="190" w:lineRule="exact"/>
        <w:rPr>
          <w:rFonts w:ascii="Arial" w:cs="Arial" w:eastAsia="Arial" w:hAnsi="Arial"/>
          <w:sz w:val="13"/>
          <w:szCs w:val="13"/>
          <w:color w:val="auto"/>
        </w:rPr>
      </w:pPr>
    </w:p>
    <w:p>
      <w:pPr>
        <w:ind w:left="520" w:hanging="261"/>
        <w:spacing w:after="0" w:line="281" w:lineRule="auto"/>
        <w:tabs>
          <w:tab w:leader="none" w:pos="520" w:val="left"/>
        </w:tabs>
        <w:numPr>
          <w:ilvl w:val="0"/>
          <w:numId w:val="39"/>
        </w:numPr>
        <w:rPr>
          <w:rFonts w:ascii="Arial" w:cs="Arial" w:eastAsia="Arial" w:hAnsi="Arial"/>
          <w:sz w:val="14"/>
          <w:szCs w:val="14"/>
          <w:color w:val="auto"/>
        </w:rPr>
      </w:pPr>
      <w:r>
        <w:rPr>
          <w:rFonts w:ascii="Arial" w:cs="Arial" w:eastAsia="Arial" w:hAnsi="Arial"/>
          <w:sz w:val="14"/>
          <w:szCs w:val="14"/>
          <w:color w:val="auto"/>
        </w:rPr>
        <w:t>Increasing our profitability through cost reductions, productivity improvements as volume improves, and a more favorable mix of value-added products; and</w:t>
      </w:r>
    </w:p>
    <w:p>
      <w:pPr>
        <w:spacing w:after="0" w:line="132" w:lineRule="exact"/>
        <w:rPr>
          <w:rFonts w:ascii="Arial" w:cs="Arial" w:eastAsia="Arial" w:hAnsi="Arial"/>
          <w:sz w:val="14"/>
          <w:szCs w:val="14"/>
          <w:color w:val="auto"/>
        </w:rPr>
      </w:pPr>
    </w:p>
    <w:p>
      <w:pPr>
        <w:ind w:left="520" w:hanging="261"/>
        <w:spacing w:after="0"/>
        <w:tabs>
          <w:tab w:leader="none" w:pos="520" w:val="left"/>
        </w:tabs>
        <w:numPr>
          <w:ilvl w:val="0"/>
          <w:numId w:val="39"/>
        </w:numPr>
        <w:rPr>
          <w:rFonts w:ascii="Arial" w:cs="Arial" w:eastAsia="Arial" w:hAnsi="Arial"/>
          <w:sz w:val="14"/>
          <w:szCs w:val="14"/>
          <w:color w:val="auto"/>
        </w:rPr>
      </w:pPr>
      <w:r>
        <w:rPr>
          <w:rFonts w:ascii="Arial" w:cs="Arial" w:eastAsia="Arial" w:hAnsi="Arial"/>
          <w:sz w:val="14"/>
          <w:szCs w:val="14"/>
          <w:color w:val="auto"/>
        </w:rPr>
        <w:t>Earning a return on invested capital in excess of our weighted average cost of capital.</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RETAIL MARKET</w:t>
      </w:r>
    </w:p>
    <w:p>
      <w:pPr>
        <w:spacing w:after="0" w:line="183" w:lineRule="exact"/>
        <w:rPr>
          <w:sz w:val="20"/>
          <w:szCs w:val="20"/>
          <w:color w:val="auto"/>
        </w:rPr>
      </w:pPr>
    </w:p>
    <w:p>
      <w:pPr>
        <w:spacing w:after="0" w:line="281" w:lineRule="auto"/>
        <w:rPr>
          <w:sz w:val="20"/>
          <w:szCs w:val="20"/>
          <w:color w:val="auto"/>
        </w:rPr>
      </w:pPr>
      <w:r>
        <w:rPr>
          <w:rFonts w:ascii="Arial" w:cs="Arial" w:eastAsia="Arial" w:hAnsi="Arial"/>
          <w:sz w:val="14"/>
          <w:szCs w:val="14"/>
          <w:color w:val="auto"/>
        </w:rPr>
        <w:t>The Home Improvement Research Institute (“HIRI”) anticipates growth in home improvement spending and has forecasted a 3.5% compounded annual growth rate through 2022.</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color w:val="auto"/>
        </w:rPr>
        <w:t>We continue to compete for market share for certain retail customers and face intense pricing pressure from other suppliers to this market.</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color w:val="auto"/>
        </w:rPr>
        <w:t>Our long-term goal is to achieve sales growth by:</w:t>
      </w:r>
    </w:p>
    <w:p>
      <w:pPr>
        <w:spacing w:after="0" w:line="179" w:lineRule="exact"/>
        <w:rPr>
          <w:sz w:val="20"/>
          <w:szCs w:val="20"/>
          <w:color w:val="auto"/>
        </w:rPr>
      </w:pPr>
    </w:p>
    <w:p>
      <w:pPr>
        <w:ind w:left="520" w:hanging="261"/>
        <w:spacing w:after="0"/>
        <w:tabs>
          <w:tab w:leader="none" w:pos="520" w:val="left"/>
        </w:tabs>
        <w:numPr>
          <w:ilvl w:val="0"/>
          <w:numId w:val="40"/>
        </w:numPr>
        <w:rPr>
          <w:rFonts w:ascii="Arial" w:cs="Arial" w:eastAsia="Arial" w:hAnsi="Arial"/>
          <w:sz w:val="14"/>
          <w:szCs w:val="14"/>
          <w:color w:val="auto"/>
        </w:rPr>
      </w:pPr>
      <w:r>
        <w:rPr>
          <w:rFonts w:ascii="Arial" w:cs="Arial" w:eastAsia="Arial" w:hAnsi="Arial"/>
          <w:sz w:val="14"/>
          <w:szCs w:val="14"/>
          <w:color w:val="auto"/>
        </w:rPr>
        <w:t>Increasing our market share of value-added products, including our Deckorators product line.</w:t>
      </w:r>
    </w:p>
    <w:p>
      <w:pPr>
        <w:spacing w:after="0" w:line="200" w:lineRule="exact"/>
        <w:rPr>
          <w:rFonts w:ascii="Arial" w:cs="Arial" w:eastAsia="Arial" w:hAnsi="Arial"/>
          <w:sz w:val="14"/>
          <w:szCs w:val="14"/>
          <w:color w:val="auto"/>
        </w:rPr>
      </w:pPr>
    </w:p>
    <w:p>
      <w:pPr>
        <w:spacing w:after="0" w:line="318" w:lineRule="exact"/>
        <w:rPr>
          <w:rFonts w:ascii="Arial" w:cs="Arial" w:eastAsia="Arial" w:hAnsi="Arial"/>
          <w:sz w:val="14"/>
          <w:szCs w:val="14"/>
          <w:color w:val="auto"/>
        </w:rPr>
      </w:pPr>
    </w:p>
    <w:p>
      <w:pPr>
        <w:ind w:left="4480"/>
        <w:spacing w:after="0"/>
        <w:rPr>
          <w:rFonts w:ascii="Arial" w:cs="Arial" w:eastAsia="Arial" w:hAnsi="Arial"/>
          <w:sz w:val="14"/>
          <w:szCs w:val="14"/>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66675</wp:posOffset>
            </wp:positionV>
            <wp:extent cx="5779135" cy="2032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8">
                      <a:extLst>
                        <a:ext uri="{28A0092B-C50C-407E-A947-70E740481C1C}"/>
                      </a:extLst>
                    </a:blip>
                    <a:srcRect/>
                    <a:stretch>
                      <a:fillRect/>
                    </a:stretch>
                  </pic:blipFill>
                  <pic:spPr bwMode="auto">
                    <a:xfrm>
                      <a:off x="0" y="0"/>
                      <a:ext cx="5779135" cy="20320"/>
                    </a:xfrm>
                    <a:prstGeom prst="rect">
                      <a:avLst/>
                    </a:prstGeom>
                    <a:noFill/>
                  </pic:spPr>
                </pic:pic>
              </a:graphicData>
            </a:graphic>
          </wp:anchor>
        </w:drawing>
      </w:r>
    </w:p>
    <w:p>
      <w:pPr>
        <w:sectPr>
          <w:pgSz w:w="11900" w:h="16838" w:orient="portrait"/>
          <w:cols w:equalWidth="0" w:num="1">
            <w:col w:w="9100"/>
          </w:cols>
          <w:pgMar w:left="1400" w:top="129" w:right="1399" w:bottom="1440" w:gutter="0" w:footer="0" w:header="0"/>
        </w:sectPr>
      </w:pPr>
    </w:p>
    <w:bookmarkStart w:id="64" w:name="page65"/>
    <w:bookmarkEnd w:id="64"/>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UNIVERSAL FOREST PRODUCTS,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MANAGEMENT’S DISCUSSION AND ANALYSIS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FINANCIAL CONDITION AND RESULTS OF OPERATIONS</w:t>
      </w:r>
    </w:p>
    <w:p>
      <w:pPr>
        <w:spacing w:after="0" w:line="169" w:lineRule="exact"/>
        <w:rPr>
          <w:sz w:val="20"/>
          <w:szCs w:val="20"/>
          <w:color w:val="auto"/>
        </w:rPr>
      </w:pPr>
    </w:p>
    <w:p>
      <w:pPr>
        <w:ind w:left="520" w:hanging="261"/>
        <w:spacing w:after="0"/>
        <w:tabs>
          <w:tab w:leader="none" w:pos="5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Developing new, value-added products, such as our Eovations product line.</w:t>
      </w:r>
    </w:p>
    <w:p>
      <w:pPr>
        <w:spacing w:after="0" w:line="178" w:lineRule="exact"/>
        <w:rPr>
          <w:rFonts w:ascii="Arial" w:cs="Arial" w:eastAsia="Arial" w:hAnsi="Arial"/>
          <w:sz w:val="14"/>
          <w:szCs w:val="14"/>
          <w:color w:val="auto"/>
        </w:rPr>
      </w:pPr>
    </w:p>
    <w:p>
      <w:pPr>
        <w:ind w:left="520" w:hanging="261"/>
        <w:spacing w:after="0"/>
        <w:tabs>
          <w:tab w:leader="none" w:pos="5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Adding new products and customers through strategic business acquisitions or alliances.</w:t>
      </w:r>
    </w:p>
    <w:p>
      <w:pPr>
        <w:spacing w:after="0" w:line="178" w:lineRule="exact"/>
        <w:rPr>
          <w:rFonts w:ascii="Arial" w:cs="Arial" w:eastAsia="Arial" w:hAnsi="Arial"/>
          <w:sz w:val="14"/>
          <w:szCs w:val="14"/>
          <w:color w:val="auto"/>
        </w:rPr>
      </w:pPr>
    </w:p>
    <w:p>
      <w:pPr>
        <w:ind w:left="520" w:hanging="261"/>
        <w:spacing w:after="0"/>
        <w:tabs>
          <w:tab w:leader="none" w:pos="5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Increasing our emphasis on product innovation and product differentiation in order to counter commoditization trends and influences.</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INDUSTRIAL MARKET</w:t>
      </w:r>
    </w:p>
    <w:p>
      <w:pPr>
        <w:spacing w:after="0" w:line="183" w:lineRule="exact"/>
        <w:rPr>
          <w:sz w:val="20"/>
          <w:szCs w:val="20"/>
          <w:color w:val="auto"/>
        </w:rPr>
      </w:pPr>
    </w:p>
    <w:p>
      <w:pPr>
        <w:jc w:val="both"/>
        <w:spacing w:after="0" w:line="282" w:lineRule="auto"/>
        <w:rPr>
          <w:sz w:val="20"/>
          <w:szCs w:val="20"/>
          <w:color w:val="auto"/>
        </w:rPr>
      </w:pPr>
      <w:r>
        <w:rPr>
          <w:rFonts w:ascii="Arial" w:cs="Arial" w:eastAsia="Arial" w:hAnsi="Arial"/>
          <w:sz w:val="13"/>
          <w:szCs w:val="13"/>
          <w:color w:val="auto"/>
        </w:rPr>
        <w:t>Our goal is to increase our sales of wood, wood alternative, and other packaging products to a wide variety of industrial and OEM users. We believe the vast amount of hardwood and softwood lumber consumed for industrial applications, combined with the highly fragmented nature of this market, provides us with growth opportunities as a result of our competitive advantages in manufacturing, purchasing, and material utilization. In addition, purchasers of packaging products increasingly desire to reduce the number of suppliers they buy from, which provides an opportunity to gain market share due to our geographic footprint. We plan to continue to obtain market share by expanding our manufacturing capacity capabilities and product offerings and increasing the size of our dedicated industrial design and sales personnel. We also plan to pursue strategic acquisition opportunities.</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CONSTRUCTION MARKET</w:t>
      </w:r>
    </w:p>
    <w:p>
      <w:pPr>
        <w:spacing w:after="0" w:line="183"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 xml:space="preserve">The </w:t>
      </w:r>
      <w:r>
        <w:rPr>
          <w:rFonts w:ascii="Arial" w:cs="Arial" w:eastAsia="Arial" w:hAnsi="Arial"/>
          <w:sz w:val="14"/>
          <w:szCs w:val="14"/>
          <w:i w:val="1"/>
          <w:iCs w:val="1"/>
          <w:color w:val="auto"/>
        </w:rPr>
        <w:t>National Association of Home Builders</w:t>
      </w:r>
      <w:r>
        <w:rPr>
          <w:rFonts w:ascii="Arial" w:cs="Arial" w:eastAsia="Arial" w:hAnsi="Arial"/>
          <w:sz w:val="14"/>
          <w:szCs w:val="14"/>
          <w:color w:val="auto"/>
        </w:rPr>
        <w:t xml:space="preserve"> forecasts a 14% increase in manufactured home shipments in 2019 followed by an 8% increase in 2020. We currently supply approximately 40% of the trusses used in manufactured housing and we will strive to maintain our market share of trusses produced for this market.</w:t>
      </w:r>
    </w:p>
    <w:p>
      <w:pPr>
        <w:spacing w:after="0" w:line="142"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 xml:space="preserve">The </w:t>
      </w:r>
      <w:r>
        <w:rPr>
          <w:rFonts w:ascii="Arial" w:cs="Arial" w:eastAsia="Arial" w:hAnsi="Arial"/>
          <w:sz w:val="14"/>
          <w:szCs w:val="14"/>
          <w:i w:val="1"/>
          <w:iCs w:val="1"/>
          <w:color w:val="auto"/>
        </w:rPr>
        <w:t>Mortgage Bankers Association of America</w:t>
      </w:r>
      <w:r>
        <w:rPr>
          <w:rFonts w:ascii="Arial" w:cs="Arial" w:eastAsia="Arial" w:hAnsi="Arial"/>
          <w:sz w:val="14"/>
          <w:szCs w:val="14"/>
          <w:color w:val="auto"/>
        </w:rPr>
        <w:t xml:space="preserve"> forecasts a 2% increase in national housing starts to an estimated 1.3 million starts in 2019. The </w:t>
      </w:r>
      <w:r>
        <w:rPr>
          <w:rFonts w:ascii="Arial" w:cs="Arial" w:eastAsia="Arial" w:hAnsi="Arial"/>
          <w:sz w:val="14"/>
          <w:szCs w:val="14"/>
          <w:i w:val="1"/>
          <w:iCs w:val="1"/>
          <w:color w:val="auto"/>
        </w:rPr>
        <w:t>National</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Association of Home Builders </w:t>
      </w:r>
      <w:r>
        <w:rPr>
          <w:rFonts w:ascii="Arial" w:cs="Arial" w:eastAsia="Arial" w:hAnsi="Arial"/>
          <w:sz w:val="14"/>
          <w:szCs w:val="14"/>
          <w:color w:val="auto"/>
        </w:rPr>
        <w:t>forecasts starts of 1.3 million, a 1% increase from 2018. We believe we are well-positioned to capture our share of any increase</w:t>
      </w:r>
      <w:r>
        <w:rPr>
          <w:rFonts w:ascii="Arial" w:cs="Arial" w:eastAsia="Arial" w:hAnsi="Arial"/>
          <w:sz w:val="14"/>
          <w:szCs w:val="14"/>
          <w:i w:val="1"/>
          <w:iCs w:val="1"/>
          <w:color w:val="auto"/>
        </w:rPr>
        <w:t xml:space="preserve"> </w:t>
      </w:r>
      <w:r>
        <w:rPr>
          <w:rFonts w:ascii="Arial" w:cs="Arial" w:eastAsia="Arial" w:hAnsi="Arial"/>
          <w:sz w:val="14"/>
          <w:szCs w:val="14"/>
          <w:color w:val="auto"/>
        </w:rPr>
        <w:t>that may occur in housing starts in the regions we operate. However, due to our conservative approach to adding capacity to serve this market and focus on managing potential channel conflicts with certain customers, our growth may trail the market in future years.</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GROSS PROFIT</w:t>
      </w:r>
    </w:p>
    <w:p>
      <w:pPr>
        <w:spacing w:after="0" w:line="183" w:lineRule="exact"/>
        <w:rPr>
          <w:sz w:val="20"/>
          <w:szCs w:val="20"/>
          <w:color w:val="auto"/>
        </w:rPr>
      </w:pPr>
    </w:p>
    <w:p>
      <w:pPr>
        <w:spacing w:after="0"/>
        <w:rPr>
          <w:sz w:val="20"/>
          <w:szCs w:val="20"/>
          <w:color w:val="auto"/>
        </w:rPr>
      </w:pPr>
      <w:r>
        <w:rPr>
          <w:rFonts w:ascii="Arial" w:cs="Arial" w:eastAsia="Arial" w:hAnsi="Arial"/>
          <w:sz w:val="14"/>
          <w:szCs w:val="14"/>
          <w:color w:val="auto"/>
        </w:rPr>
        <w:t>We believe the following factors may impact our gross profits and margins in the future:</w:t>
      </w:r>
    </w:p>
    <w:p>
      <w:pPr>
        <w:spacing w:after="0" w:line="179" w:lineRule="exact"/>
        <w:rPr>
          <w:sz w:val="20"/>
          <w:szCs w:val="20"/>
          <w:color w:val="auto"/>
        </w:rPr>
      </w:pPr>
    </w:p>
    <w:p>
      <w:pPr>
        <w:ind w:left="520" w:hanging="261"/>
        <w:spacing w:after="0"/>
        <w:tabs>
          <w:tab w:leader="none" w:pos="5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End market demand and our ability to grow and leverage fixed costs.</w:t>
      </w:r>
    </w:p>
    <w:p>
      <w:pPr>
        <w:spacing w:after="0" w:line="178" w:lineRule="exact"/>
        <w:rPr>
          <w:rFonts w:ascii="Arial" w:cs="Arial" w:eastAsia="Arial" w:hAnsi="Arial"/>
          <w:sz w:val="14"/>
          <w:szCs w:val="14"/>
          <w:color w:val="auto"/>
        </w:rPr>
      </w:pPr>
    </w:p>
    <w:p>
      <w:pPr>
        <w:jc w:val="both"/>
        <w:ind w:left="520" w:hanging="261"/>
        <w:spacing w:after="0" w:line="262" w:lineRule="auto"/>
        <w:tabs>
          <w:tab w:leader="none" w:pos="5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Our ability to maintain market share and gross margins on products sold to our largest customers. We believe our level of service, geographic diversity, and quality of products provides an added value to our customers. However, if our customers are unwilling to pay for these advantages, our sales and gross margins may be reduced. Excess capacity exists for suppliers in certain of our markets. As a result, we may experience pricing pressure in the future.</w:t>
      </w:r>
    </w:p>
    <w:p>
      <w:pPr>
        <w:spacing w:after="0" w:line="146" w:lineRule="exact"/>
        <w:rPr>
          <w:rFonts w:ascii="Arial" w:cs="Arial" w:eastAsia="Arial" w:hAnsi="Arial"/>
          <w:sz w:val="14"/>
          <w:szCs w:val="14"/>
          <w:color w:val="auto"/>
        </w:rPr>
      </w:pPr>
    </w:p>
    <w:p>
      <w:pPr>
        <w:ind w:left="520" w:hanging="261"/>
        <w:spacing w:after="0"/>
        <w:tabs>
          <w:tab w:leader="none" w:pos="5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Sales mix of value-added and commodity products.</w:t>
      </w:r>
    </w:p>
    <w:p>
      <w:pPr>
        <w:spacing w:after="0" w:line="178" w:lineRule="exact"/>
        <w:rPr>
          <w:rFonts w:ascii="Arial" w:cs="Arial" w:eastAsia="Arial" w:hAnsi="Arial"/>
          <w:sz w:val="14"/>
          <w:szCs w:val="14"/>
          <w:color w:val="auto"/>
        </w:rPr>
      </w:pPr>
    </w:p>
    <w:p>
      <w:pPr>
        <w:ind w:left="520" w:right="20" w:hanging="261"/>
        <w:spacing w:after="0" w:line="281" w:lineRule="auto"/>
        <w:tabs>
          <w:tab w:leader="none" w:pos="5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Fluctuations in the relative level of the Lumber Market and the trend in the market place of lumber. (See "Impact of the Lumber Market on our Operating Results.")</w:t>
      </w:r>
    </w:p>
    <w:p>
      <w:pPr>
        <w:spacing w:after="0" w:line="132" w:lineRule="exact"/>
        <w:rPr>
          <w:rFonts w:ascii="Arial" w:cs="Arial" w:eastAsia="Arial" w:hAnsi="Arial"/>
          <w:sz w:val="14"/>
          <w:szCs w:val="14"/>
          <w:color w:val="auto"/>
        </w:rPr>
      </w:pPr>
    </w:p>
    <w:p>
      <w:pPr>
        <w:ind w:left="520" w:hanging="261"/>
        <w:spacing w:after="0"/>
        <w:tabs>
          <w:tab w:leader="none" w:pos="5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Fuel and transportation costs.</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66675</wp:posOffset>
            </wp:positionV>
            <wp:extent cx="5779135" cy="2032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9">
                      <a:extLst>
                        <a:ext uri="{28A0092B-C50C-407E-A947-70E740481C1C}"/>
                      </a:extLst>
                    </a:blip>
                    <a:srcRect/>
                    <a:stretch>
                      <a:fillRect/>
                    </a:stretch>
                  </pic:blipFill>
                  <pic:spPr bwMode="auto">
                    <a:xfrm>
                      <a:off x="0" y="0"/>
                      <a:ext cx="5779135" cy="20320"/>
                    </a:xfrm>
                    <a:prstGeom prst="rect">
                      <a:avLst/>
                    </a:prstGeom>
                    <a:noFill/>
                  </pic:spPr>
                </pic:pic>
              </a:graphicData>
            </a:graphic>
          </wp:anchor>
        </w:drawing>
      </w:r>
    </w:p>
    <w:p>
      <w:pPr>
        <w:sectPr>
          <w:pgSz w:w="11900" w:h="16838" w:orient="portrait"/>
          <w:cols w:equalWidth="0" w:num="1">
            <w:col w:w="9100"/>
          </w:cols>
          <w:pgMar w:left="1400" w:top="129" w:right="1399" w:bottom="1440" w:gutter="0" w:footer="0" w:header="0"/>
        </w:sectPr>
      </w:pPr>
    </w:p>
    <w:bookmarkStart w:id="65" w:name="page66"/>
    <w:bookmarkEnd w:id="65"/>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UNIVERSAL FOREST PRODUCTS,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MANAGEMENT’S DISCUSSION AND ANALYSIS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FINANCIAL CONDITION AND RESULTS OF OPERATIONS</w:t>
      </w:r>
    </w:p>
    <w:p>
      <w:pPr>
        <w:spacing w:after="0" w:line="169" w:lineRule="exact"/>
        <w:rPr>
          <w:sz w:val="20"/>
          <w:szCs w:val="20"/>
          <w:color w:val="auto"/>
        </w:rPr>
      </w:pPr>
    </w:p>
    <w:p>
      <w:pPr>
        <w:ind w:left="520" w:hanging="261"/>
        <w:spacing w:after="0"/>
        <w:tabs>
          <w:tab w:leader="none" w:pos="520" w:val="left"/>
        </w:tabs>
        <w:numPr>
          <w:ilvl w:val="0"/>
          <w:numId w:val="43"/>
        </w:numPr>
        <w:rPr>
          <w:rFonts w:ascii="Arial" w:cs="Arial" w:eastAsia="Arial" w:hAnsi="Arial"/>
          <w:sz w:val="14"/>
          <w:szCs w:val="14"/>
          <w:color w:val="auto"/>
        </w:rPr>
      </w:pPr>
      <w:r>
        <w:rPr>
          <w:rFonts w:ascii="Arial" w:cs="Arial" w:eastAsia="Arial" w:hAnsi="Arial"/>
          <w:sz w:val="14"/>
          <w:szCs w:val="14"/>
          <w:color w:val="auto"/>
        </w:rPr>
        <w:t>Rising labor and benefit costs.</w:t>
      </w:r>
    </w:p>
    <w:p>
      <w:pPr>
        <w:spacing w:after="0" w:line="178" w:lineRule="exact"/>
        <w:rPr>
          <w:rFonts w:ascii="Arial" w:cs="Arial" w:eastAsia="Arial" w:hAnsi="Arial"/>
          <w:sz w:val="14"/>
          <w:szCs w:val="14"/>
          <w:color w:val="auto"/>
        </w:rPr>
      </w:pPr>
    </w:p>
    <w:p>
      <w:pPr>
        <w:ind w:left="520" w:right="20" w:hanging="261"/>
        <w:spacing w:after="0" w:line="281" w:lineRule="auto"/>
        <w:tabs>
          <w:tab w:leader="none" w:pos="520" w:val="left"/>
        </w:tabs>
        <w:numPr>
          <w:ilvl w:val="0"/>
          <w:numId w:val="43"/>
        </w:numPr>
        <w:rPr>
          <w:rFonts w:ascii="Arial" w:cs="Arial" w:eastAsia="Arial" w:hAnsi="Arial"/>
          <w:sz w:val="14"/>
          <w:szCs w:val="14"/>
          <w:color w:val="auto"/>
        </w:rPr>
      </w:pPr>
      <w:r>
        <w:rPr>
          <w:rFonts w:ascii="Arial" w:cs="Arial" w:eastAsia="Arial" w:hAnsi="Arial"/>
          <w:sz w:val="14"/>
          <w:szCs w:val="14"/>
          <w:color w:val="auto"/>
        </w:rPr>
        <w:t>Our ability to continue to achieve productivity improvements as our unit sales increase and planned cost reductions through our continuous improvement, automation, and other initiatives.</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SELLING, GENERAL, AND ADMINISTRATIVE EXPENSES</w:t>
      </w:r>
    </w:p>
    <w:p>
      <w:pPr>
        <w:spacing w:after="0" w:line="183" w:lineRule="exact"/>
        <w:rPr>
          <w:sz w:val="20"/>
          <w:szCs w:val="20"/>
          <w:color w:val="auto"/>
        </w:rPr>
      </w:pPr>
    </w:p>
    <w:p>
      <w:pPr>
        <w:jc w:val="both"/>
        <w:spacing w:after="0" w:line="285" w:lineRule="auto"/>
        <w:rPr>
          <w:sz w:val="20"/>
          <w:szCs w:val="20"/>
          <w:color w:val="auto"/>
        </w:rPr>
      </w:pPr>
      <w:r>
        <w:rPr>
          <w:rFonts w:ascii="Arial" w:cs="Arial" w:eastAsia="Arial" w:hAnsi="Arial"/>
          <w:sz w:val="13"/>
          <w:szCs w:val="13"/>
          <w:color w:val="auto"/>
        </w:rPr>
        <w:t>In recent years, selling, general and administrative (SG&amp;A) expenses have increased as we have added personnel needed to take advantage of growth opportunities and execute our initiatives designed to increase our sales of new products and improve our sales mix of value-added products. We anticipate our trend of increases in these costs will continue in 2019; however, our objective is to reduce these costs on a per unit basis and as a percentage of gross profits as we grow as a result of fixed costs and through the improved productivity of our people. In addition, bonus and other incentive expenses for all salaried and sales employees is based on our profitability and the effective management of our assets and will continue to fluctuate based on our results.</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color w:val="auto"/>
        </w:rPr>
        <w:t>On a long-term basis, we expect that our SG&amp;A expenses will primarily be impacted by:</w:t>
      </w:r>
    </w:p>
    <w:p>
      <w:pPr>
        <w:spacing w:after="0" w:line="179" w:lineRule="exact"/>
        <w:rPr>
          <w:sz w:val="20"/>
          <w:szCs w:val="20"/>
          <w:color w:val="auto"/>
        </w:rPr>
      </w:pPr>
    </w:p>
    <w:p>
      <w:pPr>
        <w:ind w:left="520" w:hanging="261"/>
        <w:spacing w:after="0" w:line="281" w:lineRule="auto"/>
        <w:tabs>
          <w:tab w:leader="none" w:pos="520" w:val="left"/>
        </w:tabs>
        <w:numPr>
          <w:ilvl w:val="0"/>
          <w:numId w:val="44"/>
        </w:numPr>
        <w:rPr>
          <w:rFonts w:ascii="Arial" w:cs="Arial" w:eastAsia="Arial" w:hAnsi="Arial"/>
          <w:sz w:val="14"/>
          <w:szCs w:val="14"/>
          <w:color w:val="auto"/>
        </w:rPr>
      </w:pPr>
      <w:r>
        <w:rPr>
          <w:rFonts w:ascii="Arial" w:cs="Arial" w:eastAsia="Arial" w:hAnsi="Arial"/>
          <w:sz w:val="14"/>
          <w:szCs w:val="14"/>
          <w:color w:val="auto"/>
        </w:rPr>
        <w:t>Our growth in sales to the industrial market and the construction market. Our sales to these markets require a higher ratio of SG&amp;A costs due, in part, to product design and engineering requirements.</w:t>
      </w:r>
    </w:p>
    <w:p>
      <w:pPr>
        <w:spacing w:after="0" w:line="132" w:lineRule="exact"/>
        <w:rPr>
          <w:rFonts w:ascii="Arial" w:cs="Arial" w:eastAsia="Arial" w:hAnsi="Arial"/>
          <w:sz w:val="14"/>
          <w:szCs w:val="14"/>
          <w:color w:val="auto"/>
        </w:rPr>
      </w:pPr>
    </w:p>
    <w:p>
      <w:pPr>
        <w:ind w:left="520" w:hanging="261"/>
        <w:spacing w:after="0"/>
        <w:tabs>
          <w:tab w:leader="none" w:pos="520" w:val="left"/>
        </w:tabs>
        <w:numPr>
          <w:ilvl w:val="0"/>
          <w:numId w:val="44"/>
        </w:numPr>
        <w:rPr>
          <w:rFonts w:ascii="Arial" w:cs="Arial" w:eastAsia="Arial" w:hAnsi="Arial"/>
          <w:sz w:val="14"/>
          <w:szCs w:val="14"/>
          <w:color w:val="auto"/>
        </w:rPr>
      </w:pPr>
      <w:r>
        <w:rPr>
          <w:rFonts w:ascii="Arial" w:cs="Arial" w:eastAsia="Arial" w:hAnsi="Arial"/>
          <w:sz w:val="14"/>
          <w:szCs w:val="14"/>
          <w:color w:val="auto"/>
        </w:rPr>
        <w:t>Sales of new products which generally require higher development, marketing, advertising, and other selling costs.</w:t>
      </w:r>
    </w:p>
    <w:p>
      <w:pPr>
        <w:spacing w:after="0" w:line="178" w:lineRule="exact"/>
        <w:rPr>
          <w:rFonts w:ascii="Arial" w:cs="Arial" w:eastAsia="Arial" w:hAnsi="Arial"/>
          <w:sz w:val="14"/>
          <w:szCs w:val="14"/>
          <w:color w:val="auto"/>
        </w:rPr>
      </w:pPr>
    </w:p>
    <w:p>
      <w:pPr>
        <w:ind w:left="520" w:hanging="261"/>
        <w:spacing w:after="0"/>
        <w:tabs>
          <w:tab w:leader="none" w:pos="520" w:val="left"/>
        </w:tabs>
        <w:numPr>
          <w:ilvl w:val="0"/>
          <w:numId w:val="44"/>
        </w:numPr>
        <w:rPr>
          <w:rFonts w:ascii="Arial" w:cs="Arial" w:eastAsia="Arial" w:hAnsi="Arial"/>
          <w:sz w:val="14"/>
          <w:szCs w:val="14"/>
          <w:color w:val="auto"/>
        </w:rPr>
      </w:pPr>
      <w:r>
        <w:rPr>
          <w:rFonts w:ascii="Arial" w:cs="Arial" w:eastAsia="Arial" w:hAnsi="Arial"/>
          <w:sz w:val="14"/>
          <w:szCs w:val="14"/>
          <w:color w:val="auto"/>
        </w:rPr>
        <w:t>Our incentive compensation programs which are tied to gross profits, pre-bonus earnings from operations and return on investment.</w:t>
      </w:r>
    </w:p>
    <w:p>
      <w:pPr>
        <w:spacing w:after="0" w:line="178" w:lineRule="exact"/>
        <w:rPr>
          <w:rFonts w:ascii="Arial" w:cs="Arial" w:eastAsia="Arial" w:hAnsi="Arial"/>
          <w:sz w:val="14"/>
          <w:szCs w:val="14"/>
          <w:color w:val="auto"/>
        </w:rPr>
      </w:pPr>
    </w:p>
    <w:p>
      <w:pPr>
        <w:ind w:left="520" w:hanging="261"/>
        <w:spacing w:after="0"/>
        <w:tabs>
          <w:tab w:leader="none" w:pos="520" w:val="left"/>
        </w:tabs>
        <w:numPr>
          <w:ilvl w:val="0"/>
          <w:numId w:val="44"/>
        </w:numPr>
        <w:rPr>
          <w:rFonts w:ascii="Arial" w:cs="Arial" w:eastAsia="Arial" w:hAnsi="Arial"/>
          <w:sz w:val="13"/>
          <w:szCs w:val="13"/>
          <w:color w:val="auto"/>
        </w:rPr>
      </w:pPr>
      <w:r>
        <w:rPr>
          <w:rFonts w:ascii="Arial" w:cs="Arial" w:eastAsia="Arial" w:hAnsi="Arial"/>
          <w:sz w:val="13"/>
          <w:szCs w:val="13"/>
          <w:color w:val="auto"/>
        </w:rPr>
        <w:t>Our growth and success in achieving continuous improvement objectives designed to improve our productivity and leveraging our fixed costs.</w:t>
      </w:r>
    </w:p>
    <w:p>
      <w:pPr>
        <w:spacing w:after="0" w:line="18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LIQUIDITY AND CAPITAL RESOURCES</w:t>
      </w:r>
    </w:p>
    <w:p>
      <w:pPr>
        <w:spacing w:after="0" w:line="183"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Our cash cycle will continue to be impacted in the future by our mix of sales by market. Sales to the residential and commercial construction and industrial markets require a greater investment in working capital (inventory and accounts receivable) than our sales to the retail and manufactured housing markets. Additionally, our investment in trade receivables and inventory will continue to be impacted by the level of lumber prices.</w:t>
      </w:r>
    </w:p>
    <w:p>
      <w:pPr>
        <w:spacing w:after="0" w:line="142"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Additionally, management expects to spend approximately $95 million on capital expenditures, incur depreciation of approximately $60 million, and incur amortization and other non-cash expenses of approximately $12 million in 2019.</w:t>
      </w:r>
    </w:p>
    <w:p>
      <w:pPr>
        <w:spacing w:after="0" w:line="133"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On December 29, 2018, we had outstanding purchase commitments on capital projects of approximately $14 million. We intend to fund capital expenditures and purchase commitments through our operating cash flows and availability under our revolving credit facility which is considered sufficient to meet these commitments and working capital needs.</w:t>
      </w:r>
    </w:p>
    <w:p>
      <w:pPr>
        <w:spacing w:after="0" w:line="142"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We have no present plan to change our dividend policy, which was recently increased by 6% to a semi-annual rate of $0.18 per share. Our dividend rates are reviewed and approved at our April and October board meetings and payments are made in June and December of each year.</w:t>
      </w:r>
    </w:p>
    <w:p>
      <w:pPr>
        <w:spacing w:after="0" w:line="133"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We have a share repurchase program approved by our Board of Directors, and as of December 29, 2018, we have authorization to buy back approximately 1.9 million shares. In the past, we have repurchased shares in order to offset the</w:t>
      </w: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66675</wp:posOffset>
            </wp:positionV>
            <wp:extent cx="5779135" cy="2032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0">
                      <a:extLst>
                        <a:ext uri="{28A0092B-C50C-407E-A947-70E740481C1C}"/>
                      </a:extLst>
                    </a:blip>
                    <a:srcRect/>
                    <a:stretch>
                      <a:fillRect/>
                    </a:stretch>
                  </pic:blipFill>
                  <pic:spPr bwMode="auto">
                    <a:xfrm>
                      <a:off x="0" y="0"/>
                      <a:ext cx="5779135" cy="20320"/>
                    </a:xfrm>
                    <a:prstGeom prst="rect">
                      <a:avLst/>
                    </a:prstGeom>
                    <a:noFill/>
                  </pic:spPr>
                </pic:pic>
              </a:graphicData>
            </a:graphic>
          </wp:anchor>
        </w:drawing>
      </w:r>
    </w:p>
    <w:p>
      <w:pPr>
        <w:sectPr>
          <w:pgSz w:w="11900" w:h="16838" w:orient="portrait"/>
          <w:cols w:equalWidth="0" w:num="1">
            <w:col w:w="9100"/>
          </w:cols>
          <w:pgMar w:left="1400" w:top="129" w:right="1399" w:bottom="1440" w:gutter="0" w:footer="0" w:header="0"/>
        </w:sectPr>
      </w:pPr>
    </w:p>
    <w:bookmarkStart w:id="66" w:name="page67"/>
    <w:bookmarkEnd w:id="66"/>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4"/>
          <w:szCs w:val="14"/>
          <w:b w:val="1"/>
          <w:bCs w:val="1"/>
          <w:color w:val="auto"/>
        </w:rPr>
        <w:t>UNIVERSAL FOREST PRODUCTS, INC.</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4"/>
          <w:szCs w:val="14"/>
          <w:b w:val="1"/>
          <w:bCs w:val="1"/>
          <w:color w:val="auto"/>
        </w:rPr>
        <w:t>MANAGEMENT’S DISCUSSION AND ANALYSIS OF</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4"/>
          <w:szCs w:val="14"/>
          <w:b w:val="1"/>
          <w:bCs w:val="1"/>
          <w:color w:val="auto"/>
        </w:rPr>
        <w:t>FINANCIAL CONDITION AND RESULTS OF OPERATIONS</w:t>
      </w:r>
    </w:p>
    <w:p>
      <w:pPr>
        <w:spacing w:after="0" w:line="169" w:lineRule="exact"/>
        <w:rPr>
          <w:sz w:val="20"/>
          <w:szCs w:val="20"/>
          <w:color w:val="auto"/>
        </w:rPr>
      </w:pPr>
    </w:p>
    <w:p>
      <w:pPr>
        <w:spacing w:after="0"/>
        <w:rPr>
          <w:sz w:val="20"/>
          <w:szCs w:val="20"/>
          <w:color w:val="auto"/>
        </w:rPr>
      </w:pPr>
      <w:r>
        <w:rPr>
          <w:rFonts w:ascii="Arial" w:cs="Arial" w:eastAsia="Arial" w:hAnsi="Arial"/>
          <w:sz w:val="12"/>
          <w:szCs w:val="12"/>
          <w:color w:val="auto"/>
        </w:rPr>
        <w:t>effect of issuances resulting from our employee benefit plans and at opportune times when our stock price falls to predetermined levels.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40"/>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66675</wp:posOffset>
            </wp:positionV>
            <wp:extent cx="5779135" cy="203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1">
                      <a:extLst>
                        <a:ext uri="{28A0092B-C50C-407E-A947-70E740481C1C}"/>
                      </a:extLst>
                    </a:blip>
                    <a:srcRect/>
                    <a:stretch>
                      <a:fillRect/>
                    </a:stretch>
                  </pic:blipFill>
                  <pic:spPr bwMode="auto">
                    <a:xfrm>
                      <a:off x="0" y="0"/>
                      <a:ext cx="5779135" cy="20320"/>
                    </a:xfrm>
                    <a:prstGeom prst="rect">
                      <a:avLst/>
                    </a:prstGeom>
                    <a:noFill/>
                  </pic:spPr>
                </pic:pic>
              </a:graphicData>
            </a:graphic>
          </wp:anchor>
        </w:drawing>
      </w:r>
    </w:p>
    <w:p>
      <w:pPr>
        <w:sectPr>
          <w:pgSz w:w="11900" w:h="16838" w:orient="portrait"/>
          <w:cols w:equalWidth="0" w:num="1">
            <w:col w:w="9059"/>
          </w:cols>
          <w:pgMar w:left="1400" w:top="129" w:right="1440" w:bottom="1440" w:gutter="0" w:footer="0" w:header="0"/>
        </w:sectPr>
      </w:pPr>
    </w:p>
    <w:bookmarkStart w:id="67" w:name="page68"/>
    <w:bookmarkEnd w:id="67"/>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Management’s Annual Report on Internal Control Over Financial Reporting</w:t>
      </w:r>
    </w:p>
    <w:p>
      <w:pPr>
        <w:spacing w:after="0" w:line="183" w:lineRule="exact"/>
        <w:rPr>
          <w:sz w:val="20"/>
          <w:szCs w:val="20"/>
          <w:color w:val="auto"/>
        </w:rPr>
      </w:pPr>
    </w:p>
    <w:p>
      <w:pPr>
        <w:jc w:val="both"/>
        <w:ind w:firstLine="510"/>
        <w:spacing w:after="0" w:line="267" w:lineRule="auto"/>
        <w:rPr>
          <w:sz w:val="20"/>
          <w:szCs w:val="20"/>
          <w:color w:val="auto"/>
        </w:rPr>
      </w:pPr>
      <w:r>
        <w:rPr>
          <w:rFonts w:ascii="Arial" w:cs="Arial" w:eastAsia="Arial" w:hAnsi="Arial"/>
          <w:sz w:val="14"/>
          <w:szCs w:val="14"/>
          <w:color w:val="auto"/>
        </w:rPr>
        <w:t>The management of Universal Forest Products, Inc. is responsible for establishing and maintaining adequate internal control over financial reporting. Our internal control system was designed to provide reasonable assurance to us and the Board of Directors regarding the preparation and fair presentation of published financial statements.</w:t>
      </w:r>
    </w:p>
    <w:p>
      <w:pPr>
        <w:spacing w:after="0" w:line="142" w:lineRule="exact"/>
        <w:rPr>
          <w:sz w:val="20"/>
          <w:szCs w:val="20"/>
          <w:color w:val="auto"/>
        </w:rPr>
      </w:pPr>
    </w:p>
    <w:p>
      <w:pPr>
        <w:jc w:val="both"/>
        <w:ind w:firstLine="510"/>
        <w:spacing w:after="0" w:line="281" w:lineRule="auto"/>
        <w:rPr>
          <w:sz w:val="20"/>
          <w:szCs w:val="20"/>
          <w:color w:val="auto"/>
        </w:rPr>
      </w:pPr>
      <w:r>
        <w:rPr>
          <w:rFonts w:ascii="Arial" w:cs="Arial" w:eastAsia="Arial" w:hAnsi="Arial"/>
          <w:sz w:val="14"/>
          <w:szCs w:val="14"/>
          <w:color w:val="auto"/>
        </w:rPr>
        <w:t>All internal control systems, no matter how well designed, have inherent limitations. Therefore, even those systems determined to be effective can provide only reasonable assurance with respect to financial statement preparation and presentation.</w:t>
      </w:r>
    </w:p>
    <w:p>
      <w:pPr>
        <w:spacing w:after="0" w:line="133" w:lineRule="exact"/>
        <w:rPr>
          <w:sz w:val="20"/>
          <w:szCs w:val="20"/>
          <w:color w:val="auto"/>
        </w:rPr>
      </w:pPr>
    </w:p>
    <w:p>
      <w:pPr>
        <w:jc w:val="both"/>
        <w:ind w:firstLine="510"/>
        <w:spacing w:after="0" w:line="267" w:lineRule="auto"/>
        <w:rPr>
          <w:sz w:val="20"/>
          <w:szCs w:val="20"/>
          <w:color w:val="auto"/>
        </w:rPr>
      </w:pPr>
      <w:r>
        <w:rPr>
          <w:rFonts w:ascii="Arial" w:cs="Arial" w:eastAsia="Arial" w:hAnsi="Arial"/>
          <w:sz w:val="14"/>
          <w:szCs w:val="14"/>
          <w:color w:val="auto"/>
        </w:rPr>
        <w:t>We assessed the effectiveness of our internal control over financial reporting as of December 29, 2018, based on the framework in Internal Control-Integrated Framework issued by the Committee of Sponsoring Organizations of the Treadway Commission (2013 Framework) (“COSO”). Based on that evaluation, management has concluded that as of December 29, 2018, our internal control over financial reporting was effective.</w:t>
      </w:r>
    </w:p>
    <w:p>
      <w:pPr>
        <w:spacing w:after="0" w:line="142" w:lineRule="exact"/>
        <w:rPr>
          <w:sz w:val="20"/>
          <w:szCs w:val="20"/>
          <w:color w:val="auto"/>
        </w:rPr>
      </w:pPr>
    </w:p>
    <w:p>
      <w:pPr>
        <w:jc w:val="both"/>
        <w:ind w:firstLine="510"/>
        <w:spacing w:after="0" w:line="281" w:lineRule="auto"/>
        <w:rPr>
          <w:sz w:val="20"/>
          <w:szCs w:val="20"/>
          <w:color w:val="auto"/>
        </w:rPr>
      </w:pPr>
      <w:r>
        <w:rPr>
          <w:rFonts w:ascii="Arial" w:cs="Arial" w:eastAsia="Arial" w:hAnsi="Arial"/>
          <w:sz w:val="14"/>
          <w:szCs w:val="14"/>
          <w:color w:val="auto"/>
        </w:rPr>
        <w:t>The effectiveness of the Company’s internal control over financial reporting has been audited by Deloitte &amp; Touche LLP, an independent registered public accounting firm, as stated in their report, which follows our report.</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color w:val="auto"/>
        </w:rPr>
        <w:t>Universal Forest Products, Inc.</w:t>
      </w:r>
    </w:p>
    <w:p>
      <w:pPr>
        <w:spacing w:after="0" w:line="179" w:lineRule="exact"/>
        <w:rPr>
          <w:sz w:val="20"/>
          <w:szCs w:val="20"/>
          <w:color w:val="auto"/>
        </w:rPr>
      </w:pPr>
    </w:p>
    <w:p>
      <w:pPr>
        <w:ind w:left="520"/>
        <w:spacing w:after="0"/>
        <w:rPr>
          <w:sz w:val="20"/>
          <w:szCs w:val="20"/>
          <w:color w:val="auto"/>
        </w:rPr>
      </w:pPr>
      <w:r>
        <w:rPr>
          <w:rFonts w:ascii="Arial" w:cs="Arial" w:eastAsia="Arial" w:hAnsi="Arial"/>
          <w:sz w:val="14"/>
          <w:szCs w:val="14"/>
          <w:color w:val="auto"/>
        </w:rPr>
        <w:t>February 27, 2019</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66675</wp:posOffset>
            </wp:positionV>
            <wp:extent cx="5779135" cy="2032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2">
                      <a:extLst>
                        <a:ext uri="{28A0092B-C50C-407E-A947-70E740481C1C}"/>
                      </a:extLst>
                    </a:blip>
                    <a:srcRect/>
                    <a:stretch>
                      <a:fillRect/>
                    </a:stretch>
                  </pic:blipFill>
                  <pic:spPr bwMode="auto">
                    <a:xfrm>
                      <a:off x="0" y="0"/>
                      <a:ext cx="5779135" cy="20320"/>
                    </a:xfrm>
                    <a:prstGeom prst="rect">
                      <a:avLst/>
                    </a:prstGeom>
                    <a:noFill/>
                  </pic:spPr>
                </pic:pic>
              </a:graphicData>
            </a:graphic>
          </wp:anchor>
        </w:drawing>
      </w:r>
    </w:p>
    <w:p>
      <w:pPr>
        <w:sectPr>
          <w:pgSz w:w="11900" w:h="16838" w:orient="portrait"/>
          <w:cols w:equalWidth="0" w:num="1">
            <w:col w:w="9100"/>
          </w:cols>
          <w:pgMar w:left="1400" w:top="129" w:right="1399" w:bottom="1440" w:gutter="0" w:footer="0" w:header="0"/>
        </w:sectPr>
      </w:pPr>
    </w:p>
    <w:bookmarkStart w:id="68" w:name="page69"/>
    <w:bookmarkEnd w:id="68"/>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200" w:lineRule="exact"/>
        <w:rPr>
          <w:sz w:val="20"/>
          <w:szCs w:val="20"/>
          <w:color w:val="auto"/>
        </w:rPr>
      </w:pPr>
    </w:p>
    <w:p>
      <w:pPr>
        <w:spacing w:after="0" w:line="230" w:lineRule="exact"/>
        <w:rPr>
          <w:sz w:val="20"/>
          <w:szCs w:val="20"/>
          <w:color w:val="auto"/>
        </w:rPr>
      </w:pPr>
    </w:p>
    <w:p>
      <w:pPr>
        <w:ind w:right="4240"/>
        <w:spacing w:after="0" w:line="445" w:lineRule="auto"/>
        <w:rPr>
          <w:sz w:val="20"/>
          <w:szCs w:val="20"/>
          <w:color w:val="auto"/>
        </w:rPr>
      </w:pPr>
      <w:r>
        <w:rPr>
          <w:rFonts w:ascii="Arial" w:cs="Arial" w:eastAsia="Arial" w:hAnsi="Arial"/>
          <w:sz w:val="14"/>
          <w:szCs w:val="14"/>
          <w:b w:val="1"/>
          <w:bCs w:val="1"/>
          <w:color w:val="auto"/>
        </w:rPr>
        <w:t xml:space="preserve">REPORT OF INDEPENDENT REGISTERED PUBLIC ACCOUNTING FIRM </w:t>
      </w:r>
      <w:r>
        <w:rPr>
          <w:rFonts w:ascii="Arial" w:cs="Arial" w:eastAsia="Arial" w:hAnsi="Arial"/>
          <w:sz w:val="14"/>
          <w:szCs w:val="14"/>
          <w:color w:val="auto"/>
        </w:rPr>
        <w:t xml:space="preserve">To the shareholders and the Board of Directors of Universal Forest Products, Inc. </w:t>
      </w:r>
      <w:r>
        <w:rPr>
          <w:rFonts w:ascii="Arial" w:cs="Arial" w:eastAsia="Arial" w:hAnsi="Arial"/>
          <w:sz w:val="14"/>
          <w:szCs w:val="14"/>
          <w:b w:val="1"/>
          <w:bCs w:val="1"/>
          <w:color w:val="auto"/>
        </w:rPr>
        <w:t>Opinion on Internal Control over Financial Reporting</w:t>
      </w:r>
    </w:p>
    <w:p>
      <w:pPr>
        <w:jc w:val="both"/>
        <w:spacing w:after="0" w:line="262" w:lineRule="auto"/>
        <w:rPr>
          <w:sz w:val="20"/>
          <w:szCs w:val="20"/>
          <w:color w:val="auto"/>
        </w:rPr>
      </w:pPr>
      <w:r>
        <w:rPr>
          <w:rFonts w:ascii="Arial" w:cs="Arial" w:eastAsia="Arial" w:hAnsi="Arial"/>
          <w:sz w:val="14"/>
          <w:szCs w:val="14"/>
          <w:color w:val="auto"/>
        </w:rPr>
        <w:t xml:space="preserve">We have audited the internal control over financial reporting of Universal Forest Products, Inc. and subsidiaries (the “Company”) as of December 29, 2018, based on criteria established in </w:t>
      </w:r>
      <w:r>
        <w:rPr>
          <w:rFonts w:ascii="Arial" w:cs="Arial" w:eastAsia="Arial" w:hAnsi="Arial"/>
          <w:sz w:val="14"/>
          <w:szCs w:val="14"/>
          <w:i w:val="1"/>
          <w:iCs w:val="1"/>
          <w:color w:val="auto"/>
        </w:rPr>
        <w:t>Internal Control — Integrated Framework (2013)</w:t>
      </w:r>
      <w:r>
        <w:rPr>
          <w:rFonts w:ascii="Arial" w:cs="Arial" w:eastAsia="Arial" w:hAnsi="Arial"/>
          <w:sz w:val="14"/>
          <w:szCs w:val="14"/>
          <w:color w:val="auto"/>
        </w:rPr>
        <w:t xml:space="preserve"> issued by the Committee of Sponsoring Organizations of the Treadway Commission (COSO). In our opinion, the Company maintained, in all material respects, effective internal control over financial reporting as of December 29, 2018, based on criteria established in </w:t>
      </w:r>
      <w:r>
        <w:rPr>
          <w:rFonts w:ascii="Arial" w:cs="Arial" w:eastAsia="Arial" w:hAnsi="Arial"/>
          <w:sz w:val="14"/>
          <w:szCs w:val="14"/>
          <w:i w:val="1"/>
          <w:iCs w:val="1"/>
          <w:color w:val="auto"/>
        </w:rPr>
        <w:t>Internal Control — Integrated Framework (2013)</w:t>
      </w:r>
      <w:r>
        <w:rPr>
          <w:rFonts w:ascii="Arial" w:cs="Arial" w:eastAsia="Arial" w:hAnsi="Arial"/>
          <w:sz w:val="14"/>
          <w:szCs w:val="14"/>
          <w:color w:val="auto"/>
        </w:rPr>
        <w:t xml:space="preserve"> issued by COSO.</w:t>
      </w:r>
    </w:p>
    <w:p>
      <w:pPr>
        <w:spacing w:after="0" w:line="104"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We have also audited, in accordance with the standards of the Public Company Accounting Oversight Board (United States) (PCAOB), the consolidated financial statements as of and for the year ended December 29, 2018, of the Company and our report dated February 27, 2019, expressed an unqualified opinion on those financial statements.</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Basis for Opinion</w:t>
      </w:r>
    </w:p>
    <w:p>
      <w:pPr>
        <w:spacing w:after="0" w:line="140"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05"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Definition and Limitations of Internal Control over Financial Reporting</w:t>
      </w:r>
    </w:p>
    <w:p>
      <w:pPr>
        <w:spacing w:after="0" w:line="140" w:lineRule="exact"/>
        <w:rPr>
          <w:sz w:val="20"/>
          <w:szCs w:val="20"/>
          <w:color w:val="auto"/>
        </w:rPr>
      </w:pPr>
    </w:p>
    <w:p>
      <w:pPr>
        <w:jc w:val="both"/>
        <w:spacing w:after="0" w:line="280" w:lineRule="auto"/>
        <w:rPr>
          <w:sz w:val="20"/>
          <w:szCs w:val="20"/>
          <w:color w:val="auto"/>
        </w:rPr>
      </w:pPr>
      <w:r>
        <w:rPr>
          <w:rFonts w:ascii="Arial" w:cs="Arial" w:eastAsia="Arial" w:hAnsi="Arial"/>
          <w:sz w:val="13"/>
          <w:szCs w:val="13"/>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96"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color w:val="auto"/>
        </w:rPr>
        <w:t>/s/ Deloitte &amp; Touche LLP</w:t>
      </w:r>
    </w:p>
    <w:p>
      <w:pPr>
        <w:spacing w:after="0" w:line="306" w:lineRule="exact"/>
        <w:rPr>
          <w:sz w:val="20"/>
          <w:szCs w:val="20"/>
          <w:color w:val="auto"/>
        </w:rPr>
      </w:pPr>
    </w:p>
    <w:p>
      <w:pPr>
        <w:spacing w:after="0"/>
        <w:rPr>
          <w:sz w:val="20"/>
          <w:szCs w:val="20"/>
          <w:color w:val="auto"/>
        </w:rPr>
      </w:pPr>
      <w:r>
        <w:rPr>
          <w:rFonts w:ascii="Arial" w:cs="Arial" w:eastAsia="Arial" w:hAnsi="Arial"/>
          <w:sz w:val="14"/>
          <w:szCs w:val="14"/>
          <w:color w:val="auto"/>
        </w:rPr>
        <w:t>Grand Rapids, Michigan</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February 27, 2019</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66675</wp:posOffset>
            </wp:positionV>
            <wp:extent cx="5779135" cy="133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3">
                      <a:extLst>
                        <a:ext uri="{28A0092B-C50C-407E-A947-70E740481C1C}"/>
                      </a:extLst>
                    </a:blip>
                    <a:srcRect/>
                    <a:stretch>
                      <a:fillRect/>
                    </a:stretch>
                  </pic:blipFill>
                  <pic:spPr bwMode="auto">
                    <a:xfrm>
                      <a:off x="0" y="0"/>
                      <a:ext cx="5779135" cy="13335"/>
                    </a:xfrm>
                    <a:prstGeom prst="rect">
                      <a:avLst/>
                    </a:prstGeom>
                    <a:noFill/>
                  </pic:spPr>
                </pic:pic>
              </a:graphicData>
            </a:graphic>
          </wp:anchor>
        </w:drawing>
      </w:r>
    </w:p>
    <w:p>
      <w:pPr>
        <w:sectPr>
          <w:pgSz w:w="11900" w:h="16838" w:orient="portrait"/>
          <w:cols w:equalWidth="0" w:num="1">
            <w:col w:w="9100"/>
          </w:cols>
          <w:pgMar w:left="1400" w:top="129" w:right="1399" w:bottom="1440" w:gutter="0" w:footer="0" w:header="0"/>
        </w:sectPr>
      </w:pPr>
    </w:p>
    <w:bookmarkStart w:id="69" w:name="page70"/>
    <w:bookmarkEnd w:id="69"/>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200" w:lineRule="exact"/>
        <w:rPr>
          <w:sz w:val="20"/>
          <w:szCs w:val="20"/>
          <w:color w:val="auto"/>
        </w:rPr>
      </w:pPr>
    </w:p>
    <w:p>
      <w:pPr>
        <w:spacing w:after="0" w:line="230" w:lineRule="exact"/>
        <w:rPr>
          <w:sz w:val="20"/>
          <w:szCs w:val="20"/>
          <w:color w:val="auto"/>
        </w:rPr>
      </w:pPr>
    </w:p>
    <w:p>
      <w:pPr>
        <w:ind w:right="4199"/>
        <w:spacing w:after="0" w:line="445" w:lineRule="auto"/>
        <w:rPr>
          <w:sz w:val="20"/>
          <w:szCs w:val="20"/>
          <w:color w:val="auto"/>
        </w:rPr>
      </w:pPr>
      <w:r>
        <w:rPr>
          <w:rFonts w:ascii="Arial" w:cs="Arial" w:eastAsia="Arial" w:hAnsi="Arial"/>
          <w:sz w:val="14"/>
          <w:szCs w:val="14"/>
          <w:b w:val="1"/>
          <w:bCs w:val="1"/>
          <w:color w:val="auto"/>
        </w:rPr>
        <w:t xml:space="preserve">REPORT OF INDEPENDENT REGISTERED PUBLIC ACCOUNTING FIRM </w:t>
      </w:r>
      <w:r>
        <w:rPr>
          <w:rFonts w:ascii="Arial" w:cs="Arial" w:eastAsia="Arial" w:hAnsi="Arial"/>
          <w:sz w:val="14"/>
          <w:szCs w:val="14"/>
          <w:color w:val="auto"/>
        </w:rPr>
        <w:t xml:space="preserve">To the shareholders and the Board of Directors of Universal Forest Products, Inc. </w:t>
      </w:r>
      <w:r>
        <w:rPr>
          <w:rFonts w:ascii="Arial" w:cs="Arial" w:eastAsia="Arial" w:hAnsi="Arial"/>
          <w:sz w:val="14"/>
          <w:szCs w:val="14"/>
          <w:b w:val="1"/>
          <w:bCs w:val="1"/>
          <w:color w:val="auto"/>
        </w:rPr>
        <w:t>Opinion on the Financial Statements</w:t>
      </w:r>
    </w:p>
    <w:p>
      <w:pPr>
        <w:ind w:right="19"/>
        <w:spacing w:after="0" w:line="258" w:lineRule="auto"/>
        <w:rPr>
          <w:sz w:val="20"/>
          <w:szCs w:val="20"/>
          <w:color w:val="auto"/>
        </w:rPr>
      </w:pPr>
      <w:r>
        <w:rPr>
          <w:rFonts w:ascii="Arial" w:cs="Arial" w:eastAsia="Arial" w:hAnsi="Arial"/>
          <w:sz w:val="14"/>
          <w:szCs w:val="14"/>
          <w:color w:val="auto"/>
        </w:rPr>
        <w:t>We have audited the accompanying consolidated balance sheets of Universal Forest Products, Inc. and subsidiaries (the "Company") as of December 29, 2018 and December 30, 2017, the related consolidated statements of earnings and comprehensive income, shareholders' equity, and cash flows, for each of the three years in the period ended December 29, 2018, and the related notes (collectively referred to as the "financial statements"). In our opinion, the financial statements present fairly, in all material respects, the financial position of the Company as of December 29, 2018 and December 30, 2017, and the results of its operations and its cash flows for each of the three years in the period ended December 29, 2018, in conformity with accounting principles generally accepted in the United States of America.</w:t>
      </w:r>
    </w:p>
    <w:p>
      <w:pPr>
        <w:spacing w:after="0" w:line="108" w:lineRule="exact"/>
        <w:rPr>
          <w:sz w:val="20"/>
          <w:szCs w:val="20"/>
          <w:color w:val="auto"/>
        </w:rPr>
      </w:pPr>
    </w:p>
    <w:p>
      <w:pPr>
        <w:ind w:right="59"/>
        <w:spacing w:after="0" w:line="262" w:lineRule="auto"/>
        <w:rPr>
          <w:sz w:val="20"/>
          <w:szCs w:val="20"/>
          <w:color w:val="auto"/>
        </w:rPr>
      </w:pPr>
      <w:r>
        <w:rPr>
          <w:rFonts w:ascii="Arial" w:cs="Arial" w:eastAsia="Arial" w:hAnsi="Arial"/>
          <w:sz w:val="14"/>
          <w:szCs w:val="14"/>
          <w:color w:val="auto"/>
        </w:rPr>
        <w:t xml:space="preserve">We have also audited, in accordance with the standards of the Public Company Accounting Oversight Board (United States) (PCAOB), the Company's internal control over financial reporting as of December 29, 2018, based on criteria established in </w:t>
      </w:r>
      <w:r>
        <w:rPr>
          <w:rFonts w:ascii="Arial" w:cs="Arial" w:eastAsia="Arial" w:hAnsi="Arial"/>
          <w:sz w:val="14"/>
          <w:szCs w:val="14"/>
          <w:i w:val="1"/>
          <w:iCs w:val="1"/>
          <w:color w:val="auto"/>
        </w:rPr>
        <w:t>Internal Control — Integrated Framework (2013)</w:t>
      </w:r>
      <w:r>
        <w:rPr>
          <w:rFonts w:ascii="Arial" w:cs="Arial" w:eastAsia="Arial" w:hAnsi="Arial"/>
          <w:sz w:val="14"/>
          <w:szCs w:val="14"/>
          <w:color w:val="auto"/>
        </w:rPr>
        <w:t xml:space="preserve"> issued by the Committee of Sponsoring Organizations of the Treadway Commission and our report dated February 27, 2019, expressed an unqualified opinion on the Company's internal control over financial reporting.</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Basis for Opinion</w:t>
      </w:r>
    </w:p>
    <w:p>
      <w:pPr>
        <w:spacing w:after="0" w:line="140" w:lineRule="exact"/>
        <w:rPr>
          <w:sz w:val="20"/>
          <w:szCs w:val="20"/>
          <w:color w:val="auto"/>
        </w:rPr>
      </w:pPr>
    </w:p>
    <w:p>
      <w:pPr>
        <w:ind w:right="39"/>
        <w:spacing w:after="0" w:line="332" w:lineRule="auto"/>
        <w:rPr>
          <w:sz w:val="20"/>
          <w:szCs w:val="20"/>
          <w:color w:val="auto"/>
        </w:rPr>
      </w:pPr>
      <w:r>
        <w:rPr>
          <w:rFonts w:ascii="Arial" w:cs="Arial" w:eastAsia="Arial" w:hAnsi="Arial"/>
          <w:sz w:val="12"/>
          <w:szCs w:val="12"/>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64" w:lineRule="exact"/>
        <w:rPr>
          <w:sz w:val="20"/>
          <w:szCs w:val="20"/>
          <w:color w:val="auto"/>
        </w:rPr>
      </w:pPr>
    </w:p>
    <w:p>
      <w:pPr>
        <w:ind w:right="19"/>
        <w:spacing w:after="0" w:line="282" w:lineRule="auto"/>
        <w:rPr>
          <w:sz w:val="20"/>
          <w:szCs w:val="20"/>
          <w:color w:val="auto"/>
        </w:rPr>
      </w:pPr>
      <w:r>
        <w:rPr>
          <w:rFonts w:ascii="Arial" w:cs="Arial" w:eastAsia="Arial" w:hAnsi="Arial"/>
          <w:sz w:val="13"/>
          <w:szCs w:val="13"/>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color w:val="auto"/>
        </w:rPr>
        <w:t>/s/ Deloitte &amp; Touche LLP</w:t>
      </w:r>
    </w:p>
    <w:p>
      <w:pPr>
        <w:spacing w:after="0" w:line="306" w:lineRule="exact"/>
        <w:rPr>
          <w:sz w:val="20"/>
          <w:szCs w:val="20"/>
          <w:color w:val="auto"/>
        </w:rPr>
      </w:pPr>
    </w:p>
    <w:p>
      <w:pPr>
        <w:spacing w:after="0"/>
        <w:rPr>
          <w:sz w:val="20"/>
          <w:szCs w:val="20"/>
          <w:color w:val="auto"/>
        </w:rPr>
      </w:pPr>
      <w:r>
        <w:rPr>
          <w:rFonts w:ascii="Arial" w:cs="Arial" w:eastAsia="Arial" w:hAnsi="Arial"/>
          <w:sz w:val="14"/>
          <w:szCs w:val="14"/>
          <w:color w:val="auto"/>
        </w:rPr>
        <w:t>Grand Rapids, Michigan</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February 27, 2019</w:t>
      </w:r>
    </w:p>
    <w:p>
      <w:pPr>
        <w:spacing w:after="0" w:line="169" w:lineRule="exact"/>
        <w:rPr>
          <w:sz w:val="20"/>
          <w:szCs w:val="20"/>
          <w:color w:val="auto"/>
        </w:rPr>
      </w:pPr>
    </w:p>
    <w:p>
      <w:pPr>
        <w:spacing w:after="0"/>
        <w:rPr>
          <w:sz w:val="20"/>
          <w:szCs w:val="20"/>
          <w:color w:val="auto"/>
        </w:rPr>
      </w:pPr>
      <w:r>
        <w:rPr>
          <w:rFonts w:ascii="Arial" w:cs="Arial" w:eastAsia="Arial" w:hAnsi="Arial"/>
          <w:sz w:val="14"/>
          <w:szCs w:val="14"/>
          <w:color w:val="auto"/>
        </w:rPr>
        <w:t>We have served as the Company's auditor since 2014.</w:t>
      </w:r>
    </w:p>
    <w:p>
      <w:pPr>
        <w:spacing w:after="0" w:line="349" w:lineRule="exact"/>
        <w:rPr>
          <w:sz w:val="20"/>
          <w:szCs w:val="20"/>
          <w:color w:val="auto"/>
        </w:rPr>
      </w:pPr>
    </w:p>
    <w:p>
      <w:pPr>
        <w:jc w:val="center"/>
        <w:ind w:right="-40"/>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66675</wp:posOffset>
            </wp:positionV>
            <wp:extent cx="5779135" cy="2032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4">
                      <a:extLst>
                        <a:ext uri="{28A0092B-C50C-407E-A947-70E740481C1C}"/>
                      </a:extLst>
                    </a:blip>
                    <a:srcRect/>
                    <a:stretch>
                      <a:fillRect/>
                    </a:stretch>
                  </pic:blipFill>
                  <pic:spPr bwMode="auto">
                    <a:xfrm>
                      <a:off x="0" y="0"/>
                      <a:ext cx="5779135" cy="20320"/>
                    </a:xfrm>
                    <a:prstGeom prst="rect">
                      <a:avLst/>
                    </a:prstGeom>
                    <a:noFill/>
                  </pic:spPr>
                </pic:pic>
              </a:graphicData>
            </a:graphic>
          </wp:anchor>
        </w:drawing>
      </w:r>
    </w:p>
    <w:p>
      <w:pPr>
        <w:sectPr>
          <w:pgSz w:w="11900" w:h="16838" w:orient="portrait"/>
          <w:cols w:equalWidth="0" w:num="1">
            <w:col w:w="9059"/>
          </w:cols>
          <w:pgMar w:left="1400" w:top="129" w:right="1440" w:bottom="1440" w:gutter="0" w:footer="0" w:header="0"/>
        </w:sectPr>
      </w:pPr>
    </w:p>
    <w:bookmarkStart w:id="70" w:name="page71"/>
    <w:bookmarkEnd w:id="70"/>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UNIVERSAL FOREST PRODUCTS,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BALANCE SHEETS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5980" w:type="dxa"/>
            <w:vAlign w:val="bottom"/>
            <w:gridSpan w:val="2"/>
          </w:tcPr>
          <w:p>
            <w:pPr>
              <w:spacing w:after="0"/>
              <w:rPr>
                <w:sz w:val="20"/>
                <w:szCs w:val="20"/>
                <w:color w:val="auto"/>
              </w:rPr>
            </w:pPr>
            <w:r>
              <w:rPr>
                <w:rFonts w:ascii="Arial" w:cs="Arial" w:eastAsia="Arial" w:hAnsi="Arial"/>
                <w:sz w:val="11"/>
                <w:szCs w:val="11"/>
                <w:b w:val="1"/>
                <w:bCs w:val="1"/>
                <w:color w:val="auto"/>
              </w:rPr>
              <w:t>(in thousands, except share data)</w:t>
            </w: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vMerge w:val="restart"/>
          </w:tcPr>
          <w:p>
            <w:pPr>
              <w:jc w:val="right"/>
              <w:ind w:right="183"/>
              <w:spacing w:after="0"/>
              <w:rPr>
                <w:sz w:val="20"/>
                <w:szCs w:val="20"/>
                <w:color w:val="auto"/>
              </w:rPr>
            </w:pPr>
            <w:r>
              <w:rPr>
                <w:rFonts w:ascii="Arial" w:cs="Arial" w:eastAsia="Arial" w:hAnsi="Arial"/>
                <w:sz w:val="11"/>
                <w:szCs w:val="11"/>
                <w:b w:val="1"/>
                <w:bCs w:val="1"/>
                <w:color w:val="auto"/>
              </w:rPr>
              <w:t>December 29,</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vMerge w:val="restart"/>
          </w:tcPr>
          <w:p>
            <w:pPr>
              <w:jc w:val="right"/>
              <w:ind w:right="183"/>
              <w:spacing w:after="0"/>
              <w:rPr>
                <w:sz w:val="20"/>
                <w:szCs w:val="20"/>
                <w:color w:val="auto"/>
              </w:rPr>
            </w:pPr>
            <w:r>
              <w:rPr>
                <w:rFonts w:ascii="Arial" w:cs="Arial" w:eastAsia="Arial" w:hAnsi="Arial"/>
                <w:sz w:val="11"/>
                <w:szCs w:val="11"/>
                <w:b w:val="1"/>
                <w:bCs w:val="1"/>
                <w:color w:val="auto"/>
              </w:rPr>
              <w:t>December 30,</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59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vMerge w:val="continue"/>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5960" w:type="dxa"/>
            <w:vAlign w:val="bottom"/>
            <w:tcBorders>
              <w:bottom w:val="single" w:sz="8" w:color="CCEEFF"/>
            </w:tcBorders>
          </w:tcPr>
          <w:p>
            <w:pPr>
              <w:spacing w:after="0"/>
              <w:rPr>
                <w:sz w:val="9"/>
                <w:szCs w:val="9"/>
                <w:color w:val="auto"/>
              </w:rPr>
            </w:pPr>
          </w:p>
        </w:tc>
        <w:tc>
          <w:tcPr>
            <w:tcW w:w="600" w:type="dxa"/>
            <w:vAlign w:val="bottom"/>
            <w:tcBorders>
              <w:bottom w:val="single" w:sz="8" w:color="CCEEFF"/>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jc w:val="right"/>
              <w:ind w:right="403"/>
              <w:spacing w:after="0" w:line="107" w:lineRule="exact"/>
              <w:rPr>
                <w:sz w:val="20"/>
                <w:szCs w:val="20"/>
                <w:color w:val="auto"/>
              </w:rPr>
            </w:pPr>
            <w:r>
              <w:rPr>
                <w:rFonts w:ascii="Arial" w:cs="Arial" w:eastAsia="Arial" w:hAnsi="Arial"/>
                <w:sz w:val="11"/>
                <w:szCs w:val="11"/>
                <w:b w:val="1"/>
                <w:bCs w:val="1"/>
                <w:color w:val="auto"/>
              </w:rPr>
              <w:t>2018</w:t>
            </w:r>
          </w:p>
        </w:tc>
        <w:tc>
          <w:tcPr>
            <w:tcW w:w="240" w:type="dxa"/>
            <w:vAlign w:val="bottom"/>
            <w:tcBorders>
              <w:bottom w:val="single" w:sz="8" w:color="CCEEFF"/>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jc w:val="right"/>
              <w:ind w:right="403"/>
              <w:spacing w:after="0" w:line="107" w:lineRule="exact"/>
              <w:rPr>
                <w:sz w:val="20"/>
                <w:szCs w:val="20"/>
                <w:color w:val="auto"/>
              </w:rPr>
            </w:pPr>
            <w:r>
              <w:rPr>
                <w:rFonts w:ascii="Arial" w:cs="Arial" w:eastAsia="Arial" w:hAnsi="Arial"/>
                <w:sz w:val="11"/>
                <w:szCs w:val="11"/>
                <w:b w:val="1"/>
                <w:bCs w:val="1"/>
                <w:color w:val="auto"/>
              </w:rPr>
              <w:t>2017</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960" w:type="dxa"/>
            <w:vAlign w:val="bottom"/>
            <w:shd w:val="clear" w:color="auto" w:fill="CCEEFF"/>
          </w:tcPr>
          <w:p>
            <w:pPr>
              <w:spacing w:after="0" w:line="117" w:lineRule="exact"/>
              <w:rPr>
                <w:sz w:val="20"/>
                <w:szCs w:val="20"/>
                <w:color w:val="auto"/>
              </w:rPr>
            </w:pPr>
            <w:r>
              <w:rPr>
                <w:rFonts w:ascii="Arial" w:cs="Arial" w:eastAsia="Arial" w:hAnsi="Arial"/>
                <w:sz w:val="11"/>
                <w:szCs w:val="11"/>
                <w:b w:val="1"/>
                <w:bCs w:val="1"/>
                <w:color w:val="auto"/>
              </w:rPr>
              <w:t>ASSETS</w:t>
            </w:r>
          </w:p>
        </w:tc>
        <w:tc>
          <w:tcPr>
            <w:tcW w:w="6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960" w:type="dxa"/>
            <w:vAlign w:val="bottom"/>
          </w:tcPr>
          <w:p>
            <w:pPr>
              <w:spacing w:after="0" w:line="117" w:lineRule="exact"/>
              <w:rPr>
                <w:sz w:val="20"/>
                <w:szCs w:val="20"/>
                <w:color w:val="auto"/>
              </w:rPr>
            </w:pPr>
            <w:r>
              <w:rPr>
                <w:rFonts w:ascii="Arial" w:cs="Arial" w:eastAsia="Arial" w:hAnsi="Arial"/>
                <w:sz w:val="11"/>
                <w:szCs w:val="11"/>
                <w:color w:val="auto"/>
              </w:rPr>
              <w:t>CURRENT ASSETS:</w:t>
            </w: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960" w:type="dxa"/>
            <w:vAlign w:val="bottom"/>
            <w:shd w:val="clear" w:color="auto" w:fill="CCEEFF"/>
          </w:tcPr>
          <w:p>
            <w:pPr>
              <w:ind w:left="80"/>
              <w:spacing w:after="0" w:line="117" w:lineRule="exact"/>
              <w:rPr>
                <w:sz w:val="20"/>
                <w:szCs w:val="20"/>
                <w:color w:val="auto"/>
              </w:rPr>
            </w:pPr>
            <w:r>
              <w:rPr>
                <w:rFonts w:ascii="Arial" w:cs="Arial" w:eastAsia="Arial" w:hAnsi="Arial"/>
                <w:sz w:val="11"/>
                <w:szCs w:val="11"/>
                <w:color w:val="auto"/>
              </w:rPr>
              <w:t>Cash and cash equivalents</w:t>
            </w:r>
          </w:p>
        </w:tc>
        <w:tc>
          <w:tcPr>
            <w:tcW w:w="760" w:type="dxa"/>
            <w:vAlign w:val="bottom"/>
            <w:gridSpan w:val="2"/>
            <w:shd w:val="clear" w:color="auto" w:fill="CCEEFF"/>
          </w:tcPr>
          <w:p>
            <w:pPr>
              <w:jc w:val="right"/>
              <w:ind w:right="49"/>
              <w:spacing w:after="0" w:line="117" w:lineRule="exact"/>
              <w:rPr>
                <w:sz w:val="20"/>
                <w:szCs w:val="20"/>
                <w:color w:val="auto"/>
              </w:rPr>
            </w:pPr>
            <w:r>
              <w:rPr>
                <w:rFonts w:ascii="Arial" w:cs="Arial" w:eastAsia="Arial" w:hAnsi="Arial"/>
                <w:sz w:val="11"/>
                <w:szCs w:val="11"/>
                <w:color w:val="auto"/>
              </w:rPr>
              <w:t>$</w:t>
            </w:r>
          </w:p>
        </w:tc>
        <w:tc>
          <w:tcPr>
            <w:tcW w:w="980" w:type="dxa"/>
            <w:vAlign w:val="bottom"/>
            <w:shd w:val="clear" w:color="auto" w:fill="CCEEFF"/>
          </w:tcPr>
          <w:p>
            <w:pPr>
              <w:jc w:val="right"/>
              <w:spacing w:after="0" w:line="117" w:lineRule="exact"/>
              <w:rPr>
                <w:sz w:val="20"/>
                <w:szCs w:val="20"/>
                <w:color w:val="auto"/>
              </w:rPr>
            </w:pPr>
            <w:r>
              <w:rPr>
                <w:rFonts w:ascii="Arial" w:cs="Arial" w:eastAsia="Arial" w:hAnsi="Arial"/>
                <w:sz w:val="11"/>
                <w:szCs w:val="11"/>
                <w:color w:val="auto"/>
              </w:rPr>
              <w:t>27,316</w:t>
            </w:r>
          </w:p>
        </w:tc>
        <w:tc>
          <w:tcPr>
            <w:tcW w:w="400" w:type="dxa"/>
            <w:vAlign w:val="bottom"/>
            <w:gridSpan w:val="2"/>
            <w:shd w:val="clear" w:color="auto" w:fill="CCEEFF"/>
          </w:tcPr>
          <w:p>
            <w:pPr>
              <w:jc w:val="right"/>
              <w:ind w:right="49"/>
              <w:spacing w:after="0" w:line="117" w:lineRule="exact"/>
              <w:rPr>
                <w:sz w:val="20"/>
                <w:szCs w:val="20"/>
                <w:color w:val="auto"/>
              </w:rPr>
            </w:pPr>
            <w:r>
              <w:rPr>
                <w:rFonts w:ascii="Arial" w:cs="Arial" w:eastAsia="Arial" w:hAnsi="Arial"/>
                <w:sz w:val="11"/>
                <w:szCs w:val="11"/>
                <w:color w:val="auto"/>
              </w:rPr>
              <w:t>$</w:t>
            </w:r>
          </w:p>
        </w:tc>
        <w:tc>
          <w:tcPr>
            <w:tcW w:w="980" w:type="dxa"/>
            <w:vAlign w:val="bottom"/>
            <w:shd w:val="clear" w:color="auto" w:fill="CCEEFF"/>
          </w:tcPr>
          <w:p>
            <w:pPr>
              <w:jc w:val="right"/>
              <w:spacing w:after="0" w:line="117" w:lineRule="exact"/>
              <w:rPr>
                <w:sz w:val="20"/>
                <w:szCs w:val="20"/>
                <w:color w:val="auto"/>
              </w:rPr>
            </w:pPr>
            <w:r>
              <w:rPr>
                <w:rFonts w:ascii="Arial" w:cs="Arial" w:eastAsia="Arial" w:hAnsi="Arial"/>
                <w:sz w:val="11"/>
                <w:szCs w:val="11"/>
                <w:color w:val="auto"/>
              </w:rPr>
              <w:t>28,339</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960" w:type="dxa"/>
            <w:vAlign w:val="bottom"/>
          </w:tcPr>
          <w:p>
            <w:pPr>
              <w:ind w:left="80"/>
              <w:spacing w:after="0" w:line="117" w:lineRule="exact"/>
              <w:rPr>
                <w:sz w:val="20"/>
                <w:szCs w:val="20"/>
                <w:color w:val="auto"/>
              </w:rPr>
            </w:pPr>
            <w:r>
              <w:rPr>
                <w:rFonts w:ascii="Arial" w:cs="Arial" w:eastAsia="Arial" w:hAnsi="Arial"/>
                <w:sz w:val="11"/>
                <w:szCs w:val="11"/>
                <w:color w:val="auto"/>
              </w:rPr>
              <w:t>Investments</w:t>
            </w: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jc w:val="right"/>
              <w:spacing w:after="0" w:line="117" w:lineRule="exact"/>
              <w:rPr>
                <w:sz w:val="20"/>
                <w:szCs w:val="20"/>
                <w:color w:val="auto"/>
              </w:rPr>
            </w:pPr>
            <w:r>
              <w:rPr>
                <w:rFonts w:ascii="Arial" w:cs="Arial" w:eastAsia="Arial" w:hAnsi="Arial"/>
                <w:sz w:val="11"/>
                <w:szCs w:val="11"/>
                <w:color w:val="auto"/>
              </w:rPr>
              <w:t>14,755</w:t>
            </w: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jc w:val="right"/>
              <w:spacing w:after="0" w:line="117" w:lineRule="exact"/>
              <w:rPr>
                <w:sz w:val="20"/>
                <w:szCs w:val="20"/>
                <w:color w:val="auto"/>
              </w:rPr>
            </w:pPr>
            <w:r>
              <w:rPr>
                <w:rFonts w:ascii="Arial" w:cs="Arial" w:eastAsia="Arial" w:hAnsi="Arial"/>
                <w:sz w:val="11"/>
                <w:szCs w:val="11"/>
                <w:color w:val="auto"/>
              </w:rPr>
              <w:t>11,269</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960" w:type="dxa"/>
            <w:vAlign w:val="bottom"/>
            <w:shd w:val="clear" w:color="auto" w:fill="CCEEFF"/>
          </w:tcPr>
          <w:p>
            <w:pPr>
              <w:ind w:left="80"/>
              <w:spacing w:after="0" w:line="117" w:lineRule="exact"/>
              <w:rPr>
                <w:sz w:val="20"/>
                <w:szCs w:val="20"/>
                <w:color w:val="auto"/>
              </w:rPr>
            </w:pPr>
            <w:r>
              <w:rPr>
                <w:rFonts w:ascii="Arial" w:cs="Arial" w:eastAsia="Arial" w:hAnsi="Arial"/>
                <w:sz w:val="11"/>
                <w:szCs w:val="11"/>
                <w:color w:val="auto"/>
              </w:rPr>
              <w:t>Restricted cash</w:t>
            </w:r>
          </w:p>
        </w:tc>
        <w:tc>
          <w:tcPr>
            <w:tcW w:w="6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80" w:type="dxa"/>
            <w:vAlign w:val="bottom"/>
            <w:shd w:val="clear" w:color="auto" w:fill="CCEEFF"/>
          </w:tcPr>
          <w:p>
            <w:pPr>
              <w:jc w:val="right"/>
              <w:spacing w:after="0" w:line="117" w:lineRule="exact"/>
              <w:rPr>
                <w:sz w:val="20"/>
                <w:szCs w:val="20"/>
                <w:color w:val="auto"/>
              </w:rPr>
            </w:pPr>
            <w:r>
              <w:rPr>
                <w:rFonts w:ascii="Arial" w:cs="Arial" w:eastAsia="Arial" w:hAnsi="Arial"/>
                <w:sz w:val="11"/>
                <w:szCs w:val="11"/>
                <w:color w:val="auto"/>
              </w:rPr>
              <w:t>882</w:t>
            </w:r>
          </w:p>
        </w:tc>
        <w:tc>
          <w:tcPr>
            <w:tcW w:w="2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80" w:type="dxa"/>
            <w:vAlign w:val="bottom"/>
            <w:shd w:val="clear" w:color="auto" w:fill="CCEEFF"/>
          </w:tcPr>
          <w:p>
            <w:pPr>
              <w:jc w:val="right"/>
              <w:spacing w:after="0" w:line="117" w:lineRule="exact"/>
              <w:rPr>
                <w:sz w:val="20"/>
                <w:szCs w:val="20"/>
                <w:color w:val="auto"/>
              </w:rPr>
            </w:pPr>
            <w:r>
              <w:rPr>
                <w:rFonts w:ascii="Arial" w:cs="Arial" w:eastAsia="Arial" w:hAnsi="Arial"/>
                <w:sz w:val="11"/>
                <w:szCs w:val="11"/>
                <w:color w:val="auto"/>
              </w:rPr>
              <w:t>477</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960" w:type="dxa"/>
            <w:vAlign w:val="bottom"/>
          </w:tcPr>
          <w:p>
            <w:pPr>
              <w:ind w:left="80"/>
              <w:spacing w:after="0" w:line="117" w:lineRule="exact"/>
              <w:rPr>
                <w:sz w:val="20"/>
                <w:szCs w:val="20"/>
                <w:color w:val="auto"/>
              </w:rPr>
            </w:pPr>
            <w:r>
              <w:rPr>
                <w:rFonts w:ascii="Arial" w:cs="Arial" w:eastAsia="Arial" w:hAnsi="Arial"/>
                <w:sz w:val="11"/>
                <w:szCs w:val="11"/>
                <w:color w:val="auto"/>
              </w:rPr>
              <w:t>Accounts receivable, net</w:t>
            </w: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jc w:val="right"/>
              <w:spacing w:after="0" w:line="117" w:lineRule="exact"/>
              <w:rPr>
                <w:sz w:val="20"/>
                <w:szCs w:val="20"/>
                <w:color w:val="auto"/>
              </w:rPr>
            </w:pPr>
            <w:r>
              <w:rPr>
                <w:rFonts w:ascii="Arial" w:cs="Arial" w:eastAsia="Arial" w:hAnsi="Arial"/>
                <w:sz w:val="11"/>
                <w:szCs w:val="11"/>
                <w:color w:val="auto"/>
              </w:rPr>
              <w:t>343,450</w:t>
            </w: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jc w:val="right"/>
              <w:spacing w:after="0" w:line="117" w:lineRule="exact"/>
              <w:rPr>
                <w:sz w:val="20"/>
                <w:szCs w:val="20"/>
                <w:color w:val="auto"/>
              </w:rPr>
            </w:pPr>
            <w:r>
              <w:rPr>
                <w:rFonts w:ascii="Arial" w:cs="Arial" w:eastAsia="Arial" w:hAnsi="Arial"/>
                <w:sz w:val="11"/>
                <w:szCs w:val="11"/>
                <w:color w:val="auto"/>
              </w:rPr>
              <w:t>327,751</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960" w:type="dxa"/>
            <w:vAlign w:val="bottom"/>
            <w:shd w:val="clear" w:color="auto" w:fill="CCEEFF"/>
          </w:tcPr>
          <w:p>
            <w:pPr>
              <w:ind w:left="80"/>
              <w:spacing w:after="0" w:line="117" w:lineRule="exact"/>
              <w:rPr>
                <w:sz w:val="20"/>
                <w:szCs w:val="20"/>
                <w:color w:val="auto"/>
              </w:rPr>
            </w:pPr>
            <w:r>
              <w:rPr>
                <w:rFonts w:ascii="Arial" w:cs="Arial" w:eastAsia="Arial" w:hAnsi="Arial"/>
                <w:sz w:val="11"/>
                <w:szCs w:val="11"/>
                <w:color w:val="auto"/>
              </w:rPr>
              <w:t>Inventories:</w:t>
            </w:r>
          </w:p>
        </w:tc>
        <w:tc>
          <w:tcPr>
            <w:tcW w:w="6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960" w:type="dxa"/>
            <w:vAlign w:val="bottom"/>
          </w:tcPr>
          <w:p>
            <w:pPr>
              <w:ind w:left="240"/>
              <w:spacing w:after="0" w:line="117" w:lineRule="exact"/>
              <w:rPr>
                <w:sz w:val="20"/>
                <w:szCs w:val="20"/>
                <w:color w:val="auto"/>
              </w:rPr>
            </w:pPr>
            <w:r>
              <w:rPr>
                <w:rFonts w:ascii="Arial" w:cs="Arial" w:eastAsia="Arial" w:hAnsi="Arial"/>
                <w:sz w:val="11"/>
                <w:szCs w:val="11"/>
                <w:color w:val="auto"/>
              </w:rPr>
              <w:t>Raw materials</w:t>
            </w: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jc w:val="right"/>
              <w:spacing w:after="0" w:line="117" w:lineRule="exact"/>
              <w:rPr>
                <w:sz w:val="20"/>
                <w:szCs w:val="20"/>
                <w:color w:val="auto"/>
              </w:rPr>
            </w:pPr>
            <w:r>
              <w:rPr>
                <w:rFonts w:ascii="Arial" w:cs="Arial" w:eastAsia="Arial" w:hAnsi="Arial"/>
                <w:sz w:val="11"/>
                <w:szCs w:val="11"/>
                <w:color w:val="auto"/>
              </w:rPr>
              <w:t>271,871</w:t>
            </w: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jc w:val="right"/>
              <w:spacing w:after="0" w:line="117" w:lineRule="exact"/>
              <w:rPr>
                <w:sz w:val="20"/>
                <w:szCs w:val="20"/>
                <w:color w:val="auto"/>
              </w:rPr>
            </w:pPr>
            <w:r>
              <w:rPr>
                <w:rFonts w:ascii="Arial" w:cs="Arial" w:eastAsia="Arial" w:hAnsi="Arial"/>
                <w:sz w:val="11"/>
                <w:szCs w:val="11"/>
                <w:color w:val="auto"/>
              </w:rPr>
              <w:t>234,354</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5960" w:type="dxa"/>
            <w:vAlign w:val="bottom"/>
            <w:tcBorders>
              <w:bottom w:val="single" w:sz="8" w:color="CCEEFF"/>
            </w:tcBorders>
            <w:shd w:val="clear" w:color="auto" w:fill="CCEEFF"/>
          </w:tcPr>
          <w:p>
            <w:pPr>
              <w:ind w:left="240"/>
              <w:spacing w:after="0" w:line="117" w:lineRule="exact"/>
              <w:rPr>
                <w:sz w:val="20"/>
                <w:szCs w:val="20"/>
                <w:color w:val="auto"/>
              </w:rPr>
            </w:pPr>
            <w:r>
              <w:rPr>
                <w:rFonts w:ascii="Arial" w:cs="Arial" w:eastAsia="Arial" w:hAnsi="Arial"/>
                <w:sz w:val="11"/>
                <w:szCs w:val="11"/>
                <w:color w:val="auto"/>
              </w:rPr>
              <w:t>Finished goods</w:t>
            </w:r>
          </w:p>
        </w:tc>
        <w:tc>
          <w:tcPr>
            <w:tcW w:w="60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980" w:type="dxa"/>
            <w:vAlign w:val="bottom"/>
            <w:tcBorders>
              <w:bottom w:val="single" w:sz="8" w:color="auto"/>
            </w:tcBorders>
            <w:shd w:val="clear" w:color="auto" w:fill="CCEEFF"/>
          </w:tcPr>
          <w:p>
            <w:pPr>
              <w:jc w:val="right"/>
              <w:spacing w:after="0" w:line="117" w:lineRule="exact"/>
              <w:rPr>
                <w:sz w:val="20"/>
                <w:szCs w:val="20"/>
                <w:color w:val="auto"/>
              </w:rPr>
            </w:pPr>
            <w:r>
              <w:rPr>
                <w:rFonts w:ascii="Arial" w:cs="Arial" w:eastAsia="Arial" w:hAnsi="Arial"/>
                <w:sz w:val="11"/>
                <w:szCs w:val="11"/>
                <w:color w:val="auto"/>
              </w:rPr>
              <w:t>284,349</w:t>
            </w:r>
          </w:p>
        </w:tc>
        <w:tc>
          <w:tcPr>
            <w:tcW w:w="24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980" w:type="dxa"/>
            <w:vAlign w:val="bottom"/>
            <w:tcBorders>
              <w:bottom w:val="single" w:sz="8" w:color="auto"/>
            </w:tcBorders>
            <w:shd w:val="clear" w:color="auto" w:fill="CCEEFF"/>
          </w:tcPr>
          <w:p>
            <w:pPr>
              <w:jc w:val="right"/>
              <w:spacing w:after="0" w:line="117" w:lineRule="exact"/>
              <w:rPr>
                <w:sz w:val="20"/>
                <w:szCs w:val="20"/>
                <w:color w:val="auto"/>
              </w:rPr>
            </w:pPr>
            <w:r>
              <w:rPr>
                <w:rFonts w:ascii="Arial" w:cs="Arial" w:eastAsia="Arial" w:hAnsi="Arial"/>
                <w:sz w:val="11"/>
                <w:szCs w:val="11"/>
                <w:color w:val="auto"/>
              </w:rPr>
              <w:t>225,954</w:t>
            </w: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5960" w:type="dxa"/>
            <w:vAlign w:val="bottom"/>
          </w:tcPr>
          <w:p>
            <w:pPr>
              <w:ind w:left="320"/>
              <w:spacing w:after="0" w:line="99" w:lineRule="exact"/>
              <w:rPr>
                <w:sz w:val="20"/>
                <w:szCs w:val="20"/>
                <w:color w:val="auto"/>
              </w:rPr>
            </w:pPr>
            <w:r>
              <w:rPr>
                <w:rFonts w:ascii="Arial" w:cs="Arial" w:eastAsia="Arial" w:hAnsi="Arial"/>
                <w:sz w:val="11"/>
                <w:szCs w:val="11"/>
                <w:color w:val="auto"/>
              </w:rPr>
              <w:t>Total inventories</w:t>
            </w: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80" w:type="dxa"/>
            <w:vAlign w:val="bottom"/>
          </w:tcPr>
          <w:p>
            <w:pPr>
              <w:jc w:val="right"/>
              <w:spacing w:after="0" w:line="99" w:lineRule="exact"/>
              <w:rPr>
                <w:sz w:val="20"/>
                <w:szCs w:val="20"/>
                <w:color w:val="auto"/>
              </w:rPr>
            </w:pPr>
            <w:r>
              <w:rPr>
                <w:rFonts w:ascii="Arial" w:cs="Arial" w:eastAsia="Arial" w:hAnsi="Arial"/>
                <w:sz w:val="11"/>
                <w:szCs w:val="11"/>
                <w:color w:val="auto"/>
              </w:rPr>
              <w:t>556,220</w:t>
            </w: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980" w:type="dxa"/>
            <w:vAlign w:val="bottom"/>
          </w:tcPr>
          <w:p>
            <w:pPr>
              <w:jc w:val="right"/>
              <w:spacing w:after="0" w:line="99" w:lineRule="exact"/>
              <w:rPr>
                <w:sz w:val="20"/>
                <w:szCs w:val="20"/>
                <w:color w:val="auto"/>
              </w:rPr>
            </w:pPr>
            <w:r>
              <w:rPr>
                <w:rFonts w:ascii="Arial" w:cs="Arial" w:eastAsia="Arial" w:hAnsi="Arial"/>
                <w:sz w:val="11"/>
                <w:szCs w:val="11"/>
                <w:color w:val="auto"/>
              </w:rPr>
              <w:t>460,308</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960" w:type="dxa"/>
            <w:vAlign w:val="bottom"/>
            <w:shd w:val="clear" w:color="auto" w:fill="CCEEFF"/>
          </w:tcPr>
          <w:p>
            <w:pPr>
              <w:ind w:left="80"/>
              <w:spacing w:after="0" w:line="117" w:lineRule="exact"/>
              <w:rPr>
                <w:sz w:val="20"/>
                <w:szCs w:val="20"/>
                <w:color w:val="auto"/>
              </w:rPr>
            </w:pPr>
            <w:r>
              <w:rPr>
                <w:rFonts w:ascii="Arial" w:cs="Arial" w:eastAsia="Arial" w:hAnsi="Arial"/>
                <w:sz w:val="11"/>
                <w:szCs w:val="11"/>
                <w:color w:val="auto"/>
              </w:rPr>
              <w:t>Refundable income taxes</w:t>
            </w:r>
          </w:p>
        </w:tc>
        <w:tc>
          <w:tcPr>
            <w:tcW w:w="6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80" w:type="dxa"/>
            <w:vAlign w:val="bottom"/>
            <w:shd w:val="clear" w:color="auto" w:fill="CCEEFF"/>
          </w:tcPr>
          <w:p>
            <w:pPr>
              <w:jc w:val="right"/>
              <w:spacing w:after="0" w:line="117" w:lineRule="exact"/>
              <w:rPr>
                <w:sz w:val="20"/>
                <w:szCs w:val="20"/>
                <w:color w:val="auto"/>
              </w:rPr>
            </w:pPr>
            <w:r>
              <w:rPr>
                <w:rFonts w:ascii="Arial" w:cs="Arial" w:eastAsia="Arial" w:hAnsi="Arial"/>
                <w:sz w:val="11"/>
                <w:szCs w:val="11"/>
                <w:color w:val="auto"/>
              </w:rPr>
              <w:t>14,130</w:t>
            </w:r>
          </w:p>
        </w:tc>
        <w:tc>
          <w:tcPr>
            <w:tcW w:w="2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80" w:type="dxa"/>
            <w:vAlign w:val="bottom"/>
            <w:shd w:val="clear" w:color="auto" w:fill="CCEEFF"/>
          </w:tcPr>
          <w:p>
            <w:pPr>
              <w:jc w:val="right"/>
              <w:spacing w:after="0" w:line="117" w:lineRule="exact"/>
              <w:rPr>
                <w:sz w:val="20"/>
                <w:szCs w:val="20"/>
                <w:color w:val="auto"/>
              </w:rPr>
            </w:pPr>
            <w:r>
              <w:rPr>
                <w:rFonts w:ascii="Arial" w:cs="Arial" w:eastAsia="Arial" w:hAnsi="Arial"/>
                <w:sz w:val="11"/>
                <w:szCs w:val="11"/>
                <w:color w:val="auto"/>
              </w:rPr>
              <w:t>7,228</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960" w:type="dxa"/>
            <w:vAlign w:val="bottom"/>
            <w:tcBorders>
              <w:bottom w:val="single" w:sz="8" w:color="CCEEFF"/>
            </w:tcBorders>
          </w:tcPr>
          <w:p>
            <w:pPr>
              <w:ind w:left="80"/>
              <w:spacing w:after="0" w:line="117" w:lineRule="exact"/>
              <w:rPr>
                <w:sz w:val="20"/>
                <w:szCs w:val="20"/>
                <w:color w:val="auto"/>
              </w:rPr>
            </w:pPr>
            <w:r>
              <w:rPr>
                <w:rFonts w:ascii="Arial" w:cs="Arial" w:eastAsia="Arial" w:hAnsi="Arial"/>
                <w:sz w:val="11"/>
                <w:szCs w:val="11"/>
                <w:color w:val="auto"/>
              </w:rPr>
              <w:t>Other current assets</w:t>
            </w:r>
          </w:p>
        </w:tc>
        <w:tc>
          <w:tcPr>
            <w:tcW w:w="600" w:type="dxa"/>
            <w:vAlign w:val="bottom"/>
            <w:tcBorders>
              <w:bottom w:val="single" w:sz="8" w:color="CCEEFF"/>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jc w:val="right"/>
              <w:spacing w:after="0" w:line="117" w:lineRule="exact"/>
              <w:rPr>
                <w:sz w:val="20"/>
                <w:szCs w:val="20"/>
                <w:color w:val="auto"/>
              </w:rPr>
            </w:pPr>
            <w:r>
              <w:rPr>
                <w:rFonts w:ascii="Arial" w:cs="Arial" w:eastAsia="Arial" w:hAnsi="Arial"/>
                <w:sz w:val="11"/>
                <w:szCs w:val="11"/>
                <w:color w:val="auto"/>
              </w:rPr>
              <w:t>38,525</w:t>
            </w:r>
          </w:p>
        </w:tc>
        <w:tc>
          <w:tcPr>
            <w:tcW w:w="240" w:type="dxa"/>
            <w:vAlign w:val="bottom"/>
            <w:tcBorders>
              <w:bottom w:val="single" w:sz="8" w:color="CCEEFF"/>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jc w:val="right"/>
              <w:spacing w:after="0" w:line="117" w:lineRule="exact"/>
              <w:rPr>
                <w:sz w:val="20"/>
                <w:szCs w:val="20"/>
                <w:color w:val="auto"/>
              </w:rPr>
            </w:pPr>
            <w:r>
              <w:rPr>
                <w:rFonts w:ascii="Arial" w:cs="Arial" w:eastAsia="Arial" w:hAnsi="Arial"/>
                <w:sz w:val="11"/>
                <w:szCs w:val="11"/>
                <w:color w:val="auto"/>
              </w:rPr>
              <w:t>28,115</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960" w:type="dxa"/>
            <w:vAlign w:val="bottom"/>
            <w:shd w:val="clear" w:color="auto" w:fill="CCEEFF"/>
          </w:tcPr>
          <w:p>
            <w:pPr>
              <w:ind w:left="320"/>
              <w:spacing w:after="0" w:line="117" w:lineRule="exact"/>
              <w:rPr>
                <w:sz w:val="20"/>
                <w:szCs w:val="20"/>
                <w:color w:val="auto"/>
              </w:rPr>
            </w:pPr>
            <w:r>
              <w:rPr>
                <w:rFonts w:ascii="Arial" w:cs="Arial" w:eastAsia="Arial" w:hAnsi="Arial"/>
                <w:sz w:val="11"/>
                <w:szCs w:val="11"/>
                <w:color w:val="auto"/>
              </w:rPr>
              <w:t>TOTAL CURRENT ASSETS</w:t>
            </w:r>
          </w:p>
        </w:tc>
        <w:tc>
          <w:tcPr>
            <w:tcW w:w="6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80" w:type="dxa"/>
            <w:vAlign w:val="bottom"/>
            <w:shd w:val="clear" w:color="auto" w:fill="CCEEFF"/>
          </w:tcPr>
          <w:p>
            <w:pPr>
              <w:jc w:val="right"/>
              <w:spacing w:after="0" w:line="117" w:lineRule="exact"/>
              <w:rPr>
                <w:sz w:val="20"/>
                <w:szCs w:val="20"/>
                <w:color w:val="auto"/>
              </w:rPr>
            </w:pPr>
            <w:r>
              <w:rPr>
                <w:rFonts w:ascii="Arial" w:cs="Arial" w:eastAsia="Arial" w:hAnsi="Arial"/>
                <w:sz w:val="11"/>
                <w:szCs w:val="11"/>
                <w:color w:val="auto"/>
              </w:rPr>
              <w:t>995,278</w:t>
            </w:r>
          </w:p>
        </w:tc>
        <w:tc>
          <w:tcPr>
            <w:tcW w:w="2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80" w:type="dxa"/>
            <w:vAlign w:val="bottom"/>
            <w:shd w:val="clear" w:color="auto" w:fill="CCEEFF"/>
          </w:tcPr>
          <w:p>
            <w:pPr>
              <w:jc w:val="right"/>
              <w:spacing w:after="0" w:line="117" w:lineRule="exact"/>
              <w:rPr>
                <w:sz w:val="20"/>
                <w:szCs w:val="20"/>
                <w:color w:val="auto"/>
              </w:rPr>
            </w:pPr>
            <w:r>
              <w:rPr>
                <w:rFonts w:ascii="Arial" w:cs="Arial" w:eastAsia="Arial" w:hAnsi="Arial"/>
                <w:sz w:val="11"/>
                <w:szCs w:val="11"/>
                <w:color w:val="auto"/>
              </w:rPr>
              <w:t>863,487</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960" w:type="dxa"/>
            <w:vAlign w:val="bottom"/>
          </w:tcPr>
          <w:p>
            <w:pPr>
              <w:spacing w:after="0" w:line="117" w:lineRule="exact"/>
              <w:rPr>
                <w:sz w:val="20"/>
                <w:szCs w:val="20"/>
                <w:color w:val="auto"/>
              </w:rPr>
            </w:pPr>
            <w:r>
              <w:rPr>
                <w:rFonts w:ascii="Arial" w:cs="Arial" w:eastAsia="Arial" w:hAnsi="Arial"/>
                <w:sz w:val="11"/>
                <w:szCs w:val="11"/>
                <w:color w:val="auto"/>
              </w:rPr>
              <w:t>DEFERRED INCOME TAXES</w:t>
            </w: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jc w:val="right"/>
              <w:spacing w:after="0" w:line="117" w:lineRule="exact"/>
              <w:rPr>
                <w:sz w:val="20"/>
                <w:szCs w:val="20"/>
                <w:color w:val="auto"/>
              </w:rPr>
            </w:pPr>
            <w:r>
              <w:rPr>
                <w:rFonts w:ascii="Arial" w:cs="Arial" w:eastAsia="Arial" w:hAnsi="Arial"/>
                <w:sz w:val="11"/>
                <w:szCs w:val="11"/>
                <w:color w:val="auto"/>
              </w:rPr>
              <w:t>2,668</w:t>
            </w: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jc w:val="right"/>
              <w:spacing w:after="0" w:line="117" w:lineRule="exact"/>
              <w:rPr>
                <w:sz w:val="20"/>
                <w:szCs w:val="20"/>
                <w:color w:val="auto"/>
              </w:rPr>
            </w:pPr>
            <w:r>
              <w:rPr>
                <w:rFonts w:ascii="Arial" w:cs="Arial" w:eastAsia="Arial" w:hAnsi="Arial"/>
                <w:sz w:val="11"/>
                <w:szCs w:val="11"/>
                <w:color w:val="auto"/>
              </w:rPr>
              <w:t>1,865</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960" w:type="dxa"/>
            <w:vAlign w:val="bottom"/>
            <w:shd w:val="clear" w:color="auto" w:fill="CCEEFF"/>
          </w:tcPr>
          <w:p>
            <w:pPr>
              <w:spacing w:after="0" w:line="117" w:lineRule="exact"/>
              <w:rPr>
                <w:sz w:val="20"/>
                <w:szCs w:val="20"/>
                <w:color w:val="auto"/>
              </w:rPr>
            </w:pPr>
            <w:r>
              <w:rPr>
                <w:rFonts w:ascii="Arial" w:cs="Arial" w:eastAsia="Arial" w:hAnsi="Arial"/>
                <w:sz w:val="11"/>
                <w:szCs w:val="11"/>
                <w:color w:val="auto"/>
              </w:rPr>
              <w:t>RESTRICTED INVESTMENTS</w:t>
            </w:r>
          </w:p>
        </w:tc>
        <w:tc>
          <w:tcPr>
            <w:tcW w:w="6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80" w:type="dxa"/>
            <w:vAlign w:val="bottom"/>
            <w:shd w:val="clear" w:color="auto" w:fill="CCEEFF"/>
          </w:tcPr>
          <w:p>
            <w:pPr>
              <w:jc w:val="right"/>
              <w:spacing w:after="0" w:line="117" w:lineRule="exact"/>
              <w:rPr>
                <w:sz w:val="20"/>
                <w:szCs w:val="20"/>
                <w:color w:val="auto"/>
              </w:rPr>
            </w:pPr>
            <w:r>
              <w:rPr>
                <w:rFonts w:ascii="Arial" w:cs="Arial" w:eastAsia="Arial" w:hAnsi="Arial"/>
                <w:sz w:val="11"/>
                <w:szCs w:val="11"/>
                <w:color w:val="auto"/>
              </w:rPr>
              <w:t>13,267</w:t>
            </w:r>
          </w:p>
        </w:tc>
        <w:tc>
          <w:tcPr>
            <w:tcW w:w="2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80" w:type="dxa"/>
            <w:vAlign w:val="bottom"/>
            <w:shd w:val="clear" w:color="auto" w:fill="CCEEFF"/>
          </w:tcPr>
          <w:p>
            <w:pPr>
              <w:jc w:val="right"/>
              <w:spacing w:after="0" w:line="117" w:lineRule="exact"/>
              <w:rPr>
                <w:sz w:val="20"/>
                <w:szCs w:val="20"/>
                <w:color w:val="auto"/>
              </w:rPr>
            </w:pPr>
            <w:r>
              <w:rPr>
                <w:rFonts w:ascii="Arial" w:cs="Arial" w:eastAsia="Arial" w:hAnsi="Arial"/>
                <w:sz w:val="11"/>
                <w:szCs w:val="11"/>
                <w:color w:val="auto"/>
              </w:rPr>
              <w:t>8,359</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960" w:type="dxa"/>
            <w:vAlign w:val="bottom"/>
          </w:tcPr>
          <w:p>
            <w:pPr>
              <w:spacing w:after="0" w:line="117" w:lineRule="exact"/>
              <w:rPr>
                <w:sz w:val="20"/>
                <w:szCs w:val="20"/>
                <w:color w:val="auto"/>
              </w:rPr>
            </w:pPr>
            <w:r>
              <w:rPr>
                <w:rFonts w:ascii="Arial" w:cs="Arial" w:eastAsia="Arial" w:hAnsi="Arial"/>
                <w:sz w:val="11"/>
                <w:szCs w:val="11"/>
                <w:color w:val="auto"/>
              </w:rPr>
              <w:t>OTHER ASSETS</w:t>
            </w: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jc w:val="right"/>
              <w:spacing w:after="0" w:line="117" w:lineRule="exact"/>
              <w:rPr>
                <w:sz w:val="20"/>
                <w:szCs w:val="20"/>
                <w:color w:val="auto"/>
              </w:rPr>
            </w:pPr>
            <w:r>
              <w:rPr>
                <w:rFonts w:ascii="Arial" w:cs="Arial" w:eastAsia="Arial" w:hAnsi="Arial"/>
                <w:sz w:val="11"/>
                <w:szCs w:val="11"/>
                <w:color w:val="auto"/>
              </w:rPr>
              <w:t>8,662</w:t>
            </w: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jc w:val="right"/>
              <w:spacing w:after="0" w:line="117" w:lineRule="exact"/>
              <w:rPr>
                <w:sz w:val="20"/>
                <w:szCs w:val="20"/>
                <w:color w:val="auto"/>
              </w:rPr>
            </w:pPr>
            <w:r>
              <w:rPr>
                <w:rFonts w:ascii="Arial" w:cs="Arial" w:eastAsia="Arial" w:hAnsi="Arial"/>
                <w:sz w:val="11"/>
                <w:szCs w:val="11"/>
                <w:color w:val="auto"/>
              </w:rPr>
              <w:t>7,368</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960" w:type="dxa"/>
            <w:vAlign w:val="bottom"/>
            <w:shd w:val="clear" w:color="auto" w:fill="CCEEFF"/>
          </w:tcPr>
          <w:p>
            <w:pPr>
              <w:spacing w:after="0" w:line="117" w:lineRule="exact"/>
              <w:rPr>
                <w:sz w:val="20"/>
                <w:szCs w:val="20"/>
                <w:color w:val="auto"/>
              </w:rPr>
            </w:pPr>
            <w:r>
              <w:rPr>
                <w:rFonts w:ascii="Arial" w:cs="Arial" w:eastAsia="Arial" w:hAnsi="Arial"/>
                <w:sz w:val="11"/>
                <w:szCs w:val="11"/>
                <w:color w:val="auto"/>
              </w:rPr>
              <w:t>GOODWILL</w:t>
            </w:r>
          </w:p>
        </w:tc>
        <w:tc>
          <w:tcPr>
            <w:tcW w:w="6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80" w:type="dxa"/>
            <w:vAlign w:val="bottom"/>
            <w:shd w:val="clear" w:color="auto" w:fill="CCEEFF"/>
          </w:tcPr>
          <w:p>
            <w:pPr>
              <w:jc w:val="right"/>
              <w:spacing w:after="0" w:line="117" w:lineRule="exact"/>
              <w:rPr>
                <w:sz w:val="20"/>
                <w:szCs w:val="20"/>
                <w:color w:val="auto"/>
              </w:rPr>
            </w:pPr>
            <w:r>
              <w:rPr>
                <w:rFonts w:ascii="Arial" w:cs="Arial" w:eastAsia="Arial" w:hAnsi="Arial"/>
                <w:sz w:val="11"/>
                <w:szCs w:val="11"/>
                <w:color w:val="auto"/>
              </w:rPr>
              <w:t>224,117</w:t>
            </w:r>
          </w:p>
        </w:tc>
        <w:tc>
          <w:tcPr>
            <w:tcW w:w="2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80" w:type="dxa"/>
            <w:vAlign w:val="bottom"/>
            <w:shd w:val="clear" w:color="auto" w:fill="CCEEFF"/>
          </w:tcPr>
          <w:p>
            <w:pPr>
              <w:jc w:val="right"/>
              <w:spacing w:after="0" w:line="117" w:lineRule="exact"/>
              <w:rPr>
                <w:sz w:val="20"/>
                <w:szCs w:val="20"/>
                <w:color w:val="auto"/>
              </w:rPr>
            </w:pPr>
            <w:r>
              <w:rPr>
                <w:rFonts w:ascii="Arial" w:cs="Arial" w:eastAsia="Arial" w:hAnsi="Arial"/>
                <w:sz w:val="11"/>
                <w:szCs w:val="11"/>
                <w:color w:val="auto"/>
              </w:rPr>
              <w:t>212,644</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960" w:type="dxa"/>
            <w:vAlign w:val="bottom"/>
          </w:tcPr>
          <w:p>
            <w:pPr>
              <w:spacing w:after="0" w:line="117" w:lineRule="exact"/>
              <w:rPr>
                <w:sz w:val="20"/>
                <w:szCs w:val="20"/>
                <w:color w:val="auto"/>
              </w:rPr>
            </w:pPr>
            <w:r>
              <w:rPr>
                <w:rFonts w:ascii="Arial" w:cs="Arial" w:eastAsia="Arial" w:hAnsi="Arial"/>
                <w:sz w:val="11"/>
                <w:szCs w:val="11"/>
                <w:color w:val="auto"/>
              </w:rPr>
              <w:t>INDEFINITE-LIVED INTANGIBLE ASSETS</w:t>
            </w: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jc w:val="right"/>
              <w:spacing w:after="0" w:line="117" w:lineRule="exact"/>
              <w:rPr>
                <w:sz w:val="20"/>
                <w:szCs w:val="20"/>
                <w:color w:val="auto"/>
              </w:rPr>
            </w:pPr>
            <w:r>
              <w:rPr>
                <w:rFonts w:ascii="Arial" w:cs="Arial" w:eastAsia="Arial" w:hAnsi="Arial"/>
                <w:sz w:val="11"/>
                <w:szCs w:val="11"/>
                <w:color w:val="auto"/>
              </w:rPr>
              <w:t>7,360</w:t>
            </w: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jc w:val="right"/>
              <w:spacing w:after="0" w:line="117" w:lineRule="exact"/>
              <w:rPr>
                <w:sz w:val="20"/>
                <w:szCs w:val="20"/>
                <w:color w:val="auto"/>
              </w:rPr>
            </w:pPr>
            <w:r>
              <w:rPr>
                <w:rFonts w:ascii="Arial" w:cs="Arial" w:eastAsia="Arial" w:hAnsi="Arial"/>
                <w:sz w:val="11"/>
                <w:szCs w:val="11"/>
                <w:color w:val="auto"/>
              </w:rPr>
              <w:t>7,415</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960" w:type="dxa"/>
            <w:vAlign w:val="bottom"/>
            <w:shd w:val="clear" w:color="auto" w:fill="CCEEFF"/>
          </w:tcPr>
          <w:p>
            <w:pPr>
              <w:spacing w:after="0" w:line="117" w:lineRule="exact"/>
              <w:rPr>
                <w:sz w:val="20"/>
                <w:szCs w:val="20"/>
                <w:color w:val="auto"/>
              </w:rPr>
            </w:pPr>
            <w:r>
              <w:rPr>
                <w:rFonts w:ascii="Arial" w:cs="Arial" w:eastAsia="Arial" w:hAnsi="Arial"/>
                <w:sz w:val="11"/>
                <w:szCs w:val="11"/>
                <w:color w:val="auto"/>
              </w:rPr>
              <w:t>OTHER INTANGIBLE ASSETS, NET</w:t>
            </w:r>
          </w:p>
        </w:tc>
        <w:tc>
          <w:tcPr>
            <w:tcW w:w="6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80" w:type="dxa"/>
            <w:vAlign w:val="bottom"/>
            <w:shd w:val="clear" w:color="auto" w:fill="CCEEFF"/>
          </w:tcPr>
          <w:p>
            <w:pPr>
              <w:jc w:val="right"/>
              <w:spacing w:after="0" w:line="117" w:lineRule="exact"/>
              <w:rPr>
                <w:sz w:val="20"/>
                <w:szCs w:val="20"/>
                <w:color w:val="auto"/>
              </w:rPr>
            </w:pPr>
            <w:r>
              <w:rPr>
                <w:rFonts w:ascii="Arial" w:cs="Arial" w:eastAsia="Arial" w:hAnsi="Arial"/>
                <w:sz w:val="11"/>
                <w:szCs w:val="11"/>
                <w:color w:val="auto"/>
              </w:rPr>
              <w:t>41,486</w:t>
            </w:r>
          </w:p>
        </w:tc>
        <w:tc>
          <w:tcPr>
            <w:tcW w:w="2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80" w:type="dxa"/>
            <w:vAlign w:val="bottom"/>
            <w:shd w:val="clear" w:color="auto" w:fill="CCEEFF"/>
          </w:tcPr>
          <w:p>
            <w:pPr>
              <w:jc w:val="right"/>
              <w:spacing w:after="0" w:line="117" w:lineRule="exact"/>
              <w:rPr>
                <w:sz w:val="20"/>
                <w:szCs w:val="20"/>
                <w:color w:val="auto"/>
              </w:rPr>
            </w:pPr>
            <w:r>
              <w:rPr>
                <w:rFonts w:ascii="Arial" w:cs="Arial" w:eastAsia="Arial" w:hAnsi="Arial"/>
                <w:sz w:val="11"/>
                <w:szCs w:val="11"/>
                <w:color w:val="auto"/>
              </w:rPr>
              <w:t>34,910</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960" w:type="dxa"/>
            <w:vAlign w:val="bottom"/>
          </w:tcPr>
          <w:p>
            <w:pPr>
              <w:spacing w:after="0" w:line="117" w:lineRule="exact"/>
              <w:rPr>
                <w:sz w:val="20"/>
                <w:szCs w:val="20"/>
                <w:color w:val="auto"/>
              </w:rPr>
            </w:pPr>
            <w:r>
              <w:rPr>
                <w:rFonts w:ascii="Arial" w:cs="Arial" w:eastAsia="Arial" w:hAnsi="Arial"/>
                <w:sz w:val="11"/>
                <w:szCs w:val="11"/>
                <w:color w:val="auto"/>
              </w:rPr>
              <w:t>PROPERTY, PLANT AND EQUIPMENT:</w:t>
            </w: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960" w:type="dxa"/>
            <w:vAlign w:val="bottom"/>
            <w:shd w:val="clear" w:color="auto" w:fill="CCEEFF"/>
          </w:tcPr>
          <w:p>
            <w:pPr>
              <w:ind w:left="40"/>
              <w:spacing w:after="0" w:line="117" w:lineRule="exact"/>
              <w:rPr>
                <w:sz w:val="20"/>
                <w:szCs w:val="20"/>
                <w:color w:val="auto"/>
              </w:rPr>
            </w:pPr>
            <w:r>
              <w:rPr>
                <w:rFonts w:ascii="Arial" w:cs="Arial" w:eastAsia="Arial" w:hAnsi="Arial"/>
                <w:sz w:val="11"/>
                <w:szCs w:val="11"/>
                <w:color w:val="auto"/>
              </w:rPr>
              <w:t>Land and improvements</w:t>
            </w:r>
          </w:p>
        </w:tc>
        <w:tc>
          <w:tcPr>
            <w:tcW w:w="6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80" w:type="dxa"/>
            <w:vAlign w:val="bottom"/>
            <w:shd w:val="clear" w:color="auto" w:fill="CCEEFF"/>
          </w:tcPr>
          <w:p>
            <w:pPr>
              <w:jc w:val="right"/>
              <w:spacing w:after="0" w:line="117" w:lineRule="exact"/>
              <w:rPr>
                <w:sz w:val="20"/>
                <w:szCs w:val="20"/>
                <w:color w:val="auto"/>
              </w:rPr>
            </w:pPr>
            <w:r>
              <w:rPr>
                <w:rFonts w:ascii="Arial" w:cs="Arial" w:eastAsia="Arial" w:hAnsi="Arial"/>
                <w:sz w:val="11"/>
                <w:szCs w:val="11"/>
                <w:color w:val="auto"/>
              </w:rPr>
              <w:t>120,324</w:t>
            </w:r>
          </w:p>
        </w:tc>
        <w:tc>
          <w:tcPr>
            <w:tcW w:w="2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80" w:type="dxa"/>
            <w:vAlign w:val="bottom"/>
            <w:shd w:val="clear" w:color="auto" w:fill="CCEEFF"/>
          </w:tcPr>
          <w:p>
            <w:pPr>
              <w:jc w:val="right"/>
              <w:spacing w:after="0" w:line="117" w:lineRule="exact"/>
              <w:rPr>
                <w:sz w:val="20"/>
                <w:szCs w:val="20"/>
                <w:color w:val="auto"/>
              </w:rPr>
            </w:pPr>
            <w:r>
              <w:rPr>
                <w:rFonts w:ascii="Arial" w:cs="Arial" w:eastAsia="Arial" w:hAnsi="Arial"/>
                <w:sz w:val="11"/>
                <w:szCs w:val="11"/>
                <w:color w:val="auto"/>
              </w:rPr>
              <w:t>134,916</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960" w:type="dxa"/>
            <w:vAlign w:val="bottom"/>
          </w:tcPr>
          <w:p>
            <w:pPr>
              <w:ind w:left="40"/>
              <w:spacing w:after="0" w:line="117" w:lineRule="exact"/>
              <w:rPr>
                <w:sz w:val="20"/>
                <w:szCs w:val="20"/>
                <w:color w:val="auto"/>
              </w:rPr>
            </w:pPr>
            <w:r>
              <w:rPr>
                <w:rFonts w:ascii="Arial" w:cs="Arial" w:eastAsia="Arial" w:hAnsi="Arial"/>
                <w:sz w:val="11"/>
                <w:szCs w:val="11"/>
                <w:color w:val="auto"/>
              </w:rPr>
              <w:t>Building and improvements</w:t>
            </w: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jc w:val="right"/>
              <w:spacing w:after="0" w:line="117" w:lineRule="exact"/>
              <w:rPr>
                <w:sz w:val="20"/>
                <w:szCs w:val="20"/>
                <w:color w:val="auto"/>
              </w:rPr>
            </w:pPr>
            <w:r>
              <w:rPr>
                <w:rFonts w:ascii="Arial" w:cs="Arial" w:eastAsia="Arial" w:hAnsi="Arial"/>
                <w:sz w:val="11"/>
                <w:szCs w:val="11"/>
                <w:color w:val="auto"/>
              </w:rPr>
              <w:t>239,906</w:t>
            </w: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jc w:val="right"/>
              <w:spacing w:after="0" w:line="117" w:lineRule="exact"/>
              <w:rPr>
                <w:sz w:val="20"/>
                <w:szCs w:val="20"/>
                <w:color w:val="auto"/>
              </w:rPr>
            </w:pPr>
            <w:r>
              <w:rPr>
                <w:rFonts w:ascii="Arial" w:cs="Arial" w:eastAsia="Arial" w:hAnsi="Arial"/>
                <w:sz w:val="11"/>
                <w:szCs w:val="11"/>
                <w:color w:val="auto"/>
              </w:rPr>
              <w:t>213,384</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960" w:type="dxa"/>
            <w:vAlign w:val="bottom"/>
            <w:shd w:val="clear" w:color="auto" w:fill="CCEEFF"/>
          </w:tcPr>
          <w:p>
            <w:pPr>
              <w:ind w:left="40"/>
              <w:spacing w:after="0" w:line="117" w:lineRule="exact"/>
              <w:rPr>
                <w:sz w:val="20"/>
                <w:szCs w:val="20"/>
                <w:color w:val="auto"/>
              </w:rPr>
            </w:pPr>
            <w:r>
              <w:rPr>
                <w:rFonts w:ascii="Arial" w:cs="Arial" w:eastAsia="Arial" w:hAnsi="Arial"/>
                <w:sz w:val="11"/>
                <w:szCs w:val="11"/>
                <w:color w:val="auto"/>
              </w:rPr>
              <w:t>Machinery and equipment</w:t>
            </w:r>
          </w:p>
        </w:tc>
        <w:tc>
          <w:tcPr>
            <w:tcW w:w="6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80" w:type="dxa"/>
            <w:vAlign w:val="bottom"/>
            <w:shd w:val="clear" w:color="auto" w:fill="CCEEFF"/>
          </w:tcPr>
          <w:p>
            <w:pPr>
              <w:jc w:val="right"/>
              <w:spacing w:after="0" w:line="117" w:lineRule="exact"/>
              <w:rPr>
                <w:sz w:val="20"/>
                <w:szCs w:val="20"/>
                <w:color w:val="auto"/>
              </w:rPr>
            </w:pPr>
            <w:r>
              <w:rPr>
                <w:rFonts w:ascii="Arial" w:cs="Arial" w:eastAsia="Arial" w:hAnsi="Arial"/>
                <w:sz w:val="11"/>
                <w:szCs w:val="11"/>
                <w:color w:val="auto"/>
              </w:rPr>
              <w:t>419,115</w:t>
            </w:r>
          </w:p>
        </w:tc>
        <w:tc>
          <w:tcPr>
            <w:tcW w:w="2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80" w:type="dxa"/>
            <w:vAlign w:val="bottom"/>
            <w:shd w:val="clear" w:color="auto" w:fill="CCEEFF"/>
          </w:tcPr>
          <w:p>
            <w:pPr>
              <w:jc w:val="right"/>
              <w:spacing w:after="0" w:line="117" w:lineRule="exact"/>
              <w:rPr>
                <w:sz w:val="20"/>
                <w:szCs w:val="20"/>
                <w:color w:val="auto"/>
              </w:rPr>
            </w:pPr>
            <w:r>
              <w:rPr>
                <w:rFonts w:ascii="Arial" w:cs="Arial" w:eastAsia="Arial" w:hAnsi="Arial"/>
                <w:sz w:val="11"/>
                <w:szCs w:val="11"/>
                <w:color w:val="auto"/>
              </w:rPr>
              <w:t>372,628</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960" w:type="dxa"/>
            <w:vAlign w:val="bottom"/>
          </w:tcPr>
          <w:p>
            <w:pPr>
              <w:ind w:left="40"/>
              <w:spacing w:after="0" w:line="117" w:lineRule="exact"/>
              <w:rPr>
                <w:sz w:val="20"/>
                <w:szCs w:val="20"/>
                <w:color w:val="auto"/>
              </w:rPr>
            </w:pPr>
            <w:r>
              <w:rPr>
                <w:rFonts w:ascii="Arial" w:cs="Arial" w:eastAsia="Arial" w:hAnsi="Arial"/>
                <w:sz w:val="11"/>
                <w:szCs w:val="11"/>
                <w:color w:val="auto"/>
              </w:rPr>
              <w:t>Furniture and fixtures</w:t>
            </w: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jc w:val="right"/>
              <w:spacing w:after="0" w:line="117" w:lineRule="exact"/>
              <w:rPr>
                <w:sz w:val="20"/>
                <w:szCs w:val="20"/>
                <w:color w:val="auto"/>
              </w:rPr>
            </w:pPr>
            <w:r>
              <w:rPr>
                <w:rFonts w:ascii="Arial" w:cs="Arial" w:eastAsia="Arial" w:hAnsi="Arial"/>
                <w:sz w:val="11"/>
                <w:szCs w:val="11"/>
                <w:color w:val="auto"/>
              </w:rPr>
              <w:t>16,960</w:t>
            </w: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jc w:val="right"/>
              <w:spacing w:after="0" w:line="117" w:lineRule="exact"/>
              <w:rPr>
                <w:sz w:val="20"/>
                <w:szCs w:val="20"/>
                <w:color w:val="auto"/>
              </w:rPr>
            </w:pPr>
            <w:r>
              <w:rPr>
                <w:rFonts w:ascii="Arial" w:cs="Arial" w:eastAsia="Arial" w:hAnsi="Arial"/>
                <w:sz w:val="11"/>
                <w:szCs w:val="11"/>
                <w:color w:val="auto"/>
              </w:rPr>
              <w:t>25,251</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5960" w:type="dxa"/>
            <w:vAlign w:val="bottom"/>
            <w:tcBorders>
              <w:bottom w:val="single" w:sz="8" w:color="CCEEFF"/>
            </w:tcBorders>
            <w:shd w:val="clear" w:color="auto" w:fill="CCEEFF"/>
          </w:tcPr>
          <w:p>
            <w:pPr>
              <w:ind w:left="40"/>
              <w:spacing w:after="0" w:line="117" w:lineRule="exact"/>
              <w:rPr>
                <w:sz w:val="20"/>
                <w:szCs w:val="20"/>
                <w:color w:val="auto"/>
              </w:rPr>
            </w:pPr>
            <w:r>
              <w:rPr>
                <w:rFonts w:ascii="Arial" w:cs="Arial" w:eastAsia="Arial" w:hAnsi="Arial"/>
                <w:sz w:val="11"/>
                <w:szCs w:val="11"/>
                <w:color w:val="auto"/>
              </w:rPr>
              <w:t>Construction in progress</w:t>
            </w:r>
          </w:p>
        </w:tc>
        <w:tc>
          <w:tcPr>
            <w:tcW w:w="60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980" w:type="dxa"/>
            <w:vAlign w:val="bottom"/>
            <w:tcBorders>
              <w:bottom w:val="single" w:sz="8" w:color="auto"/>
            </w:tcBorders>
            <w:shd w:val="clear" w:color="auto" w:fill="CCEEFF"/>
          </w:tcPr>
          <w:p>
            <w:pPr>
              <w:jc w:val="right"/>
              <w:spacing w:after="0" w:line="117" w:lineRule="exact"/>
              <w:rPr>
                <w:sz w:val="20"/>
                <w:szCs w:val="20"/>
                <w:color w:val="auto"/>
              </w:rPr>
            </w:pPr>
            <w:r>
              <w:rPr>
                <w:rFonts w:ascii="Arial" w:cs="Arial" w:eastAsia="Arial" w:hAnsi="Arial"/>
                <w:sz w:val="11"/>
                <w:szCs w:val="11"/>
                <w:color w:val="auto"/>
              </w:rPr>
              <w:t>18,340</w:t>
            </w:r>
          </w:p>
        </w:tc>
        <w:tc>
          <w:tcPr>
            <w:tcW w:w="24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980" w:type="dxa"/>
            <w:vAlign w:val="bottom"/>
            <w:tcBorders>
              <w:bottom w:val="single" w:sz="8" w:color="auto"/>
            </w:tcBorders>
            <w:shd w:val="clear" w:color="auto" w:fill="CCEEFF"/>
          </w:tcPr>
          <w:p>
            <w:pPr>
              <w:jc w:val="right"/>
              <w:spacing w:after="0" w:line="117" w:lineRule="exact"/>
              <w:rPr>
                <w:sz w:val="20"/>
                <w:szCs w:val="20"/>
                <w:color w:val="auto"/>
              </w:rPr>
            </w:pPr>
            <w:r>
              <w:rPr>
                <w:rFonts w:ascii="Arial" w:cs="Arial" w:eastAsia="Arial" w:hAnsi="Arial"/>
                <w:sz w:val="11"/>
                <w:szCs w:val="11"/>
                <w:color w:val="auto"/>
              </w:rPr>
              <w:t>16,922</w:t>
            </w: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5960" w:type="dxa"/>
            <w:vAlign w:val="bottom"/>
          </w:tcPr>
          <w:p>
            <w:pPr>
              <w:ind w:left="320"/>
              <w:spacing w:after="0" w:line="99" w:lineRule="exact"/>
              <w:rPr>
                <w:sz w:val="20"/>
                <w:szCs w:val="20"/>
                <w:color w:val="auto"/>
              </w:rPr>
            </w:pPr>
            <w:r>
              <w:rPr>
                <w:rFonts w:ascii="Arial" w:cs="Arial" w:eastAsia="Arial" w:hAnsi="Arial"/>
                <w:sz w:val="11"/>
                <w:szCs w:val="11"/>
                <w:color w:val="auto"/>
              </w:rPr>
              <w:t>PROPERTY, PLANT AND EQUIPMENT,GROSS</w:t>
            </w: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80" w:type="dxa"/>
            <w:vAlign w:val="bottom"/>
          </w:tcPr>
          <w:p>
            <w:pPr>
              <w:jc w:val="right"/>
              <w:spacing w:after="0" w:line="99" w:lineRule="exact"/>
              <w:rPr>
                <w:sz w:val="20"/>
                <w:szCs w:val="20"/>
                <w:color w:val="auto"/>
              </w:rPr>
            </w:pPr>
            <w:r>
              <w:rPr>
                <w:rFonts w:ascii="Arial" w:cs="Arial" w:eastAsia="Arial" w:hAnsi="Arial"/>
                <w:sz w:val="11"/>
                <w:szCs w:val="11"/>
                <w:color w:val="auto"/>
              </w:rPr>
              <w:t>814,645</w:t>
            </w: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980" w:type="dxa"/>
            <w:vAlign w:val="bottom"/>
          </w:tcPr>
          <w:p>
            <w:pPr>
              <w:jc w:val="right"/>
              <w:spacing w:after="0" w:line="99" w:lineRule="exact"/>
              <w:rPr>
                <w:sz w:val="20"/>
                <w:szCs w:val="20"/>
                <w:color w:val="auto"/>
              </w:rPr>
            </w:pPr>
            <w:r>
              <w:rPr>
                <w:rFonts w:ascii="Arial" w:cs="Arial" w:eastAsia="Arial" w:hAnsi="Arial"/>
                <w:sz w:val="11"/>
                <w:szCs w:val="11"/>
                <w:color w:val="auto"/>
              </w:rPr>
              <w:t>763,101</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5960" w:type="dxa"/>
            <w:vAlign w:val="bottom"/>
            <w:tcBorders>
              <w:bottom w:val="single" w:sz="8" w:color="CCEEFF"/>
            </w:tcBorders>
            <w:shd w:val="clear" w:color="auto" w:fill="CCEEFF"/>
          </w:tcPr>
          <w:p>
            <w:pPr>
              <w:ind w:left="80"/>
              <w:spacing w:after="0" w:line="117" w:lineRule="exact"/>
              <w:rPr>
                <w:sz w:val="20"/>
                <w:szCs w:val="20"/>
                <w:color w:val="auto"/>
              </w:rPr>
            </w:pPr>
            <w:r>
              <w:rPr>
                <w:rFonts w:ascii="Arial" w:cs="Arial" w:eastAsia="Arial" w:hAnsi="Arial"/>
                <w:sz w:val="11"/>
                <w:szCs w:val="11"/>
                <w:color w:val="auto"/>
              </w:rPr>
              <w:t>Less accumulated depreciation and amortization</w:t>
            </w:r>
          </w:p>
        </w:tc>
        <w:tc>
          <w:tcPr>
            <w:tcW w:w="60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980" w:type="dxa"/>
            <w:vAlign w:val="bottom"/>
            <w:tcBorders>
              <w:bottom w:val="single" w:sz="8" w:color="auto"/>
            </w:tcBorders>
            <w:shd w:val="clear" w:color="auto" w:fill="CCEEFF"/>
          </w:tcPr>
          <w:p>
            <w:pPr>
              <w:jc w:val="right"/>
              <w:spacing w:after="0" w:line="117" w:lineRule="exact"/>
              <w:rPr>
                <w:sz w:val="20"/>
                <w:szCs w:val="20"/>
                <w:color w:val="auto"/>
              </w:rPr>
            </w:pPr>
            <w:r>
              <w:rPr>
                <w:rFonts w:ascii="Arial" w:cs="Arial" w:eastAsia="Arial" w:hAnsi="Arial"/>
                <w:sz w:val="11"/>
                <w:szCs w:val="11"/>
                <w:color w:val="auto"/>
              </w:rPr>
              <w:t>(459,935)</w:t>
            </w:r>
          </w:p>
        </w:tc>
        <w:tc>
          <w:tcPr>
            <w:tcW w:w="24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980" w:type="dxa"/>
            <w:vAlign w:val="bottom"/>
            <w:tcBorders>
              <w:bottom w:val="single" w:sz="8" w:color="auto"/>
            </w:tcBorders>
            <w:shd w:val="clear" w:color="auto" w:fill="CCEEFF"/>
          </w:tcPr>
          <w:p>
            <w:pPr>
              <w:jc w:val="right"/>
              <w:spacing w:after="0" w:line="117" w:lineRule="exact"/>
              <w:rPr>
                <w:sz w:val="20"/>
                <w:szCs w:val="20"/>
                <w:color w:val="auto"/>
              </w:rPr>
            </w:pPr>
            <w:r>
              <w:rPr>
                <w:rFonts w:ascii="Arial" w:cs="Arial" w:eastAsia="Arial" w:hAnsi="Arial"/>
                <w:sz w:val="11"/>
                <w:szCs w:val="11"/>
                <w:color w:val="auto"/>
              </w:rPr>
              <w:t>(434,472)</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5960" w:type="dxa"/>
            <w:vAlign w:val="bottom"/>
            <w:tcBorders>
              <w:bottom w:val="single" w:sz="8" w:color="CCEEFF"/>
            </w:tcBorders>
          </w:tcPr>
          <w:p>
            <w:pPr>
              <w:ind w:left="280"/>
              <w:spacing w:after="0" w:line="99" w:lineRule="exact"/>
              <w:rPr>
                <w:sz w:val="20"/>
                <w:szCs w:val="20"/>
                <w:color w:val="auto"/>
              </w:rPr>
            </w:pPr>
            <w:r>
              <w:rPr>
                <w:rFonts w:ascii="Arial" w:cs="Arial" w:eastAsia="Arial" w:hAnsi="Arial"/>
                <w:sz w:val="11"/>
                <w:szCs w:val="11"/>
                <w:color w:val="auto"/>
              </w:rPr>
              <w:t>PROPERTY, PLANT AND EQUIPMENT, NET</w:t>
            </w:r>
          </w:p>
        </w:tc>
        <w:tc>
          <w:tcPr>
            <w:tcW w:w="600" w:type="dxa"/>
            <w:vAlign w:val="bottom"/>
            <w:tcBorders>
              <w:bottom w:val="single" w:sz="8" w:color="CCEEFF"/>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jc w:val="right"/>
              <w:spacing w:after="0" w:line="99" w:lineRule="exact"/>
              <w:rPr>
                <w:sz w:val="20"/>
                <w:szCs w:val="20"/>
                <w:color w:val="auto"/>
              </w:rPr>
            </w:pPr>
            <w:r>
              <w:rPr>
                <w:rFonts w:ascii="Arial" w:cs="Arial" w:eastAsia="Arial" w:hAnsi="Arial"/>
                <w:sz w:val="11"/>
                <w:szCs w:val="11"/>
                <w:color w:val="auto"/>
              </w:rPr>
              <w:t>354,710</w:t>
            </w:r>
          </w:p>
        </w:tc>
        <w:tc>
          <w:tcPr>
            <w:tcW w:w="240" w:type="dxa"/>
            <w:vAlign w:val="bottom"/>
            <w:tcBorders>
              <w:bottom w:val="single" w:sz="8" w:color="CCEEFF"/>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jc w:val="right"/>
              <w:spacing w:after="0" w:line="99" w:lineRule="exact"/>
              <w:rPr>
                <w:sz w:val="20"/>
                <w:szCs w:val="20"/>
                <w:color w:val="auto"/>
              </w:rPr>
            </w:pPr>
            <w:r>
              <w:rPr>
                <w:rFonts w:ascii="Arial" w:cs="Arial" w:eastAsia="Arial" w:hAnsi="Arial"/>
                <w:sz w:val="11"/>
                <w:szCs w:val="11"/>
                <w:color w:val="auto"/>
              </w:rPr>
              <w:t>328,629</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596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TOTAL ASSETS</w:t>
            </w:r>
          </w:p>
        </w:tc>
        <w:tc>
          <w:tcPr>
            <w:tcW w:w="760" w:type="dxa"/>
            <w:vAlign w:val="bottom"/>
            <w:gridSpan w:val="2"/>
            <w:shd w:val="clear" w:color="auto" w:fill="CCEEFF"/>
          </w:tcPr>
          <w:p>
            <w:pPr>
              <w:jc w:val="right"/>
              <w:ind w:right="49"/>
              <w:spacing w:after="0"/>
              <w:rPr>
                <w:sz w:val="20"/>
                <w:szCs w:val="20"/>
                <w:color w:val="auto"/>
              </w:rPr>
            </w:pPr>
            <w:r>
              <w:rPr>
                <w:rFonts w:ascii="Arial" w:cs="Arial" w:eastAsia="Arial" w:hAnsi="Arial"/>
                <w:sz w:val="11"/>
                <w:szCs w:val="11"/>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1,647,548</w:t>
            </w:r>
          </w:p>
        </w:tc>
        <w:tc>
          <w:tcPr>
            <w:tcW w:w="400" w:type="dxa"/>
            <w:vAlign w:val="bottom"/>
            <w:gridSpan w:val="2"/>
            <w:shd w:val="clear" w:color="auto" w:fill="CCEEFF"/>
          </w:tcPr>
          <w:p>
            <w:pPr>
              <w:jc w:val="right"/>
              <w:ind w:right="49"/>
              <w:spacing w:after="0"/>
              <w:rPr>
                <w:sz w:val="20"/>
                <w:szCs w:val="20"/>
                <w:color w:val="auto"/>
              </w:rPr>
            </w:pPr>
            <w:r>
              <w:rPr>
                <w:rFonts w:ascii="Arial" w:cs="Arial" w:eastAsia="Arial" w:hAnsi="Arial"/>
                <w:sz w:val="11"/>
                <w:szCs w:val="11"/>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1,464,677</w:t>
            </w: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5960" w:type="dxa"/>
            <w:vAlign w:val="bottom"/>
            <w:tcBorders>
              <w:top w:val="single" w:sz="8" w:color="CCEEFF"/>
            </w:tcBorders>
          </w:tcPr>
          <w:p>
            <w:pPr>
              <w:spacing w:after="0" w:line="99" w:lineRule="exact"/>
              <w:rPr>
                <w:sz w:val="20"/>
                <w:szCs w:val="20"/>
                <w:color w:val="auto"/>
              </w:rPr>
            </w:pPr>
            <w:r>
              <w:rPr>
                <w:rFonts w:ascii="Arial" w:cs="Arial" w:eastAsia="Arial" w:hAnsi="Arial"/>
                <w:sz w:val="11"/>
                <w:szCs w:val="11"/>
                <w:b w:val="1"/>
                <w:bCs w:val="1"/>
                <w:color w:val="auto"/>
              </w:rPr>
              <w:t>LIABILITIES AND SHAREHOLDERS’ EQUITY</w:t>
            </w:r>
          </w:p>
        </w:tc>
        <w:tc>
          <w:tcPr>
            <w:tcW w:w="600" w:type="dxa"/>
            <w:vAlign w:val="bottom"/>
            <w:tcBorders>
              <w:top w:val="single" w:sz="8" w:color="CCEEFF"/>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980" w:type="dxa"/>
            <w:vAlign w:val="bottom"/>
            <w:tcBorders>
              <w:top w:val="single" w:sz="8" w:color="auto"/>
            </w:tcBorders>
          </w:tcPr>
          <w:p>
            <w:pPr>
              <w:spacing w:after="0"/>
              <w:rPr>
                <w:sz w:val="8"/>
                <w:szCs w:val="8"/>
                <w:color w:val="auto"/>
              </w:rPr>
            </w:pPr>
          </w:p>
        </w:tc>
        <w:tc>
          <w:tcPr>
            <w:tcW w:w="240" w:type="dxa"/>
            <w:vAlign w:val="bottom"/>
            <w:tcBorders>
              <w:top w:val="single" w:sz="8" w:color="CCEEFF"/>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98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960" w:type="dxa"/>
            <w:vAlign w:val="bottom"/>
            <w:shd w:val="clear" w:color="auto" w:fill="CCEEFF"/>
          </w:tcPr>
          <w:p>
            <w:pPr>
              <w:spacing w:after="0" w:line="117" w:lineRule="exact"/>
              <w:rPr>
                <w:sz w:val="20"/>
                <w:szCs w:val="20"/>
                <w:color w:val="auto"/>
              </w:rPr>
            </w:pPr>
            <w:r>
              <w:rPr>
                <w:rFonts w:ascii="Arial" w:cs="Arial" w:eastAsia="Arial" w:hAnsi="Arial"/>
                <w:sz w:val="11"/>
                <w:szCs w:val="11"/>
                <w:color w:val="auto"/>
              </w:rPr>
              <w:t>CURRENT LIABILITIES:</w:t>
            </w:r>
          </w:p>
        </w:tc>
        <w:tc>
          <w:tcPr>
            <w:tcW w:w="6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960" w:type="dxa"/>
            <w:vAlign w:val="bottom"/>
          </w:tcPr>
          <w:p>
            <w:pPr>
              <w:ind w:left="80"/>
              <w:spacing w:after="0" w:line="117" w:lineRule="exact"/>
              <w:rPr>
                <w:sz w:val="20"/>
                <w:szCs w:val="20"/>
                <w:color w:val="auto"/>
              </w:rPr>
            </w:pPr>
            <w:r>
              <w:rPr>
                <w:rFonts w:ascii="Arial" w:cs="Arial" w:eastAsia="Arial" w:hAnsi="Arial"/>
                <w:sz w:val="11"/>
                <w:szCs w:val="11"/>
                <w:color w:val="auto"/>
              </w:rPr>
              <w:t>Cash overdraft</w:t>
            </w:r>
          </w:p>
        </w:tc>
        <w:tc>
          <w:tcPr>
            <w:tcW w:w="760" w:type="dxa"/>
            <w:vAlign w:val="bottom"/>
            <w:gridSpan w:val="2"/>
          </w:tcPr>
          <w:p>
            <w:pPr>
              <w:jc w:val="right"/>
              <w:ind w:right="49"/>
              <w:spacing w:after="0" w:line="117" w:lineRule="exact"/>
              <w:rPr>
                <w:sz w:val="20"/>
                <w:szCs w:val="20"/>
                <w:color w:val="auto"/>
              </w:rPr>
            </w:pPr>
            <w:r>
              <w:rPr>
                <w:rFonts w:ascii="Arial" w:cs="Arial" w:eastAsia="Arial" w:hAnsi="Arial"/>
                <w:sz w:val="11"/>
                <w:szCs w:val="11"/>
                <w:color w:val="auto"/>
              </w:rPr>
              <w:t>$</w:t>
            </w:r>
          </w:p>
        </w:tc>
        <w:tc>
          <w:tcPr>
            <w:tcW w:w="980" w:type="dxa"/>
            <w:vAlign w:val="bottom"/>
          </w:tcPr>
          <w:p>
            <w:pPr>
              <w:jc w:val="right"/>
              <w:spacing w:after="0" w:line="117" w:lineRule="exact"/>
              <w:rPr>
                <w:sz w:val="20"/>
                <w:szCs w:val="20"/>
                <w:color w:val="auto"/>
              </w:rPr>
            </w:pPr>
            <w:r>
              <w:rPr>
                <w:rFonts w:ascii="Arial" w:cs="Arial" w:eastAsia="Arial" w:hAnsi="Arial"/>
                <w:sz w:val="11"/>
                <w:szCs w:val="11"/>
                <w:color w:val="auto"/>
              </w:rPr>
              <w:t>27,367</w:t>
            </w:r>
          </w:p>
        </w:tc>
        <w:tc>
          <w:tcPr>
            <w:tcW w:w="400" w:type="dxa"/>
            <w:vAlign w:val="bottom"/>
            <w:gridSpan w:val="2"/>
          </w:tcPr>
          <w:p>
            <w:pPr>
              <w:jc w:val="right"/>
              <w:ind w:right="49"/>
              <w:spacing w:after="0" w:line="117" w:lineRule="exact"/>
              <w:rPr>
                <w:sz w:val="20"/>
                <w:szCs w:val="20"/>
                <w:color w:val="auto"/>
              </w:rPr>
            </w:pPr>
            <w:r>
              <w:rPr>
                <w:rFonts w:ascii="Arial" w:cs="Arial" w:eastAsia="Arial" w:hAnsi="Arial"/>
                <w:sz w:val="11"/>
                <w:szCs w:val="11"/>
                <w:color w:val="auto"/>
              </w:rPr>
              <w:t>$</w:t>
            </w:r>
          </w:p>
        </w:tc>
        <w:tc>
          <w:tcPr>
            <w:tcW w:w="980" w:type="dxa"/>
            <w:vAlign w:val="bottom"/>
          </w:tcPr>
          <w:p>
            <w:pPr>
              <w:jc w:val="right"/>
              <w:spacing w:after="0" w:line="117" w:lineRule="exact"/>
              <w:rPr>
                <w:sz w:val="20"/>
                <w:szCs w:val="20"/>
                <w:color w:val="auto"/>
              </w:rPr>
            </w:pPr>
            <w:r>
              <w:rPr>
                <w:rFonts w:ascii="Arial" w:cs="Arial" w:eastAsia="Arial" w:hAnsi="Arial"/>
                <w:sz w:val="11"/>
                <w:szCs w:val="11"/>
                <w:color w:val="auto"/>
              </w:rPr>
              <w:t>25,851</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960" w:type="dxa"/>
            <w:vAlign w:val="bottom"/>
            <w:shd w:val="clear" w:color="auto" w:fill="CCEEFF"/>
          </w:tcPr>
          <w:p>
            <w:pPr>
              <w:ind w:left="80"/>
              <w:spacing w:after="0" w:line="117" w:lineRule="exact"/>
              <w:rPr>
                <w:sz w:val="20"/>
                <w:szCs w:val="20"/>
                <w:color w:val="auto"/>
              </w:rPr>
            </w:pPr>
            <w:r>
              <w:rPr>
                <w:rFonts w:ascii="Arial" w:cs="Arial" w:eastAsia="Arial" w:hAnsi="Arial"/>
                <w:sz w:val="11"/>
                <w:szCs w:val="11"/>
                <w:color w:val="auto"/>
              </w:rPr>
              <w:t>Accounts payable</w:t>
            </w:r>
          </w:p>
        </w:tc>
        <w:tc>
          <w:tcPr>
            <w:tcW w:w="6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80" w:type="dxa"/>
            <w:vAlign w:val="bottom"/>
            <w:shd w:val="clear" w:color="auto" w:fill="CCEEFF"/>
          </w:tcPr>
          <w:p>
            <w:pPr>
              <w:jc w:val="right"/>
              <w:spacing w:after="0" w:line="117" w:lineRule="exact"/>
              <w:rPr>
                <w:sz w:val="20"/>
                <w:szCs w:val="20"/>
                <w:color w:val="auto"/>
              </w:rPr>
            </w:pPr>
            <w:r>
              <w:rPr>
                <w:rFonts w:ascii="Arial" w:cs="Arial" w:eastAsia="Arial" w:hAnsi="Arial"/>
                <w:sz w:val="11"/>
                <w:szCs w:val="11"/>
                <w:color w:val="auto"/>
              </w:rPr>
              <w:t>136,901</w:t>
            </w:r>
          </w:p>
        </w:tc>
        <w:tc>
          <w:tcPr>
            <w:tcW w:w="2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80" w:type="dxa"/>
            <w:vAlign w:val="bottom"/>
            <w:shd w:val="clear" w:color="auto" w:fill="CCEEFF"/>
          </w:tcPr>
          <w:p>
            <w:pPr>
              <w:jc w:val="right"/>
              <w:spacing w:after="0" w:line="117" w:lineRule="exact"/>
              <w:rPr>
                <w:sz w:val="20"/>
                <w:szCs w:val="20"/>
                <w:color w:val="auto"/>
              </w:rPr>
            </w:pPr>
            <w:r>
              <w:rPr>
                <w:rFonts w:ascii="Arial" w:cs="Arial" w:eastAsia="Arial" w:hAnsi="Arial"/>
                <w:sz w:val="11"/>
                <w:szCs w:val="11"/>
                <w:color w:val="auto"/>
              </w:rPr>
              <w:t>140,106</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960" w:type="dxa"/>
            <w:vAlign w:val="bottom"/>
          </w:tcPr>
          <w:p>
            <w:pPr>
              <w:ind w:left="80"/>
              <w:spacing w:after="0" w:line="117" w:lineRule="exact"/>
              <w:rPr>
                <w:sz w:val="20"/>
                <w:szCs w:val="20"/>
                <w:color w:val="auto"/>
              </w:rPr>
            </w:pPr>
            <w:r>
              <w:rPr>
                <w:rFonts w:ascii="Arial" w:cs="Arial" w:eastAsia="Arial" w:hAnsi="Arial"/>
                <w:sz w:val="11"/>
                <w:szCs w:val="11"/>
                <w:color w:val="auto"/>
              </w:rPr>
              <w:t>Accrued liabilities:</w:t>
            </w: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960" w:type="dxa"/>
            <w:vAlign w:val="bottom"/>
            <w:shd w:val="clear" w:color="auto" w:fill="CCEEFF"/>
          </w:tcPr>
          <w:p>
            <w:pPr>
              <w:ind w:left="240"/>
              <w:spacing w:after="0" w:line="117" w:lineRule="exact"/>
              <w:rPr>
                <w:sz w:val="20"/>
                <w:szCs w:val="20"/>
                <w:color w:val="auto"/>
              </w:rPr>
            </w:pPr>
            <w:r>
              <w:rPr>
                <w:rFonts w:ascii="Arial" w:cs="Arial" w:eastAsia="Arial" w:hAnsi="Arial"/>
                <w:sz w:val="11"/>
                <w:szCs w:val="11"/>
                <w:color w:val="auto"/>
              </w:rPr>
              <w:t>Compensation and benefits</w:t>
            </w:r>
          </w:p>
        </w:tc>
        <w:tc>
          <w:tcPr>
            <w:tcW w:w="6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80" w:type="dxa"/>
            <w:vAlign w:val="bottom"/>
            <w:shd w:val="clear" w:color="auto" w:fill="CCEEFF"/>
          </w:tcPr>
          <w:p>
            <w:pPr>
              <w:jc w:val="right"/>
              <w:spacing w:after="0" w:line="117" w:lineRule="exact"/>
              <w:rPr>
                <w:sz w:val="20"/>
                <w:szCs w:val="20"/>
                <w:color w:val="auto"/>
              </w:rPr>
            </w:pPr>
            <w:r>
              <w:rPr>
                <w:rFonts w:ascii="Arial" w:cs="Arial" w:eastAsia="Arial" w:hAnsi="Arial"/>
                <w:sz w:val="11"/>
                <w:szCs w:val="11"/>
                <w:color w:val="auto"/>
              </w:rPr>
              <w:t>104,109</w:t>
            </w:r>
          </w:p>
        </w:tc>
        <w:tc>
          <w:tcPr>
            <w:tcW w:w="2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80" w:type="dxa"/>
            <w:vAlign w:val="bottom"/>
            <w:shd w:val="clear" w:color="auto" w:fill="CCEEFF"/>
          </w:tcPr>
          <w:p>
            <w:pPr>
              <w:jc w:val="right"/>
              <w:spacing w:after="0" w:line="117" w:lineRule="exact"/>
              <w:rPr>
                <w:sz w:val="20"/>
                <w:szCs w:val="20"/>
                <w:color w:val="auto"/>
              </w:rPr>
            </w:pPr>
            <w:r>
              <w:rPr>
                <w:rFonts w:ascii="Arial" w:cs="Arial" w:eastAsia="Arial" w:hAnsi="Arial"/>
                <w:sz w:val="11"/>
                <w:szCs w:val="11"/>
                <w:color w:val="auto"/>
              </w:rPr>
              <w:t>97,556</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960" w:type="dxa"/>
            <w:vAlign w:val="bottom"/>
          </w:tcPr>
          <w:p>
            <w:pPr>
              <w:ind w:left="240"/>
              <w:spacing w:after="0" w:line="117" w:lineRule="exact"/>
              <w:rPr>
                <w:sz w:val="20"/>
                <w:szCs w:val="20"/>
                <w:color w:val="auto"/>
              </w:rPr>
            </w:pPr>
            <w:r>
              <w:rPr>
                <w:rFonts w:ascii="Arial" w:cs="Arial" w:eastAsia="Arial" w:hAnsi="Arial"/>
                <w:sz w:val="11"/>
                <w:szCs w:val="11"/>
                <w:color w:val="auto"/>
              </w:rPr>
              <w:t>Other</w:t>
            </w: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jc w:val="right"/>
              <w:spacing w:after="0" w:line="117" w:lineRule="exact"/>
              <w:rPr>
                <w:sz w:val="20"/>
                <w:szCs w:val="20"/>
                <w:color w:val="auto"/>
              </w:rPr>
            </w:pPr>
            <w:r>
              <w:rPr>
                <w:rFonts w:ascii="Arial" w:cs="Arial" w:eastAsia="Arial" w:hAnsi="Arial"/>
                <w:sz w:val="11"/>
                <w:szCs w:val="11"/>
                <w:color w:val="auto"/>
              </w:rPr>
              <w:t>41,645</w:t>
            </w: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jc w:val="right"/>
              <w:spacing w:after="0" w:line="117" w:lineRule="exact"/>
              <w:rPr>
                <w:sz w:val="20"/>
                <w:szCs w:val="20"/>
                <w:color w:val="auto"/>
              </w:rPr>
            </w:pPr>
            <w:r>
              <w:rPr>
                <w:rFonts w:ascii="Arial" w:cs="Arial" w:eastAsia="Arial" w:hAnsi="Arial"/>
                <w:sz w:val="11"/>
                <w:szCs w:val="11"/>
                <w:color w:val="auto"/>
              </w:rPr>
              <w:t>38,404</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5960" w:type="dxa"/>
            <w:vAlign w:val="bottom"/>
            <w:tcBorders>
              <w:bottom w:val="single" w:sz="8" w:color="CCEEFF"/>
            </w:tcBorders>
            <w:shd w:val="clear" w:color="auto" w:fill="CCEEFF"/>
          </w:tcPr>
          <w:p>
            <w:pPr>
              <w:ind w:left="80"/>
              <w:spacing w:after="0" w:line="117" w:lineRule="exact"/>
              <w:rPr>
                <w:sz w:val="20"/>
                <w:szCs w:val="20"/>
                <w:color w:val="auto"/>
              </w:rPr>
            </w:pPr>
            <w:r>
              <w:rPr>
                <w:rFonts w:ascii="Arial" w:cs="Arial" w:eastAsia="Arial" w:hAnsi="Arial"/>
                <w:sz w:val="11"/>
                <w:szCs w:val="11"/>
                <w:color w:val="auto"/>
              </w:rPr>
              <w:t>Current portion of long-term debt</w:t>
            </w:r>
          </w:p>
        </w:tc>
        <w:tc>
          <w:tcPr>
            <w:tcW w:w="60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980" w:type="dxa"/>
            <w:vAlign w:val="bottom"/>
            <w:tcBorders>
              <w:bottom w:val="single" w:sz="8" w:color="auto"/>
            </w:tcBorders>
            <w:shd w:val="clear" w:color="auto" w:fill="CCEEFF"/>
          </w:tcPr>
          <w:p>
            <w:pPr>
              <w:jc w:val="right"/>
              <w:spacing w:after="0" w:line="117" w:lineRule="exact"/>
              <w:rPr>
                <w:sz w:val="20"/>
                <w:szCs w:val="20"/>
                <w:color w:val="auto"/>
              </w:rPr>
            </w:pPr>
            <w:r>
              <w:rPr>
                <w:rFonts w:ascii="Arial" w:cs="Arial" w:eastAsia="Arial" w:hAnsi="Arial"/>
                <w:sz w:val="11"/>
                <w:szCs w:val="11"/>
                <w:color w:val="auto"/>
              </w:rPr>
              <w:t>148</w:t>
            </w:r>
          </w:p>
        </w:tc>
        <w:tc>
          <w:tcPr>
            <w:tcW w:w="24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980" w:type="dxa"/>
            <w:vAlign w:val="bottom"/>
            <w:tcBorders>
              <w:bottom w:val="single" w:sz="8" w:color="auto"/>
            </w:tcBorders>
            <w:shd w:val="clear" w:color="auto" w:fill="CCEEFF"/>
          </w:tcPr>
          <w:p>
            <w:pPr>
              <w:jc w:val="right"/>
              <w:spacing w:after="0" w:line="117" w:lineRule="exact"/>
              <w:rPr>
                <w:sz w:val="20"/>
                <w:szCs w:val="20"/>
                <w:color w:val="auto"/>
              </w:rPr>
            </w:pPr>
            <w:r>
              <w:rPr>
                <w:rFonts w:ascii="Arial" w:cs="Arial" w:eastAsia="Arial" w:hAnsi="Arial"/>
                <w:sz w:val="11"/>
                <w:szCs w:val="11"/>
                <w:color w:val="auto"/>
              </w:rPr>
              <w:t>1,329</w:t>
            </w: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5960" w:type="dxa"/>
            <w:vAlign w:val="bottom"/>
          </w:tcPr>
          <w:p>
            <w:pPr>
              <w:ind w:left="320"/>
              <w:spacing w:after="0" w:line="99" w:lineRule="exact"/>
              <w:rPr>
                <w:sz w:val="20"/>
                <w:szCs w:val="20"/>
                <w:color w:val="auto"/>
              </w:rPr>
            </w:pPr>
            <w:r>
              <w:rPr>
                <w:rFonts w:ascii="Arial" w:cs="Arial" w:eastAsia="Arial" w:hAnsi="Arial"/>
                <w:sz w:val="11"/>
                <w:szCs w:val="11"/>
                <w:color w:val="auto"/>
              </w:rPr>
              <w:t>TOTAL CURRENT LIABILITIES</w:t>
            </w: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80" w:type="dxa"/>
            <w:vAlign w:val="bottom"/>
          </w:tcPr>
          <w:p>
            <w:pPr>
              <w:jc w:val="right"/>
              <w:spacing w:after="0" w:line="99" w:lineRule="exact"/>
              <w:rPr>
                <w:sz w:val="20"/>
                <w:szCs w:val="20"/>
                <w:color w:val="auto"/>
              </w:rPr>
            </w:pPr>
            <w:r>
              <w:rPr>
                <w:rFonts w:ascii="Arial" w:cs="Arial" w:eastAsia="Arial" w:hAnsi="Arial"/>
                <w:sz w:val="11"/>
                <w:szCs w:val="11"/>
                <w:color w:val="auto"/>
              </w:rPr>
              <w:t>310,170</w:t>
            </w: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980" w:type="dxa"/>
            <w:vAlign w:val="bottom"/>
          </w:tcPr>
          <w:p>
            <w:pPr>
              <w:jc w:val="right"/>
              <w:spacing w:after="0" w:line="99" w:lineRule="exact"/>
              <w:rPr>
                <w:sz w:val="20"/>
                <w:szCs w:val="20"/>
                <w:color w:val="auto"/>
              </w:rPr>
            </w:pPr>
            <w:r>
              <w:rPr>
                <w:rFonts w:ascii="Arial" w:cs="Arial" w:eastAsia="Arial" w:hAnsi="Arial"/>
                <w:sz w:val="11"/>
                <w:szCs w:val="11"/>
                <w:color w:val="auto"/>
              </w:rPr>
              <w:t>303,246</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960" w:type="dxa"/>
            <w:vAlign w:val="bottom"/>
            <w:shd w:val="clear" w:color="auto" w:fill="CCEEFF"/>
          </w:tcPr>
          <w:p>
            <w:pPr>
              <w:spacing w:after="0" w:line="117" w:lineRule="exact"/>
              <w:rPr>
                <w:sz w:val="20"/>
                <w:szCs w:val="20"/>
                <w:color w:val="auto"/>
              </w:rPr>
            </w:pPr>
            <w:r>
              <w:rPr>
                <w:rFonts w:ascii="Arial" w:cs="Arial" w:eastAsia="Arial" w:hAnsi="Arial"/>
                <w:sz w:val="11"/>
                <w:szCs w:val="11"/>
                <w:color w:val="auto"/>
              </w:rPr>
              <w:t>LONG-TERM DEBT</w:t>
            </w:r>
          </w:p>
        </w:tc>
        <w:tc>
          <w:tcPr>
            <w:tcW w:w="6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80" w:type="dxa"/>
            <w:vAlign w:val="bottom"/>
            <w:shd w:val="clear" w:color="auto" w:fill="CCEEFF"/>
          </w:tcPr>
          <w:p>
            <w:pPr>
              <w:jc w:val="right"/>
              <w:spacing w:after="0" w:line="117" w:lineRule="exact"/>
              <w:rPr>
                <w:sz w:val="20"/>
                <w:szCs w:val="20"/>
                <w:color w:val="auto"/>
              </w:rPr>
            </w:pPr>
            <w:r>
              <w:rPr>
                <w:rFonts w:ascii="Arial" w:cs="Arial" w:eastAsia="Arial" w:hAnsi="Arial"/>
                <w:sz w:val="11"/>
                <w:szCs w:val="11"/>
                <w:color w:val="auto"/>
              </w:rPr>
              <w:t>202,130</w:t>
            </w:r>
          </w:p>
        </w:tc>
        <w:tc>
          <w:tcPr>
            <w:tcW w:w="2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80" w:type="dxa"/>
            <w:vAlign w:val="bottom"/>
            <w:shd w:val="clear" w:color="auto" w:fill="CCEEFF"/>
          </w:tcPr>
          <w:p>
            <w:pPr>
              <w:jc w:val="right"/>
              <w:spacing w:after="0" w:line="117" w:lineRule="exact"/>
              <w:rPr>
                <w:sz w:val="20"/>
                <w:szCs w:val="20"/>
                <w:color w:val="auto"/>
              </w:rPr>
            </w:pPr>
            <w:r>
              <w:rPr>
                <w:rFonts w:ascii="Arial" w:cs="Arial" w:eastAsia="Arial" w:hAnsi="Arial"/>
                <w:sz w:val="11"/>
                <w:szCs w:val="11"/>
                <w:color w:val="auto"/>
              </w:rPr>
              <w:t>144,674</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960" w:type="dxa"/>
            <w:vAlign w:val="bottom"/>
          </w:tcPr>
          <w:p>
            <w:pPr>
              <w:spacing w:after="0" w:line="117" w:lineRule="exact"/>
              <w:rPr>
                <w:sz w:val="20"/>
                <w:szCs w:val="20"/>
                <w:color w:val="auto"/>
              </w:rPr>
            </w:pPr>
            <w:r>
              <w:rPr>
                <w:rFonts w:ascii="Arial" w:cs="Arial" w:eastAsia="Arial" w:hAnsi="Arial"/>
                <w:sz w:val="11"/>
                <w:szCs w:val="11"/>
                <w:color w:val="auto"/>
              </w:rPr>
              <w:t>DEFERRED INCOME TAXES</w:t>
            </w: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jc w:val="right"/>
              <w:spacing w:after="0" w:line="117" w:lineRule="exact"/>
              <w:rPr>
                <w:sz w:val="20"/>
                <w:szCs w:val="20"/>
                <w:color w:val="auto"/>
              </w:rPr>
            </w:pPr>
            <w:r>
              <w:rPr>
                <w:rFonts w:ascii="Arial" w:cs="Arial" w:eastAsia="Arial" w:hAnsi="Arial"/>
                <w:sz w:val="11"/>
                <w:szCs w:val="11"/>
                <w:color w:val="auto"/>
              </w:rPr>
              <w:t>15,687</w:t>
            </w: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jc w:val="right"/>
              <w:spacing w:after="0" w:line="117" w:lineRule="exact"/>
              <w:rPr>
                <w:sz w:val="20"/>
                <w:szCs w:val="20"/>
                <w:color w:val="auto"/>
              </w:rPr>
            </w:pPr>
            <w:r>
              <w:rPr>
                <w:rFonts w:ascii="Arial" w:cs="Arial" w:eastAsia="Arial" w:hAnsi="Arial"/>
                <w:sz w:val="11"/>
                <w:szCs w:val="11"/>
                <w:color w:val="auto"/>
              </w:rPr>
              <w:t>14,079</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5960" w:type="dxa"/>
            <w:vAlign w:val="bottom"/>
            <w:tcBorders>
              <w:bottom w:val="single" w:sz="8" w:color="CCEEFF"/>
            </w:tcBorders>
            <w:shd w:val="clear" w:color="auto" w:fill="CCEEFF"/>
          </w:tcPr>
          <w:p>
            <w:pPr>
              <w:spacing w:after="0" w:line="117" w:lineRule="exact"/>
              <w:rPr>
                <w:sz w:val="20"/>
                <w:szCs w:val="20"/>
                <w:color w:val="auto"/>
              </w:rPr>
            </w:pPr>
            <w:r>
              <w:rPr>
                <w:rFonts w:ascii="Arial" w:cs="Arial" w:eastAsia="Arial" w:hAnsi="Arial"/>
                <w:sz w:val="11"/>
                <w:szCs w:val="11"/>
                <w:color w:val="auto"/>
              </w:rPr>
              <w:t>OTHER LIABILITIES</w:t>
            </w:r>
          </w:p>
        </w:tc>
        <w:tc>
          <w:tcPr>
            <w:tcW w:w="60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980" w:type="dxa"/>
            <w:vAlign w:val="bottom"/>
            <w:tcBorders>
              <w:bottom w:val="single" w:sz="8" w:color="auto"/>
            </w:tcBorders>
            <w:shd w:val="clear" w:color="auto" w:fill="CCEEFF"/>
          </w:tcPr>
          <w:p>
            <w:pPr>
              <w:jc w:val="right"/>
              <w:spacing w:after="0" w:line="117" w:lineRule="exact"/>
              <w:rPr>
                <w:sz w:val="20"/>
                <w:szCs w:val="20"/>
                <w:color w:val="auto"/>
              </w:rPr>
            </w:pPr>
            <w:r>
              <w:rPr>
                <w:rFonts w:ascii="Arial" w:cs="Arial" w:eastAsia="Arial" w:hAnsi="Arial"/>
                <w:sz w:val="11"/>
                <w:szCs w:val="11"/>
                <w:color w:val="auto"/>
              </w:rPr>
              <w:t>30,877</w:t>
            </w:r>
          </w:p>
        </w:tc>
        <w:tc>
          <w:tcPr>
            <w:tcW w:w="24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980" w:type="dxa"/>
            <w:vAlign w:val="bottom"/>
            <w:tcBorders>
              <w:bottom w:val="single" w:sz="8" w:color="auto"/>
            </w:tcBorders>
            <w:shd w:val="clear" w:color="auto" w:fill="CCEEFF"/>
          </w:tcPr>
          <w:p>
            <w:pPr>
              <w:jc w:val="right"/>
              <w:spacing w:after="0" w:line="117" w:lineRule="exact"/>
              <w:rPr>
                <w:sz w:val="20"/>
                <w:szCs w:val="20"/>
                <w:color w:val="auto"/>
              </w:rPr>
            </w:pPr>
            <w:r>
              <w:rPr>
                <w:rFonts w:ascii="Arial" w:cs="Arial" w:eastAsia="Arial" w:hAnsi="Arial"/>
                <w:sz w:val="11"/>
                <w:szCs w:val="11"/>
                <w:color w:val="auto"/>
              </w:rPr>
              <w:t>28,655</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5960" w:type="dxa"/>
            <w:vAlign w:val="bottom"/>
          </w:tcPr>
          <w:p>
            <w:pPr>
              <w:ind w:left="320"/>
              <w:spacing w:after="0" w:line="130" w:lineRule="exact"/>
              <w:rPr>
                <w:sz w:val="20"/>
                <w:szCs w:val="20"/>
                <w:color w:val="auto"/>
              </w:rPr>
            </w:pPr>
            <w:r>
              <w:rPr>
                <w:rFonts w:ascii="Arial" w:cs="Arial" w:eastAsia="Arial" w:hAnsi="Arial"/>
                <w:sz w:val="13"/>
                <w:szCs w:val="13"/>
                <w:color w:val="auto"/>
              </w:rPr>
              <w:t>TOTAL LIABILITIES</w:t>
            </w: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558,864</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490,654</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960" w:type="dxa"/>
            <w:vAlign w:val="bottom"/>
            <w:shd w:val="clear" w:color="auto" w:fill="CCEEFF"/>
          </w:tcPr>
          <w:p>
            <w:pPr>
              <w:spacing w:after="0" w:line="117" w:lineRule="exact"/>
              <w:rPr>
                <w:sz w:val="20"/>
                <w:szCs w:val="20"/>
                <w:color w:val="auto"/>
              </w:rPr>
            </w:pPr>
            <w:r>
              <w:rPr>
                <w:rFonts w:ascii="Arial" w:cs="Arial" w:eastAsia="Arial" w:hAnsi="Arial"/>
                <w:sz w:val="11"/>
                <w:szCs w:val="11"/>
                <w:color w:val="auto"/>
              </w:rPr>
              <w:t>SHAREHOLDERS’ EQUITY:</w:t>
            </w:r>
          </w:p>
        </w:tc>
        <w:tc>
          <w:tcPr>
            <w:tcW w:w="6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960" w:type="dxa"/>
            <w:vAlign w:val="bottom"/>
          </w:tcPr>
          <w:p>
            <w:pPr>
              <w:ind w:left="80"/>
              <w:spacing w:after="0" w:line="117" w:lineRule="exact"/>
              <w:rPr>
                <w:sz w:val="20"/>
                <w:szCs w:val="20"/>
                <w:color w:val="auto"/>
              </w:rPr>
            </w:pPr>
            <w:r>
              <w:rPr>
                <w:rFonts w:ascii="Arial" w:cs="Arial" w:eastAsia="Arial" w:hAnsi="Arial"/>
                <w:sz w:val="11"/>
                <w:szCs w:val="11"/>
                <w:color w:val="auto"/>
              </w:rPr>
              <w:t>Controlling interest shareholders’ equity:</w:t>
            </w: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960" w:type="dxa"/>
            <w:vAlign w:val="bottom"/>
            <w:shd w:val="clear" w:color="auto" w:fill="CCEEFF"/>
          </w:tcPr>
          <w:p>
            <w:pPr>
              <w:ind w:left="240"/>
              <w:spacing w:after="0" w:line="117" w:lineRule="exact"/>
              <w:rPr>
                <w:sz w:val="20"/>
                <w:szCs w:val="20"/>
                <w:color w:val="auto"/>
              </w:rPr>
            </w:pPr>
            <w:r>
              <w:rPr>
                <w:rFonts w:ascii="Arial" w:cs="Arial" w:eastAsia="Arial" w:hAnsi="Arial"/>
                <w:sz w:val="11"/>
                <w:szCs w:val="11"/>
                <w:color w:val="auto"/>
              </w:rPr>
              <w:t>Preferred stock, no par value; shares authorized 1,000,000; issued and outstanding, none</w:t>
            </w:r>
          </w:p>
        </w:tc>
        <w:tc>
          <w:tcPr>
            <w:tcW w:w="760" w:type="dxa"/>
            <w:vAlign w:val="bottom"/>
            <w:gridSpan w:val="2"/>
            <w:shd w:val="clear" w:color="auto" w:fill="CCEEFF"/>
          </w:tcPr>
          <w:p>
            <w:pPr>
              <w:jc w:val="right"/>
              <w:ind w:right="49"/>
              <w:spacing w:after="0" w:line="117" w:lineRule="exact"/>
              <w:rPr>
                <w:sz w:val="20"/>
                <w:szCs w:val="20"/>
                <w:color w:val="auto"/>
              </w:rPr>
            </w:pPr>
            <w:r>
              <w:rPr>
                <w:rFonts w:ascii="Arial" w:cs="Arial" w:eastAsia="Arial" w:hAnsi="Arial"/>
                <w:sz w:val="11"/>
                <w:szCs w:val="11"/>
                <w:color w:val="auto"/>
              </w:rPr>
              <w:t>$</w:t>
            </w:r>
          </w:p>
        </w:tc>
        <w:tc>
          <w:tcPr>
            <w:tcW w:w="980" w:type="dxa"/>
            <w:vAlign w:val="bottom"/>
            <w:shd w:val="clear" w:color="auto" w:fill="CCEEFF"/>
          </w:tcPr>
          <w:p>
            <w:pPr>
              <w:jc w:val="right"/>
              <w:spacing w:after="0" w:line="117" w:lineRule="exact"/>
              <w:rPr>
                <w:sz w:val="20"/>
                <w:szCs w:val="20"/>
                <w:color w:val="auto"/>
              </w:rPr>
            </w:pPr>
            <w:r>
              <w:rPr>
                <w:rFonts w:ascii="Arial" w:cs="Arial" w:eastAsia="Arial" w:hAnsi="Arial"/>
                <w:sz w:val="11"/>
                <w:szCs w:val="11"/>
                <w:color w:val="auto"/>
              </w:rPr>
              <w:t>—</w:t>
            </w:r>
          </w:p>
        </w:tc>
        <w:tc>
          <w:tcPr>
            <w:tcW w:w="400" w:type="dxa"/>
            <w:vAlign w:val="bottom"/>
            <w:gridSpan w:val="2"/>
            <w:shd w:val="clear" w:color="auto" w:fill="CCEEFF"/>
          </w:tcPr>
          <w:p>
            <w:pPr>
              <w:jc w:val="right"/>
              <w:ind w:right="49"/>
              <w:spacing w:after="0" w:line="117" w:lineRule="exact"/>
              <w:rPr>
                <w:sz w:val="20"/>
                <w:szCs w:val="20"/>
                <w:color w:val="auto"/>
              </w:rPr>
            </w:pPr>
            <w:r>
              <w:rPr>
                <w:rFonts w:ascii="Arial" w:cs="Arial" w:eastAsia="Arial" w:hAnsi="Arial"/>
                <w:sz w:val="11"/>
                <w:szCs w:val="11"/>
                <w:color w:val="auto"/>
              </w:rPr>
              <w:t>$</w:t>
            </w:r>
          </w:p>
        </w:tc>
        <w:tc>
          <w:tcPr>
            <w:tcW w:w="980" w:type="dxa"/>
            <w:vAlign w:val="bottom"/>
            <w:shd w:val="clear" w:color="auto" w:fill="CCEEFF"/>
          </w:tcPr>
          <w:p>
            <w:pPr>
              <w:jc w:val="right"/>
              <w:spacing w:after="0" w:line="117"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960" w:type="dxa"/>
            <w:vAlign w:val="bottom"/>
          </w:tcPr>
          <w:p>
            <w:pPr>
              <w:ind w:left="240"/>
              <w:spacing w:after="0" w:line="117" w:lineRule="exact"/>
              <w:rPr>
                <w:sz w:val="20"/>
                <w:szCs w:val="20"/>
                <w:color w:val="auto"/>
              </w:rPr>
            </w:pPr>
            <w:r>
              <w:rPr>
                <w:rFonts w:ascii="Arial" w:cs="Arial" w:eastAsia="Arial" w:hAnsi="Arial"/>
                <w:sz w:val="11"/>
                <w:szCs w:val="11"/>
                <w:color w:val="auto"/>
              </w:rPr>
              <w:t>Common stock, $1 par value; shares authorized 80,000,000; issued and outstanding, 60,883,749 and 61,191,888</w:t>
            </w: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jc w:val="right"/>
              <w:spacing w:after="0" w:line="117" w:lineRule="exact"/>
              <w:rPr>
                <w:sz w:val="20"/>
                <w:szCs w:val="20"/>
                <w:color w:val="auto"/>
              </w:rPr>
            </w:pPr>
            <w:r>
              <w:rPr>
                <w:rFonts w:ascii="Arial" w:cs="Arial" w:eastAsia="Arial" w:hAnsi="Arial"/>
                <w:sz w:val="11"/>
                <w:szCs w:val="11"/>
                <w:color w:val="auto"/>
              </w:rPr>
              <w:t>60,884</w:t>
            </w: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jc w:val="right"/>
              <w:spacing w:after="0" w:line="117" w:lineRule="exact"/>
              <w:rPr>
                <w:sz w:val="20"/>
                <w:szCs w:val="20"/>
                <w:color w:val="auto"/>
              </w:rPr>
            </w:pPr>
            <w:r>
              <w:rPr>
                <w:rFonts w:ascii="Arial" w:cs="Arial" w:eastAsia="Arial" w:hAnsi="Arial"/>
                <w:sz w:val="11"/>
                <w:szCs w:val="11"/>
                <w:color w:val="auto"/>
              </w:rPr>
              <w:t>61,192</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960" w:type="dxa"/>
            <w:vAlign w:val="bottom"/>
            <w:shd w:val="clear" w:color="auto" w:fill="CCEEFF"/>
          </w:tcPr>
          <w:p>
            <w:pPr>
              <w:ind w:left="240"/>
              <w:spacing w:after="0" w:line="117" w:lineRule="exact"/>
              <w:rPr>
                <w:sz w:val="20"/>
                <w:szCs w:val="20"/>
                <w:color w:val="auto"/>
              </w:rPr>
            </w:pPr>
            <w:r>
              <w:rPr>
                <w:rFonts w:ascii="Arial" w:cs="Arial" w:eastAsia="Arial" w:hAnsi="Arial"/>
                <w:sz w:val="11"/>
                <w:szCs w:val="11"/>
                <w:color w:val="auto"/>
              </w:rPr>
              <w:t>Additional paid-in capital</w:t>
            </w:r>
          </w:p>
        </w:tc>
        <w:tc>
          <w:tcPr>
            <w:tcW w:w="6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80" w:type="dxa"/>
            <w:vAlign w:val="bottom"/>
            <w:shd w:val="clear" w:color="auto" w:fill="CCEEFF"/>
          </w:tcPr>
          <w:p>
            <w:pPr>
              <w:jc w:val="right"/>
              <w:spacing w:after="0" w:line="117" w:lineRule="exact"/>
              <w:rPr>
                <w:sz w:val="20"/>
                <w:szCs w:val="20"/>
                <w:color w:val="auto"/>
              </w:rPr>
            </w:pPr>
            <w:r>
              <w:rPr>
                <w:rFonts w:ascii="Arial" w:cs="Arial" w:eastAsia="Arial" w:hAnsi="Arial"/>
                <w:sz w:val="11"/>
                <w:szCs w:val="11"/>
                <w:color w:val="auto"/>
              </w:rPr>
              <w:t>178,540</w:t>
            </w:r>
          </w:p>
        </w:tc>
        <w:tc>
          <w:tcPr>
            <w:tcW w:w="2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80" w:type="dxa"/>
            <w:vAlign w:val="bottom"/>
            <w:shd w:val="clear" w:color="auto" w:fill="CCEEFF"/>
          </w:tcPr>
          <w:p>
            <w:pPr>
              <w:jc w:val="right"/>
              <w:spacing w:after="0" w:line="117" w:lineRule="exact"/>
              <w:rPr>
                <w:sz w:val="20"/>
                <w:szCs w:val="20"/>
                <w:color w:val="auto"/>
              </w:rPr>
            </w:pPr>
            <w:r>
              <w:rPr>
                <w:rFonts w:ascii="Arial" w:cs="Arial" w:eastAsia="Arial" w:hAnsi="Arial"/>
                <w:sz w:val="11"/>
                <w:szCs w:val="11"/>
                <w:color w:val="auto"/>
              </w:rPr>
              <w:t>161,928</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960" w:type="dxa"/>
            <w:vAlign w:val="bottom"/>
          </w:tcPr>
          <w:p>
            <w:pPr>
              <w:ind w:left="240"/>
              <w:spacing w:after="0" w:line="117" w:lineRule="exact"/>
              <w:rPr>
                <w:sz w:val="20"/>
                <w:szCs w:val="20"/>
                <w:color w:val="auto"/>
              </w:rPr>
            </w:pPr>
            <w:r>
              <w:rPr>
                <w:rFonts w:ascii="Arial" w:cs="Arial" w:eastAsia="Arial" w:hAnsi="Arial"/>
                <w:sz w:val="11"/>
                <w:szCs w:val="11"/>
                <w:color w:val="auto"/>
              </w:rPr>
              <w:t>Retained earnings</w:t>
            </w: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jc w:val="right"/>
              <w:spacing w:after="0" w:line="117" w:lineRule="exact"/>
              <w:rPr>
                <w:sz w:val="20"/>
                <w:szCs w:val="20"/>
                <w:color w:val="auto"/>
              </w:rPr>
            </w:pPr>
            <w:r>
              <w:rPr>
                <w:rFonts w:ascii="Arial" w:cs="Arial" w:eastAsia="Arial" w:hAnsi="Arial"/>
                <w:sz w:val="11"/>
                <w:szCs w:val="11"/>
                <w:color w:val="auto"/>
              </w:rPr>
              <w:t>839,917</w:t>
            </w: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jc w:val="right"/>
              <w:spacing w:after="0" w:line="117" w:lineRule="exact"/>
              <w:rPr>
                <w:sz w:val="20"/>
                <w:szCs w:val="20"/>
                <w:color w:val="auto"/>
              </w:rPr>
            </w:pPr>
            <w:r>
              <w:rPr>
                <w:rFonts w:ascii="Arial" w:cs="Arial" w:eastAsia="Arial" w:hAnsi="Arial"/>
                <w:sz w:val="11"/>
                <w:szCs w:val="11"/>
                <w:color w:val="auto"/>
              </w:rPr>
              <w:t>736,212</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5960" w:type="dxa"/>
            <w:vAlign w:val="bottom"/>
            <w:tcBorders>
              <w:bottom w:val="single" w:sz="8" w:color="CCEEFF"/>
            </w:tcBorders>
            <w:shd w:val="clear" w:color="auto" w:fill="CCEEFF"/>
          </w:tcPr>
          <w:p>
            <w:pPr>
              <w:ind w:left="240"/>
              <w:spacing w:after="0" w:line="117" w:lineRule="exact"/>
              <w:rPr>
                <w:sz w:val="20"/>
                <w:szCs w:val="20"/>
                <w:color w:val="auto"/>
              </w:rPr>
            </w:pPr>
            <w:r>
              <w:rPr>
                <w:rFonts w:ascii="Arial" w:cs="Arial" w:eastAsia="Arial" w:hAnsi="Arial"/>
                <w:sz w:val="11"/>
                <w:szCs w:val="11"/>
                <w:color w:val="auto"/>
              </w:rPr>
              <w:t>Accumulated other comprehensive income</w:t>
            </w:r>
          </w:p>
        </w:tc>
        <w:tc>
          <w:tcPr>
            <w:tcW w:w="60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980" w:type="dxa"/>
            <w:vAlign w:val="bottom"/>
            <w:tcBorders>
              <w:bottom w:val="single" w:sz="8" w:color="auto"/>
            </w:tcBorders>
            <w:shd w:val="clear" w:color="auto" w:fill="CCEEFF"/>
          </w:tcPr>
          <w:p>
            <w:pPr>
              <w:jc w:val="right"/>
              <w:spacing w:after="0" w:line="117" w:lineRule="exact"/>
              <w:rPr>
                <w:sz w:val="20"/>
                <w:szCs w:val="20"/>
                <w:color w:val="auto"/>
              </w:rPr>
            </w:pPr>
            <w:r>
              <w:rPr>
                <w:rFonts w:ascii="Arial" w:cs="Arial" w:eastAsia="Arial" w:hAnsi="Arial"/>
                <w:sz w:val="11"/>
                <w:szCs w:val="11"/>
                <w:color w:val="auto"/>
              </w:rPr>
              <w:t>(5,938)</w:t>
            </w:r>
          </w:p>
        </w:tc>
        <w:tc>
          <w:tcPr>
            <w:tcW w:w="24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980" w:type="dxa"/>
            <w:vAlign w:val="bottom"/>
            <w:tcBorders>
              <w:bottom w:val="single" w:sz="8" w:color="auto"/>
            </w:tcBorders>
            <w:shd w:val="clear" w:color="auto" w:fill="CCEEFF"/>
          </w:tcPr>
          <w:p>
            <w:pPr>
              <w:jc w:val="right"/>
              <w:spacing w:after="0" w:line="117" w:lineRule="exact"/>
              <w:rPr>
                <w:sz w:val="20"/>
                <w:szCs w:val="20"/>
                <w:color w:val="auto"/>
              </w:rPr>
            </w:pPr>
            <w:r>
              <w:rPr>
                <w:rFonts w:ascii="Arial" w:cs="Arial" w:eastAsia="Arial" w:hAnsi="Arial"/>
                <w:sz w:val="11"/>
                <w:szCs w:val="11"/>
                <w:color w:val="auto"/>
              </w:rPr>
              <w:t>144</w:t>
            </w: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5960" w:type="dxa"/>
            <w:vAlign w:val="bottom"/>
          </w:tcPr>
          <w:p>
            <w:pPr>
              <w:ind w:left="320"/>
              <w:spacing w:after="0" w:line="99" w:lineRule="exact"/>
              <w:rPr>
                <w:sz w:val="20"/>
                <w:szCs w:val="20"/>
                <w:color w:val="auto"/>
              </w:rPr>
            </w:pPr>
            <w:r>
              <w:rPr>
                <w:rFonts w:ascii="Arial" w:cs="Arial" w:eastAsia="Arial" w:hAnsi="Arial"/>
                <w:sz w:val="11"/>
                <w:szCs w:val="11"/>
                <w:color w:val="auto"/>
              </w:rPr>
              <w:t>Total controlling interest shareholders’ equity</w:t>
            </w: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80" w:type="dxa"/>
            <w:vAlign w:val="bottom"/>
          </w:tcPr>
          <w:p>
            <w:pPr>
              <w:jc w:val="right"/>
              <w:spacing w:after="0" w:line="99" w:lineRule="exact"/>
              <w:rPr>
                <w:sz w:val="20"/>
                <w:szCs w:val="20"/>
                <w:color w:val="auto"/>
              </w:rPr>
            </w:pPr>
            <w:r>
              <w:rPr>
                <w:rFonts w:ascii="Arial" w:cs="Arial" w:eastAsia="Arial" w:hAnsi="Arial"/>
                <w:sz w:val="11"/>
                <w:szCs w:val="11"/>
                <w:color w:val="auto"/>
              </w:rPr>
              <w:t>1,073,403</w:t>
            </w: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980" w:type="dxa"/>
            <w:vAlign w:val="bottom"/>
          </w:tcPr>
          <w:p>
            <w:pPr>
              <w:jc w:val="right"/>
              <w:spacing w:after="0" w:line="99" w:lineRule="exact"/>
              <w:rPr>
                <w:sz w:val="20"/>
                <w:szCs w:val="20"/>
                <w:color w:val="auto"/>
              </w:rPr>
            </w:pPr>
            <w:r>
              <w:rPr>
                <w:rFonts w:ascii="Arial" w:cs="Arial" w:eastAsia="Arial" w:hAnsi="Arial"/>
                <w:sz w:val="11"/>
                <w:szCs w:val="11"/>
                <w:color w:val="auto"/>
              </w:rPr>
              <w:t>959,476</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5960" w:type="dxa"/>
            <w:vAlign w:val="bottom"/>
            <w:tcBorders>
              <w:bottom w:val="single" w:sz="8" w:color="CCEEFF"/>
            </w:tcBorders>
            <w:shd w:val="clear" w:color="auto" w:fill="CCEEFF"/>
          </w:tcPr>
          <w:p>
            <w:pPr>
              <w:ind w:left="80"/>
              <w:spacing w:after="0" w:line="117" w:lineRule="exact"/>
              <w:rPr>
                <w:sz w:val="20"/>
                <w:szCs w:val="20"/>
                <w:color w:val="auto"/>
              </w:rPr>
            </w:pPr>
            <w:r>
              <w:rPr>
                <w:rFonts w:ascii="Arial" w:cs="Arial" w:eastAsia="Arial" w:hAnsi="Arial"/>
                <w:sz w:val="11"/>
                <w:szCs w:val="11"/>
                <w:color w:val="auto"/>
              </w:rPr>
              <w:t>Noncontrolling interest</w:t>
            </w:r>
          </w:p>
        </w:tc>
        <w:tc>
          <w:tcPr>
            <w:tcW w:w="60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980" w:type="dxa"/>
            <w:vAlign w:val="bottom"/>
            <w:tcBorders>
              <w:bottom w:val="single" w:sz="8" w:color="auto"/>
            </w:tcBorders>
            <w:shd w:val="clear" w:color="auto" w:fill="CCEEFF"/>
          </w:tcPr>
          <w:p>
            <w:pPr>
              <w:jc w:val="right"/>
              <w:spacing w:after="0" w:line="117" w:lineRule="exact"/>
              <w:rPr>
                <w:sz w:val="20"/>
                <w:szCs w:val="20"/>
                <w:color w:val="auto"/>
              </w:rPr>
            </w:pPr>
            <w:r>
              <w:rPr>
                <w:rFonts w:ascii="Arial" w:cs="Arial" w:eastAsia="Arial" w:hAnsi="Arial"/>
                <w:sz w:val="11"/>
                <w:szCs w:val="11"/>
                <w:color w:val="auto"/>
              </w:rPr>
              <w:t>15,281</w:t>
            </w:r>
          </w:p>
        </w:tc>
        <w:tc>
          <w:tcPr>
            <w:tcW w:w="24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980" w:type="dxa"/>
            <w:vAlign w:val="bottom"/>
            <w:tcBorders>
              <w:bottom w:val="single" w:sz="8" w:color="auto"/>
            </w:tcBorders>
            <w:shd w:val="clear" w:color="auto" w:fill="CCEEFF"/>
          </w:tcPr>
          <w:p>
            <w:pPr>
              <w:jc w:val="right"/>
              <w:spacing w:after="0" w:line="117" w:lineRule="exact"/>
              <w:rPr>
                <w:sz w:val="20"/>
                <w:szCs w:val="20"/>
                <w:color w:val="auto"/>
              </w:rPr>
            </w:pPr>
            <w:r>
              <w:rPr>
                <w:rFonts w:ascii="Arial" w:cs="Arial" w:eastAsia="Arial" w:hAnsi="Arial"/>
                <w:sz w:val="11"/>
                <w:szCs w:val="11"/>
                <w:color w:val="auto"/>
              </w:rPr>
              <w:t>14,547</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5960" w:type="dxa"/>
            <w:vAlign w:val="bottom"/>
            <w:tcBorders>
              <w:bottom w:val="single" w:sz="8" w:color="CCEEFF"/>
            </w:tcBorders>
          </w:tcPr>
          <w:p>
            <w:pPr>
              <w:ind w:left="320"/>
              <w:spacing w:after="0" w:line="99" w:lineRule="exact"/>
              <w:rPr>
                <w:sz w:val="20"/>
                <w:szCs w:val="20"/>
                <w:color w:val="auto"/>
              </w:rPr>
            </w:pPr>
            <w:r>
              <w:rPr>
                <w:rFonts w:ascii="Arial" w:cs="Arial" w:eastAsia="Arial" w:hAnsi="Arial"/>
                <w:sz w:val="11"/>
                <w:szCs w:val="11"/>
                <w:color w:val="auto"/>
              </w:rPr>
              <w:t>TOTAL SHAREHOLDERS’ EQUITY</w:t>
            </w:r>
          </w:p>
        </w:tc>
        <w:tc>
          <w:tcPr>
            <w:tcW w:w="600" w:type="dxa"/>
            <w:vAlign w:val="bottom"/>
            <w:tcBorders>
              <w:bottom w:val="single" w:sz="8" w:color="CCEEFF"/>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jc w:val="right"/>
              <w:spacing w:after="0" w:line="99" w:lineRule="exact"/>
              <w:rPr>
                <w:sz w:val="20"/>
                <w:szCs w:val="20"/>
                <w:color w:val="auto"/>
              </w:rPr>
            </w:pPr>
            <w:r>
              <w:rPr>
                <w:rFonts w:ascii="Arial" w:cs="Arial" w:eastAsia="Arial" w:hAnsi="Arial"/>
                <w:sz w:val="11"/>
                <w:szCs w:val="11"/>
                <w:color w:val="auto"/>
              </w:rPr>
              <w:t>1,088,684</w:t>
            </w:r>
          </w:p>
        </w:tc>
        <w:tc>
          <w:tcPr>
            <w:tcW w:w="240" w:type="dxa"/>
            <w:vAlign w:val="bottom"/>
            <w:tcBorders>
              <w:bottom w:val="single" w:sz="8" w:color="CCEEFF"/>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jc w:val="right"/>
              <w:spacing w:after="0" w:line="99" w:lineRule="exact"/>
              <w:rPr>
                <w:sz w:val="20"/>
                <w:szCs w:val="20"/>
                <w:color w:val="auto"/>
              </w:rPr>
            </w:pPr>
            <w:r>
              <w:rPr>
                <w:rFonts w:ascii="Arial" w:cs="Arial" w:eastAsia="Arial" w:hAnsi="Arial"/>
                <w:sz w:val="11"/>
                <w:szCs w:val="11"/>
                <w:color w:val="auto"/>
              </w:rPr>
              <w:t>974,023</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5960" w:type="dxa"/>
            <w:vAlign w:val="bottom"/>
            <w:tcBorders>
              <w:bottom w:val="single" w:sz="8" w:color="CCEEFF"/>
            </w:tcBorders>
            <w:shd w:val="clear" w:color="auto" w:fill="CCEEFF"/>
          </w:tcPr>
          <w:p>
            <w:pPr>
              <w:spacing w:after="0" w:line="138" w:lineRule="exact"/>
              <w:rPr>
                <w:sz w:val="20"/>
                <w:szCs w:val="20"/>
                <w:color w:val="auto"/>
              </w:rPr>
            </w:pPr>
            <w:r>
              <w:rPr>
                <w:rFonts w:ascii="Arial" w:cs="Arial" w:eastAsia="Arial" w:hAnsi="Arial"/>
                <w:sz w:val="13"/>
                <w:szCs w:val="13"/>
                <w:color w:val="auto"/>
              </w:rPr>
              <w:t>TOTAL LIABILITIES AND SHAREHOLDERS’ EQUITY</w:t>
            </w:r>
          </w:p>
        </w:tc>
        <w:tc>
          <w:tcPr>
            <w:tcW w:w="6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1,647,548</w:t>
            </w:r>
          </w:p>
        </w:tc>
        <w:tc>
          <w:tcPr>
            <w:tcW w:w="24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1,464,677</w:t>
            </w:r>
          </w:p>
        </w:tc>
        <w:tc>
          <w:tcPr>
            <w:tcW w:w="0" w:type="dxa"/>
            <w:vAlign w:val="bottom"/>
          </w:tcPr>
          <w:p>
            <w:pPr>
              <w:spacing w:after="0"/>
              <w:rPr>
                <w:sz w:val="1"/>
                <w:szCs w:val="1"/>
                <w:color w:val="auto"/>
              </w:rPr>
            </w:pPr>
          </w:p>
        </w:tc>
      </w:tr>
    </w:tbl>
    <w:p>
      <w:pPr>
        <w:spacing w:after="0" w:line="159" w:lineRule="exact"/>
        <w:rPr>
          <w:sz w:val="20"/>
          <w:szCs w:val="20"/>
          <w:color w:val="auto"/>
        </w:rPr>
      </w:pPr>
    </w:p>
    <w:p>
      <w:pPr>
        <w:ind w:left="520"/>
        <w:spacing w:after="0"/>
        <w:rPr>
          <w:sz w:val="20"/>
          <w:szCs w:val="20"/>
          <w:color w:val="auto"/>
        </w:rPr>
      </w:pPr>
      <w:r>
        <w:rPr>
          <w:rFonts w:ascii="Arial" w:cs="Arial" w:eastAsia="Arial" w:hAnsi="Arial"/>
          <w:sz w:val="14"/>
          <w:szCs w:val="14"/>
          <w:color w:val="auto"/>
        </w:rPr>
        <w:t>See notes to consolidated financial statements.</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66675</wp:posOffset>
            </wp:positionV>
            <wp:extent cx="5779135" cy="2032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5">
                      <a:extLst>
                        <a:ext uri="{28A0092B-C50C-407E-A947-70E740481C1C}"/>
                      </a:extLst>
                    </a:blip>
                    <a:srcRect/>
                    <a:stretch>
                      <a:fillRect/>
                    </a:stretch>
                  </pic:blipFill>
                  <pic:spPr bwMode="auto">
                    <a:xfrm>
                      <a:off x="0" y="0"/>
                      <a:ext cx="5779135" cy="20320"/>
                    </a:xfrm>
                    <a:prstGeom prst="rect">
                      <a:avLst/>
                    </a:prstGeom>
                    <a:noFill/>
                  </pic:spPr>
                </pic:pic>
              </a:graphicData>
            </a:graphic>
          </wp:anchor>
        </w:drawing>
      </w:r>
    </w:p>
    <w:p>
      <w:pPr>
        <w:sectPr>
          <w:pgSz w:w="11900" w:h="16838" w:orient="portrait"/>
          <w:cols w:equalWidth="0" w:num="1">
            <w:col w:w="9100"/>
          </w:cols>
          <w:pgMar w:left="1400" w:top="129" w:right="1399" w:bottom="1440" w:gutter="0" w:footer="0" w:header="0"/>
        </w:sectPr>
      </w:pPr>
    </w:p>
    <w:bookmarkStart w:id="71" w:name="page72"/>
    <w:bookmarkEnd w:id="71"/>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UNIVERSAL FOREST PRODUCTS,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EARNINGS AND COMPREHENSIVE INCOME</w:t>
      </w:r>
    </w:p>
    <w:p>
      <w:pPr>
        <w:spacing w:after="0" w:line="173"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(in thousands, except per share data)</w:t>
      </w: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52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center"/>
              <w:ind w:right="51"/>
              <w:spacing w:after="0" w:line="125" w:lineRule="exact"/>
              <w:rPr>
                <w:sz w:val="20"/>
                <w:szCs w:val="20"/>
                <w:color w:val="auto"/>
              </w:rPr>
            </w:pPr>
            <w:r>
              <w:rPr>
                <w:rFonts w:ascii="Arial" w:cs="Arial" w:eastAsia="Arial" w:hAnsi="Arial"/>
                <w:sz w:val="11"/>
                <w:szCs w:val="11"/>
                <w:b w:val="1"/>
                <w:bCs w:val="1"/>
                <w:color w:val="auto"/>
                <w:w w:val="92"/>
              </w:rPr>
              <w:t>Year Ended</w:t>
            </w:r>
          </w:p>
        </w:tc>
        <w:tc>
          <w:tcPr>
            <w:tcW w:w="1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r>
      <w:tr>
        <w:trPr>
          <w:trHeight w:val="100"/>
        </w:trPr>
        <w:tc>
          <w:tcPr>
            <w:tcW w:w="20" w:type="dxa"/>
            <w:vAlign w:val="bottom"/>
          </w:tcPr>
          <w:p>
            <w:pPr>
              <w:spacing w:after="0"/>
              <w:rPr>
                <w:sz w:val="8"/>
                <w:szCs w:val="8"/>
                <w:color w:val="auto"/>
              </w:rPr>
            </w:pPr>
          </w:p>
        </w:tc>
        <w:tc>
          <w:tcPr>
            <w:tcW w:w="5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jc w:val="right"/>
              <w:ind w:right="130"/>
              <w:spacing w:after="0" w:line="100" w:lineRule="exact"/>
              <w:rPr>
                <w:sz w:val="20"/>
                <w:szCs w:val="20"/>
                <w:color w:val="auto"/>
              </w:rPr>
            </w:pPr>
            <w:r>
              <w:rPr>
                <w:rFonts w:ascii="Arial" w:cs="Arial" w:eastAsia="Arial" w:hAnsi="Arial"/>
                <w:sz w:val="11"/>
                <w:szCs w:val="11"/>
                <w:b w:val="1"/>
                <w:bCs w:val="1"/>
                <w:color w:val="auto"/>
                <w:w w:val="97"/>
              </w:rPr>
              <w:t>December 29,</w:t>
            </w: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jc w:val="center"/>
              <w:ind w:right="71"/>
              <w:spacing w:after="0" w:line="100" w:lineRule="exact"/>
              <w:rPr>
                <w:sz w:val="20"/>
                <w:szCs w:val="20"/>
                <w:color w:val="auto"/>
              </w:rPr>
            </w:pPr>
            <w:r>
              <w:rPr>
                <w:rFonts w:ascii="Arial" w:cs="Arial" w:eastAsia="Arial" w:hAnsi="Arial"/>
                <w:sz w:val="11"/>
                <w:szCs w:val="11"/>
                <w:b w:val="1"/>
                <w:bCs w:val="1"/>
                <w:color w:val="auto"/>
                <w:w w:val="92"/>
              </w:rPr>
              <w:t>December 30,</w:t>
            </w: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jc w:val="right"/>
              <w:ind w:right="130"/>
              <w:spacing w:after="0" w:line="100" w:lineRule="exact"/>
              <w:rPr>
                <w:sz w:val="20"/>
                <w:szCs w:val="20"/>
                <w:color w:val="auto"/>
              </w:rPr>
            </w:pPr>
            <w:r>
              <w:rPr>
                <w:rFonts w:ascii="Arial" w:cs="Arial" w:eastAsia="Arial" w:hAnsi="Arial"/>
                <w:sz w:val="11"/>
                <w:szCs w:val="11"/>
                <w:b w:val="1"/>
                <w:bCs w:val="1"/>
                <w:color w:val="auto"/>
                <w:w w:val="97"/>
              </w:rPr>
              <w:t>December 31,</w:t>
            </w:r>
          </w:p>
        </w:tc>
      </w:tr>
      <w:tr>
        <w:trPr>
          <w:trHeight w:val="135"/>
        </w:trPr>
        <w:tc>
          <w:tcPr>
            <w:tcW w:w="20" w:type="dxa"/>
            <w:vAlign w:val="bottom"/>
          </w:tcPr>
          <w:p>
            <w:pPr>
              <w:spacing w:after="0"/>
              <w:rPr>
                <w:sz w:val="11"/>
                <w:szCs w:val="11"/>
                <w:color w:val="auto"/>
              </w:rPr>
            </w:pPr>
          </w:p>
        </w:tc>
        <w:tc>
          <w:tcPr>
            <w:tcW w:w="5260" w:type="dxa"/>
            <w:vAlign w:val="bottom"/>
            <w:tcBorders>
              <w:bottom w:val="single" w:sz="8" w:color="CCEEFF"/>
            </w:tcBorders>
          </w:tcPr>
          <w:p>
            <w:pPr>
              <w:spacing w:after="0"/>
              <w:rPr>
                <w:sz w:val="11"/>
                <w:szCs w:val="11"/>
                <w:color w:val="auto"/>
              </w:rPr>
            </w:pPr>
          </w:p>
        </w:tc>
        <w:tc>
          <w:tcPr>
            <w:tcW w:w="34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ind w:right="350"/>
              <w:spacing w:after="0"/>
              <w:rPr>
                <w:sz w:val="20"/>
                <w:szCs w:val="20"/>
                <w:color w:val="auto"/>
              </w:rPr>
            </w:pPr>
            <w:r>
              <w:rPr>
                <w:rFonts w:ascii="Arial" w:cs="Arial" w:eastAsia="Arial" w:hAnsi="Arial"/>
                <w:sz w:val="11"/>
                <w:szCs w:val="11"/>
                <w:b w:val="1"/>
                <w:bCs w:val="1"/>
                <w:color w:val="auto"/>
              </w:rPr>
              <w:t>2018</w:t>
            </w:r>
          </w:p>
        </w:tc>
        <w:tc>
          <w:tcPr>
            <w:tcW w:w="18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center"/>
              <w:ind w:right="71"/>
              <w:spacing w:after="0"/>
              <w:rPr>
                <w:sz w:val="20"/>
                <w:szCs w:val="20"/>
                <w:color w:val="auto"/>
              </w:rPr>
            </w:pPr>
            <w:r>
              <w:rPr>
                <w:rFonts w:ascii="Arial" w:cs="Arial" w:eastAsia="Arial" w:hAnsi="Arial"/>
                <w:sz w:val="11"/>
                <w:szCs w:val="11"/>
                <w:b w:val="1"/>
                <w:bCs w:val="1"/>
                <w:color w:val="auto"/>
                <w:w w:val="89"/>
              </w:rPr>
              <w:t>2017</w:t>
            </w:r>
          </w:p>
        </w:tc>
        <w:tc>
          <w:tcPr>
            <w:tcW w:w="18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ind w:right="350"/>
              <w:spacing w:after="0"/>
              <w:rPr>
                <w:sz w:val="20"/>
                <w:szCs w:val="20"/>
                <w:color w:val="auto"/>
              </w:rPr>
            </w:pPr>
            <w:r>
              <w:rPr>
                <w:rFonts w:ascii="Arial" w:cs="Arial" w:eastAsia="Arial" w:hAnsi="Arial"/>
                <w:sz w:val="11"/>
                <w:szCs w:val="11"/>
                <w:b w:val="1"/>
                <w:bCs w:val="1"/>
                <w:color w:val="auto"/>
              </w:rPr>
              <w:t>2016</w:t>
            </w:r>
          </w:p>
        </w:tc>
      </w:tr>
      <w:tr>
        <w:trPr>
          <w:trHeight w:val="170"/>
        </w:trPr>
        <w:tc>
          <w:tcPr>
            <w:tcW w:w="20" w:type="dxa"/>
            <w:vAlign w:val="bottom"/>
          </w:tcPr>
          <w:p>
            <w:pPr>
              <w:spacing w:after="0"/>
              <w:rPr>
                <w:sz w:val="14"/>
                <w:szCs w:val="14"/>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3"/>
                <w:szCs w:val="13"/>
                <w:color w:val="auto"/>
              </w:rPr>
              <w:t>NET SALES</w:t>
            </w:r>
          </w:p>
        </w:tc>
        <w:tc>
          <w:tcPr>
            <w:tcW w:w="34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4,489,180</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3,941,182</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3,240,493</w:t>
            </w:r>
          </w:p>
        </w:tc>
      </w:tr>
      <w:tr>
        <w:trPr>
          <w:trHeight w:val="171"/>
        </w:trPr>
        <w:tc>
          <w:tcPr>
            <w:tcW w:w="5280" w:type="dxa"/>
            <w:vAlign w:val="bottom"/>
            <w:gridSpan w:val="2"/>
          </w:tcPr>
          <w:p>
            <w:pPr>
              <w:spacing w:after="0"/>
              <w:rPr>
                <w:sz w:val="20"/>
                <w:szCs w:val="20"/>
                <w:color w:val="auto"/>
              </w:rPr>
            </w:pPr>
            <w:r>
              <w:rPr>
                <w:rFonts w:ascii="Arial" w:cs="Arial" w:eastAsia="Arial" w:hAnsi="Arial"/>
                <w:sz w:val="13"/>
                <w:szCs w:val="13"/>
                <w:color w:val="auto"/>
              </w:rPr>
              <w:t>COST OF GOODS SOLD</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3,896,286</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3,398,356</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2,765,903</w:t>
            </w:r>
          </w:p>
        </w:tc>
      </w:tr>
      <w:tr>
        <w:trPr>
          <w:trHeight w:val="170"/>
        </w:trPr>
        <w:tc>
          <w:tcPr>
            <w:tcW w:w="20" w:type="dxa"/>
            <w:vAlign w:val="bottom"/>
          </w:tcPr>
          <w:p>
            <w:pPr>
              <w:spacing w:after="0"/>
              <w:rPr>
                <w:sz w:val="14"/>
                <w:szCs w:val="14"/>
                <w:color w:val="auto"/>
              </w:rPr>
            </w:pPr>
          </w:p>
        </w:tc>
        <w:tc>
          <w:tcPr>
            <w:tcW w:w="5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color w:val="auto"/>
              </w:rPr>
              <w:t>GROSS PROFIT</w:t>
            </w:r>
          </w:p>
        </w:tc>
        <w:tc>
          <w:tcPr>
            <w:tcW w:w="3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592,894</w:t>
            </w:r>
          </w:p>
        </w:tc>
        <w:tc>
          <w:tcPr>
            <w:tcW w:w="1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542,826</w:t>
            </w:r>
          </w:p>
        </w:tc>
        <w:tc>
          <w:tcPr>
            <w:tcW w:w="1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474,590</w:t>
            </w:r>
          </w:p>
        </w:tc>
      </w:tr>
      <w:tr>
        <w:trPr>
          <w:trHeight w:val="170"/>
        </w:trPr>
        <w:tc>
          <w:tcPr>
            <w:tcW w:w="5280" w:type="dxa"/>
            <w:vAlign w:val="bottom"/>
            <w:gridSpan w:val="2"/>
          </w:tcPr>
          <w:p>
            <w:pPr>
              <w:spacing w:after="0"/>
              <w:rPr>
                <w:sz w:val="20"/>
                <w:szCs w:val="20"/>
                <w:color w:val="auto"/>
              </w:rPr>
            </w:pPr>
            <w:r>
              <w:rPr>
                <w:rFonts w:ascii="Arial" w:cs="Arial" w:eastAsia="Arial" w:hAnsi="Arial"/>
                <w:sz w:val="13"/>
                <w:szCs w:val="13"/>
                <w:color w:val="auto"/>
              </w:rPr>
              <w:t>SELLING, GENERAL AND ADMINISTRATIVE EXPENSES</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392,235</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362,220</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310,152</w:t>
            </w:r>
          </w:p>
        </w:tc>
      </w:tr>
      <w:tr>
        <w:trPr>
          <w:trHeight w:val="190"/>
        </w:trPr>
        <w:tc>
          <w:tcPr>
            <w:tcW w:w="20" w:type="dxa"/>
            <w:vAlign w:val="bottom"/>
          </w:tcPr>
          <w:p>
            <w:pPr>
              <w:spacing w:after="0"/>
              <w:rPr>
                <w:sz w:val="16"/>
                <w:szCs w:val="16"/>
                <w:color w:val="auto"/>
              </w:rPr>
            </w:pPr>
          </w:p>
        </w:tc>
        <w:tc>
          <w:tcPr>
            <w:tcW w:w="5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NET (GAIN) ON DISPOSITION OF ASSETS</w:t>
            </w:r>
          </w:p>
        </w:tc>
        <w:tc>
          <w:tcPr>
            <w:tcW w:w="3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(6,604)</w:t>
            </w:r>
          </w:p>
        </w:tc>
        <w:tc>
          <w:tcPr>
            <w:tcW w:w="1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(863)</w:t>
            </w:r>
          </w:p>
        </w:tc>
        <w:tc>
          <w:tcPr>
            <w:tcW w:w="1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51"/>
        </w:trPr>
        <w:tc>
          <w:tcPr>
            <w:tcW w:w="5280" w:type="dxa"/>
            <w:vAlign w:val="bottom"/>
            <w:gridSpan w:val="2"/>
          </w:tcPr>
          <w:p>
            <w:pPr>
              <w:spacing w:after="0" w:line="147" w:lineRule="exact"/>
              <w:rPr>
                <w:sz w:val="20"/>
                <w:szCs w:val="20"/>
                <w:color w:val="auto"/>
              </w:rPr>
            </w:pPr>
            <w:r>
              <w:rPr>
                <w:rFonts w:ascii="Arial" w:cs="Arial" w:eastAsia="Arial" w:hAnsi="Arial"/>
                <w:sz w:val="13"/>
                <w:szCs w:val="13"/>
                <w:color w:val="auto"/>
              </w:rPr>
              <w:t>EARNINGS FROM OPERATIONS</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jc w:val="right"/>
              <w:spacing w:after="0" w:line="151" w:lineRule="exact"/>
              <w:rPr>
                <w:sz w:val="20"/>
                <w:szCs w:val="20"/>
                <w:color w:val="auto"/>
              </w:rPr>
            </w:pPr>
            <w:r>
              <w:rPr>
                <w:rFonts w:ascii="Arial" w:cs="Arial" w:eastAsia="Arial" w:hAnsi="Arial"/>
                <w:sz w:val="14"/>
                <w:szCs w:val="14"/>
                <w:color w:val="auto"/>
              </w:rPr>
              <w:t>207,263</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jc w:val="right"/>
              <w:spacing w:after="0" w:line="151" w:lineRule="exact"/>
              <w:rPr>
                <w:sz w:val="20"/>
                <w:szCs w:val="20"/>
                <w:color w:val="auto"/>
              </w:rPr>
            </w:pPr>
            <w:r>
              <w:rPr>
                <w:rFonts w:ascii="Arial" w:cs="Arial" w:eastAsia="Arial" w:hAnsi="Arial"/>
                <w:sz w:val="14"/>
                <w:szCs w:val="14"/>
                <w:color w:val="auto"/>
              </w:rPr>
              <w:t>181,469</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jc w:val="right"/>
              <w:spacing w:after="0" w:line="151" w:lineRule="exact"/>
              <w:rPr>
                <w:sz w:val="20"/>
                <w:szCs w:val="20"/>
                <w:color w:val="auto"/>
              </w:rPr>
            </w:pPr>
            <w:r>
              <w:rPr>
                <w:rFonts w:ascii="Arial" w:cs="Arial" w:eastAsia="Arial" w:hAnsi="Arial"/>
                <w:sz w:val="14"/>
                <w:szCs w:val="14"/>
                <w:color w:val="auto"/>
              </w:rPr>
              <w:t>164,438</w:t>
            </w:r>
          </w:p>
        </w:tc>
      </w:tr>
      <w:tr>
        <w:trPr>
          <w:trHeight w:val="170"/>
        </w:trPr>
        <w:tc>
          <w:tcPr>
            <w:tcW w:w="20" w:type="dxa"/>
            <w:vAlign w:val="bottom"/>
          </w:tcPr>
          <w:p>
            <w:pPr>
              <w:spacing w:after="0"/>
              <w:rPr>
                <w:sz w:val="14"/>
                <w:szCs w:val="14"/>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3"/>
                <w:szCs w:val="13"/>
                <w:color w:val="auto"/>
              </w:rPr>
              <w:t>INTEREST EXPENSE</w:t>
            </w:r>
          </w:p>
        </w:tc>
        <w:tc>
          <w:tcPr>
            <w:tcW w:w="3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8,893</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6,218</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4,575</w:t>
            </w:r>
          </w:p>
        </w:tc>
      </w:tr>
      <w:tr>
        <w:trPr>
          <w:trHeight w:val="170"/>
        </w:trPr>
        <w:tc>
          <w:tcPr>
            <w:tcW w:w="5280" w:type="dxa"/>
            <w:vAlign w:val="bottom"/>
            <w:gridSpan w:val="2"/>
          </w:tcPr>
          <w:p>
            <w:pPr>
              <w:spacing w:after="0"/>
              <w:rPr>
                <w:sz w:val="20"/>
                <w:szCs w:val="20"/>
                <w:color w:val="auto"/>
              </w:rPr>
            </w:pPr>
            <w:r>
              <w:rPr>
                <w:rFonts w:ascii="Arial" w:cs="Arial" w:eastAsia="Arial" w:hAnsi="Arial"/>
                <w:sz w:val="13"/>
                <w:szCs w:val="13"/>
                <w:color w:val="auto"/>
              </w:rPr>
              <w:t>INTEREST INCOME</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(1,371)</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(731)</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(541)</w:t>
            </w:r>
          </w:p>
        </w:tc>
      </w:tr>
      <w:tr>
        <w:trPr>
          <w:trHeight w:val="171"/>
        </w:trPr>
        <w:tc>
          <w:tcPr>
            <w:tcW w:w="20" w:type="dxa"/>
            <w:vAlign w:val="bottom"/>
          </w:tcPr>
          <w:p>
            <w:pPr>
              <w:spacing w:after="0"/>
              <w:rPr>
                <w:sz w:val="14"/>
                <w:szCs w:val="14"/>
                <w:color w:val="auto"/>
              </w:rPr>
            </w:pPr>
          </w:p>
        </w:tc>
        <w:tc>
          <w:tcPr>
            <w:tcW w:w="5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UNREALIZED LOSS (GAIN) ON INVESTMENTS AND OTHER</w:t>
            </w:r>
          </w:p>
        </w:tc>
        <w:tc>
          <w:tcPr>
            <w:tcW w:w="3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1,888</w:t>
            </w:r>
          </w:p>
        </w:tc>
        <w:tc>
          <w:tcPr>
            <w:tcW w:w="1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(267)</w:t>
            </w:r>
          </w:p>
        </w:tc>
      </w:tr>
      <w:tr>
        <w:trPr>
          <w:trHeight w:val="171"/>
        </w:trPr>
        <w:tc>
          <w:tcPr>
            <w:tcW w:w="20" w:type="dxa"/>
            <w:vAlign w:val="bottom"/>
          </w:tcPr>
          <w:p>
            <w:pPr>
              <w:spacing w:after="0"/>
              <w:rPr>
                <w:sz w:val="14"/>
                <w:szCs w:val="14"/>
                <w:color w:val="auto"/>
              </w:rPr>
            </w:pPr>
          </w:p>
        </w:tc>
        <w:tc>
          <w:tcPr>
            <w:tcW w:w="526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9,410</w:t>
            </w:r>
          </w:p>
        </w:tc>
        <w:tc>
          <w:tcPr>
            <w:tcW w:w="1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5,462</w:t>
            </w:r>
          </w:p>
        </w:tc>
        <w:tc>
          <w:tcPr>
            <w:tcW w:w="1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3,767</w:t>
            </w:r>
          </w:p>
        </w:tc>
      </w:tr>
      <w:tr>
        <w:trPr>
          <w:trHeight w:val="170"/>
        </w:trPr>
        <w:tc>
          <w:tcPr>
            <w:tcW w:w="20" w:type="dxa"/>
            <w:vAlign w:val="bottom"/>
          </w:tcPr>
          <w:p>
            <w:pPr>
              <w:spacing w:after="0"/>
              <w:rPr>
                <w:sz w:val="14"/>
                <w:szCs w:val="14"/>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3"/>
                <w:szCs w:val="13"/>
                <w:color w:val="auto"/>
              </w:rPr>
              <w:t>EARNINGS BEFORE INCOME TAXES</w:t>
            </w:r>
          </w:p>
        </w:tc>
        <w:tc>
          <w:tcPr>
            <w:tcW w:w="3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197,853</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176,007</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160,671</w:t>
            </w:r>
          </w:p>
        </w:tc>
      </w:tr>
      <w:tr>
        <w:trPr>
          <w:trHeight w:val="171"/>
        </w:trPr>
        <w:tc>
          <w:tcPr>
            <w:tcW w:w="5280" w:type="dxa"/>
            <w:vAlign w:val="bottom"/>
            <w:gridSpan w:val="2"/>
          </w:tcPr>
          <w:p>
            <w:pPr>
              <w:spacing w:after="0"/>
              <w:rPr>
                <w:sz w:val="20"/>
                <w:szCs w:val="20"/>
                <w:color w:val="auto"/>
              </w:rPr>
            </w:pPr>
            <w:r>
              <w:rPr>
                <w:rFonts w:ascii="Arial" w:cs="Arial" w:eastAsia="Arial" w:hAnsi="Arial"/>
                <w:sz w:val="13"/>
                <w:szCs w:val="13"/>
                <w:color w:val="auto"/>
              </w:rPr>
              <w:t>INCOME TAXES</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45,441</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51,967</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55,174</w:t>
            </w:r>
          </w:p>
        </w:tc>
      </w:tr>
      <w:tr>
        <w:trPr>
          <w:trHeight w:val="170"/>
        </w:trPr>
        <w:tc>
          <w:tcPr>
            <w:tcW w:w="20" w:type="dxa"/>
            <w:vAlign w:val="bottom"/>
          </w:tcPr>
          <w:p>
            <w:pPr>
              <w:spacing w:after="0"/>
              <w:rPr>
                <w:sz w:val="14"/>
                <w:szCs w:val="14"/>
                <w:color w:val="auto"/>
              </w:rPr>
            </w:pPr>
          </w:p>
        </w:tc>
        <w:tc>
          <w:tcPr>
            <w:tcW w:w="5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color w:val="auto"/>
              </w:rPr>
              <w:t>NET EARNINGS</w:t>
            </w:r>
          </w:p>
        </w:tc>
        <w:tc>
          <w:tcPr>
            <w:tcW w:w="3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152,412</w:t>
            </w:r>
          </w:p>
        </w:tc>
        <w:tc>
          <w:tcPr>
            <w:tcW w:w="1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124,040</w:t>
            </w:r>
          </w:p>
        </w:tc>
        <w:tc>
          <w:tcPr>
            <w:tcW w:w="1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105,497</w:t>
            </w:r>
          </w:p>
        </w:tc>
      </w:tr>
      <w:tr>
        <w:trPr>
          <w:trHeight w:val="171"/>
        </w:trPr>
        <w:tc>
          <w:tcPr>
            <w:tcW w:w="5280" w:type="dxa"/>
            <w:vAlign w:val="bottom"/>
            <w:gridSpan w:val="2"/>
          </w:tcPr>
          <w:p>
            <w:pPr>
              <w:spacing w:after="0"/>
              <w:rPr>
                <w:sz w:val="20"/>
                <w:szCs w:val="20"/>
                <w:color w:val="auto"/>
              </w:rPr>
            </w:pPr>
            <w:r>
              <w:rPr>
                <w:rFonts w:ascii="Arial" w:cs="Arial" w:eastAsia="Arial" w:hAnsi="Arial"/>
                <w:sz w:val="13"/>
                <w:szCs w:val="13"/>
                <w:color w:val="auto"/>
              </w:rPr>
              <w:t>LESS NET EARNINGS ATTRIBUTABLE TO NONCONTROLLING INTEREST</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(3,814)</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(4,528)</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(4,318)</w:t>
            </w:r>
          </w:p>
        </w:tc>
      </w:tr>
      <w:tr>
        <w:trPr>
          <w:trHeight w:val="171"/>
        </w:trPr>
        <w:tc>
          <w:tcPr>
            <w:tcW w:w="20" w:type="dxa"/>
            <w:vAlign w:val="bottom"/>
          </w:tcPr>
          <w:p>
            <w:pPr>
              <w:spacing w:after="0"/>
              <w:rPr>
                <w:sz w:val="14"/>
                <w:szCs w:val="14"/>
                <w:color w:val="auto"/>
              </w:rPr>
            </w:pPr>
          </w:p>
        </w:tc>
        <w:tc>
          <w:tcPr>
            <w:tcW w:w="5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color w:val="auto"/>
              </w:rPr>
              <w:t>NET EARNINGS ATTRIBUTABLE TO CONTROLLING INTEREST</w:t>
            </w:r>
          </w:p>
        </w:tc>
        <w:tc>
          <w:tcPr>
            <w:tcW w:w="34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148,598</w:t>
            </w:r>
          </w:p>
        </w:tc>
        <w:tc>
          <w:tcPr>
            <w:tcW w:w="18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119,512</w:t>
            </w:r>
          </w:p>
        </w:tc>
        <w:tc>
          <w:tcPr>
            <w:tcW w:w="18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101,179</w:t>
            </w:r>
          </w:p>
        </w:tc>
      </w:tr>
      <w:tr>
        <w:trPr>
          <w:trHeight w:val="170"/>
        </w:trPr>
        <w:tc>
          <w:tcPr>
            <w:tcW w:w="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20" w:type="dxa"/>
            <w:vAlign w:val="bottom"/>
          </w:tcPr>
          <w:p>
            <w:pPr>
              <w:spacing w:after="0"/>
              <w:rPr>
                <w:sz w:val="14"/>
                <w:szCs w:val="14"/>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3"/>
                <w:szCs w:val="13"/>
                <w:color w:val="auto"/>
              </w:rPr>
              <w:t>EARNINGS PER SHARE - BASIC</w:t>
            </w:r>
          </w:p>
        </w:tc>
        <w:tc>
          <w:tcPr>
            <w:tcW w:w="460" w:type="dxa"/>
            <w:vAlign w:val="bottom"/>
            <w:gridSpan w:val="2"/>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2.41</w:t>
            </w:r>
          </w:p>
        </w:tc>
        <w:tc>
          <w:tcPr>
            <w:tcW w:w="300" w:type="dxa"/>
            <w:vAlign w:val="bottom"/>
            <w:gridSpan w:val="2"/>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1.95</w:t>
            </w:r>
          </w:p>
        </w:tc>
        <w:tc>
          <w:tcPr>
            <w:tcW w:w="300" w:type="dxa"/>
            <w:vAlign w:val="bottom"/>
            <w:gridSpan w:val="2"/>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1.66</w:t>
            </w:r>
          </w:p>
        </w:tc>
      </w:tr>
      <w:tr>
        <w:trPr>
          <w:trHeight w:val="170"/>
        </w:trPr>
        <w:tc>
          <w:tcPr>
            <w:tcW w:w="5280" w:type="dxa"/>
            <w:vAlign w:val="bottom"/>
            <w:gridSpan w:val="2"/>
          </w:tcPr>
          <w:p>
            <w:pPr>
              <w:spacing w:after="0"/>
              <w:rPr>
                <w:sz w:val="20"/>
                <w:szCs w:val="20"/>
                <w:color w:val="auto"/>
              </w:rPr>
            </w:pPr>
            <w:r>
              <w:rPr>
                <w:rFonts w:ascii="Arial" w:cs="Arial" w:eastAsia="Arial" w:hAnsi="Arial"/>
                <w:sz w:val="13"/>
                <w:szCs w:val="13"/>
                <w:color w:val="auto"/>
              </w:rPr>
              <w:t>EARNINGS PER SHARE - DILUTED</w:t>
            </w:r>
          </w:p>
        </w:tc>
        <w:tc>
          <w:tcPr>
            <w:tcW w:w="460" w:type="dxa"/>
            <w:vAlign w:val="bottom"/>
            <w:gridSpan w:val="2"/>
          </w:tcPr>
          <w:p>
            <w:pPr>
              <w:jc w:val="right"/>
              <w:ind w:right="9"/>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2.40</w:t>
            </w:r>
          </w:p>
        </w:tc>
        <w:tc>
          <w:tcPr>
            <w:tcW w:w="300" w:type="dxa"/>
            <w:vAlign w:val="bottom"/>
            <w:gridSpan w:val="2"/>
          </w:tcPr>
          <w:p>
            <w:pPr>
              <w:jc w:val="right"/>
              <w:ind w:right="9"/>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1.94</w:t>
            </w:r>
          </w:p>
        </w:tc>
        <w:tc>
          <w:tcPr>
            <w:tcW w:w="300" w:type="dxa"/>
            <w:vAlign w:val="bottom"/>
            <w:gridSpan w:val="2"/>
          </w:tcPr>
          <w:p>
            <w:pPr>
              <w:jc w:val="right"/>
              <w:ind w:right="9"/>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1.65</w:t>
            </w:r>
          </w:p>
        </w:tc>
      </w:tr>
      <w:tr>
        <w:trPr>
          <w:trHeight w:val="170"/>
        </w:trPr>
        <w:tc>
          <w:tcPr>
            <w:tcW w:w="20" w:type="dxa"/>
            <w:vAlign w:val="bottom"/>
          </w:tcPr>
          <w:p>
            <w:pPr>
              <w:spacing w:after="0"/>
              <w:rPr>
                <w:sz w:val="14"/>
                <w:szCs w:val="14"/>
                <w:color w:val="auto"/>
              </w:rPr>
            </w:pPr>
          </w:p>
        </w:tc>
        <w:tc>
          <w:tcPr>
            <w:tcW w:w="52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r>
      <w:tr>
        <w:trPr>
          <w:trHeight w:val="168"/>
        </w:trPr>
        <w:tc>
          <w:tcPr>
            <w:tcW w:w="5280" w:type="dxa"/>
            <w:vAlign w:val="bottom"/>
            <w:gridSpan w:val="2"/>
          </w:tcPr>
          <w:p>
            <w:pPr>
              <w:spacing w:after="0"/>
              <w:rPr>
                <w:sz w:val="20"/>
                <w:szCs w:val="20"/>
                <w:color w:val="auto"/>
              </w:rPr>
            </w:pPr>
            <w:r>
              <w:rPr>
                <w:rFonts w:ascii="Arial" w:cs="Arial" w:eastAsia="Arial" w:hAnsi="Arial"/>
                <w:sz w:val="13"/>
                <w:szCs w:val="13"/>
                <w:color w:val="auto"/>
              </w:rPr>
              <w:t>OTHER COMPREHENSIVE INCOME:</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3"/>
                <w:szCs w:val="13"/>
                <w:color w:val="auto"/>
              </w:rPr>
              <w:t>NET EARNINGS</w:t>
            </w:r>
          </w:p>
        </w:tc>
        <w:tc>
          <w:tcPr>
            <w:tcW w:w="3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152,412</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124,040</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105,497</w:t>
            </w:r>
          </w:p>
        </w:tc>
      </w:tr>
      <w:tr>
        <w:trPr>
          <w:trHeight w:val="171"/>
        </w:trPr>
        <w:tc>
          <w:tcPr>
            <w:tcW w:w="5280" w:type="dxa"/>
            <w:vAlign w:val="bottom"/>
            <w:gridSpan w:val="2"/>
          </w:tcPr>
          <w:p>
            <w:pPr>
              <w:spacing w:after="0"/>
              <w:rPr>
                <w:sz w:val="20"/>
                <w:szCs w:val="20"/>
                <w:color w:val="auto"/>
              </w:rPr>
            </w:pPr>
            <w:r>
              <w:rPr>
                <w:rFonts w:ascii="Arial" w:cs="Arial" w:eastAsia="Arial" w:hAnsi="Arial"/>
                <w:sz w:val="13"/>
                <w:szCs w:val="13"/>
                <w:color w:val="auto"/>
              </w:rPr>
              <w:t>OTHER COMPREHENSIVE GAIN (LOSS)</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(5,076)</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6,130</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(2,703)</w:t>
            </w:r>
          </w:p>
        </w:tc>
      </w:tr>
      <w:tr>
        <w:trPr>
          <w:trHeight w:val="170"/>
        </w:trPr>
        <w:tc>
          <w:tcPr>
            <w:tcW w:w="20" w:type="dxa"/>
            <w:vAlign w:val="bottom"/>
          </w:tcPr>
          <w:p>
            <w:pPr>
              <w:spacing w:after="0"/>
              <w:rPr>
                <w:sz w:val="14"/>
                <w:szCs w:val="14"/>
                <w:color w:val="auto"/>
              </w:rPr>
            </w:pPr>
          </w:p>
        </w:tc>
        <w:tc>
          <w:tcPr>
            <w:tcW w:w="5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color w:val="auto"/>
              </w:rPr>
              <w:t>COMPREHENSIVE INCOME</w:t>
            </w:r>
          </w:p>
        </w:tc>
        <w:tc>
          <w:tcPr>
            <w:tcW w:w="3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147,336</w:t>
            </w:r>
          </w:p>
        </w:tc>
        <w:tc>
          <w:tcPr>
            <w:tcW w:w="1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130,170</w:t>
            </w:r>
          </w:p>
        </w:tc>
        <w:tc>
          <w:tcPr>
            <w:tcW w:w="1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102,794</w:t>
            </w:r>
          </w:p>
        </w:tc>
      </w:tr>
      <w:tr>
        <w:trPr>
          <w:trHeight w:val="171"/>
        </w:trPr>
        <w:tc>
          <w:tcPr>
            <w:tcW w:w="5280" w:type="dxa"/>
            <w:vAlign w:val="bottom"/>
            <w:gridSpan w:val="2"/>
          </w:tcPr>
          <w:p>
            <w:pPr>
              <w:spacing w:after="0"/>
              <w:rPr>
                <w:sz w:val="20"/>
                <w:szCs w:val="20"/>
                <w:color w:val="auto"/>
              </w:rPr>
            </w:pPr>
            <w:r>
              <w:rPr>
                <w:rFonts w:ascii="Arial" w:cs="Arial" w:eastAsia="Arial" w:hAnsi="Arial"/>
                <w:sz w:val="13"/>
                <w:szCs w:val="13"/>
                <w:color w:val="auto"/>
              </w:rPr>
              <w:t>LESS COMPREHENSIVE INCOME ATTRIBUTABLE TO NONCONTROLLING INTEREST</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(3,873)</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(4,884)</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(2,660)</w:t>
            </w:r>
          </w:p>
        </w:tc>
      </w:tr>
      <w:tr>
        <w:trPr>
          <w:trHeight w:val="171"/>
        </w:trPr>
        <w:tc>
          <w:tcPr>
            <w:tcW w:w="20" w:type="dxa"/>
            <w:vAlign w:val="bottom"/>
          </w:tcPr>
          <w:p>
            <w:pPr>
              <w:spacing w:after="0"/>
              <w:rPr>
                <w:sz w:val="14"/>
                <w:szCs w:val="14"/>
                <w:color w:val="auto"/>
              </w:rPr>
            </w:pPr>
          </w:p>
        </w:tc>
        <w:tc>
          <w:tcPr>
            <w:tcW w:w="52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COMPREHENSIVE INCOME ATTRIBUTABLE TO CONTROLLING INTEREST</w:t>
            </w:r>
          </w:p>
        </w:tc>
        <w:tc>
          <w:tcPr>
            <w:tcW w:w="34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143,463</w:t>
            </w:r>
          </w:p>
        </w:tc>
        <w:tc>
          <w:tcPr>
            <w:tcW w:w="18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125,286</w:t>
            </w:r>
          </w:p>
        </w:tc>
        <w:tc>
          <w:tcPr>
            <w:tcW w:w="18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100,134</w:t>
            </w:r>
          </w:p>
        </w:tc>
      </w:tr>
    </w:tbl>
    <w:p>
      <w:pPr>
        <w:spacing w:after="0" w:line="159" w:lineRule="exact"/>
        <w:rPr>
          <w:sz w:val="20"/>
          <w:szCs w:val="20"/>
          <w:color w:val="auto"/>
        </w:rPr>
      </w:pPr>
    </w:p>
    <w:p>
      <w:pPr>
        <w:ind w:left="520"/>
        <w:spacing w:after="0"/>
        <w:rPr>
          <w:sz w:val="20"/>
          <w:szCs w:val="20"/>
          <w:color w:val="auto"/>
        </w:rPr>
      </w:pPr>
      <w:r>
        <w:rPr>
          <w:rFonts w:ascii="Arial" w:cs="Arial" w:eastAsia="Arial" w:hAnsi="Arial"/>
          <w:sz w:val="14"/>
          <w:szCs w:val="14"/>
          <w:color w:val="auto"/>
        </w:rPr>
        <w:t>See notes to consolidated financial statements.</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66675</wp:posOffset>
            </wp:positionV>
            <wp:extent cx="5779135" cy="2032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6">
                      <a:extLst>
                        <a:ext uri="{28A0092B-C50C-407E-A947-70E740481C1C}"/>
                      </a:extLst>
                    </a:blip>
                    <a:srcRect/>
                    <a:stretch>
                      <a:fillRect/>
                    </a:stretch>
                  </pic:blipFill>
                  <pic:spPr bwMode="auto">
                    <a:xfrm>
                      <a:off x="0" y="0"/>
                      <a:ext cx="5779135" cy="20320"/>
                    </a:xfrm>
                    <a:prstGeom prst="rect">
                      <a:avLst/>
                    </a:prstGeom>
                    <a:noFill/>
                  </pic:spPr>
                </pic:pic>
              </a:graphicData>
            </a:graphic>
          </wp:anchor>
        </w:drawing>
      </w:r>
    </w:p>
    <w:p>
      <w:pPr>
        <w:sectPr>
          <w:pgSz w:w="11900" w:h="16838" w:orient="portrait"/>
          <w:cols w:equalWidth="0" w:num="1">
            <w:col w:w="9100"/>
          </w:cols>
          <w:pgMar w:left="1400" w:top="129" w:right="1399" w:bottom="1440" w:gutter="0" w:footer="0" w:header="0"/>
        </w:sectPr>
      </w:pPr>
    </w:p>
    <w:bookmarkStart w:id="72" w:name="page73"/>
    <w:bookmarkEnd w:id="72"/>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UNIVERSAL FOREST PRODUCTS,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SHAREHOLDERS’ EQUITY</w:t>
      </w:r>
    </w:p>
    <w:p>
      <w:pPr>
        <w:spacing w:after="0" w:line="181" w:lineRule="exact"/>
        <w:rPr>
          <w:sz w:val="20"/>
          <w:szCs w:val="20"/>
          <w:color w:val="auto"/>
        </w:rPr>
      </w:pPr>
    </w:p>
    <w:p>
      <w:pPr>
        <w:spacing w:after="0"/>
        <w:rPr>
          <w:sz w:val="20"/>
          <w:szCs w:val="20"/>
          <w:color w:val="auto"/>
        </w:rPr>
      </w:pPr>
      <w:r>
        <w:rPr>
          <w:rFonts w:ascii="Arial" w:cs="Arial" w:eastAsia="Arial" w:hAnsi="Arial"/>
          <w:sz w:val="8"/>
          <w:szCs w:val="8"/>
          <w:b w:val="1"/>
          <w:bCs w:val="1"/>
          <w:color w:val="auto"/>
        </w:rPr>
        <w:t>(in thousands, except share and per share data)</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98"/>
        </w:trPr>
        <w:tc>
          <w:tcPr>
            <w:tcW w:w="34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740" w:type="dxa"/>
            <w:vAlign w:val="bottom"/>
            <w:tcBorders>
              <w:bottom w:val="single" w:sz="8" w:color="auto"/>
            </w:tcBorders>
            <w:gridSpan w:val="5"/>
          </w:tcPr>
          <w:p>
            <w:pPr>
              <w:jc w:val="center"/>
              <w:ind w:right="100"/>
              <w:spacing w:after="0"/>
              <w:rPr>
                <w:sz w:val="20"/>
                <w:szCs w:val="20"/>
                <w:color w:val="auto"/>
              </w:rPr>
            </w:pPr>
            <w:r>
              <w:rPr>
                <w:rFonts w:ascii="Arial" w:cs="Arial" w:eastAsia="Arial" w:hAnsi="Arial"/>
                <w:sz w:val="8"/>
                <w:szCs w:val="8"/>
                <w:b w:val="1"/>
                <w:bCs w:val="1"/>
                <w:color w:val="auto"/>
                <w:w w:val="97"/>
              </w:rPr>
              <w:t>Controlling Interest Shareholders’ Equity</w:t>
            </w:r>
          </w:p>
        </w:tc>
        <w:tc>
          <w:tcPr>
            <w:tcW w:w="8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r>
      <w:tr>
        <w:trPr>
          <w:trHeight w:val="86"/>
        </w:trPr>
        <w:tc>
          <w:tcPr>
            <w:tcW w:w="34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860" w:type="dxa"/>
            <w:vAlign w:val="bottom"/>
            <w:gridSpan w:val="2"/>
          </w:tcPr>
          <w:p>
            <w:pPr>
              <w:jc w:val="center"/>
              <w:ind w:right="220"/>
              <w:spacing w:after="0" w:line="86" w:lineRule="exact"/>
              <w:rPr>
                <w:sz w:val="20"/>
                <w:szCs w:val="20"/>
                <w:color w:val="auto"/>
              </w:rPr>
            </w:pPr>
            <w:r>
              <w:rPr>
                <w:rFonts w:ascii="Arial" w:cs="Arial" w:eastAsia="Arial" w:hAnsi="Arial"/>
                <w:sz w:val="8"/>
                <w:szCs w:val="8"/>
                <w:b w:val="1"/>
                <w:bCs w:val="1"/>
                <w:color w:val="auto"/>
                <w:w w:val="95"/>
              </w:rPr>
              <w:t>Accumulated</w:t>
            </w: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16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r>
      <w:tr>
        <w:trPr>
          <w:trHeight w:val="96"/>
        </w:trPr>
        <w:tc>
          <w:tcPr>
            <w:tcW w:w="3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8"/>
                <w:szCs w:val="8"/>
                <w:b w:val="1"/>
                <w:bCs w:val="1"/>
                <w:color w:val="auto"/>
              </w:rPr>
              <w:t>Additional</w:t>
            </w: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8"/>
                <w:szCs w:val="8"/>
                <w:b w:val="1"/>
                <w:bCs w:val="1"/>
                <w:color w:val="auto"/>
              </w:rPr>
              <w:t>Other</w:t>
            </w: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r>
      <w:tr>
        <w:trPr>
          <w:trHeight w:val="96"/>
        </w:trPr>
        <w:tc>
          <w:tcPr>
            <w:tcW w:w="3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8"/>
                <w:szCs w:val="8"/>
                <w:b w:val="1"/>
                <w:bCs w:val="1"/>
                <w:color w:val="auto"/>
              </w:rPr>
              <w:t>Common</w:t>
            </w:r>
          </w:p>
        </w:tc>
        <w:tc>
          <w:tcPr>
            <w:tcW w:w="120" w:type="dxa"/>
            <w:vAlign w:val="bottom"/>
          </w:tcPr>
          <w:p>
            <w:pPr>
              <w:spacing w:after="0"/>
              <w:rPr>
                <w:sz w:val="8"/>
                <w:szCs w:val="8"/>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8"/>
                <w:szCs w:val="8"/>
                <w:b w:val="1"/>
                <w:bCs w:val="1"/>
                <w:color w:val="auto"/>
              </w:rPr>
              <w:t>Paid-In</w:t>
            </w:r>
          </w:p>
        </w:tc>
        <w:tc>
          <w:tcPr>
            <w:tcW w:w="120" w:type="dxa"/>
            <w:vAlign w:val="bottom"/>
          </w:tcPr>
          <w:p>
            <w:pPr>
              <w:spacing w:after="0"/>
              <w:rPr>
                <w:sz w:val="8"/>
                <w:szCs w:val="8"/>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8"/>
                <w:szCs w:val="8"/>
                <w:b w:val="1"/>
                <w:bCs w:val="1"/>
                <w:color w:val="auto"/>
              </w:rPr>
              <w:t>Retained</w:t>
            </w:r>
          </w:p>
        </w:tc>
        <w:tc>
          <w:tcPr>
            <w:tcW w:w="80" w:type="dxa"/>
            <w:vAlign w:val="bottom"/>
          </w:tcPr>
          <w:p>
            <w:pPr>
              <w:spacing w:after="0"/>
              <w:rPr>
                <w:sz w:val="8"/>
                <w:szCs w:val="8"/>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8"/>
                <w:szCs w:val="8"/>
                <w:b w:val="1"/>
                <w:bCs w:val="1"/>
                <w:color w:val="auto"/>
                <w:w w:val="96"/>
              </w:rPr>
              <w:t>Comprehensive</w:t>
            </w:r>
          </w:p>
        </w:tc>
        <w:tc>
          <w:tcPr>
            <w:tcW w:w="80" w:type="dxa"/>
            <w:vAlign w:val="bottom"/>
          </w:tcPr>
          <w:p>
            <w:pPr>
              <w:spacing w:after="0"/>
              <w:rPr>
                <w:sz w:val="8"/>
                <w:szCs w:val="8"/>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8"/>
                <w:szCs w:val="8"/>
                <w:b w:val="1"/>
                <w:bCs w:val="1"/>
                <w:color w:val="auto"/>
                <w:w w:val="94"/>
              </w:rPr>
              <w:t>Noncontrolling</w:t>
            </w: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r>
      <w:tr>
        <w:trPr>
          <w:trHeight w:val="106"/>
        </w:trPr>
        <w:tc>
          <w:tcPr>
            <w:tcW w:w="3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gridSpan w:val="2"/>
          </w:tcPr>
          <w:p>
            <w:pPr>
              <w:jc w:val="right"/>
              <w:ind w:right="460"/>
              <w:spacing w:after="0"/>
              <w:rPr>
                <w:sz w:val="20"/>
                <w:szCs w:val="20"/>
                <w:color w:val="auto"/>
              </w:rPr>
            </w:pPr>
            <w:r>
              <w:rPr>
                <w:rFonts w:ascii="Arial" w:cs="Arial" w:eastAsia="Arial" w:hAnsi="Arial"/>
                <w:sz w:val="8"/>
                <w:szCs w:val="8"/>
                <w:b w:val="1"/>
                <w:bCs w:val="1"/>
                <w:color w:val="auto"/>
              </w:rPr>
              <w:t>Stock</w:t>
            </w:r>
          </w:p>
        </w:tc>
        <w:tc>
          <w:tcPr>
            <w:tcW w:w="120" w:type="dxa"/>
            <w:vAlign w:val="bottom"/>
          </w:tcPr>
          <w:p>
            <w:pPr>
              <w:spacing w:after="0"/>
              <w:rPr>
                <w:sz w:val="9"/>
                <w:szCs w:val="9"/>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8"/>
                <w:szCs w:val="8"/>
                <w:b w:val="1"/>
                <w:bCs w:val="1"/>
                <w:color w:val="auto"/>
              </w:rPr>
              <w:t>Capital</w:t>
            </w:r>
          </w:p>
        </w:tc>
        <w:tc>
          <w:tcPr>
            <w:tcW w:w="120" w:type="dxa"/>
            <w:vAlign w:val="bottom"/>
          </w:tcPr>
          <w:p>
            <w:pPr>
              <w:spacing w:after="0"/>
              <w:rPr>
                <w:sz w:val="9"/>
                <w:szCs w:val="9"/>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8"/>
                <w:szCs w:val="8"/>
                <w:b w:val="1"/>
                <w:bCs w:val="1"/>
                <w:color w:val="auto"/>
              </w:rPr>
              <w:t>Earnings</w:t>
            </w:r>
          </w:p>
        </w:tc>
        <w:tc>
          <w:tcPr>
            <w:tcW w:w="80" w:type="dxa"/>
            <w:vAlign w:val="bottom"/>
          </w:tcPr>
          <w:p>
            <w:pPr>
              <w:spacing w:after="0"/>
              <w:rPr>
                <w:sz w:val="9"/>
                <w:szCs w:val="9"/>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8"/>
                <w:szCs w:val="8"/>
                <w:b w:val="1"/>
                <w:bCs w:val="1"/>
                <w:color w:val="auto"/>
                <w:w w:val="99"/>
              </w:rPr>
              <w:t>Earnings</w:t>
            </w:r>
          </w:p>
        </w:tc>
        <w:tc>
          <w:tcPr>
            <w:tcW w:w="80" w:type="dxa"/>
            <w:vAlign w:val="bottom"/>
          </w:tcPr>
          <w:p>
            <w:pPr>
              <w:spacing w:after="0"/>
              <w:rPr>
                <w:sz w:val="9"/>
                <w:szCs w:val="9"/>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8"/>
                <w:szCs w:val="8"/>
                <w:b w:val="1"/>
                <w:bCs w:val="1"/>
                <w:color w:val="auto"/>
                <w:w w:val="96"/>
              </w:rPr>
              <w:t>Interest</w:t>
            </w:r>
          </w:p>
        </w:tc>
        <w:tc>
          <w:tcPr>
            <w:tcW w:w="220" w:type="dxa"/>
            <w:vAlign w:val="bottom"/>
          </w:tcPr>
          <w:p>
            <w:pPr>
              <w:spacing w:after="0"/>
              <w:rPr>
                <w:sz w:val="9"/>
                <w:szCs w:val="9"/>
                <w:color w:val="auto"/>
              </w:rPr>
            </w:pPr>
          </w:p>
        </w:tc>
        <w:tc>
          <w:tcPr>
            <w:tcW w:w="780" w:type="dxa"/>
            <w:vAlign w:val="bottom"/>
          </w:tcPr>
          <w:p>
            <w:pPr>
              <w:jc w:val="right"/>
              <w:ind w:right="351"/>
              <w:spacing w:after="0"/>
              <w:rPr>
                <w:sz w:val="20"/>
                <w:szCs w:val="20"/>
                <w:color w:val="auto"/>
              </w:rPr>
            </w:pPr>
            <w:r>
              <w:rPr>
                <w:rFonts w:ascii="Arial" w:cs="Arial" w:eastAsia="Arial" w:hAnsi="Arial"/>
                <w:sz w:val="8"/>
                <w:szCs w:val="8"/>
                <w:b w:val="1"/>
                <w:bCs w:val="1"/>
                <w:color w:val="auto"/>
              </w:rPr>
              <w:t>Total</w:t>
            </w:r>
          </w:p>
        </w:tc>
      </w:tr>
      <w:tr>
        <w:trPr>
          <w:trHeight w:val="106"/>
        </w:trPr>
        <w:tc>
          <w:tcPr>
            <w:tcW w:w="3420" w:type="dxa"/>
            <w:vAlign w:val="bottom"/>
            <w:tcBorders>
              <w:top w:val="single" w:sz="8" w:color="CCEEFF"/>
            </w:tcBorders>
            <w:shd w:val="clear" w:color="auto" w:fill="CCEEFF"/>
          </w:tcPr>
          <w:p>
            <w:pPr>
              <w:spacing w:after="0" w:line="106" w:lineRule="exact"/>
              <w:rPr>
                <w:sz w:val="20"/>
                <w:szCs w:val="20"/>
                <w:color w:val="auto"/>
              </w:rPr>
            </w:pPr>
            <w:r>
              <w:rPr>
                <w:rFonts w:ascii="Arial" w:cs="Arial" w:eastAsia="Arial" w:hAnsi="Arial"/>
                <w:sz w:val="10"/>
                <w:szCs w:val="10"/>
                <w:b w:val="1"/>
                <w:bCs w:val="1"/>
                <w:color w:val="auto"/>
              </w:rPr>
              <w:t>Balance at December 26, 2015</w:t>
            </w:r>
          </w:p>
        </w:tc>
        <w:tc>
          <w:tcPr>
            <w:tcW w:w="140" w:type="dxa"/>
            <w:vAlign w:val="bottom"/>
            <w:tcBorders>
              <w:top w:val="single" w:sz="8" w:color="auto"/>
            </w:tcBorders>
            <w:shd w:val="clear" w:color="auto" w:fill="CCEEFF"/>
          </w:tcPr>
          <w:p>
            <w:pPr>
              <w:jc w:val="right"/>
              <w:ind w:right="30"/>
              <w:spacing w:after="0" w:line="106" w:lineRule="exact"/>
              <w:rPr>
                <w:sz w:val="20"/>
                <w:szCs w:val="20"/>
                <w:color w:val="auto"/>
              </w:rPr>
            </w:pPr>
            <w:r>
              <w:rPr>
                <w:rFonts w:ascii="Arial" w:cs="Arial" w:eastAsia="Arial" w:hAnsi="Arial"/>
                <w:sz w:val="10"/>
                <w:szCs w:val="10"/>
                <w:b w:val="1"/>
                <w:bCs w:val="1"/>
                <w:color w:val="auto"/>
                <w:w w:val="71"/>
              </w:rPr>
              <w:t>$</w:t>
            </w:r>
          </w:p>
        </w:tc>
        <w:tc>
          <w:tcPr>
            <w:tcW w:w="640" w:type="dxa"/>
            <w:vAlign w:val="bottom"/>
            <w:tcBorders>
              <w:top w:val="single" w:sz="8" w:color="auto"/>
            </w:tcBorders>
            <w:shd w:val="clear" w:color="auto" w:fill="CCEEFF"/>
          </w:tcPr>
          <w:p>
            <w:pPr>
              <w:jc w:val="right"/>
              <w:spacing w:after="0" w:line="106" w:lineRule="exact"/>
              <w:rPr>
                <w:sz w:val="20"/>
                <w:szCs w:val="20"/>
                <w:color w:val="auto"/>
              </w:rPr>
            </w:pPr>
            <w:r>
              <w:rPr>
                <w:rFonts w:ascii="Arial" w:cs="Arial" w:eastAsia="Arial" w:hAnsi="Arial"/>
                <w:sz w:val="10"/>
                <w:szCs w:val="10"/>
                <w:b w:val="1"/>
                <w:bCs w:val="1"/>
                <w:color w:val="auto"/>
              </w:rPr>
              <w:t>60,425</w:t>
            </w:r>
          </w:p>
        </w:tc>
        <w:tc>
          <w:tcPr>
            <w:tcW w:w="18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jc w:val="right"/>
              <w:ind w:right="55"/>
              <w:spacing w:after="0"/>
              <w:rPr>
                <w:sz w:val="20"/>
                <w:szCs w:val="20"/>
                <w:color w:val="auto"/>
              </w:rPr>
            </w:pPr>
            <w:r>
              <w:rPr>
                <w:rFonts w:ascii="Arial" w:cs="Arial" w:eastAsia="Arial" w:hAnsi="Arial"/>
                <w:sz w:val="5"/>
                <w:szCs w:val="5"/>
                <w:b w:val="1"/>
                <w:bCs w:val="1"/>
                <w:color w:val="auto"/>
                <w:w w:val="70"/>
              </w:rPr>
              <w:t>$</w:t>
            </w:r>
          </w:p>
        </w:tc>
        <w:tc>
          <w:tcPr>
            <w:tcW w:w="660" w:type="dxa"/>
            <w:vAlign w:val="bottom"/>
            <w:tcBorders>
              <w:top w:val="single" w:sz="8" w:color="auto"/>
            </w:tcBorders>
            <w:shd w:val="clear" w:color="auto" w:fill="CCEEFF"/>
          </w:tcPr>
          <w:p>
            <w:pPr>
              <w:jc w:val="right"/>
              <w:spacing w:after="0" w:line="106" w:lineRule="exact"/>
              <w:rPr>
                <w:sz w:val="20"/>
                <w:szCs w:val="20"/>
                <w:color w:val="auto"/>
              </w:rPr>
            </w:pPr>
            <w:r>
              <w:rPr>
                <w:rFonts w:ascii="Arial" w:cs="Arial" w:eastAsia="Arial" w:hAnsi="Arial"/>
                <w:sz w:val="10"/>
                <w:szCs w:val="10"/>
                <w:b w:val="1"/>
                <w:bCs w:val="1"/>
                <w:color w:val="auto"/>
              </w:rPr>
              <w:t>131,279</w:t>
            </w:r>
          </w:p>
        </w:tc>
        <w:tc>
          <w:tcPr>
            <w:tcW w:w="16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jc w:val="right"/>
              <w:ind w:right="10"/>
              <w:spacing w:after="0" w:line="106" w:lineRule="exact"/>
              <w:rPr>
                <w:sz w:val="20"/>
                <w:szCs w:val="20"/>
                <w:color w:val="auto"/>
              </w:rPr>
            </w:pPr>
            <w:r>
              <w:rPr>
                <w:rFonts w:ascii="Arial" w:cs="Arial" w:eastAsia="Arial" w:hAnsi="Arial"/>
                <w:sz w:val="10"/>
                <w:szCs w:val="10"/>
                <w:b w:val="1"/>
                <w:bCs w:val="1"/>
                <w:color w:val="auto"/>
                <w:w w:val="71"/>
              </w:rPr>
              <w:t>$</w:t>
            </w:r>
          </w:p>
        </w:tc>
        <w:tc>
          <w:tcPr>
            <w:tcW w:w="640" w:type="dxa"/>
            <w:vAlign w:val="bottom"/>
            <w:tcBorders>
              <w:top w:val="single" w:sz="8" w:color="auto"/>
            </w:tcBorders>
            <w:shd w:val="clear" w:color="auto" w:fill="CCEEFF"/>
          </w:tcPr>
          <w:p>
            <w:pPr>
              <w:jc w:val="right"/>
              <w:spacing w:after="0" w:line="106" w:lineRule="exact"/>
              <w:rPr>
                <w:sz w:val="20"/>
                <w:szCs w:val="20"/>
                <w:color w:val="auto"/>
              </w:rPr>
            </w:pPr>
            <w:r>
              <w:rPr>
                <w:rFonts w:ascii="Arial" w:cs="Arial" w:eastAsia="Arial" w:hAnsi="Arial"/>
                <w:sz w:val="10"/>
                <w:szCs w:val="10"/>
                <w:b w:val="1"/>
                <w:bCs w:val="1"/>
                <w:color w:val="auto"/>
              </w:rPr>
              <w:t>565,636</w:t>
            </w:r>
          </w:p>
        </w:tc>
        <w:tc>
          <w:tcPr>
            <w:tcW w:w="16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jc w:val="center"/>
              <w:spacing w:after="0" w:line="106" w:lineRule="exact"/>
              <w:rPr>
                <w:sz w:val="20"/>
                <w:szCs w:val="20"/>
                <w:color w:val="auto"/>
              </w:rPr>
            </w:pPr>
            <w:r>
              <w:rPr>
                <w:rFonts w:ascii="Arial" w:cs="Arial" w:eastAsia="Arial" w:hAnsi="Arial"/>
                <w:sz w:val="10"/>
                <w:szCs w:val="10"/>
                <w:b w:val="1"/>
                <w:bCs w:val="1"/>
                <w:color w:val="auto"/>
              </w:rPr>
              <w:t>$</w:t>
            </w:r>
          </w:p>
        </w:tc>
        <w:tc>
          <w:tcPr>
            <w:tcW w:w="700" w:type="dxa"/>
            <w:vAlign w:val="bottom"/>
            <w:tcBorders>
              <w:top w:val="single" w:sz="8" w:color="auto"/>
            </w:tcBorders>
            <w:shd w:val="clear" w:color="auto" w:fill="CCEEFF"/>
          </w:tcPr>
          <w:p>
            <w:pPr>
              <w:jc w:val="right"/>
              <w:spacing w:after="0" w:line="106" w:lineRule="exact"/>
              <w:rPr>
                <w:sz w:val="20"/>
                <w:szCs w:val="20"/>
                <w:color w:val="auto"/>
              </w:rPr>
            </w:pPr>
            <w:r>
              <w:rPr>
                <w:rFonts w:ascii="Arial" w:cs="Arial" w:eastAsia="Arial" w:hAnsi="Arial"/>
                <w:sz w:val="10"/>
                <w:szCs w:val="10"/>
                <w:b w:val="1"/>
                <w:bCs w:val="1"/>
                <w:color w:val="auto"/>
              </w:rPr>
              <w:t>(4,585)</w:t>
            </w:r>
          </w:p>
        </w:tc>
        <w:tc>
          <w:tcPr>
            <w:tcW w:w="16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5"/>
                <w:szCs w:val="5"/>
                <w:b w:val="1"/>
                <w:bCs w:val="1"/>
                <w:color w:val="auto"/>
                <w:w w:val="70"/>
              </w:rPr>
              <w:t>$</w:t>
            </w:r>
          </w:p>
        </w:tc>
        <w:tc>
          <w:tcPr>
            <w:tcW w:w="680" w:type="dxa"/>
            <w:vAlign w:val="bottom"/>
            <w:tcBorders>
              <w:top w:val="single" w:sz="8" w:color="auto"/>
            </w:tcBorders>
            <w:shd w:val="clear" w:color="auto" w:fill="CCEEFF"/>
          </w:tcPr>
          <w:p>
            <w:pPr>
              <w:jc w:val="right"/>
              <w:spacing w:after="0" w:line="106" w:lineRule="exact"/>
              <w:rPr>
                <w:sz w:val="20"/>
                <w:szCs w:val="20"/>
                <w:color w:val="auto"/>
              </w:rPr>
            </w:pPr>
            <w:r>
              <w:rPr>
                <w:rFonts w:ascii="Arial" w:cs="Arial" w:eastAsia="Arial" w:hAnsi="Arial"/>
                <w:sz w:val="10"/>
                <w:szCs w:val="10"/>
                <w:b w:val="1"/>
                <w:bCs w:val="1"/>
                <w:color w:val="auto"/>
              </w:rPr>
              <w:t>13,654</w:t>
            </w:r>
          </w:p>
        </w:tc>
        <w:tc>
          <w:tcPr>
            <w:tcW w:w="160" w:type="dxa"/>
            <w:vAlign w:val="bottom"/>
            <w:tcBorders>
              <w:top w:val="single" w:sz="8" w:color="CCEEFF"/>
            </w:tcBorders>
            <w:shd w:val="clear" w:color="auto" w:fill="CCEEFF"/>
          </w:tcPr>
          <w:p>
            <w:pPr>
              <w:spacing w:after="0"/>
              <w:rPr>
                <w:sz w:val="9"/>
                <w:szCs w:val="9"/>
                <w:color w:val="auto"/>
              </w:rPr>
            </w:pPr>
          </w:p>
        </w:tc>
        <w:tc>
          <w:tcPr>
            <w:tcW w:w="220" w:type="dxa"/>
            <w:vAlign w:val="bottom"/>
            <w:tcBorders>
              <w:top w:val="single" w:sz="8" w:color="auto"/>
            </w:tcBorders>
            <w:shd w:val="clear" w:color="auto" w:fill="CCEEFF"/>
          </w:tcPr>
          <w:p>
            <w:pPr>
              <w:jc w:val="right"/>
              <w:ind w:right="155"/>
              <w:spacing w:after="0"/>
              <w:rPr>
                <w:sz w:val="20"/>
                <w:szCs w:val="20"/>
                <w:color w:val="auto"/>
              </w:rPr>
            </w:pPr>
            <w:r>
              <w:rPr>
                <w:rFonts w:ascii="Arial" w:cs="Arial" w:eastAsia="Arial" w:hAnsi="Arial"/>
                <w:sz w:val="5"/>
                <w:szCs w:val="5"/>
                <w:b w:val="1"/>
                <w:bCs w:val="1"/>
                <w:color w:val="auto"/>
                <w:w w:val="70"/>
              </w:rPr>
              <w:t>$</w:t>
            </w:r>
          </w:p>
        </w:tc>
        <w:tc>
          <w:tcPr>
            <w:tcW w:w="780" w:type="dxa"/>
            <w:vAlign w:val="bottom"/>
            <w:tcBorders>
              <w:top w:val="single" w:sz="8" w:color="auto"/>
            </w:tcBorders>
            <w:shd w:val="clear" w:color="auto" w:fill="CCEEFF"/>
          </w:tcPr>
          <w:p>
            <w:pPr>
              <w:jc w:val="right"/>
              <w:spacing w:after="0" w:line="106" w:lineRule="exact"/>
              <w:rPr>
                <w:sz w:val="20"/>
                <w:szCs w:val="20"/>
                <w:color w:val="auto"/>
              </w:rPr>
            </w:pPr>
            <w:r>
              <w:rPr>
                <w:rFonts w:ascii="Arial" w:cs="Arial" w:eastAsia="Arial" w:hAnsi="Arial"/>
                <w:sz w:val="10"/>
                <w:szCs w:val="10"/>
                <w:b w:val="1"/>
                <w:bCs w:val="1"/>
                <w:color w:val="auto"/>
              </w:rPr>
              <w:t>766,409</w:t>
            </w:r>
          </w:p>
        </w:tc>
      </w:tr>
      <w:tr>
        <w:trPr>
          <w:trHeight w:val="106"/>
        </w:trPr>
        <w:tc>
          <w:tcPr>
            <w:tcW w:w="3420" w:type="dxa"/>
            <w:vAlign w:val="bottom"/>
          </w:tcPr>
          <w:p>
            <w:pPr>
              <w:spacing w:after="0" w:line="106" w:lineRule="exact"/>
              <w:rPr>
                <w:sz w:val="20"/>
                <w:szCs w:val="20"/>
                <w:color w:val="auto"/>
              </w:rPr>
            </w:pPr>
            <w:r>
              <w:rPr>
                <w:rFonts w:ascii="Arial" w:cs="Arial" w:eastAsia="Arial" w:hAnsi="Arial"/>
                <w:sz w:val="10"/>
                <w:szCs w:val="10"/>
                <w:color w:val="auto"/>
              </w:rPr>
              <w:t>Net earnings</w:t>
            </w: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jc w:val="right"/>
              <w:spacing w:after="0" w:line="106" w:lineRule="exact"/>
              <w:rPr>
                <w:sz w:val="20"/>
                <w:szCs w:val="20"/>
                <w:color w:val="auto"/>
              </w:rPr>
            </w:pPr>
            <w:r>
              <w:rPr>
                <w:rFonts w:ascii="Arial" w:cs="Arial" w:eastAsia="Arial" w:hAnsi="Arial"/>
                <w:sz w:val="10"/>
                <w:szCs w:val="10"/>
                <w:color w:val="auto"/>
              </w:rPr>
              <w:t>101,179</w:t>
            </w: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jc w:val="right"/>
              <w:spacing w:after="0" w:line="106" w:lineRule="exact"/>
              <w:rPr>
                <w:sz w:val="20"/>
                <w:szCs w:val="20"/>
                <w:color w:val="auto"/>
              </w:rPr>
            </w:pPr>
            <w:r>
              <w:rPr>
                <w:rFonts w:ascii="Arial" w:cs="Arial" w:eastAsia="Arial" w:hAnsi="Arial"/>
                <w:sz w:val="10"/>
                <w:szCs w:val="10"/>
                <w:color w:val="auto"/>
              </w:rPr>
              <w:t>4,318</w:t>
            </w: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jc w:val="right"/>
              <w:spacing w:after="0" w:line="106" w:lineRule="exact"/>
              <w:rPr>
                <w:sz w:val="20"/>
                <w:szCs w:val="20"/>
                <w:color w:val="auto"/>
              </w:rPr>
            </w:pPr>
            <w:r>
              <w:rPr>
                <w:rFonts w:ascii="Arial" w:cs="Arial" w:eastAsia="Arial" w:hAnsi="Arial"/>
                <w:sz w:val="10"/>
                <w:szCs w:val="10"/>
                <w:color w:val="auto"/>
              </w:rPr>
              <w:t>105,497</w:t>
            </w:r>
          </w:p>
        </w:tc>
      </w:tr>
      <w:tr>
        <w:trPr>
          <w:trHeight w:val="106"/>
        </w:trPr>
        <w:tc>
          <w:tcPr>
            <w:tcW w:w="3420" w:type="dxa"/>
            <w:vAlign w:val="bottom"/>
            <w:shd w:val="clear" w:color="auto" w:fill="CCEEFF"/>
          </w:tcPr>
          <w:p>
            <w:pPr>
              <w:spacing w:after="0" w:line="106" w:lineRule="exact"/>
              <w:rPr>
                <w:sz w:val="20"/>
                <w:szCs w:val="20"/>
                <w:color w:val="auto"/>
              </w:rPr>
            </w:pPr>
            <w:r>
              <w:rPr>
                <w:rFonts w:ascii="Arial" w:cs="Arial" w:eastAsia="Arial" w:hAnsi="Arial"/>
                <w:sz w:val="10"/>
                <w:szCs w:val="10"/>
                <w:color w:val="auto"/>
              </w:rPr>
              <w:t>Foreign currency translation adjustment</w:t>
            </w:r>
          </w:p>
        </w:tc>
        <w:tc>
          <w:tcPr>
            <w:tcW w:w="14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60" w:type="dxa"/>
            <w:vAlign w:val="bottom"/>
            <w:gridSpan w:val="2"/>
            <w:shd w:val="clear" w:color="auto" w:fill="CCEEFF"/>
          </w:tcPr>
          <w:p>
            <w:pPr>
              <w:jc w:val="right"/>
              <w:ind w:right="160"/>
              <w:spacing w:after="0" w:line="106" w:lineRule="exact"/>
              <w:rPr>
                <w:sz w:val="20"/>
                <w:szCs w:val="20"/>
                <w:color w:val="auto"/>
              </w:rPr>
            </w:pPr>
            <w:r>
              <w:rPr>
                <w:rFonts w:ascii="Arial" w:cs="Arial" w:eastAsia="Arial" w:hAnsi="Arial"/>
                <w:sz w:val="10"/>
                <w:szCs w:val="10"/>
                <w:color w:val="auto"/>
              </w:rPr>
              <w:t>(1,316)</w:t>
            </w:r>
          </w:p>
        </w:tc>
        <w:tc>
          <w:tcPr>
            <w:tcW w:w="80" w:type="dxa"/>
            <w:vAlign w:val="bottom"/>
            <w:shd w:val="clear" w:color="auto" w:fill="CCEEFF"/>
          </w:tcPr>
          <w:p>
            <w:pPr>
              <w:spacing w:after="0"/>
              <w:rPr>
                <w:sz w:val="9"/>
                <w:szCs w:val="9"/>
                <w:color w:val="auto"/>
              </w:rPr>
            </w:pPr>
          </w:p>
        </w:tc>
        <w:tc>
          <w:tcPr>
            <w:tcW w:w="840" w:type="dxa"/>
            <w:vAlign w:val="bottom"/>
            <w:gridSpan w:val="2"/>
            <w:shd w:val="clear" w:color="auto" w:fill="CCEEFF"/>
          </w:tcPr>
          <w:p>
            <w:pPr>
              <w:jc w:val="right"/>
              <w:ind w:right="160"/>
              <w:spacing w:after="0" w:line="106" w:lineRule="exact"/>
              <w:rPr>
                <w:sz w:val="20"/>
                <w:szCs w:val="20"/>
                <w:color w:val="auto"/>
              </w:rPr>
            </w:pPr>
            <w:r>
              <w:rPr>
                <w:rFonts w:ascii="Arial" w:cs="Arial" w:eastAsia="Arial" w:hAnsi="Arial"/>
                <w:sz w:val="10"/>
                <w:szCs w:val="10"/>
                <w:color w:val="auto"/>
              </w:rPr>
              <w:t>(1,658)</w:t>
            </w:r>
          </w:p>
        </w:tc>
        <w:tc>
          <w:tcPr>
            <w:tcW w:w="220" w:type="dxa"/>
            <w:vAlign w:val="bottom"/>
            <w:shd w:val="clear" w:color="auto" w:fill="CCEEFF"/>
          </w:tcPr>
          <w:p>
            <w:pPr>
              <w:spacing w:after="0"/>
              <w:rPr>
                <w:sz w:val="9"/>
                <w:szCs w:val="9"/>
                <w:color w:val="auto"/>
              </w:rPr>
            </w:pPr>
          </w:p>
        </w:tc>
        <w:tc>
          <w:tcPr>
            <w:tcW w:w="78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(2,974)</w:t>
            </w:r>
          </w:p>
        </w:tc>
      </w:tr>
      <w:tr>
        <w:trPr>
          <w:trHeight w:val="106"/>
        </w:trPr>
        <w:tc>
          <w:tcPr>
            <w:tcW w:w="3420" w:type="dxa"/>
            <w:vAlign w:val="bottom"/>
          </w:tcPr>
          <w:p>
            <w:pPr>
              <w:spacing w:after="0" w:line="106" w:lineRule="exact"/>
              <w:rPr>
                <w:sz w:val="20"/>
                <w:szCs w:val="20"/>
                <w:color w:val="auto"/>
              </w:rPr>
            </w:pPr>
            <w:r>
              <w:rPr>
                <w:rFonts w:ascii="Arial" w:cs="Arial" w:eastAsia="Arial" w:hAnsi="Arial"/>
                <w:sz w:val="10"/>
                <w:szCs w:val="10"/>
                <w:color w:val="auto"/>
              </w:rPr>
              <w:t>Unrealized gain (loss) on investment</w:t>
            </w: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jc w:val="right"/>
              <w:spacing w:after="0" w:line="106" w:lineRule="exact"/>
              <w:rPr>
                <w:sz w:val="20"/>
                <w:szCs w:val="20"/>
                <w:color w:val="auto"/>
              </w:rPr>
            </w:pPr>
            <w:r>
              <w:rPr>
                <w:rFonts w:ascii="Arial" w:cs="Arial" w:eastAsia="Arial" w:hAnsi="Arial"/>
                <w:sz w:val="10"/>
                <w:szCs w:val="10"/>
                <w:color w:val="auto"/>
              </w:rPr>
              <w:t>271</w:t>
            </w: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jc w:val="right"/>
              <w:spacing w:after="0" w:line="106" w:lineRule="exact"/>
              <w:rPr>
                <w:sz w:val="20"/>
                <w:szCs w:val="20"/>
                <w:color w:val="auto"/>
              </w:rPr>
            </w:pPr>
            <w:r>
              <w:rPr>
                <w:rFonts w:ascii="Arial" w:cs="Arial" w:eastAsia="Arial" w:hAnsi="Arial"/>
                <w:sz w:val="10"/>
                <w:szCs w:val="10"/>
                <w:color w:val="auto"/>
              </w:rPr>
              <w:t>271</w:t>
            </w:r>
          </w:p>
        </w:tc>
      </w:tr>
      <w:tr>
        <w:trPr>
          <w:trHeight w:val="106"/>
        </w:trPr>
        <w:tc>
          <w:tcPr>
            <w:tcW w:w="3420" w:type="dxa"/>
            <w:vAlign w:val="bottom"/>
            <w:shd w:val="clear" w:color="auto" w:fill="CCEEFF"/>
          </w:tcPr>
          <w:p>
            <w:pPr>
              <w:spacing w:after="0" w:line="106" w:lineRule="exact"/>
              <w:rPr>
                <w:sz w:val="20"/>
                <w:szCs w:val="20"/>
                <w:color w:val="auto"/>
              </w:rPr>
            </w:pPr>
            <w:r>
              <w:rPr>
                <w:rFonts w:ascii="Arial" w:cs="Arial" w:eastAsia="Arial" w:hAnsi="Arial"/>
                <w:sz w:val="10"/>
                <w:szCs w:val="10"/>
                <w:color w:val="auto"/>
              </w:rPr>
              <w:t>Noncontrolling interest associated with business acquisitions</w:t>
            </w:r>
          </w:p>
        </w:tc>
        <w:tc>
          <w:tcPr>
            <w:tcW w:w="14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40" w:type="dxa"/>
            <w:vAlign w:val="bottom"/>
            <w:gridSpan w:val="2"/>
            <w:shd w:val="clear" w:color="auto" w:fill="CCEEFF"/>
          </w:tcPr>
          <w:p>
            <w:pPr>
              <w:jc w:val="right"/>
              <w:ind w:right="200"/>
              <w:spacing w:after="0" w:line="106" w:lineRule="exact"/>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spacing w:after="0"/>
              <w:rPr>
                <w:sz w:val="9"/>
                <w:szCs w:val="9"/>
                <w:color w:val="auto"/>
              </w:rPr>
            </w:pPr>
          </w:p>
        </w:tc>
        <w:tc>
          <w:tcPr>
            <w:tcW w:w="78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w:t>
            </w:r>
          </w:p>
        </w:tc>
      </w:tr>
      <w:tr>
        <w:trPr>
          <w:trHeight w:val="106"/>
        </w:trPr>
        <w:tc>
          <w:tcPr>
            <w:tcW w:w="3420" w:type="dxa"/>
            <w:vAlign w:val="bottom"/>
          </w:tcPr>
          <w:p>
            <w:pPr>
              <w:spacing w:after="0" w:line="106" w:lineRule="exact"/>
              <w:rPr>
                <w:sz w:val="20"/>
                <w:szCs w:val="20"/>
                <w:color w:val="auto"/>
              </w:rPr>
            </w:pPr>
            <w:r>
              <w:rPr>
                <w:rFonts w:ascii="Arial" w:cs="Arial" w:eastAsia="Arial" w:hAnsi="Arial"/>
                <w:sz w:val="10"/>
                <w:szCs w:val="10"/>
                <w:color w:val="auto"/>
              </w:rPr>
              <w:t>Distributions to noncontrolling interest</w:t>
            </w: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gridSpan w:val="2"/>
          </w:tcPr>
          <w:p>
            <w:pPr>
              <w:jc w:val="right"/>
              <w:ind w:right="160"/>
              <w:spacing w:after="0" w:line="106" w:lineRule="exact"/>
              <w:rPr>
                <w:sz w:val="20"/>
                <w:szCs w:val="20"/>
                <w:color w:val="auto"/>
              </w:rPr>
            </w:pPr>
            <w:r>
              <w:rPr>
                <w:rFonts w:ascii="Arial" w:cs="Arial" w:eastAsia="Arial" w:hAnsi="Arial"/>
                <w:sz w:val="10"/>
                <w:szCs w:val="10"/>
                <w:color w:val="auto"/>
              </w:rPr>
              <w:t>(3,280)</w:t>
            </w:r>
          </w:p>
        </w:tc>
        <w:tc>
          <w:tcPr>
            <w:tcW w:w="220" w:type="dxa"/>
            <w:vAlign w:val="bottom"/>
          </w:tcPr>
          <w:p>
            <w:pPr>
              <w:spacing w:after="0"/>
              <w:rPr>
                <w:sz w:val="9"/>
                <w:szCs w:val="9"/>
                <w:color w:val="auto"/>
              </w:rPr>
            </w:pPr>
          </w:p>
        </w:tc>
        <w:tc>
          <w:tcPr>
            <w:tcW w:w="780" w:type="dxa"/>
            <w:vAlign w:val="bottom"/>
          </w:tcPr>
          <w:p>
            <w:pPr>
              <w:jc w:val="right"/>
              <w:spacing w:after="0" w:line="106" w:lineRule="exact"/>
              <w:rPr>
                <w:sz w:val="20"/>
                <w:szCs w:val="20"/>
                <w:color w:val="auto"/>
              </w:rPr>
            </w:pPr>
            <w:r>
              <w:rPr>
                <w:rFonts w:ascii="Arial" w:cs="Arial" w:eastAsia="Arial" w:hAnsi="Arial"/>
                <w:sz w:val="10"/>
                <w:szCs w:val="10"/>
                <w:color w:val="auto"/>
              </w:rPr>
              <w:t>(3,280)</w:t>
            </w:r>
          </w:p>
        </w:tc>
      </w:tr>
      <w:tr>
        <w:trPr>
          <w:trHeight w:val="106"/>
        </w:trPr>
        <w:tc>
          <w:tcPr>
            <w:tcW w:w="3420" w:type="dxa"/>
            <w:vAlign w:val="bottom"/>
            <w:shd w:val="clear" w:color="auto" w:fill="CCEEFF"/>
          </w:tcPr>
          <w:p>
            <w:pPr>
              <w:spacing w:after="0" w:line="106" w:lineRule="exact"/>
              <w:rPr>
                <w:sz w:val="20"/>
                <w:szCs w:val="20"/>
                <w:color w:val="auto"/>
              </w:rPr>
            </w:pPr>
            <w:r>
              <w:rPr>
                <w:rFonts w:ascii="Arial" w:cs="Arial" w:eastAsia="Arial" w:hAnsi="Arial"/>
                <w:sz w:val="10"/>
                <w:szCs w:val="10"/>
                <w:color w:val="auto"/>
              </w:rPr>
              <w:t>Net purchase and dissolution of noncontrolling interest</w:t>
            </w:r>
          </w:p>
        </w:tc>
        <w:tc>
          <w:tcPr>
            <w:tcW w:w="14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6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856</w:t>
            </w: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40" w:type="dxa"/>
            <w:vAlign w:val="bottom"/>
            <w:gridSpan w:val="2"/>
            <w:shd w:val="clear" w:color="auto" w:fill="CCEEFF"/>
          </w:tcPr>
          <w:p>
            <w:pPr>
              <w:jc w:val="right"/>
              <w:ind w:right="160"/>
              <w:spacing w:after="0" w:line="106" w:lineRule="exact"/>
              <w:rPr>
                <w:sz w:val="20"/>
                <w:szCs w:val="20"/>
                <w:color w:val="auto"/>
              </w:rPr>
            </w:pPr>
            <w:r>
              <w:rPr>
                <w:rFonts w:ascii="Arial" w:cs="Arial" w:eastAsia="Arial" w:hAnsi="Arial"/>
                <w:sz w:val="10"/>
                <w:szCs w:val="10"/>
                <w:color w:val="auto"/>
              </w:rPr>
              <w:t>(1,748)</w:t>
            </w:r>
          </w:p>
        </w:tc>
        <w:tc>
          <w:tcPr>
            <w:tcW w:w="220" w:type="dxa"/>
            <w:vAlign w:val="bottom"/>
            <w:shd w:val="clear" w:color="auto" w:fill="CCEEFF"/>
          </w:tcPr>
          <w:p>
            <w:pPr>
              <w:spacing w:after="0"/>
              <w:rPr>
                <w:sz w:val="9"/>
                <w:szCs w:val="9"/>
                <w:color w:val="auto"/>
              </w:rPr>
            </w:pPr>
          </w:p>
        </w:tc>
        <w:tc>
          <w:tcPr>
            <w:tcW w:w="78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(892)</w:t>
            </w:r>
          </w:p>
        </w:tc>
      </w:tr>
      <w:tr>
        <w:trPr>
          <w:trHeight w:val="106"/>
        </w:trPr>
        <w:tc>
          <w:tcPr>
            <w:tcW w:w="3420" w:type="dxa"/>
            <w:vAlign w:val="bottom"/>
          </w:tcPr>
          <w:p>
            <w:pPr>
              <w:spacing w:after="0" w:line="106" w:lineRule="exact"/>
              <w:rPr>
                <w:sz w:val="20"/>
                <w:szCs w:val="20"/>
                <w:color w:val="auto"/>
              </w:rPr>
            </w:pPr>
            <w:r>
              <w:rPr>
                <w:rFonts w:ascii="Arial" w:cs="Arial" w:eastAsia="Arial" w:hAnsi="Arial"/>
                <w:sz w:val="10"/>
                <w:szCs w:val="10"/>
                <w:color w:val="auto"/>
              </w:rPr>
              <w:t>Cash dividends - $0.140 &amp; $0.150 per share - semiannually</w:t>
            </w: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gridSpan w:val="2"/>
          </w:tcPr>
          <w:p>
            <w:pPr>
              <w:jc w:val="right"/>
              <w:ind w:right="160"/>
              <w:spacing w:after="0" w:line="106" w:lineRule="exact"/>
              <w:rPr>
                <w:sz w:val="20"/>
                <w:szCs w:val="20"/>
                <w:color w:val="auto"/>
              </w:rPr>
            </w:pPr>
            <w:r>
              <w:rPr>
                <w:rFonts w:ascii="Arial" w:cs="Arial" w:eastAsia="Arial" w:hAnsi="Arial"/>
                <w:sz w:val="10"/>
                <w:szCs w:val="10"/>
                <w:color w:val="auto"/>
              </w:rPr>
              <w:t>(17,680)</w:t>
            </w: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jc w:val="right"/>
              <w:spacing w:after="0" w:line="106" w:lineRule="exact"/>
              <w:rPr>
                <w:sz w:val="20"/>
                <w:szCs w:val="20"/>
                <w:color w:val="auto"/>
              </w:rPr>
            </w:pPr>
            <w:r>
              <w:rPr>
                <w:rFonts w:ascii="Arial" w:cs="Arial" w:eastAsia="Arial" w:hAnsi="Arial"/>
                <w:sz w:val="10"/>
                <w:szCs w:val="10"/>
                <w:color w:val="auto"/>
              </w:rPr>
              <w:t>(17,680)</w:t>
            </w:r>
          </w:p>
        </w:tc>
      </w:tr>
      <w:tr>
        <w:trPr>
          <w:trHeight w:val="106"/>
        </w:trPr>
        <w:tc>
          <w:tcPr>
            <w:tcW w:w="3420" w:type="dxa"/>
            <w:vAlign w:val="bottom"/>
            <w:shd w:val="clear" w:color="auto" w:fill="CCEEFF"/>
          </w:tcPr>
          <w:p>
            <w:pPr>
              <w:spacing w:after="0" w:line="106" w:lineRule="exact"/>
              <w:rPr>
                <w:sz w:val="20"/>
                <w:szCs w:val="20"/>
                <w:color w:val="auto"/>
              </w:rPr>
            </w:pPr>
            <w:r>
              <w:rPr>
                <w:rFonts w:ascii="Arial" w:cs="Arial" w:eastAsia="Arial" w:hAnsi="Arial"/>
                <w:sz w:val="10"/>
                <w:szCs w:val="10"/>
                <w:color w:val="auto"/>
              </w:rPr>
              <w:t>Issuance of 20,439 shares under employee stock plans</w:t>
            </w:r>
          </w:p>
        </w:tc>
        <w:tc>
          <w:tcPr>
            <w:tcW w:w="140" w:type="dxa"/>
            <w:vAlign w:val="bottom"/>
            <w:shd w:val="clear" w:color="auto" w:fill="CCEEFF"/>
          </w:tcPr>
          <w:p>
            <w:pPr>
              <w:spacing w:after="0"/>
              <w:rPr>
                <w:sz w:val="9"/>
                <w:szCs w:val="9"/>
                <w:color w:val="auto"/>
              </w:rPr>
            </w:pPr>
          </w:p>
        </w:tc>
        <w:tc>
          <w:tcPr>
            <w:tcW w:w="64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21</w:t>
            </w:r>
          </w:p>
        </w:tc>
        <w:tc>
          <w:tcPr>
            <w:tcW w:w="1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6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515</w:t>
            </w: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8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536</w:t>
            </w:r>
          </w:p>
        </w:tc>
      </w:tr>
      <w:tr>
        <w:trPr>
          <w:trHeight w:val="106"/>
        </w:trPr>
        <w:tc>
          <w:tcPr>
            <w:tcW w:w="3420" w:type="dxa"/>
            <w:vAlign w:val="bottom"/>
          </w:tcPr>
          <w:p>
            <w:pPr>
              <w:spacing w:after="0" w:line="106" w:lineRule="exact"/>
              <w:rPr>
                <w:sz w:val="20"/>
                <w:szCs w:val="20"/>
                <w:color w:val="auto"/>
              </w:rPr>
            </w:pPr>
            <w:r>
              <w:rPr>
                <w:rFonts w:ascii="Arial" w:cs="Arial" w:eastAsia="Arial" w:hAnsi="Arial"/>
                <w:sz w:val="10"/>
                <w:szCs w:val="10"/>
                <w:color w:val="auto"/>
              </w:rPr>
              <w:t>Issuance of 407,271 shares under stock grant programs</w:t>
            </w:r>
          </w:p>
        </w:tc>
        <w:tc>
          <w:tcPr>
            <w:tcW w:w="140" w:type="dxa"/>
            <w:vAlign w:val="bottom"/>
          </w:tcPr>
          <w:p>
            <w:pPr>
              <w:spacing w:after="0"/>
              <w:rPr>
                <w:sz w:val="9"/>
                <w:szCs w:val="9"/>
                <w:color w:val="auto"/>
              </w:rPr>
            </w:pPr>
          </w:p>
        </w:tc>
        <w:tc>
          <w:tcPr>
            <w:tcW w:w="640" w:type="dxa"/>
            <w:vAlign w:val="bottom"/>
          </w:tcPr>
          <w:p>
            <w:pPr>
              <w:jc w:val="right"/>
              <w:spacing w:after="0" w:line="106" w:lineRule="exact"/>
              <w:rPr>
                <w:sz w:val="20"/>
                <w:szCs w:val="20"/>
                <w:color w:val="auto"/>
              </w:rPr>
            </w:pPr>
            <w:r>
              <w:rPr>
                <w:rFonts w:ascii="Arial" w:cs="Arial" w:eastAsia="Arial" w:hAnsi="Arial"/>
                <w:sz w:val="10"/>
                <w:szCs w:val="10"/>
                <w:color w:val="auto"/>
              </w:rPr>
              <w:t>407</w:t>
            </w: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jc w:val="right"/>
              <w:spacing w:after="0" w:line="106" w:lineRule="exact"/>
              <w:rPr>
                <w:sz w:val="20"/>
                <w:szCs w:val="20"/>
                <w:color w:val="auto"/>
              </w:rPr>
            </w:pPr>
            <w:r>
              <w:rPr>
                <w:rFonts w:ascii="Arial" w:cs="Arial" w:eastAsia="Arial" w:hAnsi="Arial"/>
                <w:sz w:val="10"/>
                <w:szCs w:val="10"/>
                <w:color w:val="auto"/>
              </w:rPr>
              <w:t>4,890</w:t>
            </w: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jc w:val="right"/>
              <w:spacing w:after="0" w:line="106" w:lineRule="exact"/>
              <w:rPr>
                <w:sz w:val="20"/>
                <w:szCs w:val="20"/>
                <w:color w:val="auto"/>
              </w:rPr>
            </w:pPr>
            <w:r>
              <w:rPr>
                <w:rFonts w:ascii="Arial" w:cs="Arial" w:eastAsia="Arial" w:hAnsi="Arial"/>
                <w:sz w:val="10"/>
                <w:szCs w:val="10"/>
                <w:color w:val="auto"/>
              </w:rPr>
              <w:t>5,297</w:t>
            </w:r>
          </w:p>
        </w:tc>
      </w:tr>
      <w:tr>
        <w:trPr>
          <w:trHeight w:val="106"/>
        </w:trPr>
        <w:tc>
          <w:tcPr>
            <w:tcW w:w="3420" w:type="dxa"/>
            <w:vAlign w:val="bottom"/>
            <w:shd w:val="clear" w:color="auto" w:fill="CCEEFF"/>
          </w:tcPr>
          <w:p>
            <w:pPr>
              <w:spacing w:after="0" w:line="106" w:lineRule="exact"/>
              <w:rPr>
                <w:sz w:val="20"/>
                <w:szCs w:val="20"/>
                <w:color w:val="auto"/>
              </w:rPr>
            </w:pPr>
            <w:r>
              <w:rPr>
                <w:rFonts w:ascii="Arial" w:cs="Arial" w:eastAsia="Arial" w:hAnsi="Arial"/>
                <w:sz w:val="10"/>
                <w:szCs w:val="10"/>
                <w:color w:val="auto"/>
              </w:rPr>
              <w:t>Issuance of 173,370 shares under deferred compensation plans</w:t>
            </w:r>
          </w:p>
        </w:tc>
        <w:tc>
          <w:tcPr>
            <w:tcW w:w="140" w:type="dxa"/>
            <w:vAlign w:val="bottom"/>
            <w:shd w:val="clear" w:color="auto" w:fill="CCEEFF"/>
          </w:tcPr>
          <w:p>
            <w:pPr>
              <w:spacing w:after="0"/>
              <w:rPr>
                <w:sz w:val="9"/>
                <w:szCs w:val="9"/>
                <w:color w:val="auto"/>
              </w:rPr>
            </w:pPr>
          </w:p>
        </w:tc>
        <w:tc>
          <w:tcPr>
            <w:tcW w:w="64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173</w:t>
            </w:r>
          </w:p>
        </w:tc>
        <w:tc>
          <w:tcPr>
            <w:tcW w:w="1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160"/>
              <w:spacing w:after="0" w:line="106" w:lineRule="exact"/>
              <w:rPr>
                <w:sz w:val="20"/>
                <w:szCs w:val="20"/>
                <w:color w:val="auto"/>
              </w:rPr>
            </w:pPr>
            <w:r>
              <w:rPr>
                <w:rFonts w:ascii="Arial" w:cs="Arial" w:eastAsia="Arial" w:hAnsi="Arial"/>
                <w:sz w:val="10"/>
                <w:szCs w:val="10"/>
                <w:color w:val="auto"/>
              </w:rPr>
              <w:t>(173)</w:t>
            </w:r>
          </w:p>
        </w:tc>
        <w:tc>
          <w:tcPr>
            <w:tcW w:w="12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8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w:t>
            </w:r>
          </w:p>
        </w:tc>
      </w:tr>
      <w:tr>
        <w:trPr>
          <w:trHeight w:val="106"/>
        </w:trPr>
        <w:tc>
          <w:tcPr>
            <w:tcW w:w="3420" w:type="dxa"/>
            <w:vAlign w:val="bottom"/>
          </w:tcPr>
          <w:p>
            <w:pPr>
              <w:spacing w:after="0" w:line="106" w:lineRule="exact"/>
              <w:rPr>
                <w:sz w:val="20"/>
                <w:szCs w:val="20"/>
                <w:color w:val="auto"/>
              </w:rPr>
            </w:pPr>
            <w:r>
              <w:rPr>
                <w:rFonts w:ascii="Arial" w:cs="Arial" w:eastAsia="Arial" w:hAnsi="Arial"/>
                <w:sz w:val="10"/>
                <w:szCs w:val="10"/>
                <w:color w:val="auto"/>
              </w:rPr>
              <w:t>Repurchase of 13,613 shares</w:t>
            </w:r>
          </w:p>
        </w:tc>
        <w:tc>
          <w:tcPr>
            <w:tcW w:w="140" w:type="dxa"/>
            <w:vAlign w:val="bottom"/>
          </w:tcPr>
          <w:p>
            <w:pPr>
              <w:spacing w:after="0"/>
              <w:rPr>
                <w:sz w:val="9"/>
                <w:szCs w:val="9"/>
                <w:color w:val="auto"/>
              </w:rPr>
            </w:pPr>
          </w:p>
        </w:tc>
        <w:tc>
          <w:tcPr>
            <w:tcW w:w="820" w:type="dxa"/>
            <w:vAlign w:val="bottom"/>
            <w:gridSpan w:val="2"/>
          </w:tcPr>
          <w:p>
            <w:pPr>
              <w:jc w:val="right"/>
              <w:ind w:right="200"/>
              <w:spacing w:after="0" w:line="106" w:lineRule="exact"/>
              <w:rPr>
                <w:sz w:val="20"/>
                <w:szCs w:val="20"/>
                <w:color w:val="auto"/>
              </w:rPr>
            </w:pPr>
            <w:r>
              <w:rPr>
                <w:rFonts w:ascii="Arial" w:cs="Arial" w:eastAsia="Arial" w:hAnsi="Arial"/>
                <w:sz w:val="10"/>
                <w:szCs w:val="10"/>
                <w:color w:val="auto"/>
              </w:rPr>
              <w:t>—</w:t>
            </w: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gridSpan w:val="2"/>
          </w:tcPr>
          <w:p>
            <w:pPr>
              <w:jc w:val="right"/>
              <w:ind w:right="180"/>
              <w:spacing w:after="0" w:line="106"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jc w:val="right"/>
              <w:spacing w:after="0" w:line="106" w:lineRule="exact"/>
              <w:rPr>
                <w:sz w:val="20"/>
                <w:szCs w:val="20"/>
                <w:color w:val="auto"/>
              </w:rPr>
            </w:pPr>
            <w:r>
              <w:rPr>
                <w:rFonts w:ascii="Arial" w:cs="Arial" w:eastAsia="Arial" w:hAnsi="Arial"/>
                <w:sz w:val="10"/>
                <w:szCs w:val="10"/>
                <w:color w:val="auto"/>
              </w:rPr>
              <w:t>—</w:t>
            </w:r>
          </w:p>
        </w:tc>
      </w:tr>
      <w:tr>
        <w:trPr>
          <w:trHeight w:val="106"/>
        </w:trPr>
        <w:tc>
          <w:tcPr>
            <w:tcW w:w="3420" w:type="dxa"/>
            <w:vAlign w:val="bottom"/>
            <w:shd w:val="clear" w:color="auto" w:fill="CCEEFF"/>
          </w:tcPr>
          <w:p>
            <w:pPr>
              <w:spacing w:after="0" w:line="106" w:lineRule="exact"/>
              <w:rPr>
                <w:sz w:val="20"/>
                <w:szCs w:val="20"/>
                <w:color w:val="auto"/>
              </w:rPr>
            </w:pPr>
            <w:r>
              <w:rPr>
                <w:rFonts w:ascii="Arial" w:cs="Arial" w:eastAsia="Arial" w:hAnsi="Arial"/>
                <w:sz w:val="10"/>
                <w:szCs w:val="10"/>
                <w:color w:val="auto"/>
              </w:rPr>
              <w:t>Tax benefits from non-qualified stock options exercised</w:t>
            </w:r>
          </w:p>
        </w:tc>
        <w:tc>
          <w:tcPr>
            <w:tcW w:w="14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180"/>
              <w:spacing w:after="0" w:line="106" w:lineRule="exact"/>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8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w:t>
            </w:r>
          </w:p>
        </w:tc>
      </w:tr>
      <w:tr>
        <w:trPr>
          <w:trHeight w:val="106"/>
        </w:trPr>
        <w:tc>
          <w:tcPr>
            <w:tcW w:w="3420" w:type="dxa"/>
            <w:vAlign w:val="bottom"/>
          </w:tcPr>
          <w:p>
            <w:pPr>
              <w:spacing w:after="0" w:line="106" w:lineRule="exact"/>
              <w:rPr>
                <w:sz w:val="20"/>
                <w:szCs w:val="20"/>
                <w:color w:val="auto"/>
              </w:rPr>
            </w:pPr>
            <w:r>
              <w:rPr>
                <w:rFonts w:ascii="Arial" w:cs="Arial" w:eastAsia="Arial" w:hAnsi="Arial"/>
                <w:sz w:val="10"/>
                <w:szCs w:val="10"/>
                <w:color w:val="auto"/>
              </w:rPr>
              <w:t>Expense associated with share-based compensation arrangements</w:t>
            </w: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jc w:val="right"/>
              <w:spacing w:after="0" w:line="106" w:lineRule="exact"/>
              <w:rPr>
                <w:sz w:val="20"/>
                <w:szCs w:val="20"/>
                <w:color w:val="auto"/>
              </w:rPr>
            </w:pPr>
            <w:r>
              <w:rPr>
                <w:rFonts w:ascii="Arial" w:cs="Arial" w:eastAsia="Arial" w:hAnsi="Arial"/>
                <w:sz w:val="10"/>
                <w:szCs w:val="10"/>
                <w:color w:val="auto"/>
              </w:rPr>
              <w:t>2,208</w:t>
            </w: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jc w:val="right"/>
              <w:spacing w:after="0" w:line="106" w:lineRule="exact"/>
              <w:rPr>
                <w:sz w:val="20"/>
                <w:szCs w:val="20"/>
                <w:color w:val="auto"/>
              </w:rPr>
            </w:pPr>
            <w:r>
              <w:rPr>
                <w:rFonts w:ascii="Arial" w:cs="Arial" w:eastAsia="Arial" w:hAnsi="Arial"/>
                <w:sz w:val="10"/>
                <w:szCs w:val="10"/>
                <w:color w:val="auto"/>
              </w:rPr>
              <w:t>2,208</w:t>
            </w:r>
          </w:p>
        </w:tc>
      </w:tr>
      <w:tr>
        <w:trPr>
          <w:trHeight w:val="126"/>
        </w:trPr>
        <w:tc>
          <w:tcPr>
            <w:tcW w:w="3420" w:type="dxa"/>
            <w:vAlign w:val="bottom"/>
            <w:tcBorders>
              <w:bottom w:val="single" w:sz="8" w:color="CCEEFF"/>
            </w:tcBorders>
            <w:shd w:val="clear" w:color="auto" w:fill="CCEEFF"/>
          </w:tcPr>
          <w:p>
            <w:pPr>
              <w:spacing w:after="0" w:line="106" w:lineRule="exact"/>
              <w:rPr>
                <w:sz w:val="20"/>
                <w:szCs w:val="20"/>
                <w:color w:val="auto"/>
              </w:rPr>
            </w:pPr>
            <w:r>
              <w:rPr>
                <w:rFonts w:ascii="Arial" w:cs="Arial" w:eastAsia="Arial" w:hAnsi="Arial"/>
                <w:sz w:val="10"/>
                <w:szCs w:val="10"/>
                <w:color w:val="auto"/>
              </w:rPr>
              <w:t>Accrued expense under deferred compensation plans</w:t>
            </w:r>
          </w:p>
        </w:tc>
        <w:tc>
          <w:tcPr>
            <w:tcW w:w="140" w:type="dxa"/>
            <w:vAlign w:val="bottom"/>
            <w:tcBorders>
              <w:bottom w:val="single" w:sz="8" w:color="auto"/>
            </w:tcBorders>
            <w:shd w:val="clear" w:color="auto" w:fill="CCEEFF"/>
          </w:tcPr>
          <w:p>
            <w:pPr>
              <w:spacing w:after="0"/>
              <w:rPr>
                <w:sz w:val="10"/>
                <w:szCs w:val="10"/>
                <w:color w:val="auto"/>
              </w:rPr>
            </w:pPr>
          </w:p>
        </w:tc>
        <w:tc>
          <w:tcPr>
            <w:tcW w:w="640" w:type="dxa"/>
            <w:vAlign w:val="bottom"/>
            <w:tcBorders>
              <w:bottom w:val="single" w:sz="8" w:color="auto"/>
            </w:tcBorders>
            <w:shd w:val="clear" w:color="auto" w:fill="CCEEFF"/>
          </w:tcPr>
          <w:p>
            <w:pPr>
              <w:spacing w:after="0"/>
              <w:rPr>
                <w:sz w:val="10"/>
                <w:szCs w:val="10"/>
                <w:color w:val="auto"/>
              </w:rPr>
            </w:pPr>
          </w:p>
        </w:tc>
        <w:tc>
          <w:tcPr>
            <w:tcW w:w="18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660" w:type="dxa"/>
            <w:vAlign w:val="bottom"/>
            <w:tcBorders>
              <w:bottom w:val="single" w:sz="8" w:color="auto"/>
            </w:tcBorders>
            <w:shd w:val="clear" w:color="auto" w:fill="CCEEFF"/>
          </w:tcPr>
          <w:p>
            <w:pPr>
              <w:jc w:val="right"/>
              <w:spacing w:after="0" w:line="106" w:lineRule="exact"/>
              <w:rPr>
                <w:sz w:val="20"/>
                <w:szCs w:val="20"/>
                <w:color w:val="auto"/>
              </w:rPr>
            </w:pPr>
            <w:r>
              <w:rPr>
                <w:rFonts w:ascii="Arial" w:cs="Arial" w:eastAsia="Arial" w:hAnsi="Arial"/>
                <w:sz w:val="10"/>
                <w:szCs w:val="10"/>
                <w:color w:val="auto"/>
              </w:rPr>
              <w:t>5,074</w:t>
            </w:r>
          </w:p>
        </w:tc>
        <w:tc>
          <w:tcPr>
            <w:tcW w:w="16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640" w:type="dxa"/>
            <w:vAlign w:val="bottom"/>
            <w:tcBorders>
              <w:bottom w:val="single" w:sz="8" w:color="auto"/>
            </w:tcBorders>
            <w:shd w:val="clear" w:color="auto" w:fill="CCEEFF"/>
          </w:tcPr>
          <w:p>
            <w:pPr>
              <w:spacing w:after="0"/>
              <w:rPr>
                <w:sz w:val="10"/>
                <w:szCs w:val="10"/>
                <w:color w:val="auto"/>
              </w:rPr>
            </w:pPr>
          </w:p>
        </w:tc>
        <w:tc>
          <w:tcPr>
            <w:tcW w:w="16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spacing w:after="0"/>
              <w:rPr>
                <w:sz w:val="10"/>
                <w:szCs w:val="10"/>
                <w:color w:val="auto"/>
              </w:rPr>
            </w:pPr>
          </w:p>
        </w:tc>
        <w:tc>
          <w:tcPr>
            <w:tcW w:w="700" w:type="dxa"/>
            <w:vAlign w:val="bottom"/>
            <w:tcBorders>
              <w:bottom w:val="single" w:sz="8" w:color="auto"/>
            </w:tcBorders>
            <w:shd w:val="clear" w:color="auto" w:fill="CCEEFF"/>
          </w:tcPr>
          <w:p>
            <w:pPr>
              <w:spacing w:after="0"/>
              <w:rPr>
                <w:sz w:val="10"/>
                <w:szCs w:val="10"/>
                <w:color w:val="auto"/>
              </w:rPr>
            </w:pPr>
          </w:p>
        </w:tc>
        <w:tc>
          <w:tcPr>
            <w:tcW w:w="16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spacing w:after="0"/>
              <w:rPr>
                <w:sz w:val="10"/>
                <w:szCs w:val="10"/>
                <w:color w:val="auto"/>
              </w:rPr>
            </w:pPr>
          </w:p>
        </w:tc>
        <w:tc>
          <w:tcPr>
            <w:tcW w:w="680" w:type="dxa"/>
            <w:vAlign w:val="bottom"/>
            <w:tcBorders>
              <w:bottom w:val="single" w:sz="8" w:color="auto"/>
            </w:tcBorders>
            <w:shd w:val="clear" w:color="auto" w:fill="CCEEFF"/>
          </w:tcPr>
          <w:p>
            <w:pPr>
              <w:spacing w:after="0"/>
              <w:rPr>
                <w:sz w:val="10"/>
                <w:szCs w:val="10"/>
                <w:color w:val="auto"/>
              </w:rPr>
            </w:pPr>
          </w:p>
        </w:tc>
        <w:tc>
          <w:tcPr>
            <w:tcW w:w="160" w:type="dxa"/>
            <w:vAlign w:val="bottom"/>
            <w:tcBorders>
              <w:bottom w:val="single" w:sz="8" w:color="CCEEFF"/>
            </w:tcBorders>
            <w:shd w:val="clear" w:color="auto" w:fill="CCEEFF"/>
          </w:tcPr>
          <w:p>
            <w:pPr>
              <w:spacing w:after="0"/>
              <w:rPr>
                <w:sz w:val="10"/>
                <w:szCs w:val="10"/>
                <w:color w:val="auto"/>
              </w:rPr>
            </w:pPr>
          </w:p>
        </w:tc>
        <w:tc>
          <w:tcPr>
            <w:tcW w:w="220" w:type="dxa"/>
            <w:vAlign w:val="bottom"/>
            <w:tcBorders>
              <w:bottom w:val="single" w:sz="8" w:color="auto"/>
            </w:tcBorders>
            <w:shd w:val="clear" w:color="auto" w:fill="CCEEFF"/>
          </w:tcPr>
          <w:p>
            <w:pPr>
              <w:spacing w:after="0"/>
              <w:rPr>
                <w:sz w:val="10"/>
                <w:szCs w:val="10"/>
                <w:color w:val="auto"/>
              </w:rPr>
            </w:pPr>
          </w:p>
        </w:tc>
        <w:tc>
          <w:tcPr>
            <w:tcW w:w="780" w:type="dxa"/>
            <w:vAlign w:val="bottom"/>
            <w:tcBorders>
              <w:bottom w:val="single" w:sz="8" w:color="auto"/>
            </w:tcBorders>
            <w:shd w:val="clear" w:color="auto" w:fill="CCEEFF"/>
          </w:tcPr>
          <w:p>
            <w:pPr>
              <w:jc w:val="right"/>
              <w:spacing w:after="0" w:line="106" w:lineRule="exact"/>
              <w:rPr>
                <w:sz w:val="20"/>
                <w:szCs w:val="20"/>
                <w:color w:val="auto"/>
              </w:rPr>
            </w:pPr>
            <w:r>
              <w:rPr>
                <w:rFonts w:ascii="Arial" w:cs="Arial" w:eastAsia="Arial" w:hAnsi="Arial"/>
                <w:sz w:val="10"/>
                <w:szCs w:val="10"/>
                <w:color w:val="auto"/>
              </w:rPr>
              <w:t>5,074</w:t>
            </w:r>
          </w:p>
        </w:tc>
      </w:tr>
      <w:tr>
        <w:trPr>
          <w:trHeight w:val="87"/>
        </w:trPr>
        <w:tc>
          <w:tcPr>
            <w:tcW w:w="3420" w:type="dxa"/>
            <w:vAlign w:val="bottom"/>
          </w:tcPr>
          <w:p>
            <w:pPr>
              <w:spacing w:after="0" w:line="88" w:lineRule="exact"/>
              <w:rPr>
                <w:sz w:val="20"/>
                <w:szCs w:val="20"/>
                <w:color w:val="auto"/>
              </w:rPr>
            </w:pPr>
            <w:r>
              <w:rPr>
                <w:rFonts w:ascii="Arial" w:cs="Arial" w:eastAsia="Arial" w:hAnsi="Arial"/>
                <w:sz w:val="10"/>
                <w:szCs w:val="10"/>
                <w:b w:val="1"/>
                <w:bCs w:val="1"/>
                <w:color w:val="auto"/>
              </w:rPr>
              <w:t>Balance at December 31, 2016</w:t>
            </w:r>
          </w:p>
        </w:tc>
        <w:tc>
          <w:tcPr>
            <w:tcW w:w="140" w:type="dxa"/>
            <w:vAlign w:val="bottom"/>
          </w:tcPr>
          <w:p>
            <w:pPr>
              <w:jc w:val="right"/>
              <w:ind w:right="30"/>
              <w:spacing w:after="0" w:line="88" w:lineRule="exact"/>
              <w:rPr>
                <w:sz w:val="20"/>
                <w:szCs w:val="20"/>
                <w:color w:val="auto"/>
              </w:rPr>
            </w:pPr>
            <w:r>
              <w:rPr>
                <w:rFonts w:ascii="Arial" w:cs="Arial" w:eastAsia="Arial" w:hAnsi="Arial"/>
                <w:sz w:val="10"/>
                <w:szCs w:val="10"/>
                <w:b w:val="1"/>
                <w:bCs w:val="1"/>
                <w:color w:val="auto"/>
                <w:w w:val="71"/>
              </w:rPr>
              <w:t>$</w:t>
            </w:r>
          </w:p>
        </w:tc>
        <w:tc>
          <w:tcPr>
            <w:tcW w:w="640" w:type="dxa"/>
            <w:vAlign w:val="bottom"/>
          </w:tcPr>
          <w:p>
            <w:pPr>
              <w:jc w:val="right"/>
              <w:spacing w:after="0" w:line="88" w:lineRule="exact"/>
              <w:rPr>
                <w:sz w:val="20"/>
                <w:szCs w:val="20"/>
                <w:color w:val="auto"/>
              </w:rPr>
            </w:pPr>
            <w:r>
              <w:rPr>
                <w:rFonts w:ascii="Arial" w:cs="Arial" w:eastAsia="Arial" w:hAnsi="Arial"/>
                <w:sz w:val="10"/>
                <w:szCs w:val="10"/>
                <w:b w:val="1"/>
                <w:bCs w:val="1"/>
                <w:color w:val="auto"/>
              </w:rPr>
              <w:t>61,026</w:t>
            </w:r>
          </w:p>
        </w:tc>
        <w:tc>
          <w:tcPr>
            <w:tcW w:w="180" w:type="dxa"/>
            <w:vAlign w:val="bottom"/>
          </w:tcPr>
          <w:p>
            <w:pPr>
              <w:spacing w:after="0"/>
              <w:rPr>
                <w:sz w:val="7"/>
                <w:szCs w:val="7"/>
                <w:color w:val="auto"/>
              </w:rPr>
            </w:pPr>
          </w:p>
        </w:tc>
        <w:tc>
          <w:tcPr>
            <w:tcW w:w="120" w:type="dxa"/>
            <w:vAlign w:val="bottom"/>
          </w:tcPr>
          <w:p>
            <w:pPr>
              <w:jc w:val="right"/>
              <w:ind w:right="55"/>
              <w:spacing w:after="0"/>
              <w:rPr>
                <w:sz w:val="20"/>
                <w:szCs w:val="20"/>
                <w:color w:val="auto"/>
              </w:rPr>
            </w:pPr>
            <w:r>
              <w:rPr>
                <w:rFonts w:ascii="Arial" w:cs="Arial" w:eastAsia="Arial" w:hAnsi="Arial"/>
                <w:sz w:val="5"/>
                <w:szCs w:val="5"/>
                <w:b w:val="1"/>
                <w:bCs w:val="1"/>
                <w:color w:val="auto"/>
                <w:w w:val="70"/>
              </w:rPr>
              <w:t>$</w:t>
            </w:r>
          </w:p>
        </w:tc>
        <w:tc>
          <w:tcPr>
            <w:tcW w:w="660" w:type="dxa"/>
            <w:vAlign w:val="bottom"/>
          </w:tcPr>
          <w:p>
            <w:pPr>
              <w:jc w:val="right"/>
              <w:spacing w:after="0" w:line="88" w:lineRule="exact"/>
              <w:rPr>
                <w:sz w:val="20"/>
                <w:szCs w:val="20"/>
                <w:color w:val="auto"/>
              </w:rPr>
            </w:pPr>
            <w:r>
              <w:rPr>
                <w:rFonts w:ascii="Arial" w:cs="Arial" w:eastAsia="Arial" w:hAnsi="Arial"/>
                <w:sz w:val="10"/>
                <w:szCs w:val="10"/>
                <w:b w:val="1"/>
                <w:bCs w:val="1"/>
                <w:color w:val="auto"/>
              </w:rPr>
              <w:t>144,649</w:t>
            </w:r>
          </w:p>
        </w:tc>
        <w:tc>
          <w:tcPr>
            <w:tcW w:w="160" w:type="dxa"/>
            <w:vAlign w:val="bottom"/>
          </w:tcPr>
          <w:p>
            <w:pPr>
              <w:spacing w:after="0"/>
              <w:rPr>
                <w:sz w:val="7"/>
                <w:szCs w:val="7"/>
                <w:color w:val="auto"/>
              </w:rPr>
            </w:pPr>
          </w:p>
        </w:tc>
        <w:tc>
          <w:tcPr>
            <w:tcW w:w="120" w:type="dxa"/>
            <w:vAlign w:val="bottom"/>
          </w:tcPr>
          <w:p>
            <w:pPr>
              <w:jc w:val="right"/>
              <w:ind w:right="10"/>
              <w:spacing w:after="0" w:line="88" w:lineRule="exact"/>
              <w:rPr>
                <w:sz w:val="20"/>
                <w:szCs w:val="20"/>
                <w:color w:val="auto"/>
              </w:rPr>
            </w:pPr>
            <w:r>
              <w:rPr>
                <w:rFonts w:ascii="Arial" w:cs="Arial" w:eastAsia="Arial" w:hAnsi="Arial"/>
                <w:sz w:val="10"/>
                <w:szCs w:val="10"/>
                <w:b w:val="1"/>
                <w:bCs w:val="1"/>
                <w:color w:val="auto"/>
                <w:w w:val="71"/>
              </w:rPr>
              <w:t>$</w:t>
            </w:r>
          </w:p>
        </w:tc>
        <w:tc>
          <w:tcPr>
            <w:tcW w:w="640" w:type="dxa"/>
            <w:vAlign w:val="bottom"/>
          </w:tcPr>
          <w:p>
            <w:pPr>
              <w:jc w:val="right"/>
              <w:spacing w:after="0" w:line="88" w:lineRule="exact"/>
              <w:rPr>
                <w:sz w:val="20"/>
                <w:szCs w:val="20"/>
                <w:color w:val="auto"/>
              </w:rPr>
            </w:pPr>
            <w:r>
              <w:rPr>
                <w:rFonts w:ascii="Arial" w:cs="Arial" w:eastAsia="Arial" w:hAnsi="Arial"/>
                <w:sz w:val="10"/>
                <w:szCs w:val="10"/>
                <w:b w:val="1"/>
                <w:bCs w:val="1"/>
                <w:color w:val="auto"/>
              </w:rPr>
              <w:t>649,135</w:t>
            </w:r>
          </w:p>
        </w:tc>
        <w:tc>
          <w:tcPr>
            <w:tcW w:w="160" w:type="dxa"/>
            <w:vAlign w:val="bottom"/>
          </w:tcPr>
          <w:p>
            <w:pPr>
              <w:spacing w:after="0"/>
              <w:rPr>
                <w:sz w:val="7"/>
                <w:szCs w:val="7"/>
                <w:color w:val="auto"/>
              </w:rPr>
            </w:pPr>
          </w:p>
        </w:tc>
        <w:tc>
          <w:tcPr>
            <w:tcW w:w="80" w:type="dxa"/>
            <w:vAlign w:val="bottom"/>
          </w:tcPr>
          <w:p>
            <w:pPr>
              <w:jc w:val="center"/>
              <w:spacing w:after="0" w:line="88" w:lineRule="exact"/>
              <w:rPr>
                <w:sz w:val="20"/>
                <w:szCs w:val="20"/>
                <w:color w:val="auto"/>
              </w:rPr>
            </w:pPr>
            <w:r>
              <w:rPr>
                <w:rFonts w:ascii="Arial" w:cs="Arial" w:eastAsia="Arial" w:hAnsi="Arial"/>
                <w:sz w:val="10"/>
                <w:szCs w:val="10"/>
                <w:b w:val="1"/>
                <w:bCs w:val="1"/>
                <w:color w:val="auto"/>
              </w:rPr>
              <w:t>$</w:t>
            </w:r>
          </w:p>
        </w:tc>
        <w:tc>
          <w:tcPr>
            <w:tcW w:w="700" w:type="dxa"/>
            <w:vAlign w:val="bottom"/>
          </w:tcPr>
          <w:p>
            <w:pPr>
              <w:jc w:val="right"/>
              <w:spacing w:after="0" w:line="88" w:lineRule="exact"/>
              <w:rPr>
                <w:sz w:val="20"/>
                <w:szCs w:val="20"/>
                <w:color w:val="auto"/>
              </w:rPr>
            </w:pPr>
            <w:r>
              <w:rPr>
                <w:rFonts w:ascii="Arial" w:cs="Arial" w:eastAsia="Arial" w:hAnsi="Arial"/>
                <w:sz w:val="10"/>
                <w:szCs w:val="10"/>
                <w:b w:val="1"/>
                <w:bCs w:val="1"/>
                <w:color w:val="auto"/>
              </w:rPr>
              <w:t>(5,630)</w:t>
            </w:r>
          </w:p>
        </w:tc>
        <w:tc>
          <w:tcPr>
            <w:tcW w:w="160" w:type="dxa"/>
            <w:vAlign w:val="bottom"/>
          </w:tcPr>
          <w:p>
            <w:pPr>
              <w:spacing w:after="0"/>
              <w:rPr>
                <w:sz w:val="7"/>
                <w:szCs w:val="7"/>
                <w:color w:val="auto"/>
              </w:rPr>
            </w:pPr>
          </w:p>
        </w:tc>
        <w:tc>
          <w:tcPr>
            <w:tcW w:w="80" w:type="dxa"/>
            <w:vAlign w:val="bottom"/>
          </w:tcPr>
          <w:p>
            <w:pPr>
              <w:jc w:val="right"/>
              <w:ind w:right="15"/>
              <w:spacing w:after="0"/>
              <w:rPr>
                <w:sz w:val="20"/>
                <w:szCs w:val="20"/>
                <w:color w:val="auto"/>
              </w:rPr>
            </w:pPr>
            <w:r>
              <w:rPr>
                <w:rFonts w:ascii="Arial" w:cs="Arial" w:eastAsia="Arial" w:hAnsi="Arial"/>
                <w:sz w:val="5"/>
                <w:szCs w:val="5"/>
                <w:b w:val="1"/>
                <w:bCs w:val="1"/>
                <w:color w:val="auto"/>
                <w:w w:val="70"/>
              </w:rPr>
              <w:t>$</w:t>
            </w:r>
          </w:p>
        </w:tc>
        <w:tc>
          <w:tcPr>
            <w:tcW w:w="680" w:type="dxa"/>
            <w:vAlign w:val="bottom"/>
          </w:tcPr>
          <w:p>
            <w:pPr>
              <w:jc w:val="right"/>
              <w:spacing w:after="0" w:line="88" w:lineRule="exact"/>
              <w:rPr>
                <w:sz w:val="20"/>
                <w:szCs w:val="20"/>
                <w:color w:val="auto"/>
              </w:rPr>
            </w:pPr>
            <w:r>
              <w:rPr>
                <w:rFonts w:ascii="Arial" w:cs="Arial" w:eastAsia="Arial" w:hAnsi="Arial"/>
                <w:sz w:val="10"/>
                <w:szCs w:val="10"/>
                <w:b w:val="1"/>
                <w:bCs w:val="1"/>
                <w:color w:val="auto"/>
              </w:rPr>
              <w:t>11,286</w:t>
            </w:r>
          </w:p>
        </w:tc>
        <w:tc>
          <w:tcPr>
            <w:tcW w:w="160" w:type="dxa"/>
            <w:vAlign w:val="bottom"/>
          </w:tcPr>
          <w:p>
            <w:pPr>
              <w:spacing w:after="0"/>
              <w:rPr>
                <w:sz w:val="7"/>
                <w:szCs w:val="7"/>
                <w:color w:val="auto"/>
              </w:rPr>
            </w:pPr>
          </w:p>
        </w:tc>
        <w:tc>
          <w:tcPr>
            <w:tcW w:w="220" w:type="dxa"/>
            <w:vAlign w:val="bottom"/>
          </w:tcPr>
          <w:p>
            <w:pPr>
              <w:jc w:val="right"/>
              <w:ind w:right="155"/>
              <w:spacing w:after="0"/>
              <w:rPr>
                <w:sz w:val="20"/>
                <w:szCs w:val="20"/>
                <w:color w:val="auto"/>
              </w:rPr>
            </w:pPr>
            <w:r>
              <w:rPr>
                <w:rFonts w:ascii="Arial" w:cs="Arial" w:eastAsia="Arial" w:hAnsi="Arial"/>
                <w:sz w:val="5"/>
                <w:szCs w:val="5"/>
                <w:b w:val="1"/>
                <w:bCs w:val="1"/>
                <w:color w:val="auto"/>
                <w:w w:val="70"/>
              </w:rPr>
              <w:t>$</w:t>
            </w:r>
          </w:p>
        </w:tc>
        <w:tc>
          <w:tcPr>
            <w:tcW w:w="780" w:type="dxa"/>
            <w:vAlign w:val="bottom"/>
          </w:tcPr>
          <w:p>
            <w:pPr>
              <w:jc w:val="right"/>
              <w:spacing w:after="0" w:line="88" w:lineRule="exact"/>
              <w:rPr>
                <w:sz w:val="20"/>
                <w:szCs w:val="20"/>
                <w:color w:val="auto"/>
              </w:rPr>
            </w:pPr>
            <w:r>
              <w:rPr>
                <w:rFonts w:ascii="Arial" w:cs="Arial" w:eastAsia="Arial" w:hAnsi="Arial"/>
                <w:sz w:val="10"/>
                <w:szCs w:val="10"/>
                <w:b w:val="1"/>
                <w:bCs w:val="1"/>
                <w:color w:val="auto"/>
              </w:rPr>
              <w:t>860,466</w:t>
            </w:r>
          </w:p>
        </w:tc>
      </w:tr>
      <w:tr>
        <w:trPr>
          <w:trHeight w:val="106"/>
        </w:trPr>
        <w:tc>
          <w:tcPr>
            <w:tcW w:w="3420" w:type="dxa"/>
            <w:vAlign w:val="bottom"/>
            <w:shd w:val="clear" w:color="auto" w:fill="CCEEFF"/>
          </w:tcPr>
          <w:p>
            <w:pPr>
              <w:spacing w:after="0" w:line="106" w:lineRule="exact"/>
              <w:rPr>
                <w:sz w:val="20"/>
                <w:szCs w:val="20"/>
                <w:color w:val="auto"/>
              </w:rPr>
            </w:pPr>
            <w:r>
              <w:rPr>
                <w:rFonts w:ascii="Arial" w:cs="Arial" w:eastAsia="Arial" w:hAnsi="Arial"/>
                <w:sz w:val="10"/>
                <w:szCs w:val="10"/>
                <w:color w:val="auto"/>
              </w:rPr>
              <w:t>Net earnings</w:t>
            </w:r>
          </w:p>
        </w:tc>
        <w:tc>
          <w:tcPr>
            <w:tcW w:w="14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4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119,512</w:t>
            </w: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8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4,528</w:t>
            </w:r>
          </w:p>
        </w:tc>
        <w:tc>
          <w:tcPr>
            <w:tcW w:w="1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8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124,040</w:t>
            </w:r>
          </w:p>
        </w:tc>
      </w:tr>
      <w:tr>
        <w:trPr>
          <w:trHeight w:val="106"/>
        </w:trPr>
        <w:tc>
          <w:tcPr>
            <w:tcW w:w="3420" w:type="dxa"/>
            <w:vAlign w:val="bottom"/>
          </w:tcPr>
          <w:p>
            <w:pPr>
              <w:spacing w:after="0" w:line="106" w:lineRule="exact"/>
              <w:rPr>
                <w:sz w:val="20"/>
                <w:szCs w:val="20"/>
                <w:color w:val="auto"/>
              </w:rPr>
            </w:pPr>
            <w:r>
              <w:rPr>
                <w:rFonts w:ascii="Arial" w:cs="Arial" w:eastAsia="Arial" w:hAnsi="Arial"/>
                <w:sz w:val="10"/>
                <w:szCs w:val="10"/>
                <w:color w:val="auto"/>
              </w:rPr>
              <w:t>Foreign currency translation adjustment</w:t>
            </w: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jc w:val="right"/>
              <w:spacing w:after="0" w:line="106" w:lineRule="exact"/>
              <w:rPr>
                <w:sz w:val="20"/>
                <w:szCs w:val="20"/>
                <w:color w:val="auto"/>
              </w:rPr>
            </w:pPr>
            <w:r>
              <w:rPr>
                <w:rFonts w:ascii="Arial" w:cs="Arial" w:eastAsia="Arial" w:hAnsi="Arial"/>
                <w:sz w:val="10"/>
                <w:szCs w:val="10"/>
                <w:color w:val="auto"/>
              </w:rPr>
              <w:t>5,070</w:t>
            </w: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jc w:val="right"/>
              <w:spacing w:after="0" w:line="106" w:lineRule="exact"/>
              <w:rPr>
                <w:sz w:val="20"/>
                <w:szCs w:val="20"/>
                <w:color w:val="auto"/>
              </w:rPr>
            </w:pPr>
            <w:r>
              <w:rPr>
                <w:rFonts w:ascii="Arial" w:cs="Arial" w:eastAsia="Arial" w:hAnsi="Arial"/>
                <w:sz w:val="10"/>
                <w:szCs w:val="10"/>
                <w:color w:val="auto"/>
              </w:rPr>
              <w:t>356</w:t>
            </w: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jc w:val="right"/>
              <w:spacing w:after="0" w:line="106" w:lineRule="exact"/>
              <w:rPr>
                <w:sz w:val="20"/>
                <w:szCs w:val="20"/>
                <w:color w:val="auto"/>
              </w:rPr>
            </w:pPr>
            <w:r>
              <w:rPr>
                <w:rFonts w:ascii="Arial" w:cs="Arial" w:eastAsia="Arial" w:hAnsi="Arial"/>
                <w:sz w:val="10"/>
                <w:szCs w:val="10"/>
                <w:color w:val="auto"/>
              </w:rPr>
              <w:t>5,426</w:t>
            </w:r>
          </w:p>
        </w:tc>
      </w:tr>
      <w:tr>
        <w:trPr>
          <w:trHeight w:val="106"/>
        </w:trPr>
        <w:tc>
          <w:tcPr>
            <w:tcW w:w="3420" w:type="dxa"/>
            <w:vAlign w:val="bottom"/>
            <w:shd w:val="clear" w:color="auto" w:fill="CCEEFF"/>
          </w:tcPr>
          <w:p>
            <w:pPr>
              <w:spacing w:after="0" w:line="106" w:lineRule="exact"/>
              <w:rPr>
                <w:sz w:val="20"/>
                <w:szCs w:val="20"/>
                <w:color w:val="auto"/>
              </w:rPr>
            </w:pPr>
            <w:r>
              <w:rPr>
                <w:rFonts w:ascii="Arial" w:cs="Arial" w:eastAsia="Arial" w:hAnsi="Arial"/>
                <w:sz w:val="10"/>
                <w:szCs w:val="10"/>
                <w:color w:val="auto"/>
              </w:rPr>
              <w:t>Unrealized gain (loss) on investment &amp; foreign currency</w:t>
            </w:r>
          </w:p>
        </w:tc>
        <w:tc>
          <w:tcPr>
            <w:tcW w:w="14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0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704</w:t>
            </w: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8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704</w:t>
            </w:r>
          </w:p>
        </w:tc>
      </w:tr>
      <w:tr>
        <w:trPr>
          <w:trHeight w:val="106"/>
        </w:trPr>
        <w:tc>
          <w:tcPr>
            <w:tcW w:w="3420" w:type="dxa"/>
            <w:vAlign w:val="bottom"/>
          </w:tcPr>
          <w:p>
            <w:pPr>
              <w:spacing w:after="0" w:line="106" w:lineRule="exact"/>
              <w:rPr>
                <w:sz w:val="20"/>
                <w:szCs w:val="20"/>
                <w:color w:val="auto"/>
              </w:rPr>
            </w:pPr>
            <w:r>
              <w:rPr>
                <w:rFonts w:ascii="Arial" w:cs="Arial" w:eastAsia="Arial" w:hAnsi="Arial"/>
                <w:sz w:val="10"/>
                <w:szCs w:val="10"/>
                <w:color w:val="auto"/>
              </w:rPr>
              <w:t>Distributions to noncontrolling interest</w:t>
            </w: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gridSpan w:val="2"/>
          </w:tcPr>
          <w:p>
            <w:pPr>
              <w:jc w:val="right"/>
              <w:ind w:right="160"/>
              <w:spacing w:after="0" w:line="106" w:lineRule="exact"/>
              <w:rPr>
                <w:sz w:val="20"/>
                <w:szCs w:val="20"/>
                <w:color w:val="auto"/>
              </w:rPr>
            </w:pPr>
            <w:r>
              <w:rPr>
                <w:rFonts w:ascii="Arial" w:cs="Arial" w:eastAsia="Arial" w:hAnsi="Arial"/>
                <w:sz w:val="10"/>
                <w:szCs w:val="10"/>
                <w:color w:val="auto"/>
              </w:rPr>
              <w:t>(4,032)</w:t>
            </w:r>
          </w:p>
        </w:tc>
        <w:tc>
          <w:tcPr>
            <w:tcW w:w="220" w:type="dxa"/>
            <w:vAlign w:val="bottom"/>
          </w:tcPr>
          <w:p>
            <w:pPr>
              <w:spacing w:after="0"/>
              <w:rPr>
                <w:sz w:val="9"/>
                <w:szCs w:val="9"/>
                <w:color w:val="auto"/>
              </w:rPr>
            </w:pPr>
          </w:p>
        </w:tc>
        <w:tc>
          <w:tcPr>
            <w:tcW w:w="780" w:type="dxa"/>
            <w:vAlign w:val="bottom"/>
          </w:tcPr>
          <w:p>
            <w:pPr>
              <w:jc w:val="right"/>
              <w:spacing w:after="0" w:line="106" w:lineRule="exact"/>
              <w:rPr>
                <w:sz w:val="20"/>
                <w:szCs w:val="20"/>
                <w:color w:val="auto"/>
              </w:rPr>
            </w:pPr>
            <w:r>
              <w:rPr>
                <w:rFonts w:ascii="Arial" w:cs="Arial" w:eastAsia="Arial" w:hAnsi="Arial"/>
                <w:sz w:val="10"/>
                <w:szCs w:val="10"/>
                <w:color w:val="auto"/>
              </w:rPr>
              <w:t>(4,032)</w:t>
            </w:r>
          </w:p>
        </w:tc>
      </w:tr>
      <w:tr>
        <w:trPr>
          <w:trHeight w:val="106"/>
        </w:trPr>
        <w:tc>
          <w:tcPr>
            <w:tcW w:w="3420" w:type="dxa"/>
            <w:vAlign w:val="bottom"/>
            <w:shd w:val="clear" w:color="auto" w:fill="CCEEFF"/>
          </w:tcPr>
          <w:p>
            <w:pPr>
              <w:spacing w:after="0" w:line="106" w:lineRule="exact"/>
              <w:rPr>
                <w:sz w:val="20"/>
                <w:szCs w:val="20"/>
                <w:color w:val="auto"/>
              </w:rPr>
            </w:pPr>
            <w:r>
              <w:rPr>
                <w:rFonts w:ascii="Arial" w:cs="Arial" w:eastAsia="Arial" w:hAnsi="Arial"/>
                <w:sz w:val="10"/>
                <w:szCs w:val="10"/>
                <w:color w:val="auto"/>
              </w:rPr>
              <w:t>Additional purchases of noncontrolling interest</w:t>
            </w:r>
          </w:p>
        </w:tc>
        <w:tc>
          <w:tcPr>
            <w:tcW w:w="14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8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2,409</w:t>
            </w:r>
          </w:p>
        </w:tc>
        <w:tc>
          <w:tcPr>
            <w:tcW w:w="1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8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2,409</w:t>
            </w:r>
          </w:p>
        </w:tc>
      </w:tr>
      <w:tr>
        <w:trPr>
          <w:trHeight w:val="106"/>
        </w:trPr>
        <w:tc>
          <w:tcPr>
            <w:tcW w:w="3420" w:type="dxa"/>
            <w:vAlign w:val="bottom"/>
          </w:tcPr>
          <w:p>
            <w:pPr>
              <w:spacing w:after="0" w:line="106" w:lineRule="exact"/>
              <w:rPr>
                <w:sz w:val="20"/>
                <w:szCs w:val="20"/>
                <w:color w:val="auto"/>
              </w:rPr>
            </w:pPr>
            <w:r>
              <w:rPr>
                <w:rFonts w:ascii="Arial" w:cs="Arial" w:eastAsia="Arial" w:hAnsi="Arial"/>
                <w:sz w:val="10"/>
                <w:szCs w:val="10"/>
                <w:color w:val="auto"/>
              </w:rPr>
              <w:t>Net purchase and dissolution of noncontrolling interest</w:t>
            </w: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gridSpan w:val="2"/>
          </w:tcPr>
          <w:p>
            <w:pPr>
              <w:jc w:val="right"/>
              <w:ind w:right="200"/>
              <w:spacing w:after="0" w:line="106" w:lineRule="exact"/>
              <w:rPr>
                <w:sz w:val="20"/>
                <w:szCs w:val="20"/>
                <w:color w:val="auto"/>
              </w:rPr>
            </w:pPr>
            <w:r>
              <w:rPr>
                <w:rFonts w:ascii="Arial" w:cs="Arial" w:eastAsia="Arial" w:hAnsi="Arial"/>
                <w:sz w:val="10"/>
                <w:szCs w:val="10"/>
                <w:color w:val="auto"/>
              </w:rPr>
              <w:t>—</w:t>
            </w:r>
          </w:p>
        </w:tc>
        <w:tc>
          <w:tcPr>
            <w:tcW w:w="220" w:type="dxa"/>
            <w:vAlign w:val="bottom"/>
          </w:tcPr>
          <w:p>
            <w:pPr>
              <w:spacing w:after="0"/>
              <w:rPr>
                <w:sz w:val="9"/>
                <w:szCs w:val="9"/>
                <w:color w:val="auto"/>
              </w:rPr>
            </w:pPr>
          </w:p>
        </w:tc>
        <w:tc>
          <w:tcPr>
            <w:tcW w:w="780" w:type="dxa"/>
            <w:vAlign w:val="bottom"/>
          </w:tcPr>
          <w:p>
            <w:pPr>
              <w:jc w:val="right"/>
              <w:spacing w:after="0" w:line="106" w:lineRule="exact"/>
              <w:rPr>
                <w:sz w:val="20"/>
                <w:szCs w:val="20"/>
                <w:color w:val="auto"/>
              </w:rPr>
            </w:pPr>
            <w:r>
              <w:rPr>
                <w:rFonts w:ascii="Arial" w:cs="Arial" w:eastAsia="Arial" w:hAnsi="Arial"/>
                <w:sz w:val="10"/>
                <w:szCs w:val="10"/>
                <w:color w:val="auto"/>
              </w:rPr>
              <w:t>—</w:t>
            </w:r>
          </w:p>
        </w:tc>
      </w:tr>
      <w:tr>
        <w:trPr>
          <w:trHeight w:val="106"/>
        </w:trPr>
        <w:tc>
          <w:tcPr>
            <w:tcW w:w="3420" w:type="dxa"/>
            <w:vAlign w:val="bottom"/>
            <w:shd w:val="clear" w:color="auto" w:fill="CCEEFF"/>
          </w:tcPr>
          <w:p>
            <w:pPr>
              <w:spacing w:after="0" w:line="106" w:lineRule="exact"/>
              <w:rPr>
                <w:sz w:val="20"/>
                <w:szCs w:val="20"/>
                <w:color w:val="auto"/>
              </w:rPr>
            </w:pPr>
            <w:r>
              <w:rPr>
                <w:rFonts w:ascii="Arial" w:cs="Arial" w:eastAsia="Arial" w:hAnsi="Arial"/>
                <w:sz w:val="10"/>
                <w:szCs w:val="10"/>
                <w:color w:val="auto"/>
              </w:rPr>
              <w:t>Cash dividends - $0.150 &amp; $0.170 per share - semiannually</w:t>
            </w:r>
          </w:p>
        </w:tc>
        <w:tc>
          <w:tcPr>
            <w:tcW w:w="14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0" w:type="dxa"/>
            <w:vAlign w:val="bottom"/>
            <w:gridSpan w:val="2"/>
            <w:shd w:val="clear" w:color="auto" w:fill="CCEEFF"/>
          </w:tcPr>
          <w:p>
            <w:pPr>
              <w:jc w:val="right"/>
              <w:ind w:right="160"/>
              <w:spacing w:after="0" w:line="106" w:lineRule="exact"/>
              <w:rPr>
                <w:sz w:val="20"/>
                <w:szCs w:val="20"/>
                <w:color w:val="auto"/>
              </w:rPr>
            </w:pPr>
            <w:r>
              <w:rPr>
                <w:rFonts w:ascii="Arial" w:cs="Arial" w:eastAsia="Arial" w:hAnsi="Arial"/>
                <w:sz w:val="10"/>
                <w:szCs w:val="10"/>
                <w:color w:val="auto"/>
              </w:rPr>
              <w:t>(19,607)</w:t>
            </w:r>
          </w:p>
        </w:tc>
        <w:tc>
          <w:tcPr>
            <w:tcW w:w="8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8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(19,607)</w:t>
            </w:r>
          </w:p>
        </w:tc>
      </w:tr>
      <w:tr>
        <w:trPr>
          <w:trHeight w:val="106"/>
        </w:trPr>
        <w:tc>
          <w:tcPr>
            <w:tcW w:w="3420" w:type="dxa"/>
            <w:vAlign w:val="bottom"/>
          </w:tcPr>
          <w:p>
            <w:pPr>
              <w:spacing w:after="0" w:line="106" w:lineRule="exact"/>
              <w:rPr>
                <w:sz w:val="20"/>
                <w:szCs w:val="20"/>
                <w:color w:val="auto"/>
              </w:rPr>
            </w:pPr>
            <w:r>
              <w:rPr>
                <w:rFonts w:ascii="Arial" w:cs="Arial" w:eastAsia="Arial" w:hAnsi="Arial"/>
                <w:sz w:val="10"/>
                <w:szCs w:val="10"/>
                <w:color w:val="auto"/>
              </w:rPr>
              <w:t>Issuance of 23,691 shares under employee stock plans</w:t>
            </w:r>
          </w:p>
        </w:tc>
        <w:tc>
          <w:tcPr>
            <w:tcW w:w="140" w:type="dxa"/>
            <w:vAlign w:val="bottom"/>
          </w:tcPr>
          <w:p>
            <w:pPr>
              <w:spacing w:after="0"/>
              <w:rPr>
                <w:sz w:val="9"/>
                <w:szCs w:val="9"/>
                <w:color w:val="auto"/>
              </w:rPr>
            </w:pPr>
          </w:p>
        </w:tc>
        <w:tc>
          <w:tcPr>
            <w:tcW w:w="640" w:type="dxa"/>
            <w:vAlign w:val="bottom"/>
          </w:tcPr>
          <w:p>
            <w:pPr>
              <w:jc w:val="right"/>
              <w:spacing w:after="0" w:line="106" w:lineRule="exact"/>
              <w:rPr>
                <w:sz w:val="20"/>
                <w:szCs w:val="20"/>
                <w:color w:val="auto"/>
              </w:rPr>
            </w:pPr>
            <w:r>
              <w:rPr>
                <w:rFonts w:ascii="Arial" w:cs="Arial" w:eastAsia="Arial" w:hAnsi="Arial"/>
                <w:sz w:val="10"/>
                <w:szCs w:val="10"/>
                <w:color w:val="auto"/>
              </w:rPr>
              <w:t>24</w:t>
            </w: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jc w:val="right"/>
              <w:spacing w:after="0" w:line="106" w:lineRule="exact"/>
              <w:rPr>
                <w:sz w:val="20"/>
                <w:szCs w:val="20"/>
                <w:color w:val="auto"/>
              </w:rPr>
            </w:pPr>
            <w:r>
              <w:rPr>
                <w:rFonts w:ascii="Arial" w:cs="Arial" w:eastAsia="Arial" w:hAnsi="Arial"/>
                <w:sz w:val="10"/>
                <w:szCs w:val="10"/>
                <w:color w:val="auto"/>
              </w:rPr>
              <w:t>637</w:t>
            </w: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jc w:val="right"/>
              <w:spacing w:after="0" w:line="106" w:lineRule="exact"/>
              <w:rPr>
                <w:sz w:val="20"/>
                <w:szCs w:val="20"/>
                <w:color w:val="auto"/>
              </w:rPr>
            </w:pPr>
            <w:r>
              <w:rPr>
                <w:rFonts w:ascii="Arial" w:cs="Arial" w:eastAsia="Arial" w:hAnsi="Arial"/>
                <w:sz w:val="10"/>
                <w:szCs w:val="10"/>
                <w:color w:val="auto"/>
              </w:rPr>
              <w:t>661</w:t>
            </w:r>
          </w:p>
        </w:tc>
      </w:tr>
      <w:tr>
        <w:trPr>
          <w:trHeight w:val="106"/>
        </w:trPr>
        <w:tc>
          <w:tcPr>
            <w:tcW w:w="3420" w:type="dxa"/>
            <w:vAlign w:val="bottom"/>
            <w:shd w:val="clear" w:color="auto" w:fill="CCEEFF"/>
          </w:tcPr>
          <w:p>
            <w:pPr>
              <w:spacing w:after="0" w:line="106" w:lineRule="exact"/>
              <w:rPr>
                <w:sz w:val="20"/>
                <w:szCs w:val="20"/>
                <w:color w:val="auto"/>
              </w:rPr>
            </w:pPr>
            <w:r>
              <w:rPr>
                <w:rFonts w:ascii="Arial" w:cs="Arial" w:eastAsia="Arial" w:hAnsi="Arial"/>
                <w:sz w:val="10"/>
                <w:szCs w:val="10"/>
                <w:color w:val="auto"/>
              </w:rPr>
              <w:t>Issuance of 428,622 shares under stock grant programs</w:t>
            </w:r>
          </w:p>
        </w:tc>
        <w:tc>
          <w:tcPr>
            <w:tcW w:w="140" w:type="dxa"/>
            <w:vAlign w:val="bottom"/>
            <w:shd w:val="clear" w:color="auto" w:fill="CCEEFF"/>
          </w:tcPr>
          <w:p>
            <w:pPr>
              <w:spacing w:after="0"/>
              <w:rPr>
                <w:sz w:val="9"/>
                <w:szCs w:val="9"/>
                <w:color w:val="auto"/>
              </w:rPr>
            </w:pPr>
          </w:p>
        </w:tc>
        <w:tc>
          <w:tcPr>
            <w:tcW w:w="64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429</w:t>
            </w:r>
          </w:p>
        </w:tc>
        <w:tc>
          <w:tcPr>
            <w:tcW w:w="1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6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5,769</w:t>
            </w: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8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6,198</w:t>
            </w:r>
          </w:p>
        </w:tc>
      </w:tr>
      <w:tr>
        <w:trPr>
          <w:trHeight w:val="106"/>
        </w:trPr>
        <w:tc>
          <w:tcPr>
            <w:tcW w:w="3420" w:type="dxa"/>
            <w:vAlign w:val="bottom"/>
          </w:tcPr>
          <w:p>
            <w:pPr>
              <w:spacing w:after="0" w:line="106" w:lineRule="exact"/>
              <w:rPr>
                <w:sz w:val="20"/>
                <w:szCs w:val="20"/>
                <w:color w:val="auto"/>
              </w:rPr>
            </w:pPr>
            <w:r>
              <w:rPr>
                <w:rFonts w:ascii="Arial" w:cs="Arial" w:eastAsia="Arial" w:hAnsi="Arial"/>
                <w:sz w:val="10"/>
                <w:szCs w:val="10"/>
                <w:color w:val="auto"/>
              </w:rPr>
              <w:t>Issuance of 159,108 shares under deferred compensation plans</w:t>
            </w:r>
          </w:p>
        </w:tc>
        <w:tc>
          <w:tcPr>
            <w:tcW w:w="140" w:type="dxa"/>
            <w:vAlign w:val="bottom"/>
          </w:tcPr>
          <w:p>
            <w:pPr>
              <w:spacing w:after="0"/>
              <w:rPr>
                <w:sz w:val="9"/>
                <w:szCs w:val="9"/>
                <w:color w:val="auto"/>
              </w:rPr>
            </w:pPr>
          </w:p>
        </w:tc>
        <w:tc>
          <w:tcPr>
            <w:tcW w:w="640" w:type="dxa"/>
            <w:vAlign w:val="bottom"/>
          </w:tcPr>
          <w:p>
            <w:pPr>
              <w:jc w:val="right"/>
              <w:spacing w:after="0" w:line="106" w:lineRule="exact"/>
              <w:rPr>
                <w:sz w:val="20"/>
                <w:szCs w:val="20"/>
                <w:color w:val="auto"/>
              </w:rPr>
            </w:pPr>
            <w:r>
              <w:rPr>
                <w:rFonts w:ascii="Arial" w:cs="Arial" w:eastAsia="Arial" w:hAnsi="Arial"/>
                <w:sz w:val="10"/>
                <w:szCs w:val="10"/>
                <w:color w:val="auto"/>
              </w:rPr>
              <w:t>159</w:t>
            </w: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gridSpan w:val="2"/>
          </w:tcPr>
          <w:p>
            <w:pPr>
              <w:jc w:val="right"/>
              <w:ind w:right="160"/>
              <w:spacing w:after="0" w:line="106" w:lineRule="exact"/>
              <w:rPr>
                <w:sz w:val="20"/>
                <w:szCs w:val="20"/>
                <w:color w:val="auto"/>
              </w:rPr>
            </w:pPr>
            <w:r>
              <w:rPr>
                <w:rFonts w:ascii="Arial" w:cs="Arial" w:eastAsia="Arial" w:hAnsi="Arial"/>
                <w:sz w:val="10"/>
                <w:szCs w:val="10"/>
                <w:color w:val="auto"/>
              </w:rPr>
              <w:t>(159)</w:t>
            </w: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jc w:val="right"/>
              <w:spacing w:after="0" w:line="106" w:lineRule="exact"/>
              <w:rPr>
                <w:sz w:val="20"/>
                <w:szCs w:val="20"/>
                <w:color w:val="auto"/>
              </w:rPr>
            </w:pPr>
            <w:r>
              <w:rPr>
                <w:rFonts w:ascii="Arial" w:cs="Arial" w:eastAsia="Arial" w:hAnsi="Arial"/>
                <w:sz w:val="10"/>
                <w:szCs w:val="10"/>
                <w:color w:val="auto"/>
              </w:rPr>
              <w:t>—</w:t>
            </w:r>
          </w:p>
        </w:tc>
      </w:tr>
      <w:tr>
        <w:trPr>
          <w:trHeight w:val="106"/>
        </w:trPr>
        <w:tc>
          <w:tcPr>
            <w:tcW w:w="3420" w:type="dxa"/>
            <w:vAlign w:val="bottom"/>
            <w:shd w:val="clear" w:color="auto" w:fill="CCEEFF"/>
          </w:tcPr>
          <w:p>
            <w:pPr>
              <w:spacing w:after="0" w:line="106" w:lineRule="exact"/>
              <w:rPr>
                <w:sz w:val="20"/>
                <w:szCs w:val="20"/>
                <w:color w:val="auto"/>
              </w:rPr>
            </w:pPr>
            <w:r>
              <w:rPr>
                <w:rFonts w:ascii="Arial" w:cs="Arial" w:eastAsia="Arial" w:hAnsi="Arial"/>
                <w:sz w:val="10"/>
                <w:szCs w:val="10"/>
                <w:color w:val="auto"/>
              </w:rPr>
              <w:t>Repurchase of 445,740 shares</w:t>
            </w:r>
          </w:p>
        </w:tc>
        <w:tc>
          <w:tcPr>
            <w:tcW w:w="14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180"/>
              <w:spacing w:after="0" w:line="106" w:lineRule="exact"/>
              <w:rPr>
                <w:sz w:val="20"/>
                <w:szCs w:val="20"/>
                <w:color w:val="auto"/>
              </w:rPr>
            </w:pPr>
            <w:r>
              <w:rPr>
                <w:rFonts w:ascii="Arial" w:cs="Arial" w:eastAsia="Arial" w:hAnsi="Arial"/>
                <w:sz w:val="10"/>
                <w:szCs w:val="10"/>
                <w:color w:val="auto"/>
              </w:rPr>
              <w:t>(446)</w:t>
            </w:r>
          </w:p>
        </w:tc>
        <w:tc>
          <w:tcPr>
            <w:tcW w:w="120" w:type="dxa"/>
            <w:vAlign w:val="bottom"/>
            <w:shd w:val="clear" w:color="auto" w:fill="CCEEFF"/>
          </w:tcPr>
          <w:p>
            <w:pPr>
              <w:spacing w:after="0"/>
              <w:rPr>
                <w:sz w:val="9"/>
                <w:szCs w:val="9"/>
                <w:color w:val="auto"/>
              </w:rPr>
            </w:pPr>
          </w:p>
        </w:tc>
        <w:tc>
          <w:tcPr>
            <w:tcW w:w="66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297</w:t>
            </w: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0" w:type="dxa"/>
            <w:vAlign w:val="bottom"/>
            <w:gridSpan w:val="2"/>
            <w:shd w:val="clear" w:color="auto" w:fill="CCEEFF"/>
          </w:tcPr>
          <w:p>
            <w:pPr>
              <w:jc w:val="right"/>
              <w:ind w:right="160"/>
              <w:spacing w:after="0" w:line="106" w:lineRule="exact"/>
              <w:rPr>
                <w:sz w:val="20"/>
                <w:szCs w:val="20"/>
                <w:color w:val="auto"/>
              </w:rPr>
            </w:pPr>
            <w:r>
              <w:rPr>
                <w:rFonts w:ascii="Arial" w:cs="Arial" w:eastAsia="Arial" w:hAnsi="Arial"/>
                <w:sz w:val="10"/>
                <w:szCs w:val="10"/>
                <w:color w:val="auto"/>
              </w:rPr>
              <w:t>(12,828)</w:t>
            </w:r>
          </w:p>
        </w:tc>
        <w:tc>
          <w:tcPr>
            <w:tcW w:w="8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8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(12,977)</w:t>
            </w:r>
          </w:p>
        </w:tc>
      </w:tr>
      <w:tr>
        <w:trPr>
          <w:trHeight w:val="106"/>
        </w:trPr>
        <w:tc>
          <w:tcPr>
            <w:tcW w:w="3420" w:type="dxa"/>
            <w:vAlign w:val="bottom"/>
          </w:tcPr>
          <w:p>
            <w:pPr>
              <w:spacing w:after="0" w:line="106" w:lineRule="exact"/>
              <w:rPr>
                <w:sz w:val="20"/>
                <w:szCs w:val="20"/>
                <w:color w:val="auto"/>
              </w:rPr>
            </w:pPr>
            <w:r>
              <w:rPr>
                <w:rFonts w:ascii="Arial" w:cs="Arial" w:eastAsia="Arial" w:hAnsi="Arial"/>
                <w:sz w:val="10"/>
                <w:szCs w:val="10"/>
                <w:color w:val="auto"/>
              </w:rPr>
              <w:t>Expense associated with share-based compensation arrangements</w:t>
            </w: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jc w:val="right"/>
              <w:spacing w:after="0" w:line="106" w:lineRule="exact"/>
              <w:rPr>
                <w:sz w:val="20"/>
                <w:szCs w:val="20"/>
                <w:color w:val="auto"/>
              </w:rPr>
            </w:pPr>
            <w:r>
              <w:rPr>
                <w:rFonts w:ascii="Arial" w:cs="Arial" w:eastAsia="Arial" w:hAnsi="Arial"/>
                <w:sz w:val="10"/>
                <w:szCs w:val="10"/>
                <w:color w:val="auto"/>
              </w:rPr>
              <w:t>3,618</w:t>
            </w: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jc w:val="right"/>
              <w:spacing w:after="0" w:line="106" w:lineRule="exact"/>
              <w:rPr>
                <w:sz w:val="20"/>
                <w:szCs w:val="20"/>
                <w:color w:val="auto"/>
              </w:rPr>
            </w:pPr>
            <w:r>
              <w:rPr>
                <w:rFonts w:ascii="Arial" w:cs="Arial" w:eastAsia="Arial" w:hAnsi="Arial"/>
                <w:sz w:val="10"/>
                <w:szCs w:val="10"/>
                <w:color w:val="auto"/>
              </w:rPr>
              <w:t>3,618</w:t>
            </w:r>
          </w:p>
        </w:tc>
      </w:tr>
      <w:tr>
        <w:trPr>
          <w:trHeight w:val="126"/>
        </w:trPr>
        <w:tc>
          <w:tcPr>
            <w:tcW w:w="3420" w:type="dxa"/>
            <w:vAlign w:val="bottom"/>
            <w:tcBorders>
              <w:bottom w:val="single" w:sz="8" w:color="CCEEFF"/>
            </w:tcBorders>
            <w:shd w:val="clear" w:color="auto" w:fill="CCEEFF"/>
          </w:tcPr>
          <w:p>
            <w:pPr>
              <w:spacing w:after="0" w:line="106" w:lineRule="exact"/>
              <w:rPr>
                <w:sz w:val="20"/>
                <w:szCs w:val="20"/>
                <w:color w:val="auto"/>
              </w:rPr>
            </w:pPr>
            <w:r>
              <w:rPr>
                <w:rFonts w:ascii="Arial" w:cs="Arial" w:eastAsia="Arial" w:hAnsi="Arial"/>
                <w:sz w:val="10"/>
                <w:szCs w:val="10"/>
                <w:color w:val="auto"/>
              </w:rPr>
              <w:t>Accrued expense under deferred compensation plans</w:t>
            </w:r>
          </w:p>
        </w:tc>
        <w:tc>
          <w:tcPr>
            <w:tcW w:w="140" w:type="dxa"/>
            <w:vAlign w:val="bottom"/>
            <w:tcBorders>
              <w:bottom w:val="single" w:sz="8" w:color="auto"/>
            </w:tcBorders>
            <w:shd w:val="clear" w:color="auto" w:fill="CCEEFF"/>
          </w:tcPr>
          <w:p>
            <w:pPr>
              <w:spacing w:after="0"/>
              <w:rPr>
                <w:sz w:val="10"/>
                <w:szCs w:val="10"/>
                <w:color w:val="auto"/>
              </w:rPr>
            </w:pPr>
          </w:p>
        </w:tc>
        <w:tc>
          <w:tcPr>
            <w:tcW w:w="640" w:type="dxa"/>
            <w:vAlign w:val="bottom"/>
            <w:tcBorders>
              <w:bottom w:val="single" w:sz="8" w:color="auto"/>
            </w:tcBorders>
            <w:shd w:val="clear" w:color="auto" w:fill="CCEEFF"/>
          </w:tcPr>
          <w:p>
            <w:pPr>
              <w:spacing w:after="0"/>
              <w:rPr>
                <w:sz w:val="10"/>
                <w:szCs w:val="10"/>
                <w:color w:val="auto"/>
              </w:rPr>
            </w:pPr>
          </w:p>
        </w:tc>
        <w:tc>
          <w:tcPr>
            <w:tcW w:w="18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660" w:type="dxa"/>
            <w:vAlign w:val="bottom"/>
            <w:tcBorders>
              <w:bottom w:val="single" w:sz="8" w:color="auto"/>
            </w:tcBorders>
            <w:shd w:val="clear" w:color="auto" w:fill="CCEEFF"/>
          </w:tcPr>
          <w:p>
            <w:pPr>
              <w:jc w:val="right"/>
              <w:spacing w:after="0" w:line="106" w:lineRule="exact"/>
              <w:rPr>
                <w:sz w:val="20"/>
                <w:szCs w:val="20"/>
                <w:color w:val="auto"/>
              </w:rPr>
            </w:pPr>
            <w:r>
              <w:rPr>
                <w:rFonts w:ascii="Arial" w:cs="Arial" w:eastAsia="Arial" w:hAnsi="Arial"/>
                <w:sz w:val="10"/>
                <w:szCs w:val="10"/>
                <w:color w:val="auto"/>
              </w:rPr>
              <w:t>7,117</w:t>
            </w:r>
          </w:p>
        </w:tc>
        <w:tc>
          <w:tcPr>
            <w:tcW w:w="16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640" w:type="dxa"/>
            <w:vAlign w:val="bottom"/>
            <w:tcBorders>
              <w:bottom w:val="single" w:sz="8" w:color="auto"/>
            </w:tcBorders>
            <w:shd w:val="clear" w:color="auto" w:fill="CCEEFF"/>
          </w:tcPr>
          <w:p>
            <w:pPr>
              <w:spacing w:after="0"/>
              <w:rPr>
                <w:sz w:val="10"/>
                <w:szCs w:val="10"/>
                <w:color w:val="auto"/>
              </w:rPr>
            </w:pPr>
          </w:p>
        </w:tc>
        <w:tc>
          <w:tcPr>
            <w:tcW w:w="16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spacing w:after="0"/>
              <w:rPr>
                <w:sz w:val="10"/>
                <w:szCs w:val="10"/>
                <w:color w:val="auto"/>
              </w:rPr>
            </w:pPr>
          </w:p>
        </w:tc>
        <w:tc>
          <w:tcPr>
            <w:tcW w:w="700" w:type="dxa"/>
            <w:vAlign w:val="bottom"/>
            <w:tcBorders>
              <w:bottom w:val="single" w:sz="8" w:color="auto"/>
            </w:tcBorders>
            <w:shd w:val="clear" w:color="auto" w:fill="CCEEFF"/>
          </w:tcPr>
          <w:p>
            <w:pPr>
              <w:spacing w:after="0"/>
              <w:rPr>
                <w:sz w:val="10"/>
                <w:szCs w:val="10"/>
                <w:color w:val="auto"/>
              </w:rPr>
            </w:pPr>
          </w:p>
        </w:tc>
        <w:tc>
          <w:tcPr>
            <w:tcW w:w="16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spacing w:after="0"/>
              <w:rPr>
                <w:sz w:val="10"/>
                <w:szCs w:val="10"/>
                <w:color w:val="auto"/>
              </w:rPr>
            </w:pPr>
          </w:p>
        </w:tc>
        <w:tc>
          <w:tcPr>
            <w:tcW w:w="680" w:type="dxa"/>
            <w:vAlign w:val="bottom"/>
            <w:tcBorders>
              <w:bottom w:val="single" w:sz="8" w:color="auto"/>
            </w:tcBorders>
            <w:shd w:val="clear" w:color="auto" w:fill="CCEEFF"/>
          </w:tcPr>
          <w:p>
            <w:pPr>
              <w:spacing w:after="0"/>
              <w:rPr>
                <w:sz w:val="10"/>
                <w:szCs w:val="10"/>
                <w:color w:val="auto"/>
              </w:rPr>
            </w:pPr>
          </w:p>
        </w:tc>
        <w:tc>
          <w:tcPr>
            <w:tcW w:w="160" w:type="dxa"/>
            <w:vAlign w:val="bottom"/>
            <w:tcBorders>
              <w:bottom w:val="single" w:sz="8" w:color="CCEEFF"/>
            </w:tcBorders>
            <w:shd w:val="clear" w:color="auto" w:fill="CCEEFF"/>
          </w:tcPr>
          <w:p>
            <w:pPr>
              <w:spacing w:after="0"/>
              <w:rPr>
                <w:sz w:val="10"/>
                <w:szCs w:val="10"/>
                <w:color w:val="auto"/>
              </w:rPr>
            </w:pPr>
          </w:p>
        </w:tc>
        <w:tc>
          <w:tcPr>
            <w:tcW w:w="220" w:type="dxa"/>
            <w:vAlign w:val="bottom"/>
            <w:tcBorders>
              <w:bottom w:val="single" w:sz="8" w:color="auto"/>
            </w:tcBorders>
            <w:shd w:val="clear" w:color="auto" w:fill="CCEEFF"/>
          </w:tcPr>
          <w:p>
            <w:pPr>
              <w:spacing w:after="0"/>
              <w:rPr>
                <w:sz w:val="10"/>
                <w:szCs w:val="10"/>
                <w:color w:val="auto"/>
              </w:rPr>
            </w:pPr>
          </w:p>
        </w:tc>
        <w:tc>
          <w:tcPr>
            <w:tcW w:w="780" w:type="dxa"/>
            <w:vAlign w:val="bottom"/>
            <w:tcBorders>
              <w:bottom w:val="single" w:sz="8" w:color="auto"/>
            </w:tcBorders>
            <w:shd w:val="clear" w:color="auto" w:fill="CCEEFF"/>
          </w:tcPr>
          <w:p>
            <w:pPr>
              <w:jc w:val="right"/>
              <w:spacing w:after="0" w:line="106" w:lineRule="exact"/>
              <w:rPr>
                <w:sz w:val="20"/>
                <w:szCs w:val="20"/>
                <w:color w:val="auto"/>
              </w:rPr>
            </w:pPr>
            <w:r>
              <w:rPr>
                <w:rFonts w:ascii="Arial" w:cs="Arial" w:eastAsia="Arial" w:hAnsi="Arial"/>
                <w:sz w:val="10"/>
                <w:szCs w:val="10"/>
                <w:color w:val="auto"/>
              </w:rPr>
              <w:t>7,117</w:t>
            </w:r>
          </w:p>
        </w:tc>
      </w:tr>
      <w:tr>
        <w:trPr>
          <w:trHeight w:val="87"/>
        </w:trPr>
        <w:tc>
          <w:tcPr>
            <w:tcW w:w="3420" w:type="dxa"/>
            <w:vAlign w:val="bottom"/>
          </w:tcPr>
          <w:p>
            <w:pPr>
              <w:spacing w:after="0" w:line="88" w:lineRule="exact"/>
              <w:rPr>
                <w:sz w:val="20"/>
                <w:szCs w:val="20"/>
                <w:color w:val="auto"/>
              </w:rPr>
            </w:pPr>
            <w:r>
              <w:rPr>
                <w:rFonts w:ascii="Arial" w:cs="Arial" w:eastAsia="Arial" w:hAnsi="Arial"/>
                <w:sz w:val="10"/>
                <w:szCs w:val="10"/>
                <w:b w:val="1"/>
                <w:bCs w:val="1"/>
                <w:color w:val="auto"/>
              </w:rPr>
              <w:t>Balance at December 30, 2017</w:t>
            </w:r>
          </w:p>
        </w:tc>
        <w:tc>
          <w:tcPr>
            <w:tcW w:w="140" w:type="dxa"/>
            <w:vAlign w:val="bottom"/>
          </w:tcPr>
          <w:p>
            <w:pPr>
              <w:jc w:val="right"/>
              <w:ind w:right="30"/>
              <w:spacing w:after="0" w:line="88" w:lineRule="exact"/>
              <w:rPr>
                <w:sz w:val="20"/>
                <w:szCs w:val="20"/>
                <w:color w:val="auto"/>
              </w:rPr>
            </w:pPr>
            <w:r>
              <w:rPr>
                <w:rFonts w:ascii="Arial" w:cs="Arial" w:eastAsia="Arial" w:hAnsi="Arial"/>
                <w:sz w:val="10"/>
                <w:szCs w:val="10"/>
                <w:b w:val="1"/>
                <w:bCs w:val="1"/>
                <w:color w:val="auto"/>
                <w:w w:val="71"/>
              </w:rPr>
              <w:t>$</w:t>
            </w:r>
          </w:p>
        </w:tc>
        <w:tc>
          <w:tcPr>
            <w:tcW w:w="640" w:type="dxa"/>
            <w:vAlign w:val="bottom"/>
          </w:tcPr>
          <w:p>
            <w:pPr>
              <w:jc w:val="right"/>
              <w:spacing w:after="0" w:line="88" w:lineRule="exact"/>
              <w:rPr>
                <w:sz w:val="20"/>
                <w:szCs w:val="20"/>
                <w:color w:val="auto"/>
              </w:rPr>
            </w:pPr>
            <w:r>
              <w:rPr>
                <w:rFonts w:ascii="Arial" w:cs="Arial" w:eastAsia="Arial" w:hAnsi="Arial"/>
                <w:sz w:val="10"/>
                <w:szCs w:val="10"/>
                <w:b w:val="1"/>
                <w:bCs w:val="1"/>
                <w:color w:val="auto"/>
              </w:rPr>
              <w:t>61,192</w:t>
            </w:r>
          </w:p>
        </w:tc>
        <w:tc>
          <w:tcPr>
            <w:tcW w:w="180" w:type="dxa"/>
            <w:vAlign w:val="bottom"/>
          </w:tcPr>
          <w:p>
            <w:pPr>
              <w:spacing w:after="0"/>
              <w:rPr>
                <w:sz w:val="7"/>
                <w:szCs w:val="7"/>
                <w:color w:val="auto"/>
              </w:rPr>
            </w:pPr>
          </w:p>
        </w:tc>
        <w:tc>
          <w:tcPr>
            <w:tcW w:w="120" w:type="dxa"/>
            <w:vAlign w:val="bottom"/>
          </w:tcPr>
          <w:p>
            <w:pPr>
              <w:jc w:val="right"/>
              <w:ind w:right="55"/>
              <w:spacing w:after="0"/>
              <w:rPr>
                <w:sz w:val="20"/>
                <w:szCs w:val="20"/>
                <w:color w:val="auto"/>
              </w:rPr>
            </w:pPr>
            <w:r>
              <w:rPr>
                <w:rFonts w:ascii="Arial" w:cs="Arial" w:eastAsia="Arial" w:hAnsi="Arial"/>
                <w:sz w:val="5"/>
                <w:szCs w:val="5"/>
                <w:b w:val="1"/>
                <w:bCs w:val="1"/>
                <w:color w:val="auto"/>
                <w:w w:val="70"/>
              </w:rPr>
              <w:t>$</w:t>
            </w:r>
          </w:p>
        </w:tc>
        <w:tc>
          <w:tcPr>
            <w:tcW w:w="660" w:type="dxa"/>
            <w:vAlign w:val="bottom"/>
          </w:tcPr>
          <w:p>
            <w:pPr>
              <w:jc w:val="right"/>
              <w:spacing w:after="0" w:line="88" w:lineRule="exact"/>
              <w:rPr>
                <w:sz w:val="20"/>
                <w:szCs w:val="20"/>
                <w:color w:val="auto"/>
              </w:rPr>
            </w:pPr>
            <w:r>
              <w:rPr>
                <w:rFonts w:ascii="Arial" w:cs="Arial" w:eastAsia="Arial" w:hAnsi="Arial"/>
                <w:sz w:val="10"/>
                <w:szCs w:val="10"/>
                <w:b w:val="1"/>
                <w:bCs w:val="1"/>
                <w:color w:val="auto"/>
              </w:rPr>
              <w:t>161,928</w:t>
            </w:r>
          </w:p>
        </w:tc>
        <w:tc>
          <w:tcPr>
            <w:tcW w:w="160" w:type="dxa"/>
            <w:vAlign w:val="bottom"/>
          </w:tcPr>
          <w:p>
            <w:pPr>
              <w:spacing w:after="0"/>
              <w:rPr>
                <w:sz w:val="7"/>
                <w:szCs w:val="7"/>
                <w:color w:val="auto"/>
              </w:rPr>
            </w:pPr>
          </w:p>
        </w:tc>
        <w:tc>
          <w:tcPr>
            <w:tcW w:w="120" w:type="dxa"/>
            <w:vAlign w:val="bottom"/>
          </w:tcPr>
          <w:p>
            <w:pPr>
              <w:jc w:val="right"/>
              <w:ind w:right="10"/>
              <w:spacing w:after="0" w:line="88" w:lineRule="exact"/>
              <w:rPr>
                <w:sz w:val="20"/>
                <w:szCs w:val="20"/>
                <w:color w:val="auto"/>
              </w:rPr>
            </w:pPr>
            <w:r>
              <w:rPr>
                <w:rFonts w:ascii="Arial" w:cs="Arial" w:eastAsia="Arial" w:hAnsi="Arial"/>
                <w:sz w:val="10"/>
                <w:szCs w:val="10"/>
                <w:b w:val="1"/>
                <w:bCs w:val="1"/>
                <w:color w:val="auto"/>
                <w:w w:val="71"/>
              </w:rPr>
              <w:t>$</w:t>
            </w:r>
          </w:p>
        </w:tc>
        <w:tc>
          <w:tcPr>
            <w:tcW w:w="640" w:type="dxa"/>
            <w:vAlign w:val="bottom"/>
          </w:tcPr>
          <w:p>
            <w:pPr>
              <w:jc w:val="right"/>
              <w:spacing w:after="0" w:line="88" w:lineRule="exact"/>
              <w:rPr>
                <w:sz w:val="20"/>
                <w:szCs w:val="20"/>
                <w:color w:val="auto"/>
              </w:rPr>
            </w:pPr>
            <w:r>
              <w:rPr>
                <w:rFonts w:ascii="Arial" w:cs="Arial" w:eastAsia="Arial" w:hAnsi="Arial"/>
                <w:sz w:val="10"/>
                <w:szCs w:val="10"/>
                <w:b w:val="1"/>
                <w:bCs w:val="1"/>
                <w:color w:val="auto"/>
              </w:rPr>
              <w:t>736,212</w:t>
            </w:r>
          </w:p>
        </w:tc>
        <w:tc>
          <w:tcPr>
            <w:tcW w:w="160" w:type="dxa"/>
            <w:vAlign w:val="bottom"/>
          </w:tcPr>
          <w:p>
            <w:pPr>
              <w:spacing w:after="0"/>
              <w:rPr>
                <w:sz w:val="7"/>
                <w:szCs w:val="7"/>
                <w:color w:val="auto"/>
              </w:rPr>
            </w:pPr>
          </w:p>
        </w:tc>
        <w:tc>
          <w:tcPr>
            <w:tcW w:w="80" w:type="dxa"/>
            <w:vAlign w:val="bottom"/>
          </w:tcPr>
          <w:p>
            <w:pPr>
              <w:jc w:val="center"/>
              <w:spacing w:after="0" w:line="88" w:lineRule="exact"/>
              <w:rPr>
                <w:sz w:val="20"/>
                <w:szCs w:val="20"/>
                <w:color w:val="auto"/>
              </w:rPr>
            </w:pPr>
            <w:r>
              <w:rPr>
                <w:rFonts w:ascii="Arial" w:cs="Arial" w:eastAsia="Arial" w:hAnsi="Arial"/>
                <w:sz w:val="10"/>
                <w:szCs w:val="10"/>
                <w:b w:val="1"/>
                <w:bCs w:val="1"/>
                <w:color w:val="auto"/>
              </w:rPr>
              <w:t>$</w:t>
            </w:r>
          </w:p>
        </w:tc>
        <w:tc>
          <w:tcPr>
            <w:tcW w:w="700" w:type="dxa"/>
            <w:vAlign w:val="bottom"/>
          </w:tcPr>
          <w:p>
            <w:pPr>
              <w:jc w:val="right"/>
              <w:spacing w:after="0" w:line="88" w:lineRule="exact"/>
              <w:rPr>
                <w:sz w:val="20"/>
                <w:szCs w:val="20"/>
                <w:color w:val="auto"/>
              </w:rPr>
            </w:pPr>
            <w:r>
              <w:rPr>
                <w:rFonts w:ascii="Arial" w:cs="Arial" w:eastAsia="Arial" w:hAnsi="Arial"/>
                <w:sz w:val="10"/>
                <w:szCs w:val="10"/>
                <w:b w:val="1"/>
                <w:bCs w:val="1"/>
                <w:color w:val="auto"/>
              </w:rPr>
              <w:t>144</w:t>
            </w:r>
          </w:p>
        </w:tc>
        <w:tc>
          <w:tcPr>
            <w:tcW w:w="160" w:type="dxa"/>
            <w:vAlign w:val="bottom"/>
          </w:tcPr>
          <w:p>
            <w:pPr>
              <w:spacing w:after="0"/>
              <w:rPr>
                <w:sz w:val="7"/>
                <w:szCs w:val="7"/>
                <w:color w:val="auto"/>
              </w:rPr>
            </w:pPr>
          </w:p>
        </w:tc>
        <w:tc>
          <w:tcPr>
            <w:tcW w:w="80" w:type="dxa"/>
            <w:vAlign w:val="bottom"/>
          </w:tcPr>
          <w:p>
            <w:pPr>
              <w:jc w:val="right"/>
              <w:ind w:right="15"/>
              <w:spacing w:after="0"/>
              <w:rPr>
                <w:sz w:val="20"/>
                <w:szCs w:val="20"/>
                <w:color w:val="auto"/>
              </w:rPr>
            </w:pPr>
            <w:r>
              <w:rPr>
                <w:rFonts w:ascii="Arial" w:cs="Arial" w:eastAsia="Arial" w:hAnsi="Arial"/>
                <w:sz w:val="5"/>
                <w:szCs w:val="5"/>
                <w:b w:val="1"/>
                <w:bCs w:val="1"/>
                <w:color w:val="auto"/>
                <w:w w:val="70"/>
              </w:rPr>
              <w:t>$</w:t>
            </w:r>
          </w:p>
        </w:tc>
        <w:tc>
          <w:tcPr>
            <w:tcW w:w="680" w:type="dxa"/>
            <w:vAlign w:val="bottom"/>
          </w:tcPr>
          <w:p>
            <w:pPr>
              <w:jc w:val="right"/>
              <w:spacing w:after="0" w:line="88" w:lineRule="exact"/>
              <w:rPr>
                <w:sz w:val="20"/>
                <w:szCs w:val="20"/>
                <w:color w:val="auto"/>
              </w:rPr>
            </w:pPr>
            <w:r>
              <w:rPr>
                <w:rFonts w:ascii="Arial" w:cs="Arial" w:eastAsia="Arial" w:hAnsi="Arial"/>
                <w:sz w:val="10"/>
                <w:szCs w:val="10"/>
                <w:b w:val="1"/>
                <w:bCs w:val="1"/>
                <w:color w:val="auto"/>
              </w:rPr>
              <w:t>14,547</w:t>
            </w:r>
          </w:p>
        </w:tc>
        <w:tc>
          <w:tcPr>
            <w:tcW w:w="160" w:type="dxa"/>
            <w:vAlign w:val="bottom"/>
          </w:tcPr>
          <w:p>
            <w:pPr>
              <w:spacing w:after="0"/>
              <w:rPr>
                <w:sz w:val="7"/>
                <w:szCs w:val="7"/>
                <w:color w:val="auto"/>
              </w:rPr>
            </w:pPr>
          </w:p>
        </w:tc>
        <w:tc>
          <w:tcPr>
            <w:tcW w:w="220" w:type="dxa"/>
            <w:vAlign w:val="bottom"/>
          </w:tcPr>
          <w:p>
            <w:pPr>
              <w:jc w:val="right"/>
              <w:ind w:right="155"/>
              <w:spacing w:after="0"/>
              <w:rPr>
                <w:sz w:val="20"/>
                <w:szCs w:val="20"/>
                <w:color w:val="auto"/>
              </w:rPr>
            </w:pPr>
            <w:r>
              <w:rPr>
                <w:rFonts w:ascii="Arial" w:cs="Arial" w:eastAsia="Arial" w:hAnsi="Arial"/>
                <w:sz w:val="5"/>
                <w:szCs w:val="5"/>
                <w:b w:val="1"/>
                <w:bCs w:val="1"/>
                <w:color w:val="auto"/>
                <w:w w:val="70"/>
              </w:rPr>
              <w:t>$</w:t>
            </w:r>
          </w:p>
        </w:tc>
        <w:tc>
          <w:tcPr>
            <w:tcW w:w="780" w:type="dxa"/>
            <w:vAlign w:val="bottom"/>
          </w:tcPr>
          <w:p>
            <w:pPr>
              <w:jc w:val="right"/>
              <w:spacing w:after="0" w:line="88" w:lineRule="exact"/>
              <w:rPr>
                <w:sz w:val="20"/>
                <w:szCs w:val="20"/>
                <w:color w:val="auto"/>
              </w:rPr>
            </w:pPr>
            <w:r>
              <w:rPr>
                <w:rFonts w:ascii="Arial" w:cs="Arial" w:eastAsia="Arial" w:hAnsi="Arial"/>
                <w:sz w:val="10"/>
                <w:szCs w:val="10"/>
                <w:b w:val="1"/>
                <w:bCs w:val="1"/>
                <w:color w:val="auto"/>
              </w:rPr>
              <w:t>974,023</w:t>
            </w:r>
          </w:p>
        </w:tc>
      </w:tr>
      <w:tr>
        <w:trPr>
          <w:trHeight w:val="106"/>
        </w:trPr>
        <w:tc>
          <w:tcPr>
            <w:tcW w:w="3420" w:type="dxa"/>
            <w:vAlign w:val="bottom"/>
            <w:shd w:val="clear" w:color="auto" w:fill="CCEEFF"/>
          </w:tcPr>
          <w:p>
            <w:pPr>
              <w:spacing w:after="0" w:line="106" w:lineRule="exact"/>
              <w:rPr>
                <w:sz w:val="20"/>
                <w:szCs w:val="20"/>
                <w:color w:val="auto"/>
              </w:rPr>
            </w:pPr>
            <w:r>
              <w:rPr>
                <w:rFonts w:ascii="Arial" w:cs="Arial" w:eastAsia="Arial" w:hAnsi="Arial"/>
                <w:sz w:val="10"/>
                <w:szCs w:val="10"/>
                <w:color w:val="auto"/>
              </w:rPr>
              <w:t>Net earnings</w:t>
            </w:r>
          </w:p>
        </w:tc>
        <w:tc>
          <w:tcPr>
            <w:tcW w:w="14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4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148,598</w:t>
            </w: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8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3,814</w:t>
            </w:r>
          </w:p>
        </w:tc>
        <w:tc>
          <w:tcPr>
            <w:tcW w:w="1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8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152,412</w:t>
            </w:r>
          </w:p>
        </w:tc>
      </w:tr>
      <w:tr>
        <w:trPr>
          <w:trHeight w:val="106"/>
        </w:trPr>
        <w:tc>
          <w:tcPr>
            <w:tcW w:w="3420" w:type="dxa"/>
            <w:vAlign w:val="bottom"/>
          </w:tcPr>
          <w:p>
            <w:pPr>
              <w:spacing w:after="0" w:line="106" w:lineRule="exact"/>
              <w:rPr>
                <w:sz w:val="20"/>
                <w:szCs w:val="20"/>
                <w:color w:val="auto"/>
              </w:rPr>
            </w:pPr>
            <w:r>
              <w:rPr>
                <w:rFonts w:ascii="Arial" w:cs="Arial" w:eastAsia="Arial" w:hAnsi="Arial"/>
                <w:sz w:val="10"/>
                <w:szCs w:val="10"/>
                <w:color w:val="auto"/>
              </w:rPr>
              <w:t>Foreign currency translation adjustment</w:t>
            </w: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gridSpan w:val="2"/>
          </w:tcPr>
          <w:p>
            <w:pPr>
              <w:jc w:val="right"/>
              <w:ind w:right="160"/>
              <w:spacing w:after="0" w:line="106" w:lineRule="exact"/>
              <w:rPr>
                <w:sz w:val="20"/>
                <w:szCs w:val="20"/>
                <w:color w:val="auto"/>
              </w:rPr>
            </w:pPr>
            <w:r>
              <w:rPr>
                <w:rFonts w:ascii="Arial" w:cs="Arial" w:eastAsia="Arial" w:hAnsi="Arial"/>
                <w:sz w:val="10"/>
                <w:szCs w:val="10"/>
                <w:color w:val="auto"/>
              </w:rPr>
              <w:t>(4,973)</w:t>
            </w:r>
          </w:p>
        </w:tc>
        <w:tc>
          <w:tcPr>
            <w:tcW w:w="80" w:type="dxa"/>
            <w:vAlign w:val="bottom"/>
          </w:tcPr>
          <w:p>
            <w:pPr>
              <w:spacing w:after="0"/>
              <w:rPr>
                <w:sz w:val="9"/>
                <w:szCs w:val="9"/>
                <w:color w:val="auto"/>
              </w:rPr>
            </w:pPr>
          </w:p>
        </w:tc>
        <w:tc>
          <w:tcPr>
            <w:tcW w:w="680" w:type="dxa"/>
            <w:vAlign w:val="bottom"/>
          </w:tcPr>
          <w:p>
            <w:pPr>
              <w:jc w:val="right"/>
              <w:spacing w:after="0" w:line="106" w:lineRule="exact"/>
              <w:rPr>
                <w:sz w:val="20"/>
                <w:szCs w:val="20"/>
                <w:color w:val="auto"/>
              </w:rPr>
            </w:pPr>
            <w:r>
              <w:rPr>
                <w:rFonts w:ascii="Arial" w:cs="Arial" w:eastAsia="Arial" w:hAnsi="Arial"/>
                <w:sz w:val="10"/>
                <w:szCs w:val="10"/>
                <w:color w:val="auto"/>
              </w:rPr>
              <w:t>59</w:t>
            </w: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jc w:val="right"/>
              <w:spacing w:after="0" w:line="106" w:lineRule="exact"/>
              <w:rPr>
                <w:sz w:val="20"/>
                <w:szCs w:val="20"/>
                <w:color w:val="auto"/>
              </w:rPr>
            </w:pPr>
            <w:r>
              <w:rPr>
                <w:rFonts w:ascii="Arial" w:cs="Arial" w:eastAsia="Arial" w:hAnsi="Arial"/>
                <w:sz w:val="10"/>
                <w:szCs w:val="10"/>
                <w:color w:val="auto"/>
              </w:rPr>
              <w:t>(4,914)</w:t>
            </w:r>
          </w:p>
        </w:tc>
      </w:tr>
      <w:tr>
        <w:trPr>
          <w:trHeight w:val="106"/>
        </w:trPr>
        <w:tc>
          <w:tcPr>
            <w:tcW w:w="3420" w:type="dxa"/>
            <w:vAlign w:val="bottom"/>
            <w:shd w:val="clear" w:color="auto" w:fill="CCEEFF"/>
          </w:tcPr>
          <w:p>
            <w:pPr>
              <w:spacing w:after="0" w:line="106" w:lineRule="exact"/>
              <w:rPr>
                <w:sz w:val="20"/>
                <w:szCs w:val="20"/>
                <w:color w:val="auto"/>
              </w:rPr>
            </w:pPr>
            <w:r>
              <w:rPr>
                <w:rFonts w:ascii="Arial" w:cs="Arial" w:eastAsia="Arial" w:hAnsi="Arial"/>
                <w:sz w:val="10"/>
                <w:szCs w:val="10"/>
                <w:color w:val="auto"/>
              </w:rPr>
              <w:t>Unrealized gain (loss) on investment &amp; foreign currency</w:t>
            </w:r>
          </w:p>
        </w:tc>
        <w:tc>
          <w:tcPr>
            <w:tcW w:w="14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4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947</w:t>
            </w: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60" w:type="dxa"/>
            <w:vAlign w:val="bottom"/>
            <w:gridSpan w:val="2"/>
            <w:shd w:val="clear" w:color="auto" w:fill="CCEEFF"/>
          </w:tcPr>
          <w:p>
            <w:pPr>
              <w:jc w:val="right"/>
              <w:ind w:right="160"/>
              <w:spacing w:after="0" w:line="106" w:lineRule="exact"/>
              <w:rPr>
                <w:sz w:val="20"/>
                <w:szCs w:val="20"/>
                <w:color w:val="auto"/>
              </w:rPr>
            </w:pPr>
            <w:r>
              <w:rPr>
                <w:rFonts w:ascii="Arial" w:cs="Arial" w:eastAsia="Arial" w:hAnsi="Arial"/>
                <w:sz w:val="10"/>
                <w:szCs w:val="10"/>
                <w:color w:val="auto"/>
              </w:rPr>
              <w:t>(1,109)</w:t>
            </w:r>
          </w:p>
        </w:tc>
        <w:tc>
          <w:tcPr>
            <w:tcW w:w="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8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(162)</w:t>
            </w:r>
          </w:p>
        </w:tc>
      </w:tr>
      <w:tr>
        <w:trPr>
          <w:trHeight w:val="106"/>
        </w:trPr>
        <w:tc>
          <w:tcPr>
            <w:tcW w:w="3420" w:type="dxa"/>
            <w:vAlign w:val="bottom"/>
          </w:tcPr>
          <w:p>
            <w:pPr>
              <w:spacing w:after="0" w:line="106" w:lineRule="exact"/>
              <w:rPr>
                <w:sz w:val="20"/>
                <w:szCs w:val="20"/>
                <w:color w:val="auto"/>
              </w:rPr>
            </w:pPr>
            <w:r>
              <w:rPr>
                <w:rFonts w:ascii="Arial" w:cs="Arial" w:eastAsia="Arial" w:hAnsi="Arial"/>
                <w:sz w:val="10"/>
                <w:szCs w:val="10"/>
                <w:color w:val="auto"/>
              </w:rPr>
              <w:t>Distributions to noncontrolling interest</w:t>
            </w: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gridSpan w:val="2"/>
          </w:tcPr>
          <w:p>
            <w:pPr>
              <w:jc w:val="right"/>
              <w:ind w:right="160"/>
              <w:spacing w:after="0" w:line="106" w:lineRule="exact"/>
              <w:rPr>
                <w:sz w:val="20"/>
                <w:szCs w:val="20"/>
                <w:color w:val="auto"/>
              </w:rPr>
            </w:pPr>
            <w:r>
              <w:rPr>
                <w:rFonts w:ascii="Arial" w:cs="Arial" w:eastAsia="Arial" w:hAnsi="Arial"/>
                <w:sz w:val="10"/>
                <w:szCs w:val="10"/>
                <w:color w:val="auto"/>
              </w:rPr>
              <w:t>(3,139)</w:t>
            </w:r>
          </w:p>
        </w:tc>
        <w:tc>
          <w:tcPr>
            <w:tcW w:w="220" w:type="dxa"/>
            <w:vAlign w:val="bottom"/>
          </w:tcPr>
          <w:p>
            <w:pPr>
              <w:spacing w:after="0"/>
              <w:rPr>
                <w:sz w:val="9"/>
                <w:szCs w:val="9"/>
                <w:color w:val="auto"/>
              </w:rPr>
            </w:pPr>
          </w:p>
        </w:tc>
        <w:tc>
          <w:tcPr>
            <w:tcW w:w="780" w:type="dxa"/>
            <w:vAlign w:val="bottom"/>
          </w:tcPr>
          <w:p>
            <w:pPr>
              <w:jc w:val="right"/>
              <w:spacing w:after="0" w:line="106" w:lineRule="exact"/>
              <w:rPr>
                <w:sz w:val="20"/>
                <w:szCs w:val="20"/>
                <w:color w:val="auto"/>
              </w:rPr>
            </w:pPr>
            <w:r>
              <w:rPr>
                <w:rFonts w:ascii="Arial" w:cs="Arial" w:eastAsia="Arial" w:hAnsi="Arial"/>
                <w:sz w:val="10"/>
                <w:szCs w:val="10"/>
                <w:color w:val="auto"/>
              </w:rPr>
              <w:t>(3,139)</w:t>
            </w:r>
          </w:p>
        </w:tc>
      </w:tr>
      <w:tr>
        <w:trPr>
          <w:trHeight w:val="106"/>
        </w:trPr>
        <w:tc>
          <w:tcPr>
            <w:tcW w:w="3420" w:type="dxa"/>
            <w:vAlign w:val="bottom"/>
            <w:shd w:val="clear" w:color="auto" w:fill="CCEEFF"/>
          </w:tcPr>
          <w:p>
            <w:pPr>
              <w:spacing w:after="0" w:line="106" w:lineRule="exact"/>
              <w:rPr>
                <w:sz w:val="20"/>
                <w:szCs w:val="20"/>
                <w:color w:val="auto"/>
              </w:rPr>
            </w:pPr>
            <w:r>
              <w:rPr>
                <w:rFonts w:ascii="Arial" w:cs="Arial" w:eastAsia="Arial" w:hAnsi="Arial"/>
                <w:sz w:val="10"/>
                <w:szCs w:val="10"/>
                <w:color w:val="auto"/>
              </w:rPr>
              <w:t>Cash dividends - $0.180 per share - semiannually</w:t>
            </w:r>
          </w:p>
        </w:tc>
        <w:tc>
          <w:tcPr>
            <w:tcW w:w="14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0" w:type="dxa"/>
            <w:vAlign w:val="bottom"/>
            <w:gridSpan w:val="2"/>
            <w:shd w:val="clear" w:color="auto" w:fill="CCEEFF"/>
          </w:tcPr>
          <w:p>
            <w:pPr>
              <w:jc w:val="right"/>
              <w:ind w:right="160"/>
              <w:spacing w:after="0" w:line="106" w:lineRule="exact"/>
              <w:rPr>
                <w:sz w:val="20"/>
                <w:szCs w:val="20"/>
                <w:color w:val="auto"/>
              </w:rPr>
            </w:pPr>
            <w:r>
              <w:rPr>
                <w:rFonts w:ascii="Arial" w:cs="Arial" w:eastAsia="Arial" w:hAnsi="Arial"/>
                <w:sz w:val="10"/>
                <w:szCs w:val="10"/>
                <w:color w:val="auto"/>
              </w:rPr>
              <w:t>(22,072)</w:t>
            </w:r>
          </w:p>
        </w:tc>
        <w:tc>
          <w:tcPr>
            <w:tcW w:w="8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8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(22,072)</w:t>
            </w:r>
          </w:p>
        </w:tc>
      </w:tr>
      <w:tr>
        <w:trPr>
          <w:trHeight w:val="106"/>
        </w:trPr>
        <w:tc>
          <w:tcPr>
            <w:tcW w:w="3420" w:type="dxa"/>
            <w:vAlign w:val="bottom"/>
          </w:tcPr>
          <w:p>
            <w:pPr>
              <w:spacing w:after="0" w:line="106" w:lineRule="exact"/>
              <w:rPr>
                <w:sz w:val="20"/>
                <w:szCs w:val="20"/>
                <w:color w:val="auto"/>
              </w:rPr>
            </w:pPr>
            <w:r>
              <w:rPr>
                <w:rFonts w:ascii="Arial" w:cs="Arial" w:eastAsia="Arial" w:hAnsi="Arial"/>
                <w:sz w:val="10"/>
                <w:szCs w:val="10"/>
                <w:color w:val="auto"/>
              </w:rPr>
              <w:t>Issuance of 37,794 shares under employee stock purchase plans</w:t>
            </w:r>
          </w:p>
        </w:tc>
        <w:tc>
          <w:tcPr>
            <w:tcW w:w="140" w:type="dxa"/>
            <w:vAlign w:val="bottom"/>
          </w:tcPr>
          <w:p>
            <w:pPr>
              <w:spacing w:after="0"/>
              <w:rPr>
                <w:sz w:val="9"/>
                <w:szCs w:val="9"/>
                <w:color w:val="auto"/>
              </w:rPr>
            </w:pPr>
          </w:p>
        </w:tc>
        <w:tc>
          <w:tcPr>
            <w:tcW w:w="640" w:type="dxa"/>
            <w:vAlign w:val="bottom"/>
          </w:tcPr>
          <w:p>
            <w:pPr>
              <w:jc w:val="right"/>
              <w:spacing w:after="0" w:line="106" w:lineRule="exact"/>
              <w:rPr>
                <w:sz w:val="20"/>
                <w:szCs w:val="20"/>
                <w:color w:val="auto"/>
              </w:rPr>
            </w:pPr>
            <w:r>
              <w:rPr>
                <w:rFonts w:ascii="Arial" w:cs="Arial" w:eastAsia="Arial" w:hAnsi="Arial"/>
                <w:sz w:val="10"/>
                <w:szCs w:val="10"/>
                <w:color w:val="auto"/>
              </w:rPr>
              <w:t>38</w:t>
            </w: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jc w:val="right"/>
              <w:spacing w:after="0" w:line="106" w:lineRule="exact"/>
              <w:rPr>
                <w:sz w:val="20"/>
                <w:szCs w:val="20"/>
                <w:color w:val="auto"/>
              </w:rPr>
            </w:pPr>
            <w:r>
              <w:rPr>
                <w:rFonts w:ascii="Arial" w:cs="Arial" w:eastAsia="Arial" w:hAnsi="Arial"/>
                <w:sz w:val="10"/>
                <w:szCs w:val="10"/>
                <w:color w:val="auto"/>
              </w:rPr>
              <w:t>988</w:t>
            </w: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jc w:val="right"/>
              <w:spacing w:after="0" w:line="106" w:lineRule="exact"/>
              <w:rPr>
                <w:sz w:val="20"/>
                <w:szCs w:val="20"/>
                <w:color w:val="auto"/>
              </w:rPr>
            </w:pPr>
            <w:r>
              <w:rPr>
                <w:rFonts w:ascii="Arial" w:cs="Arial" w:eastAsia="Arial" w:hAnsi="Arial"/>
                <w:sz w:val="10"/>
                <w:szCs w:val="10"/>
                <w:color w:val="auto"/>
              </w:rPr>
              <w:t>1,026</w:t>
            </w:r>
          </w:p>
        </w:tc>
      </w:tr>
      <w:tr>
        <w:trPr>
          <w:trHeight w:val="106"/>
        </w:trPr>
        <w:tc>
          <w:tcPr>
            <w:tcW w:w="3420" w:type="dxa"/>
            <w:vAlign w:val="bottom"/>
            <w:shd w:val="clear" w:color="auto" w:fill="CCEEFF"/>
          </w:tcPr>
          <w:p>
            <w:pPr>
              <w:spacing w:after="0" w:line="106" w:lineRule="exact"/>
              <w:rPr>
                <w:sz w:val="20"/>
                <w:szCs w:val="20"/>
                <w:color w:val="auto"/>
              </w:rPr>
            </w:pPr>
            <w:r>
              <w:rPr>
                <w:rFonts w:ascii="Arial" w:cs="Arial" w:eastAsia="Arial" w:hAnsi="Arial"/>
                <w:sz w:val="10"/>
                <w:szCs w:val="10"/>
                <w:color w:val="auto"/>
              </w:rPr>
              <w:t>Issuance of 348,208 shares under stock grant programs</w:t>
            </w:r>
          </w:p>
        </w:tc>
        <w:tc>
          <w:tcPr>
            <w:tcW w:w="140" w:type="dxa"/>
            <w:vAlign w:val="bottom"/>
            <w:shd w:val="clear" w:color="auto" w:fill="CCEEFF"/>
          </w:tcPr>
          <w:p>
            <w:pPr>
              <w:spacing w:after="0"/>
              <w:rPr>
                <w:sz w:val="9"/>
                <w:szCs w:val="9"/>
                <w:color w:val="auto"/>
              </w:rPr>
            </w:pPr>
          </w:p>
        </w:tc>
        <w:tc>
          <w:tcPr>
            <w:tcW w:w="64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348</w:t>
            </w:r>
          </w:p>
        </w:tc>
        <w:tc>
          <w:tcPr>
            <w:tcW w:w="1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6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4,827</w:t>
            </w: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8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5,175</w:t>
            </w:r>
          </w:p>
        </w:tc>
      </w:tr>
      <w:tr>
        <w:trPr>
          <w:trHeight w:val="106"/>
        </w:trPr>
        <w:tc>
          <w:tcPr>
            <w:tcW w:w="3420" w:type="dxa"/>
            <w:vAlign w:val="bottom"/>
          </w:tcPr>
          <w:p>
            <w:pPr>
              <w:spacing w:after="0" w:line="106" w:lineRule="exact"/>
              <w:rPr>
                <w:sz w:val="20"/>
                <w:szCs w:val="20"/>
                <w:color w:val="auto"/>
              </w:rPr>
            </w:pPr>
            <w:r>
              <w:rPr>
                <w:rFonts w:ascii="Arial" w:cs="Arial" w:eastAsia="Arial" w:hAnsi="Arial"/>
                <w:sz w:val="10"/>
                <w:szCs w:val="10"/>
                <w:color w:val="auto"/>
              </w:rPr>
              <w:t>Issuance of 166,528 shares under deferred compensation plans</w:t>
            </w:r>
          </w:p>
        </w:tc>
        <w:tc>
          <w:tcPr>
            <w:tcW w:w="140" w:type="dxa"/>
            <w:vAlign w:val="bottom"/>
          </w:tcPr>
          <w:p>
            <w:pPr>
              <w:spacing w:after="0"/>
              <w:rPr>
                <w:sz w:val="9"/>
                <w:szCs w:val="9"/>
                <w:color w:val="auto"/>
              </w:rPr>
            </w:pPr>
          </w:p>
        </w:tc>
        <w:tc>
          <w:tcPr>
            <w:tcW w:w="640" w:type="dxa"/>
            <w:vAlign w:val="bottom"/>
          </w:tcPr>
          <w:p>
            <w:pPr>
              <w:jc w:val="right"/>
              <w:spacing w:after="0" w:line="106" w:lineRule="exact"/>
              <w:rPr>
                <w:sz w:val="20"/>
                <w:szCs w:val="20"/>
                <w:color w:val="auto"/>
              </w:rPr>
            </w:pPr>
            <w:r>
              <w:rPr>
                <w:rFonts w:ascii="Arial" w:cs="Arial" w:eastAsia="Arial" w:hAnsi="Arial"/>
                <w:sz w:val="10"/>
                <w:szCs w:val="10"/>
                <w:color w:val="auto"/>
              </w:rPr>
              <w:t>167</w:t>
            </w: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gridSpan w:val="2"/>
          </w:tcPr>
          <w:p>
            <w:pPr>
              <w:jc w:val="right"/>
              <w:ind w:right="160"/>
              <w:spacing w:after="0" w:line="106" w:lineRule="exact"/>
              <w:rPr>
                <w:sz w:val="20"/>
                <w:szCs w:val="20"/>
                <w:color w:val="auto"/>
              </w:rPr>
            </w:pPr>
            <w:r>
              <w:rPr>
                <w:rFonts w:ascii="Arial" w:cs="Arial" w:eastAsia="Arial" w:hAnsi="Arial"/>
                <w:sz w:val="10"/>
                <w:szCs w:val="10"/>
                <w:color w:val="auto"/>
              </w:rPr>
              <w:t>(167)</w:t>
            </w: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jc w:val="right"/>
              <w:spacing w:after="0" w:line="106" w:lineRule="exact"/>
              <w:rPr>
                <w:sz w:val="20"/>
                <w:szCs w:val="20"/>
                <w:color w:val="auto"/>
              </w:rPr>
            </w:pPr>
            <w:r>
              <w:rPr>
                <w:rFonts w:ascii="Arial" w:cs="Arial" w:eastAsia="Arial" w:hAnsi="Arial"/>
                <w:sz w:val="10"/>
                <w:szCs w:val="10"/>
                <w:color w:val="auto"/>
              </w:rPr>
              <w:t>—</w:t>
            </w:r>
          </w:p>
        </w:tc>
      </w:tr>
      <w:tr>
        <w:trPr>
          <w:trHeight w:val="106"/>
        </w:trPr>
        <w:tc>
          <w:tcPr>
            <w:tcW w:w="3420" w:type="dxa"/>
            <w:vAlign w:val="bottom"/>
            <w:shd w:val="clear" w:color="auto" w:fill="CCEEFF"/>
          </w:tcPr>
          <w:p>
            <w:pPr>
              <w:spacing w:after="0" w:line="106" w:lineRule="exact"/>
              <w:rPr>
                <w:sz w:val="20"/>
                <w:szCs w:val="20"/>
                <w:color w:val="auto"/>
              </w:rPr>
            </w:pPr>
            <w:r>
              <w:rPr>
                <w:rFonts w:ascii="Arial" w:cs="Arial" w:eastAsia="Arial" w:hAnsi="Arial"/>
                <w:sz w:val="10"/>
                <w:szCs w:val="10"/>
                <w:color w:val="auto"/>
              </w:rPr>
              <w:t>Repurchase of 860,669 shares</w:t>
            </w:r>
          </w:p>
        </w:tc>
        <w:tc>
          <w:tcPr>
            <w:tcW w:w="14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180"/>
              <w:spacing w:after="0" w:line="106" w:lineRule="exact"/>
              <w:rPr>
                <w:sz w:val="20"/>
                <w:szCs w:val="20"/>
                <w:color w:val="auto"/>
              </w:rPr>
            </w:pPr>
            <w:r>
              <w:rPr>
                <w:rFonts w:ascii="Arial" w:cs="Arial" w:eastAsia="Arial" w:hAnsi="Arial"/>
                <w:sz w:val="10"/>
                <w:szCs w:val="10"/>
                <w:color w:val="auto"/>
              </w:rPr>
              <w:t>(861)</w:t>
            </w:r>
          </w:p>
        </w:tc>
        <w:tc>
          <w:tcPr>
            <w:tcW w:w="12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0" w:type="dxa"/>
            <w:vAlign w:val="bottom"/>
            <w:gridSpan w:val="2"/>
            <w:shd w:val="clear" w:color="auto" w:fill="CCEEFF"/>
          </w:tcPr>
          <w:p>
            <w:pPr>
              <w:jc w:val="right"/>
              <w:ind w:right="160"/>
              <w:spacing w:after="0" w:line="106" w:lineRule="exact"/>
              <w:rPr>
                <w:sz w:val="20"/>
                <w:szCs w:val="20"/>
                <w:color w:val="auto"/>
              </w:rPr>
            </w:pPr>
            <w:r>
              <w:rPr>
                <w:rFonts w:ascii="Arial" w:cs="Arial" w:eastAsia="Arial" w:hAnsi="Arial"/>
                <w:sz w:val="10"/>
                <w:szCs w:val="10"/>
                <w:color w:val="auto"/>
              </w:rPr>
              <w:t>(23,768)</w:t>
            </w:r>
          </w:p>
        </w:tc>
        <w:tc>
          <w:tcPr>
            <w:tcW w:w="8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8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(24,629)</w:t>
            </w:r>
          </w:p>
        </w:tc>
      </w:tr>
      <w:tr>
        <w:trPr>
          <w:trHeight w:val="106"/>
        </w:trPr>
        <w:tc>
          <w:tcPr>
            <w:tcW w:w="3420" w:type="dxa"/>
            <w:vAlign w:val="bottom"/>
          </w:tcPr>
          <w:p>
            <w:pPr>
              <w:spacing w:after="0" w:line="106" w:lineRule="exact"/>
              <w:rPr>
                <w:sz w:val="20"/>
                <w:szCs w:val="20"/>
                <w:color w:val="auto"/>
              </w:rPr>
            </w:pPr>
            <w:r>
              <w:rPr>
                <w:rFonts w:ascii="Arial" w:cs="Arial" w:eastAsia="Arial" w:hAnsi="Arial"/>
                <w:sz w:val="10"/>
                <w:szCs w:val="10"/>
                <w:color w:val="auto"/>
              </w:rPr>
              <w:t>Expense associated with share-based compensation arrangements</w:t>
            </w: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jc w:val="right"/>
              <w:spacing w:after="0" w:line="106" w:lineRule="exact"/>
              <w:rPr>
                <w:sz w:val="20"/>
                <w:szCs w:val="20"/>
                <w:color w:val="auto"/>
              </w:rPr>
            </w:pPr>
            <w:r>
              <w:rPr>
                <w:rFonts w:ascii="Arial" w:cs="Arial" w:eastAsia="Arial" w:hAnsi="Arial"/>
                <w:sz w:val="10"/>
                <w:szCs w:val="10"/>
                <w:color w:val="auto"/>
              </w:rPr>
              <w:t>3,379</w:t>
            </w: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jc w:val="right"/>
              <w:spacing w:after="0" w:line="106" w:lineRule="exact"/>
              <w:rPr>
                <w:sz w:val="20"/>
                <w:szCs w:val="20"/>
                <w:color w:val="auto"/>
              </w:rPr>
            </w:pPr>
            <w:r>
              <w:rPr>
                <w:rFonts w:ascii="Arial" w:cs="Arial" w:eastAsia="Arial" w:hAnsi="Arial"/>
                <w:sz w:val="10"/>
                <w:szCs w:val="10"/>
                <w:color w:val="auto"/>
              </w:rPr>
              <w:t>3,379</w:t>
            </w:r>
          </w:p>
        </w:tc>
      </w:tr>
      <w:tr>
        <w:trPr>
          <w:trHeight w:val="126"/>
        </w:trPr>
        <w:tc>
          <w:tcPr>
            <w:tcW w:w="3420" w:type="dxa"/>
            <w:vAlign w:val="bottom"/>
            <w:tcBorders>
              <w:bottom w:val="single" w:sz="8" w:color="CCEEFF"/>
            </w:tcBorders>
            <w:shd w:val="clear" w:color="auto" w:fill="CCEEFF"/>
          </w:tcPr>
          <w:p>
            <w:pPr>
              <w:spacing w:after="0" w:line="106" w:lineRule="exact"/>
              <w:rPr>
                <w:sz w:val="20"/>
                <w:szCs w:val="20"/>
                <w:color w:val="auto"/>
              </w:rPr>
            </w:pPr>
            <w:r>
              <w:rPr>
                <w:rFonts w:ascii="Arial" w:cs="Arial" w:eastAsia="Arial" w:hAnsi="Arial"/>
                <w:sz w:val="10"/>
                <w:szCs w:val="10"/>
                <w:color w:val="auto"/>
              </w:rPr>
              <w:t>Accrued expense under deferred compensation plans</w:t>
            </w:r>
          </w:p>
        </w:tc>
        <w:tc>
          <w:tcPr>
            <w:tcW w:w="140" w:type="dxa"/>
            <w:vAlign w:val="bottom"/>
            <w:tcBorders>
              <w:bottom w:val="single" w:sz="8" w:color="auto"/>
            </w:tcBorders>
            <w:shd w:val="clear" w:color="auto" w:fill="CCEEFF"/>
          </w:tcPr>
          <w:p>
            <w:pPr>
              <w:spacing w:after="0"/>
              <w:rPr>
                <w:sz w:val="10"/>
                <w:szCs w:val="10"/>
                <w:color w:val="auto"/>
              </w:rPr>
            </w:pPr>
          </w:p>
        </w:tc>
        <w:tc>
          <w:tcPr>
            <w:tcW w:w="640" w:type="dxa"/>
            <w:vAlign w:val="bottom"/>
            <w:tcBorders>
              <w:bottom w:val="single" w:sz="8" w:color="auto"/>
            </w:tcBorders>
            <w:shd w:val="clear" w:color="auto" w:fill="CCEEFF"/>
          </w:tcPr>
          <w:p>
            <w:pPr>
              <w:spacing w:after="0"/>
              <w:rPr>
                <w:sz w:val="10"/>
                <w:szCs w:val="10"/>
                <w:color w:val="auto"/>
              </w:rPr>
            </w:pPr>
          </w:p>
        </w:tc>
        <w:tc>
          <w:tcPr>
            <w:tcW w:w="18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660" w:type="dxa"/>
            <w:vAlign w:val="bottom"/>
            <w:tcBorders>
              <w:bottom w:val="single" w:sz="8" w:color="auto"/>
            </w:tcBorders>
            <w:shd w:val="clear" w:color="auto" w:fill="CCEEFF"/>
          </w:tcPr>
          <w:p>
            <w:pPr>
              <w:jc w:val="right"/>
              <w:spacing w:after="0" w:line="106" w:lineRule="exact"/>
              <w:rPr>
                <w:sz w:val="20"/>
                <w:szCs w:val="20"/>
                <w:color w:val="auto"/>
              </w:rPr>
            </w:pPr>
            <w:r>
              <w:rPr>
                <w:rFonts w:ascii="Arial" w:cs="Arial" w:eastAsia="Arial" w:hAnsi="Arial"/>
                <w:sz w:val="10"/>
                <w:szCs w:val="10"/>
                <w:color w:val="auto"/>
              </w:rPr>
              <w:t>7,585</w:t>
            </w:r>
          </w:p>
        </w:tc>
        <w:tc>
          <w:tcPr>
            <w:tcW w:w="16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640" w:type="dxa"/>
            <w:vAlign w:val="bottom"/>
            <w:tcBorders>
              <w:bottom w:val="single" w:sz="8" w:color="auto"/>
            </w:tcBorders>
            <w:shd w:val="clear" w:color="auto" w:fill="CCEEFF"/>
          </w:tcPr>
          <w:p>
            <w:pPr>
              <w:spacing w:after="0"/>
              <w:rPr>
                <w:sz w:val="10"/>
                <w:szCs w:val="10"/>
                <w:color w:val="auto"/>
              </w:rPr>
            </w:pPr>
          </w:p>
        </w:tc>
        <w:tc>
          <w:tcPr>
            <w:tcW w:w="16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spacing w:after="0"/>
              <w:rPr>
                <w:sz w:val="10"/>
                <w:szCs w:val="10"/>
                <w:color w:val="auto"/>
              </w:rPr>
            </w:pPr>
          </w:p>
        </w:tc>
        <w:tc>
          <w:tcPr>
            <w:tcW w:w="700" w:type="dxa"/>
            <w:vAlign w:val="bottom"/>
            <w:tcBorders>
              <w:bottom w:val="single" w:sz="8" w:color="auto"/>
            </w:tcBorders>
            <w:shd w:val="clear" w:color="auto" w:fill="CCEEFF"/>
          </w:tcPr>
          <w:p>
            <w:pPr>
              <w:spacing w:after="0"/>
              <w:rPr>
                <w:sz w:val="10"/>
                <w:szCs w:val="10"/>
                <w:color w:val="auto"/>
              </w:rPr>
            </w:pPr>
          </w:p>
        </w:tc>
        <w:tc>
          <w:tcPr>
            <w:tcW w:w="16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spacing w:after="0"/>
              <w:rPr>
                <w:sz w:val="10"/>
                <w:szCs w:val="10"/>
                <w:color w:val="auto"/>
              </w:rPr>
            </w:pPr>
          </w:p>
        </w:tc>
        <w:tc>
          <w:tcPr>
            <w:tcW w:w="680" w:type="dxa"/>
            <w:vAlign w:val="bottom"/>
            <w:tcBorders>
              <w:bottom w:val="single" w:sz="8" w:color="auto"/>
            </w:tcBorders>
            <w:shd w:val="clear" w:color="auto" w:fill="CCEEFF"/>
          </w:tcPr>
          <w:p>
            <w:pPr>
              <w:spacing w:after="0"/>
              <w:rPr>
                <w:sz w:val="10"/>
                <w:szCs w:val="10"/>
                <w:color w:val="auto"/>
              </w:rPr>
            </w:pPr>
          </w:p>
        </w:tc>
        <w:tc>
          <w:tcPr>
            <w:tcW w:w="160" w:type="dxa"/>
            <w:vAlign w:val="bottom"/>
            <w:tcBorders>
              <w:bottom w:val="single" w:sz="8" w:color="CCEEFF"/>
            </w:tcBorders>
            <w:shd w:val="clear" w:color="auto" w:fill="CCEEFF"/>
          </w:tcPr>
          <w:p>
            <w:pPr>
              <w:spacing w:after="0"/>
              <w:rPr>
                <w:sz w:val="10"/>
                <w:szCs w:val="10"/>
                <w:color w:val="auto"/>
              </w:rPr>
            </w:pPr>
          </w:p>
        </w:tc>
        <w:tc>
          <w:tcPr>
            <w:tcW w:w="220" w:type="dxa"/>
            <w:vAlign w:val="bottom"/>
            <w:tcBorders>
              <w:bottom w:val="single" w:sz="8" w:color="auto"/>
            </w:tcBorders>
            <w:shd w:val="clear" w:color="auto" w:fill="CCEEFF"/>
          </w:tcPr>
          <w:p>
            <w:pPr>
              <w:spacing w:after="0"/>
              <w:rPr>
                <w:sz w:val="10"/>
                <w:szCs w:val="10"/>
                <w:color w:val="auto"/>
              </w:rPr>
            </w:pPr>
          </w:p>
        </w:tc>
        <w:tc>
          <w:tcPr>
            <w:tcW w:w="780" w:type="dxa"/>
            <w:vAlign w:val="bottom"/>
            <w:tcBorders>
              <w:bottom w:val="single" w:sz="8" w:color="auto"/>
            </w:tcBorders>
            <w:shd w:val="clear" w:color="auto" w:fill="CCEEFF"/>
          </w:tcPr>
          <w:p>
            <w:pPr>
              <w:jc w:val="right"/>
              <w:spacing w:after="0" w:line="106" w:lineRule="exact"/>
              <w:rPr>
                <w:sz w:val="20"/>
                <w:szCs w:val="20"/>
                <w:color w:val="auto"/>
              </w:rPr>
            </w:pPr>
            <w:r>
              <w:rPr>
                <w:rFonts w:ascii="Arial" w:cs="Arial" w:eastAsia="Arial" w:hAnsi="Arial"/>
                <w:sz w:val="10"/>
                <w:szCs w:val="10"/>
                <w:color w:val="auto"/>
              </w:rPr>
              <w:t>7,585</w:t>
            </w:r>
          </w:p>
        </w:tc>
      </w:tr>
      <w:tr>
        <w:trPr>
          <w:trHeight w:val="89"/>
        </w:trPr>
        <w:tc>
          <w:tcPr>
            <w:tcW w:w="3420" w:type="dxa"/>
            <w:vAlign w:val="bottom"/>
          </w:tcPr>
          <w:p>
            <w:pPr>
              <w:spacing w:after="0" w:line="88" w:lineRule="exact"/>
              <w:rPr>
                <w:sz w:val="20"/>
                <w:szCs w:val="20"/>
                <w:color w:val="auto"/>
              </w:rPr>
            </w:pPr>
            <w:r>
              <w:rPr>
                <w:rFonts w:ascii="Arial" w:cs="Arial" w:eastAsia="Arial" w:hAnsi="Arial"/>
                <w:sz w:val="10"/>
                <w:szCs w:val="10"/>
                <w:b w:val="1"/>
                <w:bCs w:val="1"/>
                <w:color w:val="auto"/>
              </w:rPr>
              <w:t>Balance at December 29, 2018</w:t>
            </w:r>
          </w:p>
        </w:tc>
        <w:tc>
          <w:tcPr>
            <w:tcW w:w="140" w:type="dxa"/>
            <w:vAlign w:val="bottom"/>
            <w:tcBorders>
              <w:bottom w:val="single" w:sz="8" w:color="auto"/>
            </w:tcBorders>
          </w:tcPr>
          <w:p>
            <w:pPr>
              <w:jc w:val="right"/>
              <w:ind w:right="30"/>
              <w:spacing w:after="0" w:line="88" w:lineRule="exact"/>
              <w:rPr>
                <w:sz w:val="20"/>
                <w:szCs w:val="20"/>
                <w:color w:val="auto"/>
              </w:rPr>
            </w:pPr>
            <w:r>
              <w:rPr>
                <w:rFonts w:ascii="Arial" w:cs="Arial" w:eastAsia="Arial" w:hAnsi="Arial"/>
                <w:sz w:val="10"/>
                <w:szCs w:val="10"/>
                <w:b w:val="1"/>
                <w:bCs w:val="1"/>
                <w:color w:val="auto"/>
                <w:w w:val="71"/>
              </w:rPr>
              <w:t>$</w:t>
            </w:r>
          </w:p>
        </w:tc>
        <w:tc>
          <w:tcPr>
            <w:tcW w:w="640" w:type="dxa"/>
            <w:vAlign w:val="bottom"/>
            <w:tcBorders>
              <w:bottom w:val="single" w:sz="8" w:color="auto"/>
            </w:tcBorders>
          </w:tcPr>
          <w:p>
            <w:pPr>
              <w:jc w:val="right"/>
              <w:spacing w:after="0" w:line="88" w:lineRule="exact"/>
              <w:rPr>
                <w:sz w:val="20"/>
                <w:szCs w:val="20"/>
                <w:color w:val="auto"/>
              </w:rPr>
            </w:pPr>
            <w:r>
              <w:rPr>
                <w:rFonts w:ascii="Arial" w:cs="Arial" w:eastAsia="Arial" w:hAnsi="Arial"/>
                <w:sz w:val="10"/>
                <w:szCs w:val="10"/>
                <w:b w:val="1"/>
                <w:bCs w:val="1"/>
                <w:color w:val="auto"/>
              </w:rPr>
              <w:t>60,884</w:t>
            </w:r>
          </w:p>
        </w:tc>
        <w:tc>
          <w:tcPr>
            <w:tcW w:w="180" w:type="dxa"/>
            <w:vAlign w:val="bottom"/>
          </w:tcPr>
          <w:p>
            <w:pPr>
              <w:spacing w:after="0"/>
              <w:rPr>
                <w:sz w:val="7"/>
                <w:szCs w:val="7"/>
                <w:color w:val="auto"/>
              </w:rPr>
            </w:pPr>
          </w:p>
        </w:tc>
        <w:tc>
          <w:tcPr>
            <w:tcW w:w="120" w:type="dxa"/>
            <w:vAlign w:val="bottom"/>
            <w:tcBorders>
              <w:bottom w:val="single" w:sz="8" w:color="auto"/>
            </w:tcBorders>
          </w:tcPr>
          <w:p>
            <w:pPr>
              <w:jc w:val="right"/>
              <w:ind w:right="55"/>
              <w:spacing w:after="0"/>
              <w:rPr>
                <w:sz w:val="20"/>
                <w:szCs w:val="20"/>
                <w:color w:val="auto"/>
              </w:rPr>
            </w:pPr>
            <w:r>
              <w:rPr>
                <w:rFonts w:ascii="Arial" w:cs="Arial" w:eastAsia="Arial" w:hAnsi="Arial"/>
                <w:sz w:val="5"/>
                <w:szCs w:val="5"/>
                <w:b w:val="1"/>
                <w:bCs w:val="1"/>
                <w:color w:val="auto"/>
                <w:w w:val="70"/>
              </w:rPr>
              <w:t>$</w:t>
            </w:r>
          </w:p>
        </w:tc>
        <w:tc>
          <w:tcPr>
            <w:tcW w:w="660" w:type="dxa"/>
            <w:vAlign w:val="bottom"/>
            <w:tcBorders>
              <w:bottom w:val="single" w:sz="8" w:color="auto"/>
            </w:tcBorders>
          </w:tcPr>
          <w:p>
            <w:pPr>
              <w:jc w:val="right"/>
              <w:spacing w:after="0" w:line="88" w:lineRule="exact"/>
              <w:rPr>
                <w:sz w:val="20"/>
                <w:szCs w:val="20"/>
                <w:color w:val="auto"/>
              </w:rPr>
            </w:pPr>
            <w:r>
              <w:rPr>
                <w:rFonts w:ascii="Arial" w:cs="Arial" w:eastAsia="Arial" w:hAnsi="Arial"/>
                <w:sz w:val="10"/>
                <w:szCs w:val="10"/>
                <w:b w:val="1"/>
                <w:bCs w:val="1"/>
                <w:color w:val="auto"/>
              </w:rPr>
              <w:t>178,540</w:t>
            </w:r>
          </w:p>
        </w:tc>
        <w:tc>
          <w:tcPr>
            <w:tcW w:w="160" w:type="dxa"/>
            <w:vAlign w:val="bottom"/>
          </w:tcPr>
          <w:p>
            <w:pPr>
              <w:spacing w:after="0"/>
              <w:rPr>
                <w:sz w:val="7"/>
                <w:szCs w:val="7"/>
                <w:color w:val="auto"/>
              </w:rPr>
            </w:pPr>
          </w:p>
        </w:tc>
        <w:tc>
          <w:tcPr>
            <w:tcW w:w="120" w:type="dxa"/>
            <w:vAlign w:val="bottom"/>
            <w:tcBorders>
              <w:bottom w:val="single" w:sz="8" w:color="auto"/>
            </w:tcBorders>
          </w:tcPr>
          <w:p>
            <w:pPr>
              <w:jc w:val="right"/>
              <w:ind w:right="10"/>
              <w:spacing w:after="0" w:line="88" w:lineRule="exact"/>
              <w:rPr>
                <w:sz w:val="20"/>
                <w:szCs w:val="20"/>
                <w:color w:val="auto"/>
              </w:rPr>
            </w:pPr>
            <w:r>
              <w:rPr>
                <w:rFonts w:ascii="Arial" w:cs="Arial" w:eastAsia="Arial" w:hAnsi="Arial"/>
                <w:sz w:val="10"/>
                <w:szCs w:val="10"/>
                <w:b w:val="1"/>
                <w:bCs w:val="1"/>
                <w:color w:val="auto"/>
                <w:w w:val="71"/>
              </w:rPr>
              <w:t>$</w:t>
            </w:r>
          </w:p>
        </w:tc>
        <w:tc>
          <w:tcPr>
            <w:tcW w:w="640" w:type="dxa"/>
            <w:vAlign w:val="bottom"/>
            <w:tcBorders>
              <w:bottom w:val="single" w:sz="8" w:color="auto"/>
            </w:tcBorders>
          </w:tcPr>
          <w:p>
            <w:pPr>
              <w:jc w:val="right"/>
              <w:spacing w:after="0" w:line="88" w:lineRule="exact"/>
              <w:rPr>
                <w:sz w:val="20"/>
                <w:szCs w:val="20"/>
                <w:color w:val="auto"/>
              </w:rPr>
            </w:pPr>
            <w:r>
              <w:rPr>
                <w:rFonts w:ascii="Arial" w:cs="Arial" w:eastAsia="Arial" w:hAnsi="Arial"/>
                <w:sz w:val="10"/>
                <w:szCs w:val="10"/>
                <w:b w:val="1"/>
                <w:bCs w:val="1"/>
                <w:color w:val="auto"/>
              </w:rPr>
              <w:t>839,917</w:t>
            </w:r>
          </w:p>
        </w:tc>
        <w:tc>
          <w:tcPr>
            <w:tcW w:w="160" w:type="dxa"/>
            <w:vAlign w:val="bottom"/>
          </w:tcPr>
          <w:p>
            <w:pPr>
              <w:spacing w:after="0"/>
              <w:rPr>
                <w:sz w:val="7"/>
                <w:szCs w:val="7"/>
                <w:color w:val="auto"/>
              </w:rPr>
            </w:pPr>
          </w:p>
        </w:tc>
        <w:tc>
          <w:tcPr>
            <w:tcW w:w="80" w:type="dxa"/>
            <w:vAlign w:val="bottom"/>
            <w:tcBorders>
              <w:bottom w:val="single" w:sz="8" w:color="auto"/>
            </w:tcBorders>
          </w:tcPr>
          <w:p>
            <w:pPr>
              <w:jc w:val="center"/>
              <w:spacing w:after="0" w:line="88" w:lineRule="exact"/>
              <w:rPr>
                <w:sz w:val="20"/>
                <w:szCs w:val="20"/>
                <w:color w:val="auto"/>
              </w:rPr>
            </w:pPr>
            <w:r>
              <w:rPr>
                <w:rFonts w:ascii="Arial" w:cs="Arial" w:eastAsia="Arial" w:hAnsi="Arial"/>
                <w:sz w:val="10"/>
                <w:szCs w:val="10"/>
                <w:b w:val="1"/>
                <w:bCs w:val="1"/>
                <w:color w:val="auto"/>
              </w:rPr>
              <w:t>$</w:t>
            </w:r>
          </w:p>
        </w:tc>
        <w:tc>
          <w:tcPr>
            <w:tcW w:w="700" w:type="dxa"/>
            <w:vAlign w:val="bottom"/>
            <w:tcBorders>
              <w:bottom w:val="single" w:sz="8" w:color="auto"/>
            </w:tcBorders>
          </w:tcPr>
          <w:p>
            <w:pPr>
              <w:jc w:val="right"/>
              <w:spacing w:after="0" w:line="88" w:lineRule="exact"/>
              <w:rPr>
                <w:sz w:val="20"/>
                <w:szCs w:val="20"/>
                <w:color w:val="auto"/>
              </w:rPr>
            </w:pPr>
            <w:r>
              <w:rPr>
                <w:rFonts w:ascii="Arial" w:cs="Arial" w:eastAsia="Arial" w:hAnsi="Arial"/>
                <w:sz w:val="10"/>
                <w:szCs w:val="10"/>
                <w:b w:val="1"/>
                <w:bCs w:val="1"/>
                <w:color w:val="auto"/>
              </w:rPr>
              <w:t>(5,938)</w:t>
            </w:r>
          </w:p>
        </w:tc>
        <w:tc>
          <w:tcPr>
            <w:tcW w:w="160" w:type="dxa"/>
            <w:vAlign w:val="bottom"/>
          </w:tcPr>
          <w:p>
            <w:pPr>
              <w:spacing w:after="0"/>
              <w:rPr>
                <w:sz w:val="7"/>
                <w:szCs w:val="7"/>
                <w:color w:val="auto"/>
              </w:rPr>
            </w:pPr>
          </w:p>
        </w:tc>
        <w:tc>
          <w:tcPr>
            <w:tcW w:w="80" w:type="dxa"/>
            <w:vAlign w:val="bottom"/>
            <w:tcBorders>
              <w:bottom w:val="single" w:sz="8" w:color="auto"/>
            </w:tcBorders>
          </w:tcPr>
          <w:p>
            <w:pPr>
              <w:jc w:val="right"/>
              <w:ind w:right="15"/>
              <w:spacing w:after="0"/>
              <w:rPr>
                <w:sz w:val="20"/>
                <w:szCs w:val="20"/>
                <w:color w:val="auto"/>
              </w:rPr>
            </w:pPr>
            <w:r>
              <w:rPr>
                <w:rFonts w:ascii="Arial" w:cs="Arial" w:eastAsia="Arial" w:hAnsi="Arial"/>
                <w:sz w:val="5"/>
                <w:szCs w:val="5"/>
                <w:b w:val="1"/>
                <w:bCs w:val="1"/>
                <w:color w:val="auto"/>
                <w:w w:val="70"/>
              </w:rPr>
              <w:t>$</w:t>
            </w:r>
          </w:p>
        </w:tc>
        <w:tc>
          <w:tcPr>
            <w:tcW w:w="680" w:type="dxa"/>
            <w:vAlign w:val="bottom"/>
            <w:tcBorders>
              <w:bottom w:val="single" w:sz="8" w:color="auto"/>
            </w:tcBorders>
          </w:tcPr>
          <w:p>
            <w:pPr>
              <w:jc w:val="right"/>
              <w:spacing w:after="0" w:line="88" w:lineRule="exact"/>
              <w:rPr>
                <w:sz w:val="20"/>
                <w:szCs w:val="20"/>
                <w:color w:val="auto"/>
              </w:rPr>
            </w:pPr>
            <w:r>
              <w:rPr>
                <w:rFonts w:ascii="Arial" w:cs="Arial" w:eastAsia="Arial" w:hAnsi="Arial"/>
                <w:sz w:val="10"/>
                <w:szCs w:val="10"/>
                <w:b w:val="1"/>
                <w:bCs w:val="1"/>
                <w:color w:val="auto"/>
              </w:rPr>
              <w:t>15,281</w:t>
            </w:r>
          </w:p>
        </w:tc>
        <w:tc>
          <w:tcPr>
            <w:tcW w:w="160" w:type="dxa"/>
            <w:vAlign w:val="bottom"/>
          </w:tcPr>
          <w:p>
            <w:pPr>
              <w:spacing w:after="0"/>
              <w:rPr>
                <w:sz w:val="7"/>
                <w:szCs w:val="7"/>
                <w:color w:val="auto"/>
              </w:rPr>
            </w:pPr>
          </w:p>
        </w:tc>
        <w:tc>
          <w:tcPr>
            <w:tcW w:w="220" w:type="dxa"/>
            <w:vAlign w:val="bottom"/>
            <w:tcBorders>
              <w:bottom w:val="single" w:sz="8" w:color="auto"/>
            </w:tcBorders>
          </w:tcPr>
          <w:p>
            <w:pPr>
              <w:jc w:val="right"/>
              <w:ind w:right="155"/>
              <w:spacing w:after="0"/>
              <w:rPr>
                <w:sz w:val="20"/>
                <w:szCs w:val="20"/>
                <w:color w:val="auto"/>
              </w:rPr>
            </w:pPr>
            <w:r>
              <w:rPr>
                <w:rFonts w:ascii="Arial" w:cs="Arial" w:eastAsia="Arial" w:hAnsi="Arial"/>
                <w:sz w:val="5"/>
                <w:szCs w:val="5"/>
                <w:b w:val="1"/>
                <w:bCs w:val="1"/>
                <w:color w:val="auto"/>
                <w:w w:val="70"/>
              </w:rPr>
              <w:t>$</w:t>
            </w:r>
          </w:p>
        </w:tc>
        <w:tc>
          <w:tcPr>
            <w:tcW w:w="780" w:type="dxa"/>
            <w:vAlign w:val="bottom"/>
            <w:tcBorders>
              <w:bottom w:val="single" w:sz="8" w:color="auto"/>
            </w:tcBorders>
          </w:tcPr>
          <w:p>
            <w:pPr>
              <w:jc w:val="right"/>
              <w:spacing w:after="0" w:line="88" w:lineRule="exact"/>
              <w:rPr>
                <w:sz w:val="20"/>
                <w:szCs w:val="20"/>
                <w:color w:val="auto"/>
              </w:rPr>
            </w:pPr>
            <w:r>
              <w:rPr>
                <w:rFonts w:ascii="Arial" w:cs="Arial" w:eastAsia="Arial" w:hAnsi="Arial"/>
                <w:sz w:val="10"/>
                <w:szCs w:val="10"/>
                <w:b w:val="1"/>
                <w:bCs w:val="1"/>
                <w:color w:val="auto"/>
              </w:rPr>
              <w:t>1,088,684</w:t>
            </w:r>
          </w:p>
        </w:tc>
      </w:tr>
    </w:tbl>
    <w:p>
      <w:pPr>
        <w:spacing w:after="0" w:line="159" w:lineRule="exact"/>
        <w:rPr>
          <w:sz w:val="20"/>
          <w:szCs w:val="20"/>
          <w:color w:val="auto"/>
        </w:rPr>
      </w:pPr>
    </w:p>
    <w:p>
      <w:pPr>
        <w:ind w:left="520"/>
        <w:spacing w:after="0"/>
        <w:rPr>
          <w:sz w:val="20"/>
          <w:szCs w:val="20"/>
          <w:color w:val="auto"/>
        </w:rPr>
      </w:pPr>
      <w:r>
        <w:rPr>
          <w:rFonts w:ascii="Arial" w:cs="Arial" w:eastAsia="Arial" w:hAnsi="Arial"/>
          <w:sz w:val="14"/>
          <w:szCs w:val="14"/>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66675</wp:posOffset>
            </wp:positionV>
            <wp:extent cx="5779135" cy="2032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7">
                      <a:extLst>
                        <a:ext uri="{28A0092B-C50C-407E-A947-70E740481C1C}"/>
                      </a:extLst>
                    </a:blip>
                    <a:srcRect/>
                    <a:stretch>
                      <a:fillRect/>
                    </a:stretch>
                  </pic:blipFill>
                  <pic:spPr bwMode="auto">
                    <a:xfrm>
                      <a:off x="0" y="0"/>
                      <a:ext cx="5779135" cy="20320"/>
                    </a:xfrm>
                    <a:prstGeom prst="rect">
                      <a:avLst/>
                    </a:prstGeom>
                    <a:noFill/>
                  </pic:spPr>
                </pic:pic>
              </a:graphicData>
            </a:graphic>
          </wp:anchor>
        </w:drawing>
      </w:r>
    </w:p>
    <w:p>
      <w:pPr>
        <w:sectPr>
          <w:pgSz w:w="11900" w:h="16838" w:orient="portrait"/>
          <w:cols w:equalWidth="0" w:num="1">
            <w:col w:w="9100"/>
          </w:cols>
          <w:pgMar w:left="1400" w:top="129" w:right="1399" w:bottom="1440" w:gutter="0" w:footer="0" w:header="0"/>
        </w:sectPr>
      </w:pPr>
    </w:p>
    <w:bookmarkStart w:id="73" w:name="page74"/>
    <w:bookmarkEnd w:id="73"/>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90"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UNIVERSAL FOREST PRODUCTS, INC.</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CONSOLIDATED STATEMENTS OF CASH FLOWS</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5600" w:type="dxa"/>
            <w:vAlign w:val="bottom"/>
            <w:gridSpan w:val="2"/>
          </w:tcPr>
          <w:p>
            <w:pPr>
              <w:spacing w:after="0"/>
              <w:rPr>
                <w:sz w:val="20"/>
                <w:szCs w:val="20"/>
                <w:color w:val="auto"/>
              </w:rPr>
            </w:pPr>
            <w:r>
              <w:rPr>
                <w:rFonts w:ascii="Arial" w:cs="Arial" w:eastAsia="Arial" w:hAnsi="Arial"/>
                <w:sz w:val="11"/>
                <w:szCs w:val="11"/>
                <w:b w:val="1"/>
                <w:bCs w:val="1"/>
                <w:color w:val="auto"/>
              </w:rPr>
              <w:t>(in thousands)</w:t>
            </w:r>
          </w:p>
        </w:tc>
        <w:tc>
          <w:tcPr>
            <w:tcW w:w="1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center"/>
              <w:ind w:right="64"/>
              <w:spacing w:after="0"/>
              <w:rPr>
                <w:sz w:val="20"/>
                <w:szCs w:val="20"/>
                <w:color w:val="auto"/>
              </w:rPr>
            </w:pPr>
            <w:r>
              <w:rPr>
                <w:rFonts w:ascii="Arial" w:cs="Arial" w:eastAsia="Arial" w:hAnsi="Arial"/>
                <w:sz w:val="11"/>
                <w:szCs w:val="11"/>
                <w:b w:val="1"/>
                <w:bCs w:val="1"/>
                <w:color w:val="auto"/>
                <w:w w:val="95"/>
              </w:rPr>
              <w:t>Year Ended</w:t>
            </w:r>
          </w:p>
        </w:tc>
        <w:tc>
          <w:tcPr>
            <w:tcW w:w="2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55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60" w:type="dxa"/>
            <w:vAlign w:val="bottom"/>
          </w:tcPr>
          <w:p>
            <w:pPr>
              <w:jc w:val="right"/>
              <w:ind w:right="104"/>
              <w:spacing w:after="0" w:line="91" w:lineRule="exact"/>
              <w:rPr>
                <w:sz w:val="20"/>
                <w:szCs w:val="20"/>
                <w:color w:val="auto"/>
              </w:rPr>
            </w:pPr>
            <w:r>
              <w:rPr>
                <w:rFonts w:ascii="Arial" w:cs="Arial" w:eastAsia="Arial" w:hAnsi="Arial"/>
                <w:sz w:val="10"/>
                <w:szCs w:val="10"/>
                <w:b w:val="1"/>
                <w:bCs w:val="1"/>
                <w:color w:val="auto"/>
              </w:rPr>
              <w:t>December 29,</w:t>
            </w: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60" w:type="dxa"/>
            <w:vAlign w:val="bottom"/>
          </w:tcPr>
          <w:p>
            <w:pPr>
              <w:jc w:val="center"/>
              <w:ind w:right="64"/>
              <w:spacing w:after="0" w:line="91" w:lineRule="exact"/>
              <w:rPr>
                <w:sz w:val="20"/>
                <w:szCs w:val="20"/>
                <w:color w:val="auto"/>
              </w:rPr>
            </w:pPr>
            <w:r>
              <w:rPr>
                <w:rFonts w:ascii="Arial" w:cs="Arial" w:eastAsia="Arial" w:hAnsi="Arial"/>
                <w:sz w:val="10"/>
                <w:szCs w:val="10"/>
                <w:b w:val="1"/>
                <w:bCs w:val="1"/>
                <w:color w:val="auto"/>
              </w:rPr>
              <w:t>December 30,</w:t>
            </w: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60" w:type="dxa"/>
            <w:vAlign w:val="bottom"/>
          </w:tcPr>
          <w:p>
            <w:pPr>
              <w:jc w:val="right"/>
              <w:ind w:right="104"/>
              <w:spacing w:after="0" w:line="91" w:lineRule="exact"/>
              <w:rPr>
                <w:sz w:val="20"/>
                <w:szCs w:val="20"/>
                <w:color w:val="auto"/>
              </w:rPr>
            </w:pPr>
            <w:r>
              <w:rPr>
                <w:rFonts w:ascii="Arial" w:cs="Arial" w:eastAsia="Arial" w:hAnsi="Arial"/>
                <w:sz w:val="10"/>
                <w:szCs w:val="10"/>
                <w:b w:val="1"/>
                <w:bCs w:val="1"/>
                <w:color w:val="auto"/>
              </w:rPr>
              <w:t>December 31,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580" w:type="dxa"/>
            <w:vAlign w:val="bottom"/>
            <w:tcBorders>
              <w:bottom w:val="single" w:sz="8" w:color="CCEEFF"/>
            </w:tcBorders>
          </w:tcPr>
          <w:p>
            <w:pPr>
              <w:spacing w:after="0"/>
              <w:rPr>
                <w:sz w:val="11"/>
                <w:szCs w:val="11"/>
                <w:color w:val="auto"/>
              </w:rPr>
            </w:pPr>
          </w:p>
        </w:tc>
        <w:tc>
          <w:tcPr>
            <w:tcW w:w="120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ind w:right="304"/>
              <w:spacing w:after="0"/>
              <w:rPr>
                <w:sz w:val="20"/>
                <w:szCs w:val="20"/>
                <w:color w:val="auto"/>
              </w:rPr>
            </w:pPr>
            <w:r>
              <w:rPr>
                <w:rFonts w:ascii="Arial" w:cs="Arial" w:eastAsia="Arial" w:hAnsi="Arial"/>
                <w:sz w:val="11"/>
                <w:szCs w:val="11"/>
                <w:b w:val="1"/>
                <w:bCs w:val="1"/>
                <w:color w:val="auto"/>
              </w:rPr>
              <w:t>2018</w:t>
            </w:r>
          </w:p>
        </w:tc>
        <w:tc>
          <w:tcPr>
            <w:tcW w:w="22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center"/>
              <w:ind w:right="44"/>
              <w:spacing w:after="0"/>
              <w:rPr>
                <w:sz w:val="20"/>
                <w:szCs w:val="20"/>
                <w:color w:val="auto"/>
              </w:rPr>
            </w:pPr>
            <w:r>
              <w:rPr>
                <w:rFonts w:ascii="Arial" w:cs="Arial" w:eastAsia="Arial" w:hAnsi="Arial"/>
                <w:sz w:val="11"/>
                <w:szCs w:val="11"/>
                <w:b w:val="1"/>
                <w:bCs w:val="1"/>
                <w:color w:val="auto"/>
                <w:w w:val="97"/>
              </w:rPr>
              <w:t>2017</w:t>
            </w:r>
          </w:p>
        </w:tc>
        <w:tc>
          <w:tcPr>
            <w:tcW w:w="22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ind w:right="324"/>
              <w:spacing w:after="0"/>
              <w:rPr>
                <w:sz w:val="20"/>
                <w:szCs w:val="20"/>
                <w:color w:val="auto"/>
              </w:rPr>
            </w:pPr>
            <w:r>
              <w:rPr>
                <w:rFonts w:ascii="Arial" w:cs="Arial" w:eastAsia="Arial" w:hAnsi="Arial"/>
                <w:sz w:val="11"/>
                <w:szCs w:val="11"/>
                <w:b w:val="1"/>
                <w:bCs w:val="1"/>
                <w:color w:val="auto"/>
              </w:rPr>
              <w:t>2016</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580" w:type="dxa"/>
            <w:vAlign w:val="bottom"/>
            <w:shd w:val="clear" w:color="auto" w:fill="CCEEFF"/>
          </w:tcPr>
          <w:p>
            <w:pPr>
              <w:spacing w:after="0" w:line="117" w:lineRule="exact"/>
              <w:rPr>
                <w:sz w:val="20"/>
                <w:szCs w:val="20"/>
                <w:color w:val="auto"/>
              </w:rPr>
            </w:pPr>
            <w:r>
              <w:rPr>
                <w:rFonts w:ascii="Arial" w:cs="Arial" w:eastAsia="Arial" w:hAnsi="Arial"/>
                <w:sz w:val="11"/>
                <w:szCs w:val="11"/>
                <w:color w:val="auto"/>
              </w:rPr>
              <w:t>CASH FLOWS FROM OPERATING ACTIVITIES:</w:t>
            </w:r>
          </w:p>
        </w:tc>
        <w:tc>
          <w:tcPr>
            <w:tcW w:w="1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580" w:type="dxa"/>
            <w:vAlign w:val="bottom"/>
          </w:tcPr>
          <w:p>
            <w:pPr>
              <w:spacing w:after="0" w:line="117" w:lineRule="exact"/>
              <w:rPr>
                <w:sz w:val="20"/>
                <w:szCs w:val="20"/>
                <w:color w:val="auto"/>
              </w:rPr>
            </w:pPr>
            <w:r>
              <w:rPr>
                <w:rFonts w:ascii="Arial" w:cs="Arial" w:eastAsia="Arial" w:hAnsi="Arial"/>
                <w:sz w:val="11"/>
                <w:szCs w:val="11"/>
                <w:color w:val="auto"/>
              </w:rPr>
              <w:t>Net earnings</w:t>
            </w:r>
          </w:p>
        </w:tc>
        <w:tc>
          <w:tcPr>
            <w:tcW w:w="1300" w:type="dxa"/>
            <w:vAlign w:val="bottom"/>
            <w:gridSpan w:val="2"/>
          </w:tcPr>
          <w:p>
            <w:pPr>
              <w:jc w:val="right"/>
              <w:spacing w:after="0" w:line="117" w:lineRule="exact"/>
              <w:rPr>
                <w:sz w:val="20"/>
                <w:szCs w:val="20"/>
                <w:color w:val="auto"/>
              </w:rPr>
            </w:pPr>
            <w:r>
              <w:rPr>
                <w:rFonts w:ascii="Arial" w:cs="Arial" w:eastAsia="Arial" w:hAnsi="Arial"/>
                <w:sz w:val="11"/>
                <w:szCs w:val="11"/>
                <w:color w:val="auto"/>
              </w:rPr>
              <w:t>$</w:t>
            </w:r>
          </w:p>
        </w:tc>
        <w:tc>
          <w:tcPr>
            <w:tcW w:w="860" w:type="dxa"/>
            <w:vAlign w:val="bottom"/>
          </w:tcPr>
          <w:p>
            <w:pPr>
              <w:jc w:val="right"/>
              <w:spacing w:after="0" w:line="117" w:lineRule="exact"/>
              <w:rPr>
                <w:sz w:val="20"/>
                <w:szCs w:val="20"/>
                <w:color w:val="auto"/>
              </w:rPr>
            </w:pPr>
            <w:r>
              <w:rPr>
                <w:rFonts w:ascii="Arial" w:cs="Arial" w:eastAsia="Arial" w:hAnsi="Arial"/>
                <w:sz w:val="11"/>
                <w:szCs w:val="11"/>
                <w:color w:val="auto"/>
              </w:rPr>
              <w:t>152,412</w:t>
            </w:r>
          </w:p>
        </w:tc>
        <w:tc>
          <w:tcPr>
            <w:tcW w:w="320" w:type="dxa"/>
            <w:vAlign w:val="bottom"/>
            <w:gridSpan w:val="2"/>
          </w:tcPr>
          <w:p>
            <w:pPr>
              <w:jc w:val="right"/>
              <w:spacing w:after="0" w:line="117" w:lineRule="exact"/>
              <w:rPr>
                <w:sz w:val="20"/>
                <w:szCs w:val="20"/>
                <w:color w:val="auto"/>
              </w:rPr>
            </w:pPr>
            <w:r>
              <w:rPr>
                <w:rFonts w:ascii="Arial" w:cs="Arial" w:eastAsia="Arial" w:hAnsi="Arial"/>
                <w:sz w:val="11"/>
                <w:szCs w:val="11"/>
                <w:color w:val="auto"/>
              </w:rPr>
              <w:t>$</w:t>
            </w:r>
          </w:p>
        </w:tc>
        <w:tc>
          <w:tcPr>
            <w:tcW w:w="860" w:type="dxa"/>
            <w:vAlign w:val="bottom"/>
          </w:tcPr>
          <w:p>
            <w:pPr>
              <w:jc w:val="right"/>
              <w:spacing w:after="0" w:line="117" w:lineRule="exact"/>
              <w:rPr>
                <w:sz w:val="20"/>
                <w:szCs w:val="20"/>
                <w:color w:val="auto"/>
              </w:rPr>
            </w:pPr>
            <w:r>
              <w:rPr>
                <w:rFonts w:ascii="Arial" w:cs="Arial" w:eastAsia="Arial" w:hAnsi="Arial"/>
                <w:sz w:val="11"/>
                <w:szCs w:val="11"/>
                <w:color w:val="auto"/>
              </w:rPr>
              <w:t>124,040</w:t>
            </w:r>
          </w:p>
        </w:tc>
        <w:tc>
          <w:tcPr>
            <w:tcW w:w="320" w:type="dxa"/>
            <w:vAlign w:val="bottom"/>
            <w:gridSpan w:val="2"/>
          </w:tcPr>
          <w:p>
            <w:pPr>
              <w:jc w:val="right"/>
              <w:ind w:right="37"/>
              <w:spacing w:after="0" w:line="117" w:lineRule="exact"/>
              <w:rPr>
                <w:sz w:val="20"/>
                <w:szCs w:val="20"/>
                <w:color w:val="auto"/>
              </w:rPr>
            </w:pPr>
            <w:r>
              <w:rPr>
                <w:rFonts w:ascii="Arial" w:cs="Arial" w:eastAsia="Arial" w:hAnsi="Arial"/>
                <w:sz w:val="11"/>
                <w:szCs w:val="11"/>
                <w:color w:val="auto"/>
              </w:rPr>
              <w:t>$</w:t>
            </w:r>
          </w:p>
        </w:tc>
        <w:tc>
          <w:tcPr>
            <w:tcW w:w="860" w:type="dxa"/>
            <w:vAlign w:val="bottom"/>
          </w:tcPr>
          <w:p>
            <w:pPr>
              <w:jc w:val="right"/>
              <w:ind w:right="4"/>
              <w:spacing w:after="0" w:line="117" w:lineRule="exact"/>
              <w:rPr>
                <w:sz w:val="20"/>
                <w:szCs w:val="20"/>
                <w:color w:val="auto"/>
              </w:rPr>
            </w:pPr>
            <w:r>
              <w:rPr>
                <w:rFonts w:ascii="Arial" w:cs="Arial" w:eastAsia="Arial" w:hAnsi="Arial"/>
                <w:sz w:val="11"/>
                <w:szCs w:val="11"/>
                <w:color w:val="auto"/>
              </w:rPr>
              <w:t>105,497</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580" w:type="dxa"/>
            <w:vAlign w:val="bottom"/>
            <w:shd w:val="clear" w:color="auto" w:fill="CCEEFF"/>
          </w:tcPr>
          <w:p>
            <w:pPr>
              <w:spacing w:after="0" w:line="117" w:lineRule="exact"/>
              <w:rPr>
                <w:sz w:val="20"/>
                <w:szCs w:val="20"/>
                <w:color w:val="auto"/>
              </w:rPr>
            </w:pPr>
            <w:r>
              <w:rPr>
                <w:rFonts w:ascii="Arial" w:cs="Arial" w:eastAsia="Arial" w:hAnsi="Arial"/>
                <w:sz w:val="11"/>
                <w:szCs w:val="11"/>
                <w:color w:val="auto"/>
              </w:rPr>
              <w:t>Adjustments to reconcile net earnings to net cash from operating activities:</w:t>
            </w:r>
          </w:p>
        </w:tc>
        <w:tc>
          <w:tcPr>
            <w:tcW w:w="1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580" w:type="dxa"/>
            <w:vAlign w:val="bottom"/>
          </w:tcPr>
          <w:p>
            <w:pPr>
              <w:ind w:left="60"/>
              <w:spacing w:after="0" w:line="117" w:lineRule="exact"/>
              <w:rPr>
                <w:sz w:val="20"/>
                <w:szCs w:val="20"/>
                <w:color w:val="auto"/>
              </w:rPr>
            </w:pPr>
            <w:r>
              <w:rPr>
                <w:rFonts w:ascii="Arial" w:cs="Arial" w:eastAsia="Arial" w:hAnsi="Arial"/>
                <w:sz w:val="11"/>
                <w:szCs w:val="11"/>
                <w:color w:val="auto"/>
              </w:rPr>
              <w:t>Depreciation</w:t>
            </w:r>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jc w:val="right"/>
              <w:spacing w:after="0" w:line="117" w:lineRule="exact"/>
              <w:rPr>
                <w:sz w:val="20"/>
                <w:szCs w:val="20"/>
                <w:color w:val="auto"/>
              </w:rPr>
            </w:pPr>
            <w:r>
              <w:rPr>
                <w:rFonts w:ascii="Arial" w:cs="Arial" w:eastAsia="Arial" w:hAnsi="Arial"/>
                <w:sz w:val="11"/>
                <w:szCs w:val="11"/>
                <w:color w:val="auto"/>
              </w:rPr>
              <w:t>54,949</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jc w:val="right"/>
              <w:spacing w:after="0" w:line="117" w:lineRule="exact"/>
              <w:rPr>
                <w:sz w:val="20"/>
                <w:szCs w:val="20"/>
                <w:color w:val="auto"/>
              </w:rPr>
            </w:pPr>
            <w:r>
              <w:rPr>
                <w:rFonts w:ascii="Arial" w:cs="Arial" w:eastAsia="Arial" w:hAnsi="Arial"/>
                <w:sz w:val="11"/>
                <w:szCs w:val="11"/>
                <w:color w:val="auto"/>
              </w:rPr>
              <w:t>48,536</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jc w:val="right"/>
              <w:ind w:right="4"/>
              <w:spacing w:after="0" w:line="117" w:lineRule="exact"/>
              <w:rPr>
                <w:sz w:val="20"/>
                <w:szCs w:val="20"/>
                <w:color w:val="auto"/>
              </w:rPr>
            </w:pPr>
            <w:r>
              <w:rPr>
                <w:rFonts w:ascii="Arial" w:cs="Arial" w:eastAsia="Arial" w:hAnsi="Arial"/>
                <w:sz w:val="11"/>
                <w:szCs w:val="11"/>
                <w:color w:val="auto"/>
              </w:rPr>
              <w:t>40,823</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580" w:type="dxa"/>
            <w:vAlign w:val="bottom"/>
            <w:shd w:val="clear" w:color="auto" w:fill="CCEEFF"/>
          </w:tcPr>
          <w:p>
            <w:pPr>
              <w:ind w:left="60"/>
              <w:spacing w:after="0" w:line="117" w:lineRule="exact"/>
              <w:rPr>
                <w:sz w:val="20"/>
                <w:szCs w:val="20"/>
                <w:color w:val="auto"/>
              </w:rPr>
            </w:pPr>
            <w:r>
              <w:rPr>
                <w:rFonts w:ascii="Arial" w:cs="Arial" w:eastAsia="Arial" w:hAnsi="Arial"/>
                <w:sz w:val="11"/>
                <w:szCs w:val="11"/>
                <w:color w:val="auto"/>
              </w:rPr>
              <w:t>Amortization of intangibles</w:t>
            </w:r>
          </w:p>
        </w:tc>
        <w:tc>
          <w:tcPr>
            <w:tcW w:w="1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shd w:val="clear" w:color="auto" w:fill="CCEEFF"/>
          </w:tcPr>
          <w:p>
            <w:pPr>
              <w:jc w:val="right"/>
              <w:spacing w:after="0" w:line="117" w:lineRule="exact"/>
              <w:rPr>
                <w:sz w:val="20"/>
                <w:szCs w:val="20"/>
                <w:color w:val="auto"/>
              </w:rPr>
            </w:pPr>
            <w:r>
              <w:rPr>
                <w:rFonts w:ascii="Arial" w:cs="Arial" w:eastAsia="Arial" w:hAnsi="Arial"/>
                <w:sz w:val="11"/>
                <w:szCs w:val="11"/>
                <w:color w:val="auto"/>
              </w:rPr>
              <w:t>6,393</w:t>
            </w: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shd w:val="clear" w:color="auto" w:fill="CCEEFF"/>
          </w:tcPr>
          <w:p>
            <w:pPr>
              <w:jc w:val="right"/>
              <w:spacing w:after="0" w:line="117" w:lineRule="exact"/>
              <w:rPr>
                <w:sz w:val="20"/>
                <w:szCs w:val="20"/>
                <w:color w:val="auto"/>
              </w:rPr>
            </w:pPr>
            <w:r>
              <w:rPr>
                <w:rFonts w:ascii="Arial" w:cs="Arial" w:eastAsia="Arial" w:hAnsi="Arial"/>
                <w:sz w:val="11"/>
                <w:szCs w:val="11"/>
                <w:color w:val="auto"/>
              </w:rPr>
              <w:t>4,860</w:t>
            </w: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shd w:val="clear" w:color="auto" w:fill="CCEEFF"/>
          </w:tcPr>
          <w:p>
            <w:pPr>
              <w:jc w:val="right"/>
              <w:ind w:right="4"/>
              <w:spacing w:after="0" w:line="117" w:lineRule="exact"/>
              <w:rPr>
                <w:sz w:val="20"/>
                <w:szCs w:val="20"/>
                <w:color w:val="auto"/>
              </w:rPr>
            </w:pPr>
            <w:r>
              <w:rPr>
                <w:rFonts w:ascii="Arial" w:cs="Arial" w:eastAsia="Arial" w:hAnsi="Arial"/>
                <w:sz w:val="11"/>
                <w:szCs w:val="11"/>
                <w:color w:val="auto"/>
              </w:rPr>
              <w:t>2,795</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580" w:type="dxa"/>
            <w:vAlign w:val="bottom"/>
          </w:tcPr>
          <w:p>
            <w:pPr>
              <w:ind w:left="60"/>
              <w:spacing w:after="0" w:line="117" w:lineRule="exact"/>
              <w:rPr>
                <w:sz w:val="20"/>
                <w:szCs w:val="20"/>
                <w:color w:val="auto"/>
              </w:rPr>
            </w:pPr>
            <w:r>
              <w:rPr>
                <w:rFonts w:ascii="Arial" w:cs="Arial" w:eastAsia="Arial" w:hAnsi="Arial"/>
                <w:sz w:val="11"/>
                <w:szCs w:val="11"/>
                <w:color w:val="auto"/>
              </w:rPr>
              <w:t>Expense associated with share-based and grant compensation arrangements</w:t>
            </w:r>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jc w:val="right"/>
              <w:spacing w:after="0" w:line="117" w:lineRule="exact"/>
              <w:rPr>
                <w:sz w:val="20"/>
                <w:szCs w:val="20"/>
                <w:color w:val="auto"/>
              </w:rPr>
            </w:pPr>
            <w:r>
              <w:rPr>
                <w:rFonts w:ascii="Arial" w:cs="Arial" w:eastAsia="Arial" w:hAnsi="Arial"/>
                <w:sz w:val="11"/>
                <w:szCs w:val="11"/>
                <w:color w:val="auto"/>
              </w:rPr>
              <w:t>3,574</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jc w:val="right"/>
              <w:spacing w:after="0" w:line="117" w:lineRule="exact"/>
              <w:rPr>
                <w:sz w:val="20"/>
                <w:szCs w:val="20"/>
                <w:color w:val="auto"/>
              </w:rPr>
            </w:pPr>
            <w:r>
              <w:rPr>
                <w:rFonts w:ascii="Arial" w:cs="Arial" w:eastAsia="Arial" w:hAnsi="Arial"/>
                <w:sz w:val="11"/>
                <w:szCs w:val="11"/>
                <w:color w:val="auto"/>
              </w:rPr>
              <w:t>3,805</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jc w:val="right"/>
              <w:ind w:right="4"/>
              <w:spacing w:after="0" w:line="117" w:lineRule="exact"/>
              <w:rPr>
                <w:sz w:val="20"/>
                <w:szCs w:val="20"/>
                <w:color w:val="auto"/>
              </w:rPr>
            </w:pPr>
            <w:r>
              <w:rPr>
                <w:rFonts w:ascii="Arial" w:cs="Arial" w:eastAsia="Arial" w:hAnsi="Arial"/>
                <w:sz w:val="11"/>
                <w:szCs w:val="11"/>
                <w:color w:val="auto"/>
              </w:rPr>
              <w:t>2,335</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580" w:type="dxa"/>
            <w:vAlign w:val="bottom"/>
            <w:shd w:val="clear" w:color="auto" w:fill="CCEEFF"/>
          </w:tcPr>
          <w:p>
            <w:pPr>
              <w:ind w:left="60"/>
              <w:spacing w:after="0" w:line="117" w:lineRule="exact"/>
              <w:rPr>
                <w:sz w:val="20"/>
                <w:szCs w:val="20"/>
                <w:color w:val="auto"/>
              </w:rPr>
            </w:pPr>
            <w:r>
              <w:rPr>
                <w:rFonts w:ascii="Arial" w:cs="Arial" w:eastAsia="Arial" w:hAnsi="Arial"/>
                <w:sz w:val="11"/>
                <w:szCs w:val="11"/>
                <w:color w:val="auto"/>
              </w:rPr>
              <w:t>Deferred income taxes (credits)</w:t>
            </w:r>
          </w:p>
        </w:tc>
        <w:tc>
          <w:tcPr>
            <w:tcW w:w="1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shd w:val="clear" w:color="auto" w:fill="CCEEFF"/>
          </w:tcPr>
          <w:p>
            <w:pPr>
              <w:jc w:val="right"/>
              <w:spacing w:after="0" w:line="117" w:lineRule="exact"/>
              <w:rPr>
                <w:sz w:val="20"/>
                <w:szCs w:val="20"/>
                <w:color w:val="auto"/>
              </w:rPr>
            </w:pPr>
            <w:r>
              <w:rPr>
                <w:rFonts w:ascii="Arial" w:cs="Arial" w:eastAsia="Arial" w:hAnsi="Arial"/>
                <w:sz w:val="11"/>
                <w:szCs w:val="11"/>
                <w:color w:val="auto"/>
              </w:rPr>
              <w:t>857</w:t>
            </w: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shd w:val="clear" w:color="auto" w:fill="CCEEFF"/>
          </w:tcPr>
          <w:p>
            <w:pPr>
              <w:jc w:val="right"/>
              <w:spacing w:after="0" w:line="117" w:lineRule="exact"/>
              <w:rPr>
                <w:sz w:val="20"/>
                <w:szCs w:val="20"/>
                <w:color w:val="auto"/>
              </w:rPr>
            </w:pPr>
            <w:r>
              <w:rPr>
                <w:rFonts w:ascii="Arial" w:cs="Arial" w:eastAsia="Arial" w:hAnsi="Arial"/>
                <w:sz w:val="11"/>
                <w:szCs w:val="11"/>
                <w:color w:val="auto"/>
              </w:rPr>
              <w:t>(8,629)</w:t>
            </w: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shd w:val="clear" w:color="auto" w:fill="CCEEFF"/>
          </w:tcPr>
          <w:p>
            <w:pPr>
              <w:jc w:val="right"/>
              <w:ind w:right="4"/>
              <w:spacing w:after="0" w:line="117" w:lineRule="exact"/>
              <w:rPr>
                <w:sz w:val="20"/>
                <w:szCs w:val="20"/>
                <w:color w:val="auto"/>
              </w:rPr>
            </w:pPr>
            <w:r>
              <w:rPr>
                <w:rFonts w:ascii="Arial" w:cs="Arial" w:eastAsia="Arial" w:hAnsi="Arial"/>
                <w:sz w:val="11"/>
                <w:szCs w:val="11"/>
                <w:color w:val="auto"/>
              </w:rPr>
              <w:t>2,464</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580" w:type="dxa"/>
            <w:vAlign w:val="bottom"/>
          </w:tcPr>
          <w:p>
            <w:pPr>
              <w:ind w:left="60"/>
              <w:spacing w:after="0" w:line="117" w:lineRule="exact"/>
              <w:rPr>
                <w:sz w:val="20"/>
                <w:szCs w:val="20"/>
                <w:color w:val="auto"/>
              </w:rPr>
            </w:pPr>
            <w:r>
              <w:rPr>
                <w:rFonts w:ascii="Arial" w:cs="Arial" w:eastAsia="Arial" w:hAnsi="Arial"/>
                <w:sz w:val="11"/>
                <w:szCs w:val="11"/>
                <w:color w:val="auto"/>
              </w:rPr>
              <w:t>Unrealized loss (gain) on investments and other</w:t>
            </w:r>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jc w:val="right"/>
              <w:spacing w:after="0" w:line="117" w:lineRule="exact"/>
              <w:rPr>
                <w:sz w:val="20"/>
                <w:szCs w:val="20"/>
                <w:color w:val="auto"/>
              </w:rPr>
            </w:pPr>
            <w:r>
              <w:rPr>
                <w:rFonts w:ascii="Arial" w:cs="Arial" w:eastAsia="Arial" w:hAnsi="Arial"/>
                <w:sz w:val="11"/>
                <w:szCs w:val="11"/>
                <w:color w:val="auto"/>
              </w:rPr>
              <w:t>1,888</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jc w:val="right"/>
              <w:spacing w:after="0" w:line="117" w:lineRule="exact"/>
              <w:rPr>
                <w:sz w:val="20"/>
                <w:szCs w:val="20"/>
                <w:color w:val="auto"/>
              </w:rPr>
            </w:pPr>
            <w:r>
              <w:rPr>
                <w:rFonts w:ascii="Arial" w:cs="Arial" w:eastAsia="Arial" w:hAnsi="Arial"/>
                <w:sz w:val="11"/>
                <w:szCs w:val="11"/>
                <w:color w:val="auto"/>
              </w:rPr>
              <w:t>(25)</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jc w:val="right"/>
              <w:spacing w:after="0" w:line="117" w:lineRule="exact"/>
              <w:rPr>
                <w:sz w:val="20"/>
                <w:szCs w:val="20"/>
                <w:color w:val="auto"/>
              </w:rPr>
            </w:pPr>
            <w:r>
              <w:rPr>
                <w:rFonts w:ascii="Arial" w:cs="Arial" w:eastAsia="Arial" w:hAnsi="Arial"/>
                <w:sz w:val="11"/>
                <w:szCs w:val="11"/>
                <w:color w:val="auto"/>
              </w:rPr>
              <w:t>(267)</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580" w:type="dxa"/>
            <w:vAlign w:val="bottom"/>
            <w:shd w:val="clear" w:color="auto" w:fill="CCEEFF"/>
          </w:tcPr>
          <w:p>
            <w:pPr>
              <w:ind w:left="60"/>
              <w:spacing w:after="0" w:line="117" w:lineRule="exact"/>
              <w:rPr>
                <w:sz w:val="20"/>
                <w:szCs w:val="20"/>
                <w:color w:val="auto"/>
              </w:rPr>
            </w:pPr>
            <w:r>
              <w:rPr>
                <w:rFonts w:ascii="Arial" w:cs="Arial" w:eastAsia="Arial" w:hAnsi="Arial"/>
                <w:sz w:val="11"/>
                <w:szCs w:val="11"/>
                <w:color w:val="auto"/>
              </w:rPr>
              <w:t>Net (gain) on disposition of assets</w:t>
            </w:r>
          </w:p>
        </w:tc>
        <w:tc>
          <w:tcPr>
            <w:tcW w:w="1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shd w:val="clear" w:color="auto" w:fill="CCEEFF"/>
          </w:tcPr>
          <w:p>
            <w:pPr>
              <w:jc w:val="right"/>
              <w:spacing w:after="0" w:line="117" w:lineRule="exact"/>
              <w:rPr>
                <w:sz w:val="20"/>
                <w:szCs w:val="20"/>
                <w:color w:val="auto"/>
              </w:rPr>
            </w:pPr>
            <w:r>
              <w:rPr>
                <w:rFonts w:ascii="Arial" w:cs="Arial" w:eastAsia="Arial" w:hAnsi="Arial"/>
                <w:sz w:val="11"/>
                <w:szCs w:val="11"/>
                <w:color w:val="auto"/>
              </w:rPr>
              <w:t>(6,604)</w:t>
            </w: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shd w:val="clear" w:color="auto" w:fill="CCEEFF"/>
          </w:tcPr>
          <w:p>
            <w:pPr>
              <w:jc w:val="right"/>
              <w:spacing w:after="0" w:line="117" w:lineRule="exact"/>
              <w:rPr>
                <w:sz w:val="20"/>
                <w:szCs w:val="20"/>
                <w:color w:val="auto"/>
              </w:rPr>
            </w:pPr>
            <w:r>
              <w:rPr>
                <w:rFonts w:ascii="Arial" w:cs="Arial" w:eastAsia="Arial" w:hAnsi="Arial"/>
                <w:sz w:val="11"/>
                <w:szCs w:val="11"/>
                <w:color w:val="auto"/>
              </w:rPr>
              <w:t>(863)</w:t>
            </w: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shd w:val="clear" w:color="auto" w:fill="CCEEFF"/>
          </w:tcPr>
          <w:p>
            <w:pPr>
              <w:jc w:val="right"/>
              <w:ind w:right="4"/>
              <w:spacing w:after="0" w:line="117"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580" w:type="dxa"/>
            <w:vAlign w:val="bottom"/>
          </w:tcPr>
          <w:p>
            <w:pPr>
              <w:ind w:left="60"/>
              <w:spacing w:after="0" w:line="117" w:lineRule="exact"/>
              <w:rPr>
                <w:sz w:val="20"/>
                <w:szCs w:val="20"/>
                <w:color w:val="auto"/>
              </w:rPr>
            </w:pPr>
            <w:r>
              <w:rPr>
                <w:rFonts w:ascii="Arial" w:cs="Arial" w:eastAsia="Arial" w:hAnsi="Arial"/>
                <w:sz w:val="11"/>
                <w:szCs w:val="11"/>
                <w:color w:val="auto"/>
              </w:rPr>
              <w:t>Changes in:</w:t>
            </w:r>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580" w:type="dxa"/>
            <w:vAlign w:val="bottom"/>
            <w:shd w:val="clear" w:color="auto" w:fill="CCEEFF"/>
          </w:tcPr>
          <w:p>
            <w:pPr>
              <w:ind w:left="240"/>
              <w:spacing w:after="0" w:line="117" w:lineRule="exact"/>
              <w:rPr>
                <w:sz w:val="20"/>
                <w:szCs w:val="20"/>
                <w:color w:val="auto"/>
              </w:rPr>
            </w:pPr>
            <w:r>
              <w:rPr>
                <w:rFonts w:ascii="Arial" w:cs="Arial" w:eastAsia="Arial" w:hAnsi="Arial"/>
                <w:sz w:val="11"/>
                <w:szCs w:val="11"/>
                <w:color w:val="auto"/>
              </w:rPr>
              <w:t>Accounts receivable</w:t>
            </w:r>
          </w:p>
        </w:tc>
        <w:tc>
          <w:tcPr>
            <w:tcW w:w="1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shd w:val="clear" w:color="auto" w:fill="CCEEFF"/>
          </w:tcPr>
          <w:p>
            <w:pPr>
              <w:jc w:val="right"/>
              <w:spacing w:after="0" w:line="117" w:lineRule="exact"/>
              <w:rPr>
                <w:sz w:val="20"/>
                <w:szCs w:val="20"/>
                <w:color w:val="auto"/>
              </w:rPr>
            </w:pPr>
            <w:r>
              <w:rPr>
                <w:rFonts w:ascii="Arial" w:cs="Arial" w:eastAsia="Arial" w:hAnsi="Arial"/>
                <w:sz w:val="11"/>
                <w:szCs w:val="11"/>
                <w:color w:val="auto"/>
              </w:rPr>
              <w:t>(8,512)</w:t>
            </w: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shd w:val="clear" w:color="auto" w:fill="CCEEFF"/>
          </w:tcPr>
          <w:p>
            <w:pPr>
              <w:jc w:val="right"/>
              <w:spacing w:after="0" w:line="117" w:lineRule="exact"/>
              <w:rPr>
                <w:sz w:val="20"/>
                <w:szCs w:val="20"/>
                <w:color w:val="auto"/>
              </w:rPr>
            </w:pPr>
            <w:r>
              <w:rPr>
                <w:rFonts w:ascii="Arial" w:cs="Arial" w:eastAsia="Arial" w:hAnsi="Arial"/>
                <w:sz w:val="11"/>
                <w:szCs w:val="11"/>
                <w:color w:val="auto"/>
              </w:rPr>
              <w:t>(30,787)</w:t>
            </w: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shd w:val="clear" w:color="auto" w:fill="CCEEFF"/>
          </w:tcPr>
          <w:p>
            <w:pPr>
              <w:jc w:val="right"/>
              <w:spacing w:after="0" w:line="117" w:lineRule="exact"/>
              <w:rPr>
                <w:sz w:val="20"/>
                <w:szCs w:val="20"/>
                <w:color w:val="auto"/>
              </w:rPr>
            </w:pPr>
            <w:r>
              <w:rPr>
                <w:rFonts w:ascii="Arial" w:cs="Arial" w:eastAsia="Arial" w:hAnsi="Arial"/>
                <w:sz w:val="11"/>
                <w:szCs w:val="11"/>
                <w:color w:val="auto"/>
              </w:rPr>
              <w:t>(5,119)</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580" w:type="dxa"/>
            <w:vAlign w:val="bottom"/>
          </w:tcPr>
          <w:p>
            <w:pPr>
              <w:ind w:left="240"/>
              <w:spacing w:after="0" w:line="117" w:lineRule="exact"/>
              <w:rPr>
                <w:sz w:val="20"/>
                <w:szCs w:val="20"/>
                <w:color w:val="auto"/>
              </w:rPr>
            </w:pPr>
            <w:r>
              <w:rPr>
                <w:rFonts w:ascii="Arial" w:cs="Arial" w:eastAsia="Arial" w:hAnsi="Arial"/>
                <w:sz w:val="11"/>
                <w:szCs w:val="11"/>
                <w:color w:val="auto"/>
              </w:rPr>
              <w:t>Inventories</w:t>
            </w:r>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jc w:val="right"/>
              <w:spacing w:after="0" w:line="117" w:lineRule="exact"/>
              <w:rPr>
                <w:sz w:val="20"/>
                <w:szCs w:val="20"/>
                <w:color w:val="auto"/>
              </w:rPr>
            </w:pPr>
            <w:r>
              <w:rPr>
                <w:rFonts w:ascii="Arial" w:cs="Arial" w:eastAsia="Arial" w:hAnsi="Arial"/>
                <w:sz w:val="11"/>
                <w:szCs w:val="11"/>
                <w:color w:val="auto"/>
              </w:rPr>
              <w:t>(84,304)</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jc w:val="right"/>
              <w:spacing w:after="0" w:line="117" w:lineRule="exact"/>
              <w:rPr>
                <w:sz w:val="20"/>
                <w:szCs w:val="20"/>
                <w:color w:val="auto"/>
              </w:rPr>
            </w:pPr>
            <w:r>
              <w:rPr>
                <w:rFonts w:ascii="Arial" w:cs="Arial" w:eastAsia="Arial" w:hAnsi="Arial"/>
                <w:sz w:val="11"/>
                <w:szCs w:val="11"/>
                <w:color w:val="auto"/>
              </w:rPr>
              <w:t>(49,262)</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jc w:val="right"/>
              <w:spacing w:after="0" w:line="117" w:lineRule="exact"/>
              <w:rPr>
                <w:sz w:val="20"/>
                <w:szCs w:val="20"/>
                <w:color w:val="auto"/>
              </w:rPr>
            </w:pPr>
            <w:r>
              <w:rPr>
                <w:rFonts w:ascii="Arial" w:cs="Arial" w:eastAsia="Arial" w:hAnsi="Arial"/>
                <w:sz w:val="11"/>
                <w:szCs w:val="11"/>
                <w:color w:val="auto"/>
              </w:rPr>
              <w:t>(3,245)</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580" w:type="dxa"/>
            <w:vAlign w:val="bottom"/>
            <w:shd w:val="clear" w:color="auto" w:fill="CCEEFF"/>
          </w:tcPr>
          <w:p>
            <w:pPr>
              <w:ind w:left="240"/>
              <w:spacing w:after="0" w:line="117" w:lineRule="exact"/>
              <w:rPr>
                <w:sz w:val="20"/>
                <w:szCs w:val="20"/>
                <w:color w:val="auto"/>
              </w:rPr>
            </w:pPr>
            <w:r>
              <w:rPr>
                <w:rFonts w:ascii="Arial" w:cs="Arial" w:eastAsia="Arial" w:hAnsi="Arial"/>
                <w:sz w:val="11"/>
                <w:szCs w:val="11"/>
                <w:color w:val="auto"/>
              </w:rPr>
              <w:t>Accounts payable and cash overdraft</w:t>
            </w:r>
          </w:p>
        </w:tc>
        <w:tc>
          <w:tcPr>
            <w:tcW w:w="1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shd w:val="clear" w:color="auto" w:fill="CCEEFF"/>
          </w:tcPr>
          <w:p>
            <w:pPr>
              <w:jc w:val="right"/>
              <w:spacing w:after="0" w:line="117" w:lineRule="exact"/>
              <w:rPr>
                <w:sz w:val="20"/>
                <w:szCs w:val="20"/>
                <w:color w:val="auto"/>
              </w:rPr>
            </w:pPr>
            <w:r>
              <w:rPr>
                <w:rFonts w:ascii="Arial" w:cs="Arial" w:eastAsia="Arial" w:hAnsi="Arial"/>
                <w:sz w:val="11"/>
                <w:szCs w:val="11"/>
                <w:color w:val="auto"/>
              </w:rPr>
              <w:t>(5,213)</w:t>
            </w: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shd w:val="clear" w:color="auto" w:fill="CCEEFF"/>
          </w:tcPr>
          <w:p>
            <w:pPr>
              <w:jc w:val="right"/>
              <w:spacing w:after="0" w:line="117" w:lineRule="exact"/>
              <w:rPr>
                <w:sz w:val="20"/>
                <w:szCs w:val="20"/>
                <w:color w:val="auto"/>
              </w:rPr>
            </w:pPr>
            <w:r>
              <w:rPr>
                <w:rFonts w:ascii="Arial" w:cs="Arial" w:eastAsia="Arial" w:hAnsi="Arial"/>
                <w:sz w:val="11"/>
                <w:szCs w:val="11"/>
                <w:color w:val="auto"/>
              </w:rPr>
              <w:t>21,159</w:t>
            </w: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shd w:val="clear" w:color="auto" w:fill="CCEEFF"/>
          </w:tcPr>
          <w:p>
            <w:pPr>
              <w:jc w:val="right"/>
              <w:ind w:right="4"/>
              <w:spacing w:after="0" w:line="117" w:lineRule="exact"/>
              <w:rPr>
                <w:sz w:val="20"/>
                <w:szCs w:val="20"/>
                <w:color w:val="auto"/>
              </w:rPr>
            </w:pPr>
            <w:r>
              <w:rPr>
                <w:rFonts w:ascii="Arial" w:cs="Arial" w:eastAsia="Arial" w:hAnsi="Arial"/>
                <w:sz w:val="11"/>
                <w:szCs w:val="11"/>
                <w:color w:val="auto"/>
              </w:rPr>
              <w:t>11,259</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580" w:type="dxa"/>
            <w:vAlign w:val="bottom"/>
            <w:tcBorders>
              <w:bottom w:val="single" w:sz="8" w:color="CCEEFF"/>
            </w:tcBorders>
          </w:tcPr>
          <w:p>
            <w:pPr>
              <w:ind w:left="240"/>
              <w:spacing w:after="0" w:line="117" w:lineRule="exact"/>
              <w:rPr>
                <w:sz w:val="20"/>
                <w:szCs w:val="20"/>
                <w:color w:val="auto"/>
              </w:rPr>
            </w:pPr>
            <w:r>
              <w:rPr>
                <w:rFonts w:ascii="Arial" w:cs="Arial" w:eastAsia="Arial" w:hAnsi="Arial"/>
                <w:sz w:val="11"/>
                <w:szCs w:val="11"/>
                <w:color w:val="auto"/>
              </w:rPr>
              <w:t>Accrued liabilities and other</w:t>
            </w:r>
          </w:p>
        </w:tc>
        <w:tc>
          <w:tcPr>
            <w:tcW w:w="120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spacing w:after="0" w:line="117" w:lineRule="exact"/>
              <w:rPr>
                <w:sz w:val="20"/>
                <w:szCs w:val="20"/>
                <w:color w:val="auto"/>
              </w:rPr>
            </w:pPr>
            <w:r>
              <w:rPr>
                <w:rFonts w:ascii="Arial" w:cs="Arial" w:eastAsia="Arial" w:hAnsi="Arial"/>
                <w:sz w:val="11"/>
                <w:szCs w:val="11"/>
                <w:color w:val="auto"/>
              </w:rPr>
              <w:t>1,245</w:t>
            </w:r>
          </w:p>
        </w:tc>
        <w:tc>
          <w:tcPr>
            <w:tcW w:w="22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spacing w:after="0" w:line="117" w:lineRule="exact"/>
              <w:rPr>
                <w:sz w:val="20"/>
                <w:szCs w:val="20"/>
                <w:color w:val="auto"/>
              </w:rPr>
            </w:pPr>
            <w:r>
              <w:rPr>
                <w:rFonts w:ascii="Arial" w:cs="Arial" w:eastAsia="Arial" w:hAnsi="Arial"/>
                <w:sz w:val="11"/>
                <w:szCs w:val="11"/>
                <w:color w:val="auto"/>
              </w:rPr>
              <w:t>23,749</w:t>
            </w:r>
          </w:p>
        </w:tc>
        <w:tc>
          <w:tcPr>
            <w:tcW w:w="22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ind w:right="4"/>
              <w:spacing w:after="0" w:line="117" w:lineRule="exact"/>
              <w:rPr>
                <w:sz w:val="20"/>
                <w:szCs w:val="20"/>
                <w:color w:val="auto"/>
              </w:rPr>
            </w:pPr>
            <w:r>
              <w:rPr>
                <w:rFonts w:ascii="Arial" w:cs="Arial" w:eastAsia="Arial" w:hAnsi="Arial"/>
                <w:sz w:val="11"/>
                <w:szCs w:val="11"/>
                <w:color w:val="auto"/>
              </w:rPr>
              <w:t>15,978</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580" w:type="dxa"/>
            <w:vAlign w:val="bottom"/>
            <w:shd w:val="clear" w:color="auto" w:fill="CCEEFF"/>
          </w:tcPr>
          <w:p>
            <w:pPr>
              <w:ind w:left="60"/>
              <w:spacing w:after="0" w:line="117" w:lineRule="exact"/>
              <w:rPr>
                <w:sz w:val="20"/>
                <w:szCs w:val="20"/>
                <w:color w:val="auto"/>
              </w:rPr>
            </w:pPr>
            <w:r>
              <w:rPr>
                <w:rFonts w:ascii="Arial" w:cs="Arial" w:eastAsia="Arial" w:hAnsi="Arial"/>
                <w:sz w:val="11"/>
                <w:szCs w:val="11"/>
                <w:color w:val="auto"/>
              </w:rPr>
              <w:t>NET CASH FROM OPERATING ACTIVITIES</w:t>
            </w:r>
          </w:p>
        </w:tc>
        <w:tc>
          <w:tcPr>
            <w:tcW w:w="1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shd w:val="clear" w:color="auto" w:fill="CCEEFF"/>
          </w:tcPr>
          <w:p>
            <w:pPr>
              <w:jc w:val="right"/>
              <w:spacing w:after="0" w:line="117" w:lineRule="exact"/>
              <w:rPr>
                <w:sz w:val="20"/>
                <w:szCs w:val="20"/>
                <w:color w:val="auto"/>
              </w:rPr>
            </w:pPr>
            <w:r>
              <w:rPr>
                <w:rFonts w:ascii="Arial" w:cs="Arial" w:eastAsia="Arial" w:hAnsi="Arial"/>
                <w:sz w:val="11"/>
                <w:szCs w:val="11"/>
                <w:color w:val="auto"/>
              </w:rPr>
              <w:t>116,685</w:t>
            </w: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shd w:val="clear" w:color="auto" w:fill="CCEEFF"/>
          </w:tcPr>
          <w:p>
            <w:pPr>
              <w:jc w:val="right"/>
              <w:spacing w:after="0" w:line="117" w:lineRule="exact"/>
              <w:rPr>
                <w:sz w:val="20"/>
                <w:szCs w:val="20"/>
                <w:color w:val="auto"/>
              </w:rPr>
            </w:pPr>
            <w:r>
              <w:rPr>
                <w:rFonts w:ascii="Arial" w:cs="Arial" w:eastAsia="Arial" w:hAnsi="Arial"/>
                <w:sz w:val="11"/>
                <w:szCs w:val="11"/>
                <w:color w:val="auto"/>
              </w:rPr>
              <w:t>136,583</w:t>
            </w: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shd w:val="clear" w:color="auto" w:fill="CCEEFF"/>
          </w:tcPr>
          <w:p>
            <w:pPr>
              <w:jc w:val="right"/>
              <w:ind w:right="4"/>
              <w:spacing w:after="0" w:line="117" w:lineRule="exact"/>
              <w:rPr>
                <w:sz w:val="20"/>
                <w:szCs w:val="20"/>
                <w:color w:val="auto"/>
              </w:rPr>
            </w:pPr>
            <w:r>
              <w:rPr>
                <w:rFonts w:ascii="Arial" w:cs="Arial" w:eastAsia="Arial" w:hAnsi="Arial"/>
                <w:sz w:val="11"/>
                <w:szCs w:val="11"/>
                <w:color w:val="auto"/>
              </w:rPr>
              <w:t>172,520</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580" w:type="dxa"/>
            <w:vAlign w:val="bottom"/>
          </w:tcPr>
          <w:p>
            <w:pPr>
              <w:spacing w:after="0" w:line="117" w:lineRule="exact"/>
              <w:rPr>
                <w:sz w:val="20"/>
                <w:szCs w:val="20"/>
                <w:color w:val="auto"/>
              </w:rPr>
            </w:pPr>
            <w:r>
              <w:rPr>
                <w:rFonts w:ascii="Arial" w:cs="Arial" w:eastAsia="Arial" w:hAnsi="Arial"/>
                <w:sz w:val="11"/>
                <w:szCs w:val="11"/>
                <w:color w:val="auto"/>
              </w:rPr>
              <w:t>CASH FLOWS FROM INVESTING ACTIVITIES:</w:t>
            </w:r>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580" w:type="dxa"/>
            <w:vAlign w:val="bottom"/>
            <w:shd w:val="clear" w:color="auto" w:fill="CCEEFF"/>
          </w:tcPr>
          <w:p>
            <w:pPr>
              <w:spacing w:after="0" w:line="117" w:lineRule="exact"/>
              <w:rPr>
                <w:sz w:val="20"/>
                <w:szCs w:val="20"/>
                <w:color w:val="auto"/>
              </w:rPr>
            </w:pPr>
            <w:r>
              <w:rPr>
                <w:rFonts w:ascii="Arial" w:cs="Arial" w:eastAsia="Arial" w:hAnsi="Arial"/>
                <w:sz w:val="11"/>
                <w:szCs w:val="11"/>
                <w:color w:val="auto"/>
              </w:rPr>
              <w:t>Purchases of property, plant and equipment</w:t>
            </w:r>
          </w:p>
        </w:tc>
        <w:tc>
          <w:tcPr>
            <w:tcW w:w="1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shd w:val="clear" w:color="auto" w:fill="CCEEFF"/>
          </w:tcPr>
          <w:p>
            <w:pPr>
              <w:jc w:val="right"/>
              <w:spacing w:after="0" w:line="117" w:lineRule="exact"/>
              <w:rPr>
                <w:sz w:val="20"/>
                <w:szCs w:val="20"/>
                <w:color w:val="auto"/>
              </w:rPr>
            </w:pPr>
            <w:r>
              <w:rPr>
                <w:rFonts w:ascii="Arial" w:cs="Arial" w:eastAsia="Arial" w:hAnsi="Arial"/>
                <w:sz w:val="11"/>
                <w:szCs w:val="11"/>
                <w:color w:val="auto"/>
              </w:rPr>
              <w:t>(95,862)</w:t>
            </w: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shd w:val="clear" w:color="auto" w:fill="CCEEFF"/>
          </w:tcPr>
          <w:p>
            <w:pPr>
              <w:jc w:val="right"/>
              <w:spacing w:after="0" w:line="117" w:lineRule="exact"/>
              <w:rPr>
                <w:sz w:val="20"/>
                <w:szCs w:val="20"/>
                <w:color w:val="auto"/>
              </w:rPr>
            </w:pPr>
            <w:r>
              <w:rPr>
                <w:rFonts w:ascii="Arial" w:cs="Arial" w:eastAsia="Arial" w:hAnsi="Arial"/>
                <w:sz w:val="11"/>
                <w:szCs w:val="11"/>
                <w:color w:val="auto"/>
              </w:rPr>
              <w:t>(71,116)</w:t>
            </w: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shd w:val="clear" w:color="auto" w:fill="CCEEFF"/>
          </w:tcPr>
          <w:p>
            <w:pPr>
              <w:jc w:val="right"/>
              <w:spacing w:after="0" w:line="117" w:lineRule="exact"/>
              <w:rPr>
                <w:sz w:val="20"/>
                <w:szCs w:val="20"/>
                <w:color w:val="auto"/>
              </w:rPr>
            </w:pPr>
            <w:r>
              <w:rPr>
                <w:rFonts w:ascii="Arial" w:cs="Arial" w:eastAsia="Arial" w:hAnsi="Arial"/>
                <w:sz w:val="11"/>
                <w:szCs w:val="11"/>
                <w:color w:val="auto"/>
              </w:rPr>
              <w:t>(53,762)</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580" w:type="dxa"/>
            <w:vAlign w:val="bottom"/>
          </w:tcPr>
          <w:p>
            <w:pPr>
              <w:spacing w:after="0" w:line="117" w:lineRule="exact"/>
              <w:rPr>
                <w:sz w:val="20"/>
                <w:szCs w:val="20"/>
                <w:color w:val="auto"/>
              </w:rPr>
            </w:pPr>
            <w:r>
              <w:rPr>
                <w:rFonts w:ascii="Arial" w:cs="Arial" w:eastAsia="Arial" w:hAnsi="Arial"/>
                <w:sz w:val="11"/>
                <w:szCs w:val="11"/>
                <w:color w:val="auto"/>
              </w:rPr>
              <w:t>Proceeds from sale of property, plant and equipment</w:t>
            </w:r>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jc w:val="right"/>
              <w:spacing w:after="0" w:line="117" w:lineRule="exact"/>
              <w:rPr>
                <w:sz w:val="20"/>
                <w:szCs w:val="20"/>
                <w:color w:val="auto"/>
              </w:rPr>
            </w:pPr>
            <w:r>
              <w:rPr>
                <w:rFonts w:ascii="Arial" w:cs="Arial" w:eastAsia="Arial" w:hAnsi="Arial"/>
                <w:sz w:val="11"/>
                <w:szCs w:val="11"/>
                <w:color w:val="auto"/>
              </w:rPr>
              <w:t>38,373</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jc w:val="right"/>
              <w:spacing w:after="0" w:line="117" w:lineRule="exact"/>
              <w:rPr>
                <w:sz w:val="20"/>
                <w:szCs w:val="20"/>
                <w:color w:val="auto"/>
              </w:rPr>
            </w:pPr>
            <w:r>
              <w:rPr>
                <w:rFonts w:ascii="Arial" w:cs="Arial" w:eastAsia="Arial" w:hAnsi="Arial"/>
                <w:sz w:val="11"/>
                <w:szCs w:val="11"/>
                <w:color w:val="auto"/>
              </w:rPr>
              <w:t>2,919</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jc w:val="right"/>
              <w:ind w:right="4"/>
              <w:spacing w:after="0" w:line="117" w:lineRule="exact"/>
              <w:rPr>
                <w:sz w:val="20"/>
                <w:szCs w:val="20"/>
                <w:color w:val="auto"/>
              </w:rPr>
            </w:pPr>
            <w:r>
              <w:rPr>
                <w:rFonts w:ascii="Arial" w:cs="Arial" w:eastAsia="Arial" w:hAnsi="Arial"/>
                <w:sz w:val="11"/>
                <w:szCs w:val="11"/>
                <w:color w:val="auto"/>
              </w:rPr>
              <w:t>3,126</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580" w:type="dxa"/>
            <w:vAlign w:val="bottom"/>
            <w:shd w:val="clear" w:color="auto" w:fill="CCEEFF"/>
          </w:tcPr>
          <w:p>
            <w:pPr>
              <w:spacing w:after="0" w:line="117" w:lineRule="exact"/>
              <w:rPr>
                <w:sz w:val="20"/>
                <w:szCs w:val="20"/>
                <w:color w:val="auto"/>
              </w:rPr>
            </w:pPr>
            <w:r>
              <w:rPr>
                <w:rFonts w:ascii="Arial" w:cs="Arial" w:eastAsia="Arial" w:hAnsi="Arial"/>
                <w:sz w:val="11"/>
                <w:szCs w:val="11"/>
                <w:color w:val="auto"/>
              </w:rPr>
              <w:t>Acquisitions, net of cash received</w:t>
            </w:r>
          </w:p>
        </w:tc>
        <w:tc>
          <w:tcPr>
            <w:tcW w:w="1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shd w:val="clear" w:color="auto" w:fill="CCEEFF"/>
          </w:tcPr>
          <w:p>
            <w:pPr>
              <w:jc w:val="right"/>
              <w:spacing w:after="0" w:line="117" w:lineRule="exact"/>
              <w:rPr>
                <w:sz w:val="20"/>
                <w:szCs w:val="20"/>
                <w:color w:val="auto"/>
              </w:rPr>
            </w:pPr>
            <w:r>
              <w:rPr>
                <w:rFonts w:ascii="Arial" w:cs="Arial" w:eastAsia="Arial" w:hAnsi="Arial"/>
                <w:sz w:val="11"/>
                <w:szCs w:val="11"/>
                <w:color w:val="auto"/>
              </w:rPr>
              <w:t>(54,017)</w:t>
            </w: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shd w:val="clear" w:color="auto" w:fill="CCEEFF"/>
          </w:tcPr>
          <w:p>
            <w:pPr>
              <w:jc w:val="right"/>
              <w:spacing w:after="0" w:line="117" w:lineRule="exact"/>
              <w:rPr>
                <w:sz w:val="20"/>
                <w:szCs w:val="20"/>
                <w:color w:val="auto"/>
              </w:rPr>
            </w:pPr>
            <w:r>
              <w:rPr>
                <w:rFonts w:ascii="Arial" w:cs="Arial" w:eastAsia="Arial" w:hAnsi="Arial"/>
                <w:sz w:val="11"/>
                <w:szCs w:val="11"/>
                <w:color w:val="auto"/>
              </w:rPr>
              <w:t>(60,587)</w:t>
            </w: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shd w:val="clear" w:color="auto" w:fill="CCEEFF"/>
          </w:tcPr>
          <w:p>
            <w:pPr>
              <w:jc w:val="right"/>
              <w:spacing w:after="0" w:line="117" w:lineRule="exact"/>
              <w:rPr>
                <w:sz w:val="20"/>
                <w:szCs w:val="20"/>
                <w:color w:val="auto"/>
              </w:rPr>
            </w:pPr>
            <w:r>
              <w:rPr>
                <w:rFonts w:ascii="Arial" w:cs="Arial" w:eastAsia="Arial" w:hAnsi="Arial"/>
                <w:sz w:val="11"/>
                <w:szCs w:val="11"/>
                <w:color w:val="auto"/>
              </w:rPr>
              <w:t>(80,077)</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580" w:type="dxa"/>
            <w:vAlign w:val="bottom"/>
          </w:tcPr>
          <w:p>
            <w:pPr>
              <w:spacing w:after="0" w:line="117" w:lineRule="exact"/>
              <w:rPr>
                <w:sz w:val="20"/>
                <w:szCs w:val="20"/>
                <w:color w:val="auto"/>
              </w:rPr>
            </w:pPr>
            <w:r>
              <w:rPr>
                <w:rFonts w:ascii="Arial" w:cs="Arial" w:eastAsia="Arial" w:hAnsi="Arial"/>
                <w:sz w:val="11"/>
                <w:szCs w:val="11"/>
                <w:color w:val="auto"/>
              </w:rPr>
              <w:t>Repayments of debt of acquiree</w:t>
            </w:r>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jc w:val="right"/>
              <w:spacing w:after="0" w:line="117" w:lineRule="exact"/>
              <w:rPr>
                <w:sz w:val="20"/>
                <w:szCs w:val="20"/>
                <w:color w:val="auto"/>
              </w:rPr>
            </w:pPr>
            <w:r>
              <w:rPr>
                <w:rFonts w:ascii="Arial" w:cs="Arial" w:eastAsia="Arial" w:hAnsi="Arial"/>
                <w:sz w:val="11"/>
                <w:szCs w:val="11"/>
                <w:color w:val="auto"/>
              </w:rPr>
              <w:t>—</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jc w:val="right"/>
              <w:spacing w:after="0" w:line="117" w:lineRule="exact"/>
              <w:rPr>
                <w:sz w:val="20"/>
                <w:szCs w:val="20"/>
                <w:color w:val="auto"/>
              </w:rPr>
            </w:pPr>
            <w:r>
              <w:rPr>
                <w:rFonts w:ascii="Arial" w:cs="Arial" w:eastAsia="Arial" w:hAnsi="Arial"/>
                <w:sz w:val="11"/>
                <w:szCs w:val="11"/>
                <w:color w:val="auto"/>
              </w:rPr>
              <w:t>—</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jc w:val="right"/>
              <w:spacing w:after="0" w:line="117" w:lineRule="exact"/>
              <w:rPr>
                <w:sz w:val="20"/>
                <w:szCs w:val="20"/>
                <w:color w:val="auto"/>
              </w:rPr>
            </w:pPr>
            <w:r>
              <w:rPr>
                <w:rFonts w:ascii="Arial" w:cs="Arial" w:eastAsia="Arial" w:hAnsi="Arial"/>
                <w:sz w:val="11"/>
                <w:szCs w:val="11"/>
                <w:color w:val="auto"/>
              </w:rPr>
              <w:t>(92,830)</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580" w:type="dxa"/>
            <w:vAlign w:val="bottom"/>
            <w:shd w:val="clear" w:color="auto" w:fill="CCEEFF"/>
          </w:tcPr>
          <w:p>
            <w:pPr>
              <w:spacing w:after="0" w:line="117" w:lineRule="exact"/>
              <w:rPr>
                <w:sz w:val="20"/>
                <w:szCs w:val="20"/>
                <w:color w:val="auto"/>
              </w:rPr>
            </w:pPr>
            <w:r>
              <w:rPr>
                <w:rFonts w:ascii="Arial" w:cs="Arial" w:eastAsia="Arial" w:hAnsi="Arial"/>
                <w:sz w:val="11"/>
                <w:szCs w:val="11"/>
                <w:color w:val="auto"/>
              </w:rPr>
              <w:t>Purchase and dissolution of remaining noncontrolling interest in subsidiary</w:t>
            </w:r>
          </w:p>
        </w:tc>
        <w:tc>
          <w:tcPr>
            <w:tcW w:w="1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shd w:val="clear" w:color="auto" w:fill="CCEEFF"/>
          </w:tcPr>
          <w:p>
            <w:pPr>
              <w:jc w:val="right"/>
              <w:spacing w:after="0" w:line="117" w:lineRule="exact"/>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shd w:val="clear" w:color="auto" w:fill="CCEEFF"/>
          </w:tcPr>
          <w:p>
            <w:pPr>
              <w:jc w:val="right"/>
              <w:spacing w:after="0" w:line="117" w:lineRule="exact"/>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shd w:val="clear" w:color="auto" w:fill="CCEEFF"/>
          </w:tcPr>
          <w:p>
            <w:pPr>
              <w:jc w:val="right"/>
              <w:spacing w:after="0" w:line="117" w:lineRule="exact"/>
              <w:rPr>
                <w:sz w:val="20"/>
                <w:szCs w:val="20"/>
                <w:color w:val="auto"/>
              </w:rPr>
            </w:pPr>
            <w:r>
              <w:rPr>
                <w:rFonts w:ascii="Arial" w:cs="Arial" w:eastAsia="Arial" w:hAnsi="Arial"/>
                <w:sz w:val="11"/>
                <w:szCs w:val="11"/>
                <w:color w:val="auto"/>
              </w:rPr>
              <w:t>(892)</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580" w:type="dxa"/>
            <w:vAlign w:val="bottom"/>
          </w:tcPr>
          <w:p>
            <w:pPr>
              <w:spacing w:after="0" w:line="117" w:lineRule="exact"/>
              <w:rPr>
                <w:sz w:val="20"/>
                <w:szCs w:val="20"/>
                <w:color w:val="auto"/>
              </w:rPr>
            </w:pPr>
            <w:r>
              <w:rPr>
                <w:rFonts w:ascii="Arial" w:cs="Arial" w:eastAsia="Arial" w:hAnsi="Arial"/>
                <w:sz w:val="11"/>
                <w:szCs w:val="11"/>
                <w:color w:val="auto"/>
              </w:rPr>
              <w:t>Advances of notes receivable</w:t>
            </w:r>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jc w:val="right"/>
              <w:spacing w:after="0" w:line="117" w:lineRule="exact"/>
              <w:rPr>
                <w:sz w:val="20"/>
                <w:szCs w:val="20"/>
                <w:color w:val="auto"/>
              </w:rPr>
            </w:pPr>
            <w:r>
              <w:rPr>
                <w:rFonts w:ascii="Arial" w:cs="Arial" w:eastAsia="Arial" w:hAnsi="Arial"/>
                <w:sz w:val="11"/>
                <w:szCs w:val="11"/>
                <w:color w:val="auto"/>
              </w:rPr>
              <w:t>(434)</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jc w:val="right"/>
              <w:spacing w:after="0" w:line="117" w:lineRule="exact"/>
              <w:rPr>
                <w:sz w:val="20"/>
                <w:szCs w:val="20"/>
                <w:color w:val="auto"/>
              </w:rPr>
            </w:pPr>
            <w:r>
              <w:rPr>
                <w:rFonts w:ascii="Arial" w:cs="Arial" w:eastAsia="Arial" w:hAnsi="Arial"/>
                <w:sz w:val="11"/>
                <w:szCs w:val="11"/>
                <w:color w:val="auto"/>
              </w:rPr>
              <w:t>(234)</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jc w:val="right"/>
              <w:spacing w:after="0" w:line="117" w:lineRule="exact"/>
              <w:rPr>
                <w:sz w:val="20"/>
                <w:szCs w:val="20"/>
                <w:color w:val="auto"/>
              </w:rPr>
            </w:pPr>
            <w:r>
              <w:rPr>
                <w:rFonts w:ascii="Arial" w:cs="Arial" w:eastAsia="Arial" w:hAnsi="Arial"/>
                <w:sz w:val="11"/>
                <w:szCs w:val="11"/>
                <w:color w:val="auto"/>
              </w:rPr>
              <w:t>(6,012)</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580" w:type="dxa"/>
            <w:vAlign w:val="bottom"/>
            <w:shd w:val="clear" w:color="auto" w:fill="CCEEFF"/>
          </w:tcPr>
          <w:p>
            <w:pPr>
              <w:spacing w:after="0" w:line="117" w:lineRule="exact"/>
              <w:rPr>
                <w:sz w:val="20"/>
                <w:szCs w:val="20"/>
                <w:color w:val="auto"/>
              </w:rPr>
            </w:pPr>
            <w:r>
              <w:rPr>
                <w:rFonts w:ascii="Arial" w:cs="Arial" w:eastAsia="Arial" w:hAnsi="Arial"/>
                <w:sz w:val="11"/>
                <w:szCs w:val="11"/>
                <w:color w:val="auto"/>
              </w:rPr>
              <w:t>Collections on notes receivable</w:t>
            </w:r>
          </w:p>
        </w:tc>
        <w:tc>
          <w:tcPr>
            <w:tcW w:w="1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shd w:val="clear" w:color="auto" w:fill="CCEEFF"/>
          </w:tcPr>
          <w:p>
            <w:pPr>
              <w:jc w:val="right"/>
              <w:spacing w:after="0" w:line="117" w:lineRule="exact"/>
              <w:rPr>
                <w:sz w:val="20"/>
                <w:szCs w:val="20"/>
                <w:color w:val="auto"/>
              </w:rPr>
            </w:pPr>
            <w:r>
              <w:rPr>
                <w:rFonts w:ascii="Arial" w:cs="Arial" w:eastAsia="Arial" w:hAnsi="Arial"/>
                <w:sz w:val="11"/>
                <w:szCs w:val="11"/>
                <w:color w:val="auto"/>
              </w:rPr>
              <w:t>768</w:t>
            </w: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shd w:val="clear" w:color="auto" w:fill="CCEEFF"/>
          </w:tcPr>
          <w:p>
            <w:pPr>
              <w:jc w:val="right"/>
              <w:spacing w:after="0" w:line="117" w:lineRule="exact"/>
              <w:rPr>
                <w:sz w:val="20"/>
                <w:szCs w:val="20"/>
                <w:color w:val="auto"/>
              </w:rPr>
            </w:pPr>
            <w:r>
              <w:rPr>
                <w:rFonts w:ascii="Arial" w:cs="Arial" w:eastAsia="Arial" w:hAnsi="Arial"/>
                <w:sz w:val="11"/>
                <w:szCs w:val="11"/>
                <w:color w:val="auto"/>
              </w:rPr>
              <w:t>1,509</w:t>
            </w: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shd w:val="clear" w:color="auto" w:fill="CCEEFF"/>
          </w:tcPr>
          <w:p>
            <w:pPr>
              <w:jc w:val="right"/>
              <w:ind w:right="4"/>
              <w:spacing w:after="0" w:line="117" w:lineRule="exact"/>
              <w:rPr>
                <w:sz w:val="20"/>
                <w:szCs w:val="20"/>
                <w:color w:val="auto"/>
              </w:rPr>
            </w:pPr>
            <w:r>
              <w:rPr>
                <w:rFonts w:ascii="Arial" w:cs="Arial" w:eastAsia="Arial" w:hAnsi="Arial"/>
                <w:sz w:val="11"/>
                <w:szCs w:val="11"/>
                <w:color w:val="auto"/>
              </w:rPr>
              <w:t>7,899</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580" w:type="dxa"/>
            <w:vAlign w:val="bottom"/>
          </w:tcPr>
          <w:p>
            <w:pPr>
              <w:spacing w:after="0" w:line="117" w:lineRule="exact"/>
              <w:rPr>
                <w:sz w:val="20"/>
                <w:szCs w:val="20"/>
                <w:color w:val="auto"/>
              </w:rPr>
            </w:pPr>
            <w:r>
              <w:rPr>
                <w:rFonts w:ascii="Arial" w:cs="Arial" w:eastAsia="Arial" w:hAnsi="Arial"/>
                <w:sz w:val="11"/>
                <w:szCs w:val="11"/>
                <w:color w:val="auto"/>
              </w:rPr>
              <w:t>Purchases of investments</w:t>
            </w:r>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jc w:val="right"/>
              <w:spacing w:after="0" w:line="117" w:lineRule="exact"/>
              <w:rPr>
                <w:sz w:val="20"/>
                <w:szCs w:val="20"/>
                <w:color w:val="auto"/>
              </w:rPr>
            </w:pPr>
            <w:r>
              <w:rPr>
                <w:rFonts w:ascii="Arial" w:cs="Arial" w:eastAsia="Arial" w:hAnsi="Arial"/>
                <w:sz w:val="11"/>
                <w:szCs w:val="11"/>
                <w:color w:val="auto"/>
              </w:rPr>
              <w:t>(13,338)</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jc w:val="right"/>
              <w:spacing w:after="0" w:line="117" w:lineRule="exact"/>
              <w:rPr>
                <w:sz w:val="20"/>
                <w:szCs w:val="20"/>
                <w:color w:val="auto"/>
              </w:rPr>
            </w:pPr>
            <w:r>
              <w:rPr>
                <w:rFonts w:ascii="Arial" w:cs="Arial" w:eastAsia="Arial" w:hAnsi="Arial"/>
                <w:sz w:val="11"/>
                <w:szCs w:val="11"/>
                <w:color w:val="auto"/>
              </w:rPr>
              <w:t>(13,518)</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jc w:val="right"/>
              <w:spacing w:after="0" w:line="117" w:lineRule="exact"/>
              <w:rPr>
                <w:sz w:val="20"/>
                <w:szCs w:val="20"/>
                <w:color w:val="auto"/>
              </w:rPr>
            </w:pPr>
            <w:r>
              <w:rPr>
                <w:rFonts w:ascii="Arial" w:cs="Arial" w:eastAsia="Arial" w:hAnsi="Arial"/>
                <w:sz w:val="11"/>
                <w:szCs w:val="11"/>
                <w:color w:val="auto"/>
              </w:rPr>
              <w:t>(5,666)</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580" w:type="dxa"/>
            <w:vAlign w:val="bottom"/>
            <w:shd w:val="clear" w:color="auto" w:fill="CCEEFF"/>
          </w:tcPr>
          <w:p>
            <w:pPr>
              <w:spacing w:after="0" w:line="117" w:lineRule="exact"/>
              <w:rPr>
                <w:sz w:val="20"/>
                <w:szCs w:val="20"/>
                <w:color w:val="auto"/>
              </w:rPr>
            </w:pPr>
            <w:r>
              <w:rPr>
                <w:rFonts w:ascii="Arial" w:cs="Arial" w:eastAsia="Arial" w:hAnsi="Arial"/>
                <w:sz w:val="11"/>
                <w:szCs w:val="11"/>
                <w:color w:val="auto"/>
              </w:rPr>
              <w:t>Proceeds from sale of investments</w:t>
            </w:r>
          </w:p>
        </w:tc>
        <w:tc>
          <w:tcPr>
            <w:tcW w:w="1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shd w:val="clear" w:color="auto" w:fill="CCEEFF"/>
          </w:tcPr>
          <w:p>
            <w:pPr>
              <w:jc w:val="right"/>
              <w:spacing w:after="0" w:line="117" w:lineRule="exact"/>
              <w:rPr>
                <w:sz w:val="20"/>
                <w:szCs w:val="20"/>
                <w:color w:val="auto"/>
              </w:rPr>
            </w:pPr>
            <w:r>
              <w:rPr>
                <w:rFonts w:ascii="Arial" w:cs="Arial" w:eastAsia="Arial" w:hAnsi="Arial"/>
                <w:sz w:val="11"/>
                <w:szCs w:val="11"/>
                <w:color w:val="auto"/>
              </w:rPr>
              <w:t>3,678</w:t>
            </w: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shd w:val="clear" w:color="auto" w:fill="CCEEFF"/>
          </w:tcPr>
          <w:p>
            <w:pPr>
              <w:jc w:val="right"/>
              <w:spacing w:after="0" w:line="117" w:lineRule="exact"/>
              <w:rPr>
                <w:sz w:val="20"/>
                <w:szCs w:val="20"/>
                <w:color w:val="auto"/>
              </w:rPr>
            </w:pPr>
            <w:r>
              <w:rPr>
                <w:rFonts w:ascii="Arial" w:cs="Arial" w:eastAsia="Arial" w:hAnsi="Arial"/>
                <w:sz w:val="11"/>
                <w:szCs w:val="11"/>
                <w:color w:val="auto"/>
              </w:rPr>
              <w:t>5,103</w:t>
            </w: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shd w:val="clear" w:color="auto" w:fill="CCEEFF"/>
          </w:tcPr>
          <w:p>
            <w:pPr>
              <w:jc w:val="right"/>
              <w:ind w:right="4"/>
              <w:spacing w:after="0" w:line="117" w:lineRule="exact"/>
              <w:rPr>
                <w:sz w:val="20"/>
                <w:szCs w:val="20"/>
                <w:color w:val="auto"/>
              </w:rPr>
            </w:pPr>
            <w:r>
              <w:rPr>
                <w:rFonts w:ascii="Arial" w:cs="Arial" w:eastAsia="Arial" w:hAnsi="Arial"/>
                <w:sz w:val="11"/>
                <w:szCs w:val="11"/>
                <w:color w:val="auto"/>
              </w:rPr>
              <w:t>2,568</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580" w:type="dxa"/>
            <w:vAlign w:val="bottom"/>
            <w:tcBorders>
              <w:bottom w:val="single" w:sz="8" w:color="CCEEFF"/>
            </w:tcBorders>
          </w:tcPr>
          <w:p>
            <w:pPr>
              <w:spacing w:after="0" w:line="117" w:lineRule="exact"/>
              <w:rPr>
                <w:sz w:val="20"/>
                <w:szCs w:val="20"/>
                <w:color w:val="auto"/>
              </w:rPr>
            </w:pPr>
            <w:r>
              <w:rPr>
                <w:rFonts w:ascii="Arial" w:cs="Arial" w:eastAsia="Arial" w:hAnsi="Arial"/>
                <w:sz w:val="11"/>
                <w:szCs w:val="11"/>
                <w:color w:val="auto"/>
              </w:rPr>
              <w:t>Other</w:t>
            </w:r>
          </w:p>
        </w:tc>
        <w:tc>
          <w:tcPr>
            <w:tcW w:w="120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spacing w:after="0" w:line="117" w:lineRule="exact"/>
              <w:rPr>
                <w:sz w:val="20"/>
                <w:szCs w:val="20"/>
                <w:color w:val="auto"/>
              </w:rPr>
            </w:pPr>
            <w:r>
              <w:rPr>
                <w:rFonts w:ascii="Arial" w:cs="Arial" w:eastAsia="Arial" w:hAnsi="Arial"/>
                <w:sz w:val="11"/>
                <w:szCs w:val="11"/>
                <w:color w:val="auto"/>
              </w:rPr>
              <w:t>(400)</w:t>
            </w:r>
          </w:p>
        </w:tc>
        <w:tc>
          <w:tcPr>
            <w:tcW w:w="22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spacing w:after="0" w:line="117" w:lineRule="exact"/>
              <w:rPr>
                <w:sz w:val="20"/>
                <w:szCs w:val="20"/>
                <w:color w:val="auto"/>
              </w:rPr>
            </w:pPr>
            <w:r>
              <w:rPr>
                <w:rFonts w:ascii="Arial" w:cs="Arial" w:eastAsia="Arial" w:hAnsi="Arial"/>
                <w:sz w:val="11"/>
                <w:szCs w:val="11"/>
                <w:color w:val="auto"/>
              </w:rPr>
              <w:t>(1,735)</w:t>
            </w:r>
          </w:p>
        </w:tc>
        <w:tc>
          <w:tcPr>
            <w:tcW w:w="22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spacing w:after="0" w:line="117" w:lineRule="exact"/>
              <w:rPr>
                <w:sz w:val="20"/>
                <w:szCs w:val="20"/>
                <w:color w:val="auto"/>
              </w:rPr>
            </w:pPr>
            <w:r>
              <w:rPr>
                <w:rFonts w:ascii="Arial" w:cs="Arial" w:eastAsia="Arial" w:hAnsi="Arial"/>
                <w:sz w:val="11"/>
                <w:szCs w:val="11"/>
                <w:color w:val="auto"/>
              </w:rPr>
              <w:t>(2,011)</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580" w:type="dxa"/>
            <w:vAlign w:val="bottom"/>
            <w:shd w:val="clear" w:color="auto" w:fill="CCEEFF"/>
          </w:tcPr>
          <w:p>
            <w:pPr>
              <w:ind w:left="60"/>
              <w:spacing w:after="0" w:line="117" w:lineRule="exact"/>
              <w:rPr>
                <w:sz w:val="20"/>
                <w:szCs w:val="20"/>
                <w:color w:val="auto"/>
              </w:rPr>
            </w:pPr>
            <w:r>
              <w:rPr>
                <w:rFonts w:ascii="Arial" w:cs="Arial" w:eastAsia="Arial" w:hAnsi="Arial"/>
                <w:sz w:val="11"/>
                <w:szCs w:val="11"/>
                <w:color w:val="auto"/>
              </w:rPr>
              <w:t>NET CASH USED IN INVESTING ACTIVITIES</w:t>
            </w:r>
          </w:p>
        </w:tc>
        <w:tc>
          <w:tcPr>
            <w:tcW w:w="1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shd w:val="clear" w:color="auto" w:fill="CCEEFF"/>
          </w:tcPr>
          <w:p>
            <w:pPr>
              <w:jc w:val="right"/>
              <w:spacing w:after="0" w:line="117" w:lineRule="exact"/>
              <w:rPr>
                <w:sz w:val="20"/>
                <w:szCs w:val="20"/>
                <w:color w:val="auto"/>
              </w:rPr>
            </w:pPr>
            <w:r>
              <w:rPr>
                <w:rFonts w:ascii="Arial" w:cs="Arial" w:eastAsia="Arial" w:hAnsi="Arial"/>
                <w:sz w:val="11"/>
                <w:szCs w:val="11"/>
                <w:color w:val="auto"/>
              </w:rPr>
              <w:t>(121,232)</w:t>
            </w: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shd w:val="clear" w:color="auto" w:fill="CCEEFF"/>
          </w:tcPr>
          <w:p>
            <w:pPr>
              <w:jc w:val="right"/>
              <w:spacing w:after="0" w:line="117" w:lineRule="exact"/>
              <w:rPr>
                <w:sz w:val="20"/>
                <w:szCs w:val="20"/>
                <w:color w:val="auto"/>
              </w:rPr>
            </w:pPr>
            <w:r>
              <w:rPr>
                <w:rFonts w:ascii="Arial" w:cs="Arial" w:eastAsia="Arial" w:hAnsi="Arial"/>
                <w:sz w:val="11"/>
                <w:szCs w:val="11"/>
                <w:color w:val="auto"/>
              </w:rPr>
              <w:t>(137,659)</w:t>
            </w: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shd w:val="clear" w:color="auto" w:fill="CCEEFF"/>
          </w:tcPr>
          <w:p>
            <w:pPr>
              <w:jc w:val="right"/>
              <w:spacing w:after="0" w:line="117" w:lineRule="exact"/>
              <w:rPr>
                <w:sz w:val="20"/>
                <w:szCs w:val="20"/>
                <w:color w:val="auto"/>
              </w:rPr>
            </w:pPr>
            <w:r>
              <w:rPr>
                <w:rFonts w:ascii="Arial" w:cs="Arial" w:eastAsia="Arial" w:hAnsi="Arial"/>
                <w:sz w:val="11"/>
                <w:szCs w:val="11"/>
                <w:color w:val="auto"/>
              </w:rPr>
              <w:t>(227,657)</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580" w:type="dxa"/>
            <w:vAlign w:val="bottom"/>
          </w:tcPr>
          <w:p>
            <w:pPr>
              <w:spacing w:after="0" w:line="117" w:lineRule="exact"/>
              <w:rPr>
                <w:sz w:val="20"/>
                <w:szCs w:val="20"/>
                <w:color w:val="auto"/>
              </w:rPr>
            </w:pPr>
            <w:r>
              <w:rPr>
                <w:rFonts w:ascii="Arial" w:cs="Arial" w:eastAsia="Arial" w:hAnsi="Arial"/>
                <w:sz w:val="11"/>
                <w:szCs w:val="11"/>
                <w:color w:val="auto"/>
              </w:rPr>
              <w:t>CASH FLOWS FROM FINANCING ACTIVITIES:</w:t>
            </w:r>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580" w:type="dxa"/>
            <w:vAlign w:val="bottom"/>
            <w:shd w:val="clear" w:color="auto" w:fill="CCEEFF"/>
          </w:tcPr>
          <w:p>
            <w:pPr>
              <w:spacing w:after="0" w:line="117" w:lineRule="exact"/>
              <w:rPr>
                <w:sz w:val="20"/>
                <w:szCs w:val="20"/>
                <w:color w:val="auto"/>
              </w:rPr>
            </w:pPr>
            <w:r>
              <w:rPr>
                <w:rFonts w:ascii="Arial" w:cs="Arial" w:eastAsia="Arial" w:hAnsi="Arial"/>
                <w:sz w:val="11"/>
                <w:szCs w:val="11"/>
                <w:color w:val="auto"/>
              </w:rPr>
              <w:t>Borrowings under revolving credit facilities</w:t>
            </w:r>
          </w:p>
        </w:tc>
        <w:tc>
          <w:tcPr>
            <w:tcW w:w="1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shd w:val="clear" w:color="auto" w:fill="CCEEFF"/>
          </w:tcPr>
          <w:p>
            <w:pPr>
              <w:jc w:val="right"/>
              <w:spacing w:after="0" w:line="117" w:lineRule="exact"/>
              <w:rPr>
                <w:sz w:val="20"/>
                <w:szCs w:val="20"/>
                <w:color w:val="auto"/>
              </w:rPr>
            </w:pPr>
            <w:r>
              <w:rPr>
                <w:rFonts w:ascii="Arial" w:cs="Arial" w:eastAsia="Arial" w:hAnsi="Arial"/>
                <w:sz w:val="11"/>
                <w:szCs w:val="11"/>
                <w:color w:val="auto"/>
              </w:rPr>
              <w:t>732,370</w:t>
            </w: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shd w:val="clear" w:color="auto" w:fill="CCEEFF"/>
          </w:tcPr>
          <w:p>
            <w:pPr>
              <w:jc w:val="right"/>
              <w:spacing w:after="0" w:line="117" w:lineRule="exact"/>
              <w:rPr>
                <w:sz w:val="20"/>
                <w:szCs w:val="20"/>
                <w:color w:val="auto"/>
              </w:rPr>
            </w:pPr>
            <w:r>
              <w:rPr>
                <w:rFonts w:ascii="Arial" w:cs="Arial" w:eastAsia="Arial" w:hAnsi="Arial"/>
                <w:sz w:val="11"/>
                <w:szCs w:val="11"/>
                <w:color w:val="auto"/>
              </w:rPr>
              <w:t>758,287</w:t>
            </w: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shd w:val="clear" w:color="auto" w:fill="CCEEFF"/>
          </w:tcPr>
          <w:p>
            <w:pPr>
              <w:jc w:val="right"/>
              <w:ind w:right="4"/>
              <w:spacing w:after="0" w:line="117" w:lineRule="exact"/>
              <w:rPr>
                <w:sz w:val="20"/>
                <w:szCs w:val="20"/>
                <w:color w:val="auto"/>
              </w:rPr>
            </w:pPr>
            <w:r>
              <w:rPr>
                <w:rFonts w:ascii="Arial" w:cs="Arial" w:eastAsia="Arial" w:hAnsi="Arial"/>
                <w:sz w:val="11"/>
                <w:szCs w:val="11"/>
                <w:color w:val="auto"/>
              </w:rPr>
              <w:t>131,002</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580" w:type="dxa"/>
            <w:vAlign w:val="bottom"/>
          </w:tcPr>
          <w:p>
            <w:pPr>
              <w:spacing w:after="0" w:line="117" w:lineRule="exact"/>
              <w:rPr>
                <w:sz w:val="20"/>
                <w:szCs w:val="20"/>
                <w:color w:val="auto"/>
              </w:rPr>
            </w:pPr>
            <w:r>
              <w:rPr>
                <w:rFonts w:ascii="Arial" w:cs="Arial" w:eastAsia="Arial" w:hAnsi="Arial"/>
                <w:sz w:val="11"/>
                <w:szCs w:val="11"/>
                <w:color w:val="auto"/>
              </w:rPr>
              <w:t>Repayments under revolving credit facilities</w:t>
            </w:r>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jc w:val="right"/>
              <w:spacing w:after="0" w:line="117" w:lineRule="exact"/>
              <w:rPr>
                <w:sz w:val="20"/>
                <w:szCs w:val="20"/>
                <w:color w:val="auto"/>
              </w:rPr>
            </w:pPr>
            <w:r>
              <w:rPr>
                <w:rFonts w:ascii="Arial" w:cs="Arial" w:eastAsia="Arial" w:hAnsi="Arial"/>
                <w:sz w:val="11"/>
                <w:szCs w:val="11"/>
                <w:color w:val="auto"/>
              </w:rPr>
              <w:t>(748,496)</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jc w:val="right"/>
              <w:spacing w:after="0" w:line="117" w:lineRule="exact"/>
              <w:rPr>
                <w:sz w:val="20"/>
                <w:szCs w:val="20"/>
                <w:color w:val="auto"/>
              </w:rPr>
            </w:pPr>
            <w:r>
              <w:rPr>
                <w:rFonts w:ascii="Arial" w:cs="Arial" w:eastAsia="Arial" w:hAnsi="Arial"/>
                <w:sz w:val="11"/>
                <w:szCs w:val="11"/>
                <w:color w:val="auto"/>
              </w:rPr>
              <w:t>(722,725)</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jc w:val="right"/>
              <w:spacing w:after="0" w:line="117" w:lineRule="exact"/>
              <w:rPr>
                <w:sz w:val="20"/>
                <w:szCs w:val="20"/>
                <w:color w:val="auto"/>
              </w:rPr>
            </w:pPr>
            <w:r>
              <w:rPr>
                <w:rFonts w:ascii="Arial" w:cs="Arial" w:eastAsia="Arial" w:hAnsi="Arial"/>
                <w:sz w:val="11"/>
                <w:szCs w:val="11"/>
                <w:color w:val="auto"/>
              </w:rPr>
              <w:t>(107,294)</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580" w:type="dxa"/>
            <w:vAlign w:val="bottom"/>
            <w:shd w:val="clear" w:color="auto" w:fill="CCEEFF"/>
          </w:tcPr>
          <w:p>
            <w:pPr>
              <w:spacing w:after="0" w:line="117" w:lineRule="exact"/>
              <w:rPr>
                <w:sz w:val="20"/>
                <w:szCs w:val="20"/>
                <w:color w:val="auto"/>
              </w:rPr>
            </w:pPr>
            <w:r>
              <w:rPr>
                <w:rFonts w:ascii="Arial" w:cs="Arial" w:eastAsia="Arial" w:hAnsi="Arial"/>
                <w:sz w:val="11"/>
                <w:szCs w:val="11"/>
                <w:color w:val="auto"/>
              </w:rPr>
              <w:t>Borrowings of debt</w:t>
            </w:r>
          </w:p>
        </w:tc>
        <w:tc>
          <w:tcPr>
            <w:tcW w:w="1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shd w:val="clear" w:color="auto" w:fill="CCEEFF"/>
          </w:tcPr>
          <w:p>
            <w:pPr>
              <w:jc w:val="right"/>
              <w:spacing w:after="0" w:line="117" w:lineRule="exact"/>
              <w:rPr>
                <w:sz w:val="20"/>
                <w:szCs w:val="20"/>
                <w:color w:val="auto"/>
              </w:rPr>
            </w:pPr>
            <w:r>
              <w:rPr>
                <w:rFonts w:ascii="Arial" w:cs="Arial" w:eastAsia="Arial" w:hAnsi="Arial"/>
                <w:sz w:val="11"/>
                <w:szCs w:val="11"/>
                <w:color w:val="auto"/>
              </w:rPr>
              <w:t>927</w:t>
            </w: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shd w:val="clear" w:color="auto" w:fill="CCEEFF"/>
          </w:tcPr>
          <w:p>
            <w:pPr>
              <w:jc w:val="right"/>
              <w:spacing w:after="0" w:line="117" w:lineRule="exact"/>
              <w:rPr>
                <w:sz w:val="20"/>
                <w:szCs w:val="20"/>
                <w:color w:val="auto"/>
              </w:rPr>
            </w:pPr>
            <w:r>
              <w:rPr>
                <w:rFonts w:ascii="Arial" w:cs="Arial" w:eastAsia="Arial" w:hAnsi="Arial"/>
                <w:sz w:val="11"/>
                <w:szCs w:val="11"/>
                <w:color w:val="auto"/>
              </w:rPr>
              <w:t>8,525</w:t>
            </w: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shd w:val="clear" w:color="auto" w:fill="CCEEFF"/>
          </w:tcPr>
          <w:p>
            <w:pPr>
              <w:jc w:val="right"/>
              <w:ind w:right="4"/>
              <w:spacing w:after="0" w:line="117"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580" w:type="dxa"/>
            <w:vAlign w:val="bottom"/>
          </w:tcPr>
          <w:p>
            <w:pPr>
              <w:spacing w:after="0" w:line="117" w:lineRule="exact"/>
              <w:rPr>
                <w:sz w:val="20"/>
                <w:szCs w:val="20"/>
                <w:color w:val="auto"/>
              </w:rPr>
            </w:pPr>
            <w:r>
              <w:rPr>
                <w:rFonts w:ascii="Arial" w:cs="Arial" w:eastAsia="Arial" w:hAnsi="Arial"/>
                <w:sz w:val="11"/>
                <w:szCs w:val="11"/>
                <w:color w:val="auto"/>
              </w:rPr>
              <w:t>Repayment of debt</w:t>
            </w:r>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jc w:val="right"/>
              <w:spacing w:after="0" w:line="117" w:lineRule="exact"/>
              <w:rPr>
                <w:sz w:val="20"/>
                <w:szCs w:val="20"/>
                <w:color w:val="auto"/>
              </w:rPr>
            </w:pPr>
            <w:r>
              <w:rPr>
                <w:rFonts w:ascii="Arial" w:cs="Arial" w:eastAsia="Arial" w:hAnsi="Arial"/>
                <w:sz w:val="11"/>
                <w:szCs w:val="11"/>
                <w:color w:val="auto"/>
              </w:rPr>
              <w:t>(5,540)</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jc w:val="right"/>
              <w:spacing w:after="0" w:line="117" w:lineRule="exact"/>
              <w:rPr>
                <w:sz w:val="20"/>
                <w:szCs w:val="20"/>
                <w:color w:val="auto"/>
              </w:rPr>
            </w:pPr>
            <w:r>
              <w:rPr>
                <w:rFonts w:ascii="Arial" w:cs="Arial" w:eastAsia="Arial" w:hAnsi="Arial"/>
                <w:sz w:val="11"/>
                <w:szCs w:val="11"/>
                <w:color w:val="auto"/>
              </w:rPr>
              <w:t>(13,347)</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jc w:val="right"/>
              <w:ind w:right="4"/>
              <w:spacing w:after="0" w:line="117"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580" w:type="dxa"/>
            <w:vAlign w:val="bottom"/>
            <w:shd w:val="clear" w:color="auto" w:fill="CCEEFF"/>
          </w:tcPr>
          <w:p>
            <w:pPr>
              <w:spacing w:after="0" w:line="117" w:lineRule="exact"/>
              <w:rPr>
                <w:sz w:val="20"/>
                <w:szCs w:val="20"/>
                <w:color w:val="auto"/>
              </w:rPr>
            </w:pPr>
            <w:r>
              <w:rPr>
                <w:rFonts w:ascii="Arial" w:cs="Arial" w:eastAsia="Arial" w:hAnsi="Arial"/>
                <w:sz w:val="11"/>
                <w:szCs w:val="11"/>
                <w:color w:val="auto"/>
              </w:rPr>
              <w:t>Issuance of long-term debt</w:t>
            </w:r>
          </w:p>
        </w:tc>
        <w:tc>
          <w:tcPr>
            <w:tcW w:w="1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shd w:val="clear" w:color="auto" w:fill="CCEEFF"/>
          </w:tcPr>
          <w:p>
            <w:pPr>
              <w:jc w:val="right"/>
              <w:spacing w:after="0" w:line="117" w:lineRule="exact"/>
              <w:rPr>
                <w:sz w:val="20"/>
                <w:szCs w:val="20"/>
                <w:color w:val="auto"/>
              </w:rPr>
            </w:pPr>
            <w:r>
              <w:rPr>
                <w:rFonts w:ascii="Arial" w:cs="Arial" w:eastAsia="Arial" w:hAnsi="Arial"/>
                <w:sz w:val="11"/>
                <w:szCs w:val="11"/>
                <w:color w:val="auto"/>
              </w:rPr>
              <w:t>75,000</w:t>
            </w: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shd w:val="clear" w:color="auto" w:fill="CCEEFF"/>
          </w:tcPr>
          <w:p>
            <w:pPr>
              <w:jc w:val="right"/>
              <w:spacing w:after="0" w:line="117" w:lineRule="exact"/>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shd w:val="clear" w:color="auto" w:fill="CCEEFF"/>
          </w:tcPr>
          <w:p>
            <w:pPr>
              <w:jc w:val="right"/>
              <w:ind w:right="4"/>
              <w:spacing w:after="0" w:line="117"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580" w:type="dxa"/>
            <w:vAlign w:val="bottom"/>
          </w:tcPr>
          <w:p>
            <w:pPr>
              <w:spacing w:after="0" w:line="117" w:lineRule="exact"/>
              <w:rPr>
                <w:sz w:val="20"/>
                <w:szCs w:val="20"/>
                <w:color w:val="auto"/>
              </w:rPr>
            </w:pPr>
            <w:r>
              <w:rPr>
                <w:rFonts w:ascii="Arial" w:cs="Arial" w:eastAsia="Arial" w:hAnsi="Arial"/>
                <w:sz w:val="11"/>
                <w:szCs w:val="11"/>
                <w:color w:val="auto"/>
              </w:rPr>
              <w:t>Proceeds from issuance of common stock</w:t>
            </w:r>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jc w:val="right"/>
              <w:spacing w:after="0" w:line="117" w:lineRule="exact"/>
              <w:rPr>
                <w:sz w:val="20"/>
                <w:szCs w:val="20"/>
                <w:color w:val="auto"/>
              </w:rPr>
            </w:pPr>
            <w:r>
              <w:rPr>
                <w:rFonts w:ascii="Arial" w:cs="Arial" w:eastAsia="Arial" w:hAnsi="Arial"/>
                <w:sz w:val="11"/>
                <w:szCs w:val="11"/>
                <w:color w:val="auto"/>
              </w:rPr>
              <w:t>1,026</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jc w:val="right"/>
              <w:spacing w:after="0" w:line="117" w:lineRule="exact"/>
              <w:rPr>
                <w:sz w:val="20"/>
                <w:szCs w:val="20"/>
                <w:color w:val="auto"/>
              </w:rPr>
            </w:pPr>
            <w:r>
              <w:rPr>
                <w:rFonts w:ascii="Arial" w:cs="Arial" w:eastAsia="Arial" w:hAnsi="Arial"/>
                <w:sz w:val="11"/>
                <w:szCs w:val="11"/>
                <w:color w:val="auto"/>
              </w:rPr>
              <w:t>660</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jc w:val="right"/>
              <w:ind w:right="4"/>
              <w:spacing w:after="0" w:line="117" w:lineRule="exact"/>
              <w:rPr>
                <w:sz w:val="20"/>
                <w:szCs w:val="20"/>
                <w:color w:val="auto"/>
              </w:rPr>
            </w:pPr>
            <w:r>
              <w:rPr>
                <w:rFonts w:ascii="Arial" w:cs="Arial" w:eastAsia="Arial" w:hAnsi="Arial"/>
                <w:sz w:val="11"/>
                <w:szCs w:val="11"/>
                <w:color w:val="auto"/>
              </w:rPr>
              <w:t>536</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580" w:type="dxa"/>
            <w:vAlign w:val="bottom"/>
            <w:shd w:val="clear" w:color="auto" w:fill="CCEEFF"/>
          </w:tcPr>
          <w:p>
            <w:pPr>
              <w:spacing w:after="0" w:line="117" w:lineRule="exact"/>
              <w:rPr>
                <w:sz w:val="20"/>
                <w:szCs w:val="20"/>
                <w:color w:val="auto"/>
              </w:rPr>
            </w:pPr>
            <w:r>
              <w:rPr>
                <w:rFonts w:ascii="Arial" w:cs="Arial" w:eastAsia="Arial" w:hAnsi="Arial"/>
                <w:sz w:val="11"/>
                <w:szCs w:val="11"/>
                <w:color w:val="auto"/>
              </w:rPr>
              <w:t>Dividends paid to shareholders</w:t>
            </w:r>
          </w:p>
        </w:tc>
        <w:tc>
          <w:tcPr>
            <w:tcW w:w="1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shd w:val="clear" w:color="auto" w:fill="CCEEFF"/>
          </w:tcPr>
          <w:p>
            <w:pPr>
              <w:jc w:val="right"/>
              <w:spacing w:after="0" w:line="117" w:lineRule="exact"/>
              <w:rPr>
                <w:sz w:val="20"/>
                <w:szCs w:val="20"/>
                <w:color w:val="auto"/>
              </w:rPr>
            </w:pPr>
            <w:r>
              <w:rPr>
                <w:rFonts w:ascii="Arial" w:cs="Arial" w:eastAsia="Arial" w:hAnsi="Arial"/>
                <w:sz w:val="11"/>
                <w:szCs w:val="11"/>
                <w:color w:val="auto"/>
              </w:rPr>
              <w:t>(22,072)</w:t>
            </w: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shd w:val="clear" w:color="auto" w:fill="CCEEFF"/>
          </w:tcPr>
          <w:p>
            <w:pPr>
              <w:jc w:val="right"/>
              <w:spacing w:after="0" w:line="117" w:lineRule="exact"/>
              <w:rPr>
                <w:sz w:val="20"/>
                <w:szCs w:val="20"/>
                <w:color w:val="auto"/>
              </w:rPr>
            </w:pPr>
            <w:r>
              <w:rPr>
                <w:rFonts w:ascii="Arial" w:cs="Arial" w:eastAsia="Arial" w:hAnsi="Arial"/>
                <w:sz w:val="11"/>
                <w:szCs w:val="11"/>
                <w:color w:val="auto"/>
              </w:rPr>
              <w:t>(19,607)</w:t>
            </w: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shd w:val="clear" w:color="auto" w:fill="CCEEFF"/>
          </w:tcPr>
          <w:p>
            <w:pPr>
              <w:jc w:val="right"/>
              <w:spacing w:after="0" w:line="117" w:lineRule="exact"/>
              <w:rPr>
                <w:sz w:val="20"/>
                <w:szCs w:val="20"/>
                <w:color w:val="auto"/>
              </w:rPr>
            </w:pPr>
            <w:r>
              <w:rPr>
                <w:rFonts w:ascii="Arial" w:cs="Arial" w:eastAsia="Arial" w:hAnsi="Arial"/>
                <w:sz w:val="11"/>
                <w:szCs w:val="11"/>
                <w:color w:val="auto"/>
              </w:rPr>
              <w:t>(17,680)</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580" w:type="dxa"/>
            <w:vAlign w:val="bottom"/>
          </w:tcPr>
          <w:p>
            <w:pPr>
              <w:spacing w:after="0" w:line="117" w:lineRule="exact"/>
              <w:rPr>
                <w:sz w:val="20"/>
                <w:szCs w:val="20"/>
                <w:color w:val="auto"/>
              </w:rPr>
            </w:pPr>
            <w:r>
              <w:rPr>
                <w:rFonts w:ascii="Arial" w:cs="Arial" w:eastAsia="Arial" w:hAnsi="Arial"/>
                <w:sz w:val="11"/>
                <w:szCs w:val="11"/>
                <w:color w:val="auto"/>
              </w:rPr>
              <w:t>Distributions to noncontrolling interest</w:t>
            </w:r>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jc w:val="right"/>
              <w:spacing w:after="0" w:line="117" w:lineRule="exact"/>
              <w:rPr>
                <w:sz w:val="20"/>
                <w:szCs w:val="20"/>
                <w:color w:val="auto"/>
              </w:rPr>
            </w:pPr>
            <w:r>
              <w:rPr>
                <w:rFonts w:ascii="Arial" w:cs="Arial" w:eastAsia="Arial" w:hAnsi="Arial"/>
                <w:sz w:val="11"/>
                <w:szCs w:val="11"/>
                <w:color w:val="auto"/>
              </w:rPr>
              <w:t>(3,139)</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jc w:val="right"/>
              <w:spacing w:after="0" w:line="117" w:lineRule="exact"/>
              <w:rPr>
                <w:sz w:val="20"/>
                <w:szCs w:val="20"/>
                <w:color w:val="auto"/>
              </w:rPr>
            </w:pPr>
            <w:r>
              <w:rPr>
                <w:rFonts w:ascii="Arial" w:cs="Arial" w:eastAsia="Arial" w:hAnsi="Arial"/>
                <w:sz w:val="11"/>
                <w:szCs w:val="11"/>
                <w:color w:val="auto"/>
              </w:rPr>
              <w:t>(4,032)</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jc w:val="right"/>
              <w:spacing w:after="0" w:line="117" w:lineRule="exact"/>
              <w:rPr>
                <w:sz w:val="20"/>
                <w:szCs w:val="20"/>
                <w:color w:val="auto"/>
              </w:rPr>
            </w:pPr>
            <w:r>
              <w:rPr>
                <w:rFonts w:ascii="Arial" w:cs="Arial" w:eastAsia="Arial" w:hAnsi="Arial"/>
                <w:sz w:val="11"/>
                <w:szCs w:val="11"/>
                <w:color w:val="auto"/>
              </w:rPr>
              <w:t>(3,280)</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580" w:type="dxa"/>
            <w:vAlign w:val="bottom"/>
            <w:shd w:val="clear" w:color="auto" w:fill="CCEEFF"/>
          </w:tcPr>
          <w:p>
            <w:pPr>
              <w:spacing w:after="0" w:line="117" w:lineRule="exact"/>
              <w:rPr>
                <w:sz w:val="20"/>
                <w:szCs w:val="20"/>
                <w:color w:val="auto"/>
              </w:rPr>
            </w:pPr>
            <w:r>
              <w:rPr>
                <w:rFonts w:ascii="Arial" w:cs="Arial" w:eastAsia="Arial" w:hAnsi="Arial"/>
                <w:sz w:val="11"/>
                <w:szCs w:val="11"/>
                <w:color w:val="auto"/>
              </w:rPr>
              <w:t>Repurchase of common stock</w:t>
            </w:r>
          </w:p>
        </w:tc>
        <w:tc>
          <w:tcPr>
            <w:tcW w:w="1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shd w:val="clear" w:color="auto" w:fill="CCEEFF"/>
          </w:tcPr>
          <w:p>
            <w:pPr>
              <w:jc w:val="right"/>
              <w:spacing w:after="0" w:line="117" w:lineRule="exact"/>
              <w:rPr>
                <w:sz w:val="20"/>
                <w:szCs w:val="20"/>
                <w:color w:val="auto"/>
              </w:rPr>
            </w:pPr>
            <w:r>
              <w:rPr>
                <w:rFonts w:ascii="Arial" w:cs="Arial" w:eastAsia="Arial" w:hAnsi="Arial"/>
                <w:sz w:val="11"/>
                <w:szCs w:val="11"/>
                <w:color w:val="auto"/>
              </w:rPr>
              <w:t>(24,629)</w:t>
            </w: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shd w:val="clear" w:color="auto" w:fill="CCEEFF"/>
          </w:tcPr>
          <w:p>
            <w:pPr>
              <w:jc w:val="right"/>
              <w:spacing w:after="0" w:line="117" w:lineRule="exact"/>
              <w:rPr>
                <w:sz w:val="20"/>
                <w:szCs w:val="20"/>
                <w:color w:val="auto"/>
              </w:rPr>
            </w:pPr>
            <w:r>
              <w:rPr>
                <w:rFonts w:ascii="Arial" w:cs="Arial" w:eastAsia="Arial" w:hAnsi="Arial"/>
                <w:sz w:val="11"/>
                <w:szCs w:val="11"/>
                <w:color w:val="auto"/>
              </w:rPr>
              <w:t>(12,977)</w:t>
            </w: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shd w:val="clear" w:color="auto" w:fill="CCEEFF"/>
          </w:tcPr>
          <w:p>
            <w:pPr>
              <w:jc w:val="right"/>
              <w:ind w:right="4"/>
              <w:spacing w:after="0" w:line="117"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580" w:type="dxa"/>
            <w:vAlign w:val="bottom"/>
            <w:tcBorders>
              <w:bottom w:val="single" w:sz="8" w:color="CCEEFF"/>
            </w:tcBorders>
          </w:tcPr>
          <w:p>
            <w:pPr>
              <w:spacing w:after="0" w:line="117" w:lineRule="exact"/>
              <w:rPr>
                <w:sz w:val="20"/>
                <w:szCs w:val="20"/>
                <w:color w:val="auto"/>
              </w:rPr>
            </w:pPr>
            <w:r>
              <w:rPr>
                <w:rFonts w:ascii="Arial" w:cs="Arial" w:eastAsia="Arial" w:hAnsi="Arial"/>
                <w:sz w:val="11"/>
                <w:szCs w:val="11"/>
                <w:color w:val="auto"/>
              </w:rPr>
              <w:t>Other</w:t>
            </w:r>
          </w:p>
        </w:tc>
        <w:tc>
          <w:tcPr>
            <w:tcW w:w="120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spacing w:after="0" w:line="117" w:lineRule="exact"/>
              <w:rPr>
                <w:sz w:val="20"/>
                <w:szCs w:val="20"/>
                <w:color w:val="auto"/>
              </w:rPr>
            </w:pPr>
            <w:r>
              <w:rPr>
                <w:rFonts w:ascii="Arial" w:cs="Arial" w:eastAsia="Arial" w:hAnsi="Arial"/>
                <w:sz w:val="11"/>
                <w:szCs w:val="11"/>
                <w:color w:val="auto"/>
              </w:rPr>
              <w:t>(1,054)</w:t>
            </w:r>
          </w:p>
        </w:tc>
        <w:tc>
          <w:tcPr>
            <w:tcW w:w="22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spacing w:after="0" w:line="117" w:lineRule="exact"/>
              <w:rPr>
                <w:sz w:val="20"/>
                <w:szCs w:val="20"/>
                <w:color w:val="auto"/>
              </w:rPr>
            </w:pPr>
            <w:r>
              <w:rPr>
                <w:rFonts w:ascii="Arial" w:cs="Arial" w:eastAsia="Arial" w:hAnsi="Arial"/>
                <w:sz w:val="11"/>
                <w:szCs w:val="11"/>
                <w:color w:val="auto"/>
              </w:rPr>
              <w:t>(31)</w:t>
            </w:r>
          </w:p>
        </w:tc>
        <w:tc>
          <w:tcPr>
            <w:tcW w:w="22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spacing w:after="0" w:line="117" w:lineRule="exact"/>
              <w:rPr>
                <w:sz w:val="20"/>
                <w:szCs w:val="20"/>
                <w:color w:val="auto"/>
              </w:rPr>
            </w:pPr>
            <w:r>
              <w:rPr>
                <w:rFonts w:ascii="Arial" w:cs="Arial" w:eastAsia="Arial" w:hAnsi="Arial"/>
                <w:sz w:val="11"/>
                <w:szCs w:val="11"/>
                <w:color w:val="auto"/>
              </w:rPr>
              <w:t>(73)</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580" w:type="dxa"/>
            <w:vAlign w:val="bottom"/>
            <w:shd w:val="clear" w:color="auto" w:fill="CCEEFF"/>
          </w:tcPr>
          <w:p>
            <w:pPr>
              <w:ind w:left="60"/>
              <w:spacing w:after="0" w:line="117" w:lineRule="exact"/>
              <w:rPr>
                <w:sz w:val="20"/>
                <w:szCs w:val="20"/>
                <w:color w:val="auto"/>
              </w:rPr>
            </w:pPr>
            <w:r>
              <w:rPr>
                <w:rFonts w:ascii="Arial" w:cs="Arial" w:eastAsia="Arial" w:hAnsi="Arial"/>
                <w:sz w:val="11"/>
                <w:szCs w:val="11"/>
                <w:color w:val="auto"/>
              </w:rPr>
              <w:t>NET CASH FROM (USED IN) FINANCING ACTIVITIES</w:t>
            </w:r>
          </w:p>
        </w:tc>
        <w:tc>
          <w:tcPr>
            <w:tcW w:w="1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shd w:val="clear" w:color="auto" w:fill="CCEEFF"/>
          </w:tcPr>
          <w:p>
            <w:pPr>
              <w:jc w:val="right"/>
              <w:spacing w:after="0" w:line="117" w:lineRule="exact"/>
              <w:rPr>
                <w:sz w:val="20"/>
                <w:szCs w:val="20"/>
                <w:color w:val="auto"/>
              </w:rPr>
            </w:pPr>
            <w:r>
              <w:rPr>
                <w:rFonts w:ascii="Arial" w:cs="Arial" w:eastAsia="Arial" w:hAnsi="Arial"/>
                <w:sz w:val="11"/>
                <w:szCs w:val="11"/>
                <w:color w:val="auto"/>
              </w:rPr>
              <w:t>4,393</w:t>
            </w: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shd w:val="clear" w:color="auto" w:fill="CCEEFF"/>
          </w:tcPr>
          <w:p>
            <w:pPr>
              <w:jc w:val="right"/>
              <w:spacing w:after="0" w:line="117" w:lineRule="exact"/>
              <w:rPr>
                <w:sz w:val="20"/>
                <w:szCs w:val="20"/>
                <w:color w:val="auto"/>
              </w:rPr>
            </w:pPr>
            <w:r>
              <w:rPr>
                <w:rFonts w:ascii="Arial" w:cs="Arial" w:eastAsia="Arial" w:hAnsi="Arial"/>
                <w:sz w:val="11"/>
                <w:szCs w:val="11"/>
                <w:color w:val="auto"/>
              </w:rPr>
              <w:t>(5,247)</w:t>
            </w: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shd w:val="clear" w:color="auto" w:fill="CCEEFF"/>
          </w:tcPr>
          <w:p>
            <w:pPr>
              <w:jc w:val="right"/>
              <w:ind w:right="4"/>
              <w:spacing w:after="0" w:line="117" w:lineRule="exact"/>
              <w:rPr>
                <w:sz w:val="20"/>
                <w:szCs w:val="20"/>
                <w:color w:val="auto"/>
              </w:rPr>
            </w:pPr>
            <w:r>
              <w:rPr>
                <w:rFonts w:ascii="Arial" w:cs="Arial" w:eastAsia="Arial" w:hAnsi="Arial"/>
                <w:sz w:val="11"/>
                <w:szCs w:val="11"/>
                <w:color w:val="auto"/>
              </w:rPr>
              <w:t>3,211</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580" w:type="dxa"/>
            <w:vAlign w:val="bottom"/>
            <w:tcBorders>
              <w:bottom w:val="single" w:sz="8" w:color="CCEEFF"/>
            </w:tcBorders>
          </w:tcPr>
          <w:p>
            <w:pPr>
              <w:spacing w:after="0" w:line="117" w:lineRule="exact"/>
              <w:rPr>
                <w:sz w:val="20"/>
                <w:szCs w:val="20"/>
                <w:color w:val="auto"/>
              </w:rPr>
            </w:pPr>
            <w:r>
              <w:rPr>
                <w:rFonts w:ascii="Arial" w:cs="Arial" w:eastAsia="Arial" w:hAnsi="Arial"/>
                <w:sz w:val="11"/>
                <w:szCs w:val="11"/>
                <w:color w:val="auto"/>
              </w:rPr>
              <w:t>Effect of exchange rate changes on cash</w:t>
            </w:r>
          </w:p>
        </w:tc>
        <w:tc>
          <w:tcPr>
            <w:tcW w:w="120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spacing w:after="0" w:line="117" w:lineRule="exact"/>
              <w:rPr>
                <w:sz w:val="20"/>
                <w:szCs w:val="20"/>
                <w:color w:val="auto"/>
              </w:rPr>
            </w:pPr>
            <w:r>
              <w:rPr>
                <w:rFonts w:ascii="Arial" w:cs="Arial" w:eastAsia="Arial" w:hAnsi="Arial"/>
                <w:sz w:val="11"/>
                <w:szCs w:val="11"/>
                <w:color w:val="auto"/>
              </w:rPr>
              <w:t>(464)</w:t>
            </w:r>
          </w:p>
        </w:tc>
        <w:tc>
          <w:tcPr>
            <w:tcW w:w="22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spacing w:after="0" w:line="117" w:lineRule="exact"/>
              <w:rPr>
                <w:sz w:val="20"/>
                <w:szCs w:val="20"/>
                <w:color w:val="auto"/>
              </w:rPr>
            </w:pPr>
            <w:r>
              <w:rPr>
                <w:rFonts w:ascii="Arial" w:cs="Arial" w:eastAsia="Arial" w:hAnsi="Arial"/>
                <w:sz w:val="11"/>
                <w:szCs w:val="11"/>
                <w:color w:val="auto"/>
              </w:rPr>
              <w:t>650</w:t>
            </w:r>
          </w:p>
        </w:tc>
        <w:tc>
          <w:tcPr>
            <w:tcW w:w="22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spacing w:after="0" w:line="117" w:lineRule="exact"/>
              <w:rPr>
                <w:sz w:val="20"/>
                <w:szCs w:val="20"/>
                <w:color w:val="auto"/>
              </w:rPr>
            </w:pPr>
            <w:r>
              <w:rPr>
                <w:rFonts w:ascii="Arial" w:cs="Arial" w:eastAsia="Arial" w:hAnsi="Arial"/>
                <w:sz w:val="11"/>
                <w:szCs w:val="11"/>
                <w:color w:val="auto"/>
              </w:rPr>
              <w:t>(1,927)</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580" w:type="dxa"/>
            <w:vAlign w:val="bottom"/>
            <w:shd w:val="clear" w:color="auto" w:fill="CCEEFF"/>
          </w:tcPr>
          <w:p>
            <w:pPr>
              <w:spacing w:after="0" w:line="117" w:lineRule="exact"/>
              <w:rPr>
                <w:sz w:val="20"/>
                <w:szCs w:val="20"/>
                <w:color w:val="auto"/>
              </w:rPr>
            </w:pPr>
            <w:r>
              <w:rPr>
                <w:rFonts w:ascii="Arial" w:cs="Arial" w:eastAsia="Arial" w:hAnsi="Arial"/>
                <w:sz w:val="11"/>
                <w:szCs w:val="11"/>
                <w:color w:val="auto"/>
              </w:rPr>
              <w:t>NET CHANGE IN CASH AND CASH EQUIVALENTS</w:t>
            </w:r>
          </w:p>
        </w:tc>
        <w:tc>
          <w:tcPr>
            <w:tcW w:w="1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shd w:val="clear" w:color="auto" w:fill="CCEEFF"/>
          </w:tcPr>
          <w:p>
            <w:pPr>
              <w:jc w:val="right"/>
              <w:spacing w:after="0" w:line="117" w:lineRule="exact"/>
              <w:rPr>
                <w:sz w:val="20"/>
                <w:szCs w:val="20"/>
                <w:color w:val="auto"/>
              </w:rPr>
            </w:pPr>
            <w:r>
              <w:rPr>
                <w:rFonts w:ascii="Arial" w:cs="Arial" w:eastAsia="Arial" w:hAnsi="Arial"/>
                <w:sz w:val="11"/>
                <w:szCs w:val="11"/>
                <w:color w:val="auto"/>
              </w:rPr>
              <w:t>(618)</w:t>
            </w: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shd w:val="clear" w:color="auto" w:fill="CCEEFF"/>
          </w:tcPr>
          <w:p>
            <w:pPr>
              <w:jc w:val="right"/>
              <w:spacing w:after="0" w:line="117" w:lineRule="exact"/>
              <w:rPr>
                <w:sz w:val="20"/>
                <w:szCs w:val="20"/>
                <w:color w:val="auto"/>
              </w:rPr>
            </w:pPr>
            <w:r>
              <w:rPr>
                <w:rFonts w:ascii="Arial" w:cs="Arial" w:eastAsia="Arial" w:hAnsi="Arial"/>
                <w:sz w:val="11"/>
                <w:szCs w:val="11"/>
                <w:color w:val="auto"/>
              </w:rPr>
              <w:t>(5,673)</w:t>
            </w: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shd w:val="clear" w:color="auto" w:fill="CCEEFF"/>
          </w:tcPr>
          <w:p>
            <w:pPr>
              <w:jc w:val="right"/>
              <w:spacing w:after="0" w:line="117" w:lineRule="exact"/>
              <w:rPr>
                <w:sz w:val="20"/>
                <w:szCs w:val="20"/>
                <w:color w:val="auto"/>
              </w:rPr>
            </w:pPr>
            <w:r>
              <w:rPr>
                <w:rFonts w:ascii="Arial" w:cs="Arial" w:eastAsia="Arial" w:hAnsi="Arial"/>
                <w:sz w:val="11"/>
                <w:szCs w:val="11"/>
                <w:color w:val="auto"/>
              </w:rPr>
              <w:t>(53,853)</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580" w:type="dxa"/>
            <w:vAlign w:val="bottom"/>
            <w:tcBorders>
              <w:bottom w:val="single" w:sz="8" w:color="CCEEFF"/>
            </w:tcBorders>
          </w:tcPr>
          <w:p>
            <w:pPr>
              <w:spacing w:after="0" w:line="117" w:lineRule="exact"/>
              <w:rPr>
                <w:sz w:val="20"/>
                <w:szCs w:val="20"/>
                <w:color w:val="auto"/>
              </w:rPr>
            </w:pPr>
            <w:r>
              <w:rPr>
                <w:rFonts w:ascii="Arial" w:cs="Arial" w:eastAsia="Arial" w:hAnsi="Arial"/>
                <w:sz w:val="11"/>
                <w:szCs w:val="11"/>
                <w:color w:val="auto"/>
              </w:rPr>
              <w:t>CASH, CASH EQUIVALENTS, AND RESTRICTED CASH, BEGINNING OF YEAR</w:t>
            </w:r>
          </w:p>
        </w:tc>
        <w:tc>
          <w:tcPr>
            <w:tcW w:w="120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spacing w:after="0" w:line="117" w:lineRule="exact"/>
              <w:rPr>
                <w:sz w:val="20"/>
                <w:szCs w:val="20"/>
                <w:color w:val="auto"/>
              </w:rPr>
            </w:pPr>
            <w:r>
              <w:rPr>
                <w:rFonts w:ascii="Arial" w:cs="Arial" w:eastAsia="Arial" w:hAnsi="Arial"/>
                <w:sz w:val="11"/>
                <w:szCs w:val="11"/>
                <w:color w:val="auto"/>
              </w:rPr>
              <w:t>28,816</w:t>
            </w:r>
          </w:p>
        </w:tc>
        <w:tc>
          <w:tcPr>
            <w:tcW w:w="22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spacing w:after="0" w:line="117" w:lineRule="exact"/>
              <w:rPr>
                <w:sz w:val="20"/>
                <w:szCs w:val="20"/>
                <w:color w:val="auto"/>
              </w:rPr>
            </w:pPr>
            <w:r>
              <w:rPr>
                <w:rFonts w:ascii="Arial" w:cs="Arial" w:eastAsia="Arial" w:hAnsi="Arial"/>
                <w:sz w:val="11"/>
                <w:szCs w:val="11"/>
                <w:color w:val="auto"/>
              </w:rPr>
              <w:t>34,489</w:t>
            </w:r>
          </w:p>
        </w:tc>
        <w:tc>
          <w:tcPr>
            <w:tcW w:w="22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ind w:right="4"/>
              <w:spacing w:after="0" w:line="117" w:lineRule="exact"/>
              <w:rPr>
                <w:sz w:val="20"/>
                <w:szCs w:val="20"/>
                <w:color w:val="auto"/>
              </w:rPr>
            </w:pPr>
            <w:r>
              <w:rPr>
                <w:rFonts w:ascii="Arial" w:cs="Arial" w:eastAsia="Arial" w:hAnsi="Arial"/>
                <w:sz w:val="11"/>
                <w:szCs w:val="11"/>
                <w:color w:val="auto"/>
              </w:rPr>
              <w:t>88,342</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580" w:type="dxa"/>
            <w:vAlign w:val="bottom"/>
            <w:tcBorders>
              <w:bottom w:val="single" w:sz="8" w:color="CCEEFF"/>
            </w:tcBorders>
            <w:shd w:val="clear" w:color="auto" w:fill="CCEEFF"/>
          </w:tcPr>
          <w:p>
            <w:pPr>
              <w:spacing w:after="0" w:line="117" w:lineRule="exact"/>
              <w:rPr>
                <w:sz w:val="20"/>
                <w:szCs w:val="20"/>
                <w:color w:val="auto"/>
              </w:rPr>
            </w:pPr>
            <w:r>
              <w:rPr>
                <w:rFonts w:ascii="Arial" w:cs="Arial" w:eastAsia="Arial" w:hAnsi="Arial"/>
                <w:sz w:val="11"/>
                <w:szCs w:val="11"/>
                <w:color w:val="auto"/>
              </w:rPr>
              <w:t>CASH, CASH EQUIVALENTS, AND RESTRICTED CASH, END OF PERIOD</w:t>
            </w:r>
          </w:p>
        </w:tc>
        <w:tc>
          <w:tcPr>
            <w:tcW w:w="120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shd w:val="clear" w:color="auto" w:fill="CCEEFF"/>
          </w:tcPr>
          <w:p>
            <w:pPr>
              <w:jc w:val="right"/>
              <w:spacing w:after="0" w:line="117" w:lineRule="exact"/>
              <w:rPr>
                <w:sz w:val="20"/>
                <w:szCs w:val="20"/>
                <w:color w:val="auto"/>
              </w:rPr>
            </w:pPr>
            <w:r>
              <w:rPr>
                <w:rFonts w:ascii="Arial" w:cs="Arial" w:eastAsia="Arial" w:hAnsi="Arial"/>
                <w:sz w:val="11"/>
                <w:szCs w:val="11"/>
                <w:color w:val="auto"/>
              </w:rPr>
              <w:t>28,198</w:t>
            </w:r>
          </w:p>
        </w:tc>
        <w:tc>
          <w:tcPr>
            <w:tcW w:w="22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shd w:val="clear" w:color="auto" w:fill="CCEEFF"/>
          </w:tcPr>
          <w:p>
            <w:pPr>
              <w:jc w:val="right"/>
              <w:spacing w:after="0" w:line="117" w:lineRule="exact"/>
              <w:rPr>
                <w:sz w:val="20"/>
                <w:szCs w:val="20"/>
                <w:color w:val="auto"/>
              </w:rPr>
            </w:pPr>
            <w:r>
              <w:rPr>
                <w:rFonts w:ascii="Arial" w:cs="Arial" w:eastAsia="Arial" w:hAnsi="Arial"/>
                <w:sz w:val="11"/>
                <w:szCs w:val="11"/>
                <w:color w:val="auto"/>
              </w:rPr>
              <w:t>28,816</w:t>
            </w:r>
          </w:p>
        </w:tc>
        <w:tc>
          <w:tcPr>
            <w:tcW w:w="22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5"/>
                <w:szCs w:val="5"/>
                <w:color w:val="auto"/>
                <w:w w:val="70"/>
              </w:rPr>
              <w:t>$</w:t>
            </w:r>
          </w:p>
        </w:tc>
        <w:tc>
          <w:tcPr>
            <w:tcW w:w="860" w:type="dxa"/>
            <w:vAlign w:val="bottom"/>
            <w:tcBorders>
              <w:bottom w:val="single" w:sz="8" w:color="auto"/>
            </w:tcBorders>
            <w:shd w:val="clear" w:color="auto" w:fill="CCEEFF"/>
          </w:tcPr>
          <w:p>
            <w:pPr>
              <w:jc w:val="right"/>
              <w:ind w:right="4"/>
              <w:spacing w:after="0" w:line="117" w:lineRule="exact"/>
              <w:rPr>
                <w:sz w:val="20"/>
                <w:szCs w:val="20"/>
                <w:color w:val="auto"/>
              </w:rPr>
            </w:pPr>
            <w:r>
              <w:rPr>
                <w:rFonts w:ascii="Arial" w:cs="Arial" w:eastAsia="Arial" w:hAnsi="Arial"/>
                <w:sz w:val="11"/>
                <w:szCs w:val="11"/>
                <w:color w:val="auto"/>
              </w:rPr>
              <w:t>34,489</w:t>
            </w:r>
          </w:p>
        </w:tc>
        <w:tc>
          <w:tcPr>
            <w:tcW w:w="0" w:type="dxa"/>
            <w:vAlign w:val="bottom"/>
          </w:tcPr>
          <w:p>
            <w:pPr>
              <w:spacing w:after="0"/>
              <w:rPr>
                <w:sz w:val="1"/>
                <w:szCs w:val="1"/>
                <w:color w:val="auto"/>
              </w:rPr>
            </w:pPr>
          </w:p>
        </w:tc>
      </w:tr>
      <w:tr>
        <w:trPr>
          <w:trHeight w:val="64"/>
        </w:trPr>
        <w:tc>
          <w:tcPr>
            <w:tcW w:w="20" w:type="dxa"/>
            <w:vAlign w:val="bottom"/>
            <w:vMerge w:val="restart"/>
          </w:tcPr>
          <w:p>
            <w:pPr>
              <w:spacing w:after="0"/>
              <w:rPr>
                <w:sz w:val="5"/>
                <w:szCs w:val="5"/>
                <w:color w:val="auto"/>
              </w:rPr>
            </w:pPr>
          </w:p>
        </w:tc>
        <w:tc>
          <w:tcPr>
            <w:tcW w:w="55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7"/>
        </w:trPr>
        <w:tc>
          <w:tcPr>
            <w:tcW w:w="20" w:type="dxa"/>
            <w:vAlign w:val="bottom"/>
            <w:vMerge w:val="continue"/>
          </w:tcPr>
          <w:p>
            <w:pPr>
              <w:spacing w:after="0"/>
              <w:rPr>
                <w:sz w:val="10"/>
                <w:szCs w:val="10"/>
                <w:color w:val="auto"/>
              </w:rPr>
            </w:pPr>
          </w:p>
        </w:tc>
        <w:tc>
          <w:tcPr>
            <w:tcW w:w="5580" w:type="dxa"/>
            <w:vAlign w:val="bottom"/>
            <w:shd w:val="clear" w:color="auto" w:fill="CCEEFF"/>
          </w:tcPr>
          <w:p>
            <w:pPr>
              <w:spacing w:after="0" w:line="117" w:lineRule="exact"/>
              <w:rPr>
                <w:sz w:val="20"/>
                <w:szCs w:val="20"/>
                <w:color w:val="auto"/>
              </w:rPr>
            </w:pPr>
            <w:r>
              <w:rPr>
                <w:rFonts w:ascii="Arial" w:cs="Arial" w:eastAsia="Arial" w:hAnsi="Arial"/>
                <w:sz w:val="11"/>
                <w:szCs w:val="11"/>
                <w:b w:val="1"/>
                <w:bCs w:val="1"/>
                <w:color w:val="auto"/>
              </w:rPr>
              <w:t>RECONCILIATION OF CASH AND CASH EQUIVALENTS AND RESTRICTED CASH:</w:t>
            </w:r>
          </w:p>
        </w:tc>
        <w:tc>
          <w:tcPr>
            <w:tcW w:w="1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580" w:type="dxa"/>
            <w:vAlign w:val="bottom"/>
          </w:tcPr>
          <w:p>
            <w:pPr>
              <w:spacing w:after="0" w:line="117" w:lineRule="exact"/>
              <w:rPr>
                <w:sz w:val="20"/>
                <w:szCs w:val="20"/>
                <w:color w:val="auto"/>
              </w:rPr>
            </w:pPr>
            <w:r>
              <w:rPr>
                <w:rFonts w:ascii="Arial" w:cs="Arial" w:eastAsia="Arial" w:hAnsi="Arial"/>
                <w:sz w:val="11"/>
                <w:szCs w:val="11"/>
                <w:color w:val="auto"/>
              </w:rPr>
              <w:t>Cash and cash equivalents, beginning of period</w:t>
            </w:r>
          </w:p>
        </w:tc>
        <w:tc>
          <w:tcPr>
            <w:tcW w:w="1300" w:type="dxa"/>
            <w:vAlign w:val="bottom"/>
            <w:gridSpan w:val="2"/>
          </w:tcPr>
          <w:p>
            <w:pPr>
              <w:jc w:val="right"/>
              <w:spacing w:after="0" w:line="117" w:lineRule="exact"/>
              <w:rPr>
                <w:sz w:val="20"/>
                <w:szCs w:val="20"/>
                <w:color w:val="auto"/>
              </w:rPr>
            </w:pPr>
            <w:r>
              <w:rPr>
                <w:rFonts w:ascii="Arial" w:cs="Arial" w:eastAsia="Arial" w:hAnsi="Arial"/>
                <w:sz w:val="11"/>
                <w:szCs w:val="11"/>
                <w:color w:val="auto"/>
              </w:rPr>
              <w:t>$</w:t>
            </w:r>
          </w:p>
        </w:tc>
        <w:tc>
          <w:tcPr>
            <w:tcW w:w="860" w:type="dxa"/>
            <w:vAlign w:val="bottom"/>
          </w:tcPr>
          <w:p>
            <w:pPr>
              <w:jc w:val="right"/>
              <w:spacing w:after="0" w:line="117" w:lineRule="exact"/>
              <w:rPr>
                <w:sz w:val="20"/>
                <w:szCs w:val="20"/>
                <w:color w:val="auto"/>
              </w:rPr>
            </w:pPr>
            <w:r>
              <w:rPr>
                <w:rFonts w:ascii="Arial" w:cs="Arial" w:eastAsia="Arial" w:hAnsi="Arial"/>
                <w:sz w:val="11"/>
                <w:szCs w:val="11"/>
                <w:color w:val="auto"/>
              </w:rPr>
              <w:t>28,339</w:t>
            </w:r>
          </w:p>
        </w:tc>
        <w:tc>
          <w:tcPr>
            <w:tcW w:w="320" w:type="dxa"/>
            <w:vAlign w:val="bottom"/>
            <w:gridSpan w:val="2"/>
          </w:tcPr>
          <w:p>
            <w:pPr>
              <w:jc w:val="right"/>
              <w:spacing w:after="0" w:line="117" w:lineRule="exact"/>
              <w:rPr>
                <w:sz w:val="20"/>
                <w:szCs w:val="20"/>
                <w:color w:val="auto"/>
              </w:rPr>
            </w:pPr>
            <w:r>
              <w:rPr>
                <w:rFonts w:ascii="Arial" w:cs="Arial" w:eastAsia="Arial" w:hAnsi="Arial"/>
                <w:sz w:val="11"/>
                <w:szCs w:val="11"/>
                <w:color w:val="auto"/>
              </w:rPr>
              <w:t>$</w:t>
            </w:r>
          </w:p>
        </w:tc>
        <w:tc>
          <w:tcPr>
            <w:tcW w:w="860" w:type="dxa"/>
            <w:vAlign w:val="bottom"/>
          </w:tcPr>
          <w:p>
            <w:pPr>
              <w:jc w:val="right"/>
              <w:spacing w:after="0" w:line="117" w:lineRule="exact"/>
              <w:rPr>
                <w:sz w:val="20"/>
                <w:szCs w:val="20"/>
                <w:color w:val="auto"/>
              </w:rPr>
            </w:pPr>
            <w:r>
              <w:rPr>
                <w:rFonts w:ascii="Arial" w:cs="Arial" w:eastAsia="Arial" w:hAnsi="Arial"/>
                <w:sz w:val="11"/>
                <w:szCs w:val="11"/>
                <w:color w:val="auto"/>
              </w:rPr>
              <w:t>34,091</w:t>
            </w:r>
          </w:p>
        </w:tc>
        <w:tc>
          <w:tcPr>
            <w:tcW w:w="320" w:type="dxa"/>
            <w:vAlign w:val="bottom"/>
            <w:gridSpan w:val="2"/>
          </w:tcPr>
          <w:p>
            <w:pPr>
              <w:jc w:val="right"/>
              <w:ind w:right="37"/>
              <w:spacing w:after="0" w:line="117" w:lineRule="exact"/>
              <w:rPr>
                <w:sz w:val="20"/>
                <w:szCs w:val="20"/>
                <w:color w:val="auto"/>
              </w:rPr>
            </w:pPr>
            <w:r>
              <w:rPr>
                <w:rFonts w:ascii="Arial" w:cs="Arial" w:eastAsia="Arial" w:hAnsi="Arial"/>
                <w:sz w:val="11"/>
                <w:szCs w:val="11"/>
                <w:color w:val="auto"/>
              </w:rPr>
              <w:t>$</w:t>
            </w:r>
          </w:p>
        </w:tc>
        <w:tc>
          <w:tcPr>
            <w:tcW w:w="860" w:type="dxa"/>
            <w:vAlign w:val="bottom"/>
          </w:tcPr>
          <w:p>
            <w:pPr>
              <w:jc w:val="right"/>
              <w:ind w:right="4"/>
              <w:spacing w:after="0" w:line="117" w:lineRule="exact"/>
              <w:rPr>
                <w:sz w:val="20"/>
                <w:szCs w:val="20"/>
                <w:color w:val="auto"/>
              </w:rPr>
            </w:pPr>
            <w:r>
              <w:rPr>
                <w:rFonts w:ascii="Arial" w:cs="Arial" w:eastAsia="Arial" w:hAnsi="Arial"/>
                <w:sz w:val="11"/>
                <w:szCs w:val="11"/>
                <w:color w:val="auto"/>
              </w:rPr>
              <w:t>87,756</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580" w:type="dxa"/>
            <w:vAlign w:val="bottom"/>
            <w:shd w:val="clear" w:color="auto" w:fill="CCEEFF"/>
          </w:tcPr>
          <w:p>
            <w:pPr>
              <w:spacing w:after="0" w:line="117" w:lineRule="exact"/>
              <w:rPr>
                <w:sz w:val="20"/>
                <w:szCs w:val="20"/>
                <w:color w:val="auto"/>
              </w:rPr>
            </w:pPr>
            <w:r>
              <w:rPr>
                <w:rFonts w:ascii="Arial" w:cs="Arial" w:eastAsia="Arial" w:hAnsi="Arial"/>
                <w:sz w:val="11"/>
                <w:szCs w:val="11"/>
                <w:color w:val="auto"/>
              </w:rPr>
              <w:t>Restricted cash, beginning of period</w:t>
            </w:r>
          </w:p>
        </w:tc>
        <w:tc>
          <w:tcPr>
            <w:tcW w:w="1200" w:type="dxa"/>
            <w:vAlign w:val="bottom"/>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860" w:type="dxa"/>
            <w:vAlign w:val="bottom"/>
            <w:tcBorders>
              <w:bottom w:val="single" w:sz="8" w:color="auto"/>
            </w:tcBorders>
            <w:shd w:val="clear" w:color="auto" w:fill="CCEEFF"/>
          </w:tcPr>
          <w:p>
            <w:pPr>
              <w:jc w:val="right"/>
              <w:spacing w:after="0" w:line="117" w:lineRule="exact"/>
              <w:rPr>
                <w:sz w:val="20"/>
                <w:szCs w:val="20"/>
                <w:color w:val="auto"/>
              </w:rPr>
            </w:pPr>
            <w:r>
              <w:rPr>
                <w:rFonts w:ascii="Arial" w:cs="Arial" w:eastAsia="Arial" w:hAnsi="Arial"/>
                <w:sz w:val="11"/>
                <w:szCs w:val="11"/>
                <w:color w:val="auto"/>
              </w:rPr>
              <w:t>477</w:t>
            </w:r>
          </w:p>
        </w:tc>
        <w:tc>
          <w:tcPr>
            <w:tcW w:w="220" w:type="dxa"/>
            <w:vAlign w:val="bottom"/>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860" w:type="dxa"/>
            <w:vAlign w:val="bottom"/>
            <w:tcBorders>
              <w:bottom w:val="single" w:sz="8" w:color="auto"/>
            </w:tcBorders>
            <w:shd w:val="clear" w:color="auto" w:fill="CCEEFF"/>
          </w:tcPr>
          <w:p>
            <w:pPr>
              <w:jc w:val="right"/>
              <w:spacing w:after="0" w:line="117" w:lineRule="exact"/>
              <w:rPr>
                <w:sz w:val="20"/>
                <w:szCs w:val="20"/>
                <w:color w:val="auto"/>
              </w:rPr>
            </w:pPr>
            <w:r>
              <w:rPr>
                <w:rFonts w:ascii="Arial" w:cs="Arial" w:eastAsia="Arial" w:hAnsi="Arial"/>
                <w:sz w:val="11"/>
                <w:szCs w:val="11"/>
                <w:color w:val="auto"/>
              </w:rPr>
              <w:t>398</w:t>
            </w:r>
          </w:p>
        </w:tc>
        <w:tc>
          <w:tcPr>
            <w:tcW w:w="220" w:type="dxa"/>
            <w:vAlign w:val="bottom"/>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860" w:type="dxa"/>
            <w:vAlign w:val="bottom"/>
            <w:tcBorders>
              <w:bottom w:val="single" w:sz="8" w:color="auto"/>
            </w:tcBorders>
            <w:shd w:val="clear" w:color="auto" w:fill="CCEEFF"/>
          </w:tcPr>
          <w:p>
            <w:pPr>
              <w:jc w:val="right"/>
              <w:ind w:right="4"/>
              <w:spacing w:after="0" w:line="117" w:lineRule="exact"/>
              <w:rPr>
                <w:sz w:val="20"/>
                <w:szCs w:val="20"/>
                <w:color w:val="auto"/>
              </w:rPr>
            </w:pPr>
            <w:r>
              <w:rPr>
                <w:rFonts w:ascii="Arial" w:cs="Arial" w:eastAsia="Arial" w:hAnsi="Arial"/>
                <w:sz w:val="11"/>
                <w:szCs w:val="11"/>
                <w:color w:val="auto"/>
              </w:rPr>
              <w:t>586</w:t>
            </w:r>
          </w:p>
        </w:tc>
        <w:tc>
          <w:tcPr>
            <w:tcW w:w="0" w:type="dxa"/>
            <w:vAlign w:val="bottom"/>
          </w:tcPr>
          <w:p>
            <w:pPr>
              <w:spacing w:after="0"/>
              <w:rPr>
                <w:sz w:val="1"/>
                <w:szCs w:val="1"/>
                <w:color w:val="auto"/>
              </w:rPr>
            </w:pPr>
          </w:p>
        </w:tc>
      </w:tr>
      <w:tr>
        <w:trPr>
          <w:trHeight w:val="109"/>
        </w:trPr>
        <w:tc>
          <w:tcPr>
            <w:tcW w:w="5600" w:type="dxa"/>
            <w:vAlign w:val="bottom"/>
            <w:tcBorders>
              <w:bottom w:val="single" w:sz="8" w:color="CCEEFF"/>
            </w:tcBorders>
            <w:gridSpan w:val="2"/>
          </w:tcPr>
          <w:p>
            <w:pPr>
              <w:spacing w:after="0" w:line="107" w:lineRule="exact"/>
              <w:rPr>
                <w:sz w:val="20"/>
                <w:szCs w:val="20"/>
                <w:color w:val="auto"/>
              </w:rPr>
            </w:pPr>
            <w:r>
              <w:rPr>
                <w:rFonts w:ascii="Arial" w:cs="Arial" w:eastAsia="Arial" w:hAnsi="Arial"/>
                <w:sz w:val="11"/>
                <w:szCs w:val="11"/>
                <w:color w:val="auto"/>
              </w:rPr>
              <w:t>Cash, cash equivalents, and restricted cash, beginning of period</w:t>
            </w:r>
          </w:p>
        </w:tc>
        <w:tc>
          <w:tcPr>
            <w:tcW w:w="1200" w:type="dxa"/>
            <w:vAlign w:val="bottom"/>
            <w:tcBorders>
              <w:bottom w:val="single" w:sz="8" w:color="CCEEFF"/>
            </w:tcBorders>
          </w:tcPr>
          <w:p>
            <w:pPr>
              <w:spacing w:after="0"/>
              <w:rPr>
                <w:sz w:val="9"/>
                <w:szCs w:val="9"/>
                <w:color w:val="auto"/>
              </w:rPr>
            </w:pPr>
          </w:p>
        </w:tc>
        <w:tc>
          <w:tcPr>
            <w:tcW w:w="100" w:type="dxa"/>
            <w:vAlign w:val="bottom"/>
            <w:tcBorders>
              <w:bottom w:val="single" w:sz="8" w:color="auto"/>
            </w:tcBorders>
          </w:tcPr>
          <w:p>
            <w:pPr>
              <w:jc w:val="right"/>
              <w:spacing w:after="0" w:line="108" w:lineRule="exact"/>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tcPr>
          <w:p>
            <w:pPr>
              <w:jc w:val="right"/>
              <w:spacing w:after="0" w:line="107" w:lineRule="exact"/>
              <w:rPr>
                <w:sz w:val="20"/>
                <w:szCs w:val="20"/>
                <w:color w:val="auto"/>
              </w:rPr>
            </w:pPr>
            <w:r>
              <w:rPr>
                <w:rFonts w:ascii="Arial" w:cs="Arial" w:eastAsia="Arial" w:hAnsi="Arial"/>
                <w:sz w:val="11"/>
                <w:szCs w:val="11"/>
                <w:color w:val="auto"/>
              </w:rPr>
              <w:t>28,816</w:t>
            </w:r>
          </w:p>
        </w:tc>
        <w:tc>
          <w:tcPr>
            <w:tcW w:w="220" w:type="dxa"/>
            <w:vAlign w:val="bottom"/>
            <w:tcBorders>
              <w:bottom w:val="single" w:sz="8" w:color="CCEEFF"/>
            </w:tcBorders>
          </w:tcPr>
          <w:p>
            <w:pPr>
              <w:spacing w:after="0"/>
              <w:rPr>
                <w:sz w:val="9"/>
                <w:szCs w:val="9"/>
                <w:color w:val="auto"/>
              </w:rPr>
            </w:pPr>
          </w:p>
        </w:tc>
        <w:tc>
          <w:tcPr>
            <w:tcW w:w="100" w:type="dxa"/>
            <w:vAlign w:val="bottom"/>
            <w:tcBorders>
              <w:bottom w:val="single" w:sz="8" w:color="auto"/>
            </w:tcBorders>
          </w:tcPr>
          <w:p>
            <w:pPr>
              <w:jc w:val="right"/>
              <w:spacing w:after="0" w:line="108" w:lineRule="exact"/>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tcPr>
          <w:p>
            <w:pPr>
              <w:jc w:val="right"/>
              <w:spacing w:after="0" w:line="107" w:lineRule="exact"/>
              <w:rPr>
                <w:sz w:val="20"/>
                <w:szCs w:val="20"/>
                <w:color w:val="auto"/>
              </w:rPr>
            </w:pPr>
            <w:r>
              <w:rPr>
                <w:rFonts w:ascii="Arial" w:cs="Arial" w:eastAsia="Arial" w:hAnsi="Arial"/>
                <w:sz w:val="11"/>
                <w:szCs w:val="11"/>
                <w:color w:val="auto"/>
              </w:rPr>
              <w:t>34,489</w:t>
            </w:r>
          </w:p>
        </w:tc>
        <w:tc>
          <w:tcPr>
            <w:tcW w:w="220" w:type="dxa"/>
            <w:vAlign w:val="bottom"/>
            <w:tcBorders>
              <w:bottom w:val="single" w:sz="8" w:color="CCEEFF"/>
            </w:tcBorders>
          </w:tcPr>
          <w:p>
            <w:pPr>
              <w:spacing w:after="0"/>
              <w:rPr>
                <w:sz w:val="9"/>
                <w:szCs w:val="9"/>
                <w:color w:val="auto"/>
              </w:rPr>
            </w:pPr>
          </w:p>
        </w:tc>
        <w:tc>
          <w:tcPr>
            <w:tcW w:w="100" w:type="dxa"/>
            <w:vAlign w:val="bottom"/>
            <w:tcBorders>
              <w:bottom w:val="single" w:sz="8" w:color="auto"/>
            </w:tcBorders>
          </w:tcPr>
          <w:p>
            <w:pPr>
              <w:jc w:val="right"/>
              <w:ind w:right="37"/>
              <w:spacing w:after="0"/>
              <w:rPr>
                <w:sz w:val="20"/>
                <w:szCs w:val="20"/>
                <w:color w:val="auto"/>
              </w:rPr>
            </w:pPr>
            <w:r>
              <w:rPr>
                <w:rFonts w:ascii="Arial" w:cs="Arial" w:eastAsia="Arial" w:hAnsi="Arial"/>
                <w:sz w:val="5"/>
                <w:szCs w:val="5"/>
                <w:color w:val="auto"/>
                <w:w w:val="70"/>
              </w:rPr>
              <w:t>$</w:t>
            </w:r>
          </w:p>
        </w:tc>
        <w:tc>
          <w:tcPr>
            <w:tcW w:w="860" w:type="dxa"/>
            <w:vAlign w:val="bottom"/>
            <w:tcBorders>
              <w:bottom w:val="single" w:sz="8" w:color="auto"/>
            </w:tcBorders>
          </w:tcPr>
          <w:p>
            <w:pPr>
              <w:jc w:val="right"/>
              <w:ind w:right="4"/>
              <w:spacing w:after="0" w:line="107" w:lineRule="exact"/>
              <w:rPr>
                <w:sz w:val="20"/>
                <w:szCs w:val="20"/>
                <w:color w:val="auto"/>
              </w:rPr>
            </w:pPr>
            <w:r>
              <w:rPr>
                <w:rFonts w:ascii="Arial" w:cs="Arial" w:eastAsia="Arial" w:hAnsi="Arial"/>
                <w:sz w:val="11"/>
                <w:szCs w:val="11"/>
                <w:color w:val="auto"/>
              </w:rPr>
              <w:t>88,342</w:t>
            </w:r>
          </w:p>
        </w:tc>
        <w:tc>
          <w:tcPr>
            <w:tcW w:w="0" w:type="dxa"/>
            <w:vAlign w:val="bottom"/>
          </w:tcPr>
          <w:p>
            <w:pPr>
              <w:spacing w:after="0"/>
              <w:rPr>
                <w:sz w:val="1"/>
                <w:szCs w:val="1"/>
                <w:color w:val="auto"/>
              </w:rPr>
            </w:pPr>
          </w:p>
        </w:tc>
      </w:tr>
      <w:tr>
        <w:trPr>
          <w:trHeight w:val="64"/>
        </w:trPr>
        <w:tc>
          <w:tcPr>
            <w:tcW w:w="20" w:type="dxa"/>
            <w:vAlign w:val="bottom"/>
            <w:shd w:val="clear" w:color="auto" w:fill="CCEEFF"/>
          </w:tcPr>
          <w:p>
            <w:pPr>
              <w:spacing w:after="0"/>
              <w:rPr>
                <w:sz w:val="5"/>
                <w:szCs w:val="5"/>
                <w:color w:val="auto"/>
              </w:rPr>
            </w:pPr>
          </w:p>
        </w:tc>
        <w:tc>
          <w:tcPr>
            <w:tcW w:w="5580" w:type="dxa"/>
            <w:vAlign w:val="bottom"/>
            <w:shd w:val="clear" w:color="auto" w:fill="CCEEFF"/>
          </w:tcPr>
          <w:p>
            <w:pPr>
              <w:spacing w:after="0"/>
              <w:rPr>
                <w:sz w:val="5"/>
                <w:szCs w:val="5"/>
                <w:color w:val="auto"/>
              </w:rPr>
            </w:pPr>
          </w:p>
        </w:tc>
        <w:tc>
          <w:tcPr>
            <w:tcW w:w="12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6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6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6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17"/>
        </w:trPr>
        <w:tc>
          <w:tcPr>
            <w:tcW w:w="5600" w:type="dxa"/>
            <w:vAlign w:val="bottom"/>
            <w:gridSpan w:val="2"/>
          </w:tcPr>
          <w:p>
            <w:pPr>
              <w:spacing w:after="0" w:line="117" w:lineRule="exact"/>
              <w:rPr>
                <w:sz w:val="20"/>
                <w:szCs w:val="20"/>
                <w:color w:val="auto"/>
              </w:rPr>
            </w:pPr>
            <w:r>
              <w:rPr>
                <w:rFonts w:ascii="Arial" w:cs="Arial" w:eastAsia="Arial" w:hAnsi="Arial"/>
                <w:sz w:val="11"/>
                <w:szCs w:val="11"/>
                <w:color w:val="auto"/>
              </w:rPr>
              <w:t>Cash and cash equivalents, end of period</w:t>
            </w:r>
          </w:p>
        </w:tc>
        <w:tc>
          <w:tcPr>
            <w:tcW w:w="1300" w:type="dxa"/>
            <w:vAlign w:val="bottom"/>
            <w:gridSpan w:val="2"/>
          </w:tcPr>
          <w:p>
            <w:pPr>
              <w:jc w:val="right"/>
              <w:spacing w:after="0" w:line="117" w:lineRule="exact"/>
              <w:rPr>
                <w:sz w:val="20"/>
                <w:szCs w:val="20"/>
                <w:color w:val="auto"/>
              </w:rPr>
            </w:pPr>
            <w:r>
              <w:rPr>
                <w:rFonts w:ascii="Arial" w:cs="Arial" w:eastAsia="Arial" w:hAnsi="Arial"/>
                <w:sz w:val="11"/>
                <w:szCs w:val="11"/>
                <w:color w:val="auto"/>
              </w:rPr>
              <w:t>$</w:t>
            </w:r>
          </w:p>
        </w:tc>
        <w:tc>
          <w:tcPr>
            <w:tcW w:w="860" w:type="dxa"/>
            <w:vAlign w:val="bottom"/>
          </w:tcPr>
          <w:p>
            <w:pPr>
              <w:jc w:val="right"/>
              <w:spacing w:after="0" w:line="117" w:lineRule="exact"/>
              <w:rPr>
                <w:sz w:val="20"/>
                <w:szCs w:val="20"/>
                <w:color w:val="auto"/>
              </w:rPr>
            </w:pPr>
            <w:r>
              <w:rPr>
                <w:rFonts w:ascii="Arial" w:cs="Arial" w:eastAsia="Arial" w:hAnsi="Arial"/>
                <w:sz w:val="11"/>
                <w:szCs w:val="11"/>
                <w:color w:val="auto"/>
              </w:rPr>
              <w:t>27,316</w:t>
            </w:r>
          </w:p>
        </w:tc>
        <w:tc>
          <w:tcPr>
            <w:tcW w:w="320" w:type="dxa"/>
            <w:vAlign w:val="bottom"/>
            <w:gridSpan w:val="2"/>
          </w:tcPr>
          <w:p>
            <w:pPr>
              <w:jc w:val="right"/>
              <w:spacing w:after="0" w:line="117" w:lineRule="exact"/>
              <w:rPr>
                <w:sz w:val="20"/>
                <w:szCs w:val="20"/>
                <w:color w:val="auto"/>
              </w:rPr>
            </w:pPr>
            <w:r>
              <w:rPr>
                <w:rFonts w:ascii="Arial" w:cs="Arial" w:eastAsia="Arial" w:hAnsi="Arial"/>
                <w:sz w:val="11"/>
                <w:szCs w:val="11"/>
                <w:color w:val="auto"/>
              </w:rPr>
              <w:t>$</w:t>
            </w:r>
          </w:p>
        </w:tc>
        <w:tc>
          <w:tcPr>
            <w:tcW w:w="860" w:type="dxa"/>
            <w:vAlign w:val="bottom"/>
          </w:tcPr>
          <w:p>
            <w:pPr>
              <w:jc w:val="right"/>
              <w:spacing w:after="0" w:line="117" w:lineRule="exact"/>
              <w:rPr>
                <w:sz w:val="20"/>
                <w:szCs w:val="20"/>
                <w:color w:val="auto"/>
              </w:rPr>
            </w:pPr>
            <w:r>
              <w:rPr>
                <w:rFonts w:ascii="Arial" w:cs="Arial" w:eastAsia="Arial" w:hAnsi="Arial"/>
                <w:sz w:val="11"/>
                <w:szCs w:val="11"/>
                <w:color w:val="auto"/>
              </w:rPr>
              <w:t>28,339</w:t>
            </w:r>
          </w:p>
        </w:tc>
        <w:tc>
          <w:tcPr>
            <w:tcW w:w="320" w:type="dxa"/>
            <w:vAlign w:val="bottom"/>
            <w:gridSpan w:val="2"/>
          </w:tcPr>
          <w:p>
            <w:pPr>
              <w:jc w:val="right"/>
              <w:ind w:right="37"/>
              <w:spacing w:after="0" w:line="117" w:lineRule="exact"/>
              <w:rPr>
                <w:sz w:val="20"/>
                <w:szCs w:val="20"/>
                <w:color w:val="auto"/>
              </w:rPr>
            </w:pPr>
            <w:r>
              <w:rPr>
                <w:rFonts w:ascii="Arial" w:cs="Arial" w:eastAsia="Arial" w:hAnsi="Arial"/>
                <w:sz w:val="11"/>
                <w:szCs w:val="11"/>
                <w:color w:val="auto"/>
              </w:rPr>
              <w:t>$</w:t>
            </w:r>
          </w:p>
        </w:tc>
        <w:tc>
          <w:tcPr>
            <w:tcW w:w="860" w:type="dxa"/>
            <w:vAlign w:val="bottom"/>
          </w:tcPr>
          <w:p>
            <w:pPr>
              <w:jc w:val="right"/>
              <w:ind w:right="4"/>
              <w:spacing w:after="0" w:line="117" w:lineRule="exact"/>
              <w:rPr>
                <w:sz w:val="20"/>
                <w:szCs w:val="20"/>
                <w:color w:val="auto"/>
              </w:rPr>
            </w:pPr>
            <w:r>
              <w:rPr>
                <w:rFonts w:ascii="Arial" w:cs="Arial" w:eastAsia="Arial" w:hAnsi="Arial"/>
                <w:sz w:val="11"/>
                <w:szCs w:val="11"/>
                <w:color w:val="auto"/>
              </w:rPr>
              <w:t>34,091</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580" w:type="dxa"/>
            <w:vAlign w:val="bottom"/>
            <w:shd w:val="clear" w:color="auto" w:fill="CCEEFF"/>
          </w:tcPr>
          <w:p>
            <w:pPr>
              <w:spacing w:after="0" w:line="117" w:lineRule="exact"/>
              <w:rPr>
                <w:sz w:val="20"/>
                <w:szCs w:val="20"/>
                <w:color w:val="auto"/>
              </w:rPr>
            </w:pPr>
            <w:r>
              <w:rPr>
                <w:rFonts w:ascii="Arial" w:cs="Arial" w:eastAsia="Arial" w:hAnsi="Arial"/>
                <w:sz w:val="11"/>
                <w:szCs w:val="11"/>
                <w:color w:val="auto"/>
              </w:rPr>
              <w:t>Restricted cash, end of period</w:t>
            </w:r>
          </w:p>
        </w:tc>
        <w:tc>
          <w:tcPr>
            <w:tcW w:w="1200" w:type="dxa"/>
            <w:vAlign w:val="bottom"/>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860" w:type="dxa"/>
            <w:vAlign w:val="bottom"/>
            <w:tcBorders>
              <w:bottom w:val="single" w:sz="8" w:color="auto"/>
            </w:tcBorders>
            <w:shd w:val="clear" w:color="auto" w:fill="CCEEFF"/>
          </w:tcPr>
          <w:p>
            <w:pPr>
              <w:jc w:val="right"/>
              <w:spacing w:after="0" w:line="117" w:lineRule="exact"/>
              <w:rPr>
                <w:sz w:val="20"/>
                <w:szCs w:val="20"/>
                <w:color w:val="auto"/>
              </w:rPr>
            </w:pPr>
            <w:r>
              <w:rPr>
                <w:rFonts w:ascii="Arial" w:cs="Arial" w:eastAsia="Arial" w:hAnsi="Arial"/>
                <w:sz w:val="11"/>
                <w:szCs w:val="11"/>
                <w:color w:val="auto"/>
              </w:rPr>
              <w:t>882</w:t>
            </w:r>
          </w:p>
        </w:tc>
        <w:tc>
          <w:tcPr>
            <w:tcW w:w="220" w:type="dxa"/>
            <w:vAlign w:val="bottom"/>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860" w:type="dxa"/>
            <w:vAlign w:val="bottom"/>
            <w:tcBorders>
              <w:bottom w:val="single" w:sz="8" w:color="auto"/>
            </w:tcBorders>
            <w:shd w:val="clear" w:color="auto" w:fill="CCEEFF"/>
          </w:tcPr>
          <w:p>
            <w:pPr>
              <w:jc w:val="right"/>
              <w:spacing w:after="0" w:line="117" w:lineRule="exact"/>
              <w:rPr>
                <w:sz w:val="20"/>
                <w:szCs w:val="20"/>
                <w:color w:val="auto"/>
              </w:rPr>
            </w:pPr>
            <w:r>
              <w:rPr>
                <w:rFonts w:ascii="Arial" w:cs="Arial" w:eastAsia="Arial" w:hAnsi="Arial"/>
                <w:sz w:val="11"/>
                <w:szCs w:val="11"/>
                <w:color w:val="auto"/>
              </w:rPr>
              <w:t>477</w:t>
            </w:r>
          </w:p>
        </w:tc>
        <w:tc>
          <w:tcPr>
            <w:tcW w:w="220" w:type="dxa"/>
            <w:vAlign w:val="bottom"/>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860" w:type="dxa"/>
            <w:vAlign w:val="bottom"/>
            <w:tcBorders>
              <w:bottom w:val="single" w:sz="8" w:color="auto"/>
            </w:tcBorders>
            <w:shd w:val="clear" w:color="auto" w:fill="CCEEFF"/>
          </w:tcPr>
          <w:p>
            <w:pPr>
              <w:jc w:val="right"/>
              <w:ind w:right="4"/>
              <w:spacing w:after="0" w:line="117" w:lineRule="exact"/>
              <w:rPr>
                <w:sz w:val="20"/>
                <w:szCs w:val="20"/>
                <w:color w:val="auto"/>
              </w:rPr>
            </w:pPr>
            <w:r>
              <w:rPr>
                <w:rFonts w:ascii="Arial" w:cs="Arial" w:eastAsia="Arial" w:hAnsi="Arial"/>
                <w:sz w:val="11"/>
                <w:szCs w:val="11"/>
                <w:color w:val="auto"/>
              </w:rPr>
              <w:t>398</w:t>
            </w:r>
          </w:p>
        </w:tc>
        <w:tc>
          <w:tcPr>
            <w:tcW w:w="0" w:type="dxa"/>
            <w:vAlign w:val="bottom"/>
          </w:tcPr>
          <w:p>
            <w:pPr>
              <w:spacing w:after="0"/>
              <w:rPr>
                <w:sz w:val="1"/>
                <w:szCs w:val="1"/>
                <w:color w:val="auto"/>
              </w:rPr>
            </w:pPr>
          </w:p>
        </w:tc>
      </w:tr>
      <w:tr>
        <w:trPr>
          <w:trHeight w:val="109"/>
        </w:trPr>
        <w:tc>
          <w:tcPr>
            <w:tcW w:w="5600" w:type="dxa"/>
            <w:vAlign w:val="bottom"/>
            <w:tcBorders>
              <w:bottom w:val="single" w:sz="8" w:color="CCEEFF"/>
            </w:tcBorders>
            <w:gridSpan w:val="2"/>
          </w:tcPr>
          <w:p>
            <w:pPr>
              <w:spacing w:after="0" w:line="107" w:lineRule="exact"/>
              <w:rPr>
                <w:sz w:val="20"/>
                <w:szCs w:val="20"/>
                <w:color w:val="auto"/>
              </w:rPr>
            </w:pPr>
            <w:r>
              <w:rPr>
                <w:rFonts w:ascii="Arial" w:cs="Arial" w:eastAsia="Arial" w:hAnsi="Arial"/>
                <w:sz w:val="11"/>
                <w:szCs w:val="11"/>
                <w:color w:val="auto"/>
              </w:rPr>
              <w:t>Cash, cash equivalents, and restricted cash, end of period</w:t>
            </w:r>
          </w:p>
        </w:tc>
        <w:tc>
          <w:tcPr>
            <w:tcW w:w="1200" w:type="dxa"/>
            <w:vAlign w:val="bottom"/>
            <w:tcBorders>
              <w:bottom w:val="single" w:sz="8" w:color="CCEEFF"/>
            </w:tcBorders>
          </w:tcPr>
          <w:p>
            <w:pPr>
              <w:spacing w:after="0"/>
              <w:rPr>
                <w:sz w:val="9"/>
                <w:szCs w:val="9"/>
                <w:color w:val="auto"/>
              </w:rPr>
            </w:pPr>
          </w:p>
        </w:tc>
        <w:tc>
          <w:tcPr>
            <w:tcW w:w="100" w:type="dxa"/>
            <w:vAlign w:val="bottom"/>
            <w:tcBorders>
              <w:bottom w:val="single" w:sz="8" w:color="auto"/>
            </w:tcBorders>
          </w:tcPr>
          <w:p>
            <w:pPr>
              <w:jc w:val="right"/>
              <w:spacing w:after="0" w:line="108" w:lineRule="exact"/>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tcPr>
          <w:p>
            <w:pPr>
              <w:jc w:val="right"/>
              <w:spacing w:after="0" w:line="107" w:lineRule="exact"/>
              <w:rPr>
                <w:sz w:val="20"/>
                <w:szCs w:val="20"/>
                <w:color w:val="auto"/>
              </w:rPr>
            </w:pPr>
            <w:r>
              <w:rPr>
                <w:rFonts w:ascii="Arial" w:cs="Arial" w:eastAsia="Arial" w:hAnsi="Arial"/>
                <w:sz w:val="11"/>
                <w:szCs w:val="11"/>
                <w:color w:val="auto"/>
              </w:rPr>
              <w:t>28,198</w:t>
            </w:r>
          </w:p>
        </w:tc>
        <w:tc>
          <w:tcPr>
            <w:tcW w:w="220" w:type="dxa"/>
            <w:vAlign w:val="bottom"/>
            <w:tcBorders>
              <w:bottom w:val="single" w:sz="8" w:color="CCEEFF"/>
            </w:tcBorders>
          </w:tcPr>
          <w:p>
            <w:pPr>
              <w:spacing w:after="0"/>
              <w:rPr>
                <w:sz w:val="9"/>
                <w:szCs w:val="9"/>
                <w:color w:val="auto"/>
              </w:rPr>
            </w:pPr>
          </w:p>
        </w:tc>
        <w:tc>
          <w:tcPr>
            <w:tcW w:w="100" w:type="dxa"/>
            <w:vAlign w:val="bottom"/>
            <w:tcBorders>
              <w:bottom w:val="single" w:sz="8" w:color="auto"/>
            </w:tcBorders>
          </w:tcPr>
          <w:p>
            <w:pPr>
              <w:jc w:val="right"/>
              <w:spacing w:after="0" w:line="108" w:lineRule="exact"/>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tcPr>
          <w:p>
            <w:pPr>
              <w:jc w:val="right"/>
              <w:spacing w:after="0" w:line="107" w:lineRule="exact"/>
              <w:rPr>
                <w:sz w:val="20"/>
                <w:szCs w:val="20"/>
                <w:color w:val="auto"/>
              </w:rPr>
            </w:pPr>
            <w:r>
              <w:rPr>
                <w:rFonts w:ascii="Arial" w:cs="Arial" w:eastAsia="Arial" w:hAnsi="Arial"/>
                <w:sz w:val="11"/>
                <w:szCs w:val="11"/>
                <w:color w:val="auto"/>
              </w:rPr>
              <w:t>28,816</w:t>
            </w:r>
          </w:p>
        </w:tc>
        <w:tc>
          <w:tcPr>
            <w:tcW w:w="220" w:type="dxa"/>
            <w:vAlign w:val="bottom"/>
            <w:tcBorders>
              <w:bottom w:val="single" w:sz="8" w:color="CCEEFF"/>
            </w:tcBorders>
          </w:tcPr>
          <w:p>
            <w:pPr>
              <w:spacing w:after="0"/>
              <w:rPr>
                <w:sz w:val="9"/>
                <w:szCs w:val="9"/>
                <w:color w:val="auto"/>
              </w:rPr>
            </w:pPr>
          </w:p>
        </w:tc>
        <w:tc>
          <w:tcPr>
            <w:tcW w:w="100" w:type="dxa"/>
            <w:vAlign w:val="bottom"/>
            <w:tcBorders>
              <w:bottom w:val="single" w:sz="8" w:color="auto"/>
            </w:tcBorders>
          </w:tcPr>
          <w:p>
            <w:pPr>
              <w:jc w:val="right"/>
              <w:ind w:right="37"/>
              <w:spacing w:after="0"/>
              <w:rPr>
                <w:sz w:val="20"/>
                <w:szCs w:val="20"/>
                <w:color w:val="auto"/>
              </w:rPr>
            </w:pPr>
            <w:r>
              <w:rPr>
                <w:rFonts w:ascii="Arial" w:cs="Arial" w:eastAsia="Arial" w:hAnsi="Arial"/>
                <w:sz w:val="5"/>
                <w:szCs w:val="5"/>
                <w:color w:val="auto"/>
                <w:w w:val="70"/>
              </w:rPr>
              <w:t>$</w:t>
            </w:r>
          </w:p>
        </w:tc>
        <w:tc>
          <w:tcPr>
            <w:tcW w:w="860" w:type="dxa"/>
            <w:vAlign w:val="bottom"/>
            <w:tcBorders>
              <w:bottom w:val="single" w:sz="8" w:color="auto"/>
            </w:tcBorders>
          </w:tcPr>
          <w:p>
            <w:pPr>
              <w:jc w:val="right"/>
              <w:ind w:right="4"/>
              <w:spacing w:after="0" w:line="107" w:lineRule="exact"/>
              <w:rPr>
                <w:sz w:val="20"/>
                <w:szCs w:val="20"/>
                <w:color w:val="auto"/>
              </w:rPr>
            </w:pPr>
            <w:r>
              <w:rPr>
                <w:rFonts w:ascii="Arial" w:cs="Arial" w:eastAsia="Arial" w:hAnsi="Arial"/>
                <w:sz w:val="11"/>
                <w:szCs w:val="11"/>
                <w:color w:val="auto"/>
              </w:rPr>
              <w:t>34,489</w:t>
            </w:r>
          </w:p>
        </w:tc>
        <w:tc>
          <w:tcPr>
            <w:tcW w:w="0" w:type="dxa"/>
            <w:vAlign w:val="bottom"/>
          </w:tcPr>
          <w:p>
            <w:pPr>
              <w:spacing w:after="0"/>
              <w:rPr>
                <w:sz w:val="1"/>
                <w:szCs w:val="1"/>
                <w:color w:val="auto"/>
              </w:rPr>
            </w:pPr>
          </w:p>
        </w:tc>
      </w:tr>
      <w:tr>
        <w:trPr>
          <w:trHeight w:val="64"/>
        </w:trPr>
        <w:tc>
          <w:tcPr>
            <w:tcW w:w="20" w:type="dxa"/>
            <w:vAlign w:val="bottom"/>
            <w:shd w:val="clear" w:color="auto" w:fill="CCEEFF"/>
          </w:tcPr>
          <w:p>
            <w:pPr>
              <w:spacing w:after="0"/>
              <w:rPr>
                <w:sz w:val="5"/>
                <w:szCs w:val="5"/>
                <w:color w:val="auto"/>
              </w:rPr>
            </w:pPr>
          </w:p>
        </w:tc>
        <w:tc>
          <w:tcPr>
            <w:tcW w:w="5580" w:type="dxa"/>
            <w:vAlign w:val="bottom"/>
            <w:shd w:val="clear" w:color="auto" w:fill="CCEEFF"/>
          </w:tcPr>
          <w:p>
            <w:pPr>
              <w:spacing w:after="0"/>
              <w:rPr>
                <w:sz w:val="5"/>
                <w:szCs w:val="5"/>
                <w:color w:val="auto"/>
              </w:rPr>
            </w:pPr>
          </w:p>
        </w:tc>
        <w:tc>
          <w:tcPr>
            <w:tcW w:w="12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6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6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6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17"/>
        </w:trPr>
        <w:tc>
          <w:tcPr>
            <w:tcW w:w="5600" w:type="dxa"/>
            <w:vAlign w:val="bottom"/>
            <w:gridSpan w:val="2"/>
          </w:tcPr>
          <w:p>
            <w:pPr>
              <w:spacing w:after="0" w:line="117" w:lineRule="exact"/>
              <w:rPr>
                <w:sz w:val="20"/>
                <w:szCs w:val="20"/>
                <w:color w:val="auto"/>
              </w:rPr>
            </w:pPr>
            <w:r>
              <w:rPr>
                <w:rFonts w:ascii="Arial" w:cs="Arial" w:eastAsia="Arial" w:hAnsi="Arial"/>
                <w:sz w:val="11"/>
                <w:szCs w:val="11"/>
                <w:color w:val="auto"/>
              </w:rPr>
              <w:t>SUPPLEMENTAL INFORMATION:</w:t>
            </w:r>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580" w:type="dxa"/>
            <w:vAlign w:val="bottom"/>
            <w:shd w:val="clear" w:color="auto" w:fill="CCEEFF"/>
          </w:tcPr>
          <w:p>
            <w:pPr>
              <w:ind w:left="60"/>
              <w:spacing w:after="0" w:line="117" w:lineRule="exact"/>
              <w:rPr>
                <w:sz w:val="20"/>
                <w:szCs w:val="20"/>
                <w:color w:val="auto"/>
              </w:rPr>
            </w:pPr>
            <w:r>
              <w:rPr>
                <w:rFonts w:ascii="Arial" w:cs="Arial" w:eastAsia="Arial" w:hAnsi="Arial"/>
                <w:sz w:val="11"/>
                <w:szCs w:val="11"/>
                <w:color w:val="auto"/>
              </w:rPr>
              <w:t>Interest paid</w:t>
            </w:r>
          </w:p>
        </w:tc>
        <w:tc>
          <w:tcPr>
            <w:tcW w:w="1300" w:type="dxa"/>
            <w:vAlign w:val="bottom"/>
            <w:gridSpan w:val="2"/>
            <w:shd w:val="clear" w:color="auto" w:fill="CCEEFF"/>
          </w:tcPr>
          <w:p>
            <w:pPr>
              <w:jc w:val="right"/>
              <w:spacing w:after="0" w:line="117" w:lineRule="exact"/>
              <w:rPr>
                <w:sz w:val="20"/>
                <w:szCs w:val="20"/>
                <w:color w:val="auto"/>
              </w:rPr>
            </w:pPr>
            <w:r>
              <w:rPr>
                <w:rFonts w:ascii="Arial" w:cs="Arial" w:eastAsia="Arial" w:hAnsi="Arial"/>
                <w:sz w:val="11"/>
                <w:szCs w:val="11"/>
                <w:color w:val="auto"/>
              </w:rPr>
              <w:t>$</w:t>
            </w:r>
          </w:p>
        </w:tc>
        <w:tc>
          <w:tcPr>
            <w:tcW w:w="860" w:type="dxa"/>
            <w:vAlign w:val="bottom"/>
            <w:shd w:val="clear" w:color="auto" w:fill="CCEEFF"/>
          </w:tcPr>
          <w:p>
            <w:pPr>
              <w:jc w:val="right"/>
              <w:spacing w:after="0" w:line="117" w:lineRule="exact"/>
              <w:rPr>
                <w:sz w:val="20"/>
                <w:szCs w:val="20"/>
                <w:color w:val="auto"/>
              </w:rPr>
            </w:pPr>
            <w:r>
              <w:rPr>
                <w:rFonts w:ascii="Arial" w:cs="Arial" w:eastAsia="Arial" w:hAnsi="Arial"/>
                <w:sz w:val="11"/>
                <w:szCs w:val="11"/>
                <w:color w:val="auto"/>
              </w:rPr>
              <w:t>8,860</w:t>
            </w:r>
          </w:p>
        </w:tc>
        <w:tc>
          <w:tcPr>
            <w:tcW w:w="320" w:type="dxa"/>
            <w:vAlign w:val="bottom"/>
            <w:gridSpan w:val="2"/>
            <w:shd w:val="clear" w:color="auto" w:fill="CCEEFF"/>
          </w:tcPr>
          <w:p>
            <w:pPr>
              <w:jc w:val="right"/>
              <w:spacing w:after="0" w:line="117" w:lineRule="exact"/>
              <w:rPr>
                <w:sz w:val="20"/>
                <w:szCs w:val="20"/>
                <w:color w:val="auto"/>
              </w:rPr>
            </w:pPr>
            <w:r>
              <w:rPr>
                <w:rFonts w:ascii="Arial" w:cs="Arial" w:eastAsia="Arial" w:hAnsi="Arial"/>
                <w:sz w:val="11"/>
                <w:szCs w:val="11"/>
                <w:color w:val="auto"/>
              </w:rPr>
              <w:t>$</w:t>
            </w:r>
          </w:p>
        </w:tc>
        <w:tc>
          <w:tcPr>
            <w:tcW w:w="860" w:type="dxa"/>
            <w:vAlign w:val="bottom"/>
            <w:shd w:val="clear" w:color="auto" w:fill="CCEEFF"/>
          </w:tcPr>
          <w:p>
            <w:pPr>
              <w:jc w:val="right"/>
              <w:spacing w:after="0" w:line="117" w:lineRule="exact"/>
              <w:rPr>
                <w:sz w:val="20"/>
                <w:szCs w:val="20"/>
                <w:color w:val="auto"/>
              </w:rPr>
            </w:pPr>
            <w:r>
              <w:rPr>
                <w:rFonts w:ascii="Arial" w:cs="Arial" w:eastAsia="Arial" w:hAnsi="Arial"/>
                <w:sz w:val="11"/>
                <w:szCs w:val="11"/>
                <w:color w:val="auto"/>
              </w:rPr>
              <w:t>6,020</w:t>
            </w:r>
          </w:p>
        </w:tc>
        <w:tc>
          <w:tcPr>
            <w:tcW w:w="320" w:type="dxa"/>
            <w:vAlign w:val="bottom"/>
            <w:gridSpan w:val="2"/>
            <w:shd w:val="clear" w:color="auto" w:fill="CCEEFF"/>
          </w:tcPr>
          <w:p>
            <w:pPr>
              <w:jc w:val="right"/>
              <w:ind w:right="37"/>
              <w:spacing w:after="0" w:line="117" w:lineRule="exact"/>
              <w:rPr>
                <w:sz w:val="20"/>
                <w:szCs w:val="20"/>
                <w:color w:val="auto"/>
              </w:rPr>
            </w:pPr>
            <w:r>
              <w:rPr>
                <w:rFonts w:ascii="Arial" w:cs="Arial" w:eastAsia="Arial" w:hAnsi="Arial"/>
                <w:sz w:val="11"/>
                <w:szCs w:val="11"/>
                <w:color w:val="auto"/>
              </w:rPr>
              <w:t>$</w:t>
            </w:r>
          </w:p>
        </w:tc>
        <w:tc>
          <w:tcPr>
            <w:tcW w:w="860" w:type="dxa"/>
            <w:vAlign w:val="bottom"/>
            <w:shd w:val="clear" w:color="auto" w:fill="CCEEFF"/>
          </w:tcPr>
          <w:p>
            <w:pPr>
              <w:jc w:val="right"/>
              <w:ind w:right="4"/>
              <w:spacing w:after="0" w:line="117" w:lineRule="exact"/>
              <w:rPr>
                <w:sz w:val="20"/>
                <w:szCs w:val="20"/>
                <w:color w:val="auto"/>
              </w:rPr>
            </w:pPr>
            <w:r>
              <w:rPr>
                <w:rFonts w:ascii="Arial" w:cs="Arial" w:eastAsia="Arial" w:hAnsi="Arial"/>
                <w:sz w:val="11"/>
                <w:szCs w:val="11"/>
                <w:color w:val="auto"/>
              </w:rPr>
              <w:t>4,550</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580" w:type="dxa"/>
            <w:vAlign w:val="bottom"/>
          </w:tcPr>
          <w:p>
            <w:pPr>
              <w:ind w:left="60"/>
              <w:spacing w:after="0" w:line="117" w:lineRule="exact"/>
              <w:rPr>
                <w:sz w:val="20"/>
                <w:szCs w:val="20"/>
                <w:color w:val="auto"/>
              </w:rPr>
            </w:pPr>
            <w:r>
              <w:rPr>
                <w:rFonts w:ascii="Arial" w:cs="Arial" w:eastAsia="Arial" w:hAnsi="Arial"/>
                <w:sz w:val="11"/>
                <w:szCs w:val="11"/>
                <w:color w:val="auto"/>
              </w:rPr>
              <w:t>Income taxes paid</w:t>
            </w:r>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jc w:val="right"/>
              <w:spacing w:after="0" w:line="117" w:lineRule="exact"/>
              <w:rPr>
                <w:sz w:val="20"/>
                <w:szCs w:val="20"/>
                <w:color w:val="auto"/>
              </w:rPr>
            </w:pPr>
            <w:r>
              <w:rPr>
                <w:rFonts w:ascii="Arial" w:cs="Arial" w:eastAsia="Arial" w:hAnsi="Arial"/>
                <w:sz w:val="11"/>
                <w:szCs w:val="11"/>
                <w:color w:val="auto"/>
              </w:rPr>
              <w:t>51,578</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jc w:val="right"/>
              <w:spacing w:after="0" w:line="117" w:lineRule="exact"/>
              <w:rPr>
                <w:sz w:val="20"/>
                <w:szCs w:val="20"/>
                <w:color w:val="auto"/>
              </w:rPr>
            </w:pPr>
            <w:r>
              <w:rPr>
                <w:rFonts w:ascii="Arial" w:cs="Arial" w:eastAsia="Arial" w:hAnsi="Arial"/>
                <w:sz w:val="11"/>
                <w:szCs w:val="11"/>
                <w:color w:val="auto"/>
              </w:rPr>
              <w:t>56,663</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jc w:val="right"/>
              <w:ind w:right="4"/>
              <w:spacing w:after="0" w:line="117" w:lineRule="exact"/>
              <w:rPr>
                <w:sz w:val="20"/>
                <w:szCs w:val="20"/>
                <w:color w:val="auto"/>
              </w:rPr>
            </w:pPr>
            <w:r>
              <w:rPr>
                <w:rFonts w:ascii="Arial" w:cs="Arial" w:eastAsia="Arial" w:hAnsi="Arial"/>
                <w:sz w:val="11"/>
                <w:szCs w:val="11"/>
                <w:color w:val="auto"/>
              </w:rPr>
              <w:t>57,311</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580" w:type="dxa"/>
            <w:vAlign w:val="bottom"/>
            <w:shd w:val="clear" w:color="auto" w:fill="CCEEFF"/>
          </w:tcPr>
          <w:p>
            <w:pPr>
              <w:spacing w:after="0" w:line="117" w:lineRule="exact"/>
              <w:rPr>
                <w:sz w:val="20"/>
                <w:szCs w:val="20"/>
                <w:color w:val="auto"/>
              </w:rPr>
            </w:pPr>
            <w:r>
              <w:rPr>
                <w:rFonts w:ascii="Arial" w:cs="Arial" w:eastAsia="Arial" w:hAnsi="Arial"/>
                <w:sz w:val="11"/>
                <w:szCs w:val="11"/>
                <w:color w:val="auto"/>
              </w:rPr>
              <w:t>NON-CASH FINANCING ACTIVITIES:</w:t>
            </w:r>
          </w:p>
        </w:tc>
        <w:tc>
          <w:tcPr>
            <w:tcW w:w="1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580" w:type="dxa"/>
            <w:vAlign w:val="bottom"/>
          </w:tcPr>
          <w:p>
            <w:pPr>
              <w:spacing w:after="0" w:line="119" w:lineRule="exact"/>
              <w:rPr>
                <w:sz w:val="20"/>
                <w:szCs w:val="20"/>
                <w:color w:val="auto"/>
              </w:rPr>
            </w:pPr>
            <w:r>
              <w:rPr>
                <w:rFonts w:ascii="Arial" w:cs="Arial" w:eastAsia="Arial" w:hAnsi="Arial"/>
                <w:sz w:val="11"/>
                <w:szCs w:val="11"/>
                <w:color w:val="auto"/>
              </w:rPr>
              <w:t>Common stock issued under deferred compensation plans</w:t>
            </w:r>
          </w:p>
        </w:tc>
        <w:tc>
          <w:tcPr>
            <w:tcW w:w="1300" w:type="dxa"/>
            <w:vAlign w:val="bottom"/>
            <w:gridSpan w:val="2"/>
          </w:tcPr>
          <w:p>
            <w:pPr>
              <w:jc w:val="right"/>
              <w:spacing w:after="0" w:line="119" w:lineRule="exact"/>
              <w:rPr>
                <w:sz w:val="20"/>
                <w:szCs w:val="20"/>
                <w:color w:val="auto"/>
              </w:rPr>
            </w:pPr>
            <w:r>
              <w:rPr>
                <w:rFonts w:ascii="Arial" w:cs="Arial" w:eastAsia="Arial" w:hAnsi="Arial"/>
                <w:sz w:val="11"/>
                <w:szCs w:val="11"/>
                <w:color w:val="auto"/>
              </w:rPr>
              <w:t>$</w:t>
            </w:r>
          </w:p>
        </w:tc>
        <w:tc>
          <w:tcPr>
            <w:tcW w:w="860" w:type="dxa"/>
            <w:vAlign w:val="bottom"/>
          </w:tcPr>
          <w:p>
            <w:pPr>
              <w:jc w:val="right"/>
              <w:spacing w:after="0" w:line="119" w:lineRule="exact"/>
              <w:rPr>
                <w:sz w:val="20"/>
                <w:szCs w:val="20"/>
                <w:color w:val="auto"/>
              </w:rPr>
            </w:pPr>
            <w:r>
              <w:rPr>
                <w:rFonts w:ascii="Arial" w:cs="Arial" w:eastAsia="Arial" w:hAnsi="Arial"/>
                <w:sz w:val="11"/>
                <w:szCs w:val="11"/>
                <w:color w:val="auto"/>
              </w:rPr>
              <w:t>5,837</w:t>
            </w:r>
          </w:p>
        </w:tc>
        <w:tc>
          <w:tcPr>
            <w:tcW w:w="320" w:type="dxa"/>
            <w:vAlign w:val="bottom"/>
            <w:gridSpan w:val="2"/>
          </w:tcPr>
          <w:p>
            <w:pPr>
              <w:jc w:val="right"/>
              <w:spacing w:after="0" w:line="119" w:lineRule="exact"/>
              <w:rPr>
                <w:sz w:val="20"/>
                <w:szCs w:val="20"/>
                <w:color w:val="auto"/>
              </w:rPr>
            </w:pPr>
            <w:r>
              <w:rPr>
                <w:rFonts w:ascii="Arial" w:cs="Arial" w:eastAsia="Arial" w:hAnsi="Arial"/>
                <w:sz w:val="11"/>
                <w:szCs w:val="11"/>
                <w:color w:val="auto"/>
              </w:rPr>
              <w:t>$</w:t>
            </w:r>
          </w:p>
        </w:tc>
        <w:tc>
          <w:tcPr>
            <w:tcW w:w="860" w:type="dxa"/>
            <w:vAlign w:val="bottom"/>
          </w:tcPr>
          <w:p>
            <w:pPr>
              <w:jc w:val="right"/>
              <w:spacing w:after="0" w:line="119" w:lineRule="exact"/>
              <w:rPr>
                <w:sz w:val="20"/>
                <w:szCs w:val="20"/>
                <w:color w:val="auto"/>
              </w:rPr>
            </w:pPr>
            <w:r>
              <w:rPr>
                <w:rFonts w:ascii="Arial" w:cs="Arial" w:eastAsia="Arial" w:hAnsi="Arial"/>
                <w:sz w:val="11"/>
                <w:szCs w:val="11"/>
                <w:color w:val="auto"/>
              </w:rPr>
              <w:t>5,116</w:t>
            </w:r>
          </w:p>
        </w:tc>
        <w:tc>
          <w:tcPr>
            <w:tcW w:w="320" w:type="dxa"/>
            <w:vAlign w:val="bottom"/>
            <w:gridSpan w:val="2"/>
          </w:tcPr>
          <w:p>
            <w:pPr>
              <w:jc w:val="right"/>
              <w:ind w:right="37"/>
              <w:spacing w:after="0" w:line="119" w:lineRule="exact"/>
              <w:rPr>
                <w:sz w:val="20"/>
                <w:szCs w:val="20"/>
                <w:color w:val="auto"/>
              </w:rPr>
            </w:pPr>
            <w:r>
              <w:rPr>
                <w:rFonts w:ascii="Arial" w:cs="Arial" w:eastAsia="Arial" w:hAnsi="Arial"/>
                <w:sz w:val="11"/>
                <w:szCs w:val="11"/>
                <w:color w:val="auto"/>
              </w:rPr>
              <w:t>$</w:t>
            </w:r>
          </w:p>
        </w:tc>
        <w:tc>
          <w:tcPr>
            <w:tcW w:w="860" w:type="dxa"/>
            <w:vAlign w:val="bottom"/>
          </w:tcPr>
          <w:p>
            <w:pPr>
              <w:jc w:val="right"/>
              <w:ind w:right="4"/>
              <w:spacing w:after="0" w:line="119" w:lineRule="exact"/>
              <w:rPr>
                <w:sz w:val="20"/>
                <w:szCs w:val="20"/>
                <w:color w:val="auto"/>
              </w:rPr>
            </w:pPr>
            <w:r>
              <w:rPr>
                <w:rFonts w:ascii="Arial" w:cs="Arial" w:eastAsia="Arial" w:hAnsi="Arial"/>
                <w:sz w:val="11"/>
                <w:szCs w:val="11"/>
                <w:color w:val="auto"/>
              </w:rPr>
              <w:t>4,353</w:t>
            </w:r>
          </w:p>
        </w:tc>
        <w:tc>
          <w:tcPr>
            <w:tcW w:w="0" w:type="dxa"/>
            <w:vAlign w:val="bottom"/>
          </w:tcPr>
          <w:p>
            <w:pPr>
              <w:spacing w:after="0"/>
              <w:rPr>
                <w:sz w:val="1"/>
                <w:szCs w:val="1"/>
                <w:color w:val="auto"/>
              </w:rPr>
            </w:pPr>
          </w:p>
        </w:tc>
      </w:tr>
    </w:tbl>
    <w:p>
      <w:pPr>
        <w:ind w:left="500"/>
        <w:spacing w:after="0"/>
        <w:rPr>
          <w:sz w:val="20"/>
          <w:szCs w:val="20"/>
          <w:color w:val="auto"/>
        </w:rPr>
      </w:pPr>
      <w:r>
        <w:rPr>
          <w:rFonts w:ascii="Arial" w:cs="Arial" w:eastAsia="Arial" w:hAnsi="Arial"/>
          <w:sz w:val="14"/>
          <w:szCs w:val="14"/>
          <w:color w:val="auto"/>
        </w:rPr>
        <w:t>See notes to consolidated financial statements</w:t>
      </w:r>
    </w:p>
    <w:p>
      <w:pPr>
        <w:spacing w:after="0" w:line="200" w:lineRule="exact"/>
        <w:rPr>
          <w:sz w:val="20"/>
          <w:szCs w:val="20"/>
          <w:color w:val="auto"/>
        </w:rPr>
      </w:pPr>
    </w:p>
    <w:p>
      <w:pPr>
        <w:spacing w:after="0" w:line="307"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6426200" cy="2032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8">
                      <a:extLst>
                        <a:ext uri="{28A0092B-C50C-407E-A947-70E740481C1C}"/>
                      </a:extLst>
                    </a:blip>
                    <a:srcRect/>
                    <a:stretch>
                      <a:fillRect/>
                    </a:stretch>
                  </pic:blipFill>
                  <pic:spPr bwMode="auto">
                    <a:xfrm>
                      <a:off x="0" y="0"/>
                      <a:ext cx="6426200" cy="20320"/>
                    </a:xfrm>
                    <a:prstGeom prst="rect">
                      <a:avLst/>
                    </a:prstGeom>
                    <a:noFill/>
                  </pic:spPr>
                </pic:pic>
              </a:graphicData>
            </a:graphic>
          </wp:anchor>
        </w:drawing>
      </w:r>
    </w:p>
    <w:p>
      <w:pPr>
        <w:sectPr>
          <w:pgSz w:w="11900" w:h="16838" w:orient="portrait"/>
          <w:cols w:equalWidth="0" w:num="1">
            <w:col w:w="10120"/>
          </w:cols>
          <w:pgMar w:left="900" w:top="129" w:right="879" w:bottom="1440" w:gutter="0" w:footer="0" w:header="0"/>
        </w:sectPr>
      </w:pPr>
    </w:p>
    <w:bookmarkStart w:id="74" w:name="page75"/>
    <w:bookmarkEnd w:id="74"/>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26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UNIVERSAL FOREST PRODUCTS,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65" w:lineRule="exact"/>
        <w:rPr>
          <w:sz w:val="20"/>
          <w:szCs w:val="20"/>
          <w:color w:val="auto"/>
        </w:rPr>
      </w:pPr>
    </w:p>
    <w:p>
      <w:pPr>
        <w:ind w:left="660" w:hanging="656"/>
        <w:spacing w:after="0"/>
        <w:tabs>
          <w:tab w:leader="none" w:pos="660" w:val="left"/>
        </w:tabs>
        <w:numPr>
          <w:ilvl w:val="0"/>
          <w:numId w:val="45"/>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SUMMARY OF SIGNIFICANT ACCOUNTING POLICIES</w:t>
      </w:r>
    </w:p>
    <w:p>
      <w:pPr>
        <w:spacing w:after="0" w:line="179"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OPERATIONS</w:t>
      </w:r>
    </w:p>
    <w:p>
      <w:pPr>
        <w:spacing w:after="0" w:line="183" w:lineRule="exact"/>
        <w:rPr>
          <w:sz w:val="20"/>
          <w:szCs w:val="20"/>
          <w:color w:val="auto"/>
        </w:rPr>
      </w:pPr>
    </w:p>
    <w:p>
      <w:pPr>
        <w:jc w:val="both"/>
        <w:ind w:firstLine="510"/>
        <w:spacing w:after="0" w:line="332" w:lineRule="auto"/>
        <w:rPr>
          <w:sz w:val="20"/>
          <w:szCs w:val="20"/>
          <w:color w:val="auto"/>
        </w:rPr>
      </w:pPr>
      <w:r>
        <w:rPr>
          <w:rFonts w:ascii="Arial" w:cs="Arial" w:eastAsia="Arial" w:hAnsi="Arial"/>
          <w:sz w:val="12"/>
          <w:szCs w:val="12"/>
          <w:color w:val="auto"/>
        </w:rPr>
        <w:t>We design, manufacture and market wood and wood-alternative products for large home centers and other retailers; structural lumber, engineered wood components, framing services, and other products for the construction market; specialty wood packaging, components, packing materials, and other wood-based products for various industries; and design, manufacture, and install customized interior fixtures used in retail and commercial structures for various markets.</w:t>
      </w:r>
    </w:p>
    <w:p>
      <w:pPr>
        <w:spacing w:after="0" w:line="103"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PRINCIPLES OF CONSOLIDATION</w:t>
      </w:r>
    </w:p>
    <w:p>
      <w:pPr>
        <w:spacing w:after="0" w:line="183" w:lineRule="exact"/>
        <w:rPr>
          <w:sz w:val="20"/>
          <w:szCs w:val="20"/>
          <w:color w:val="auto"/>
        </w:rPr>
      </w:pPr>
    </w:p>
    <w:p>
      <w:pPr>
        <w:jc w:val="both"/>
        <w:ind w:firstLine="510"/>
        <w:spacing w:after="0" w:line="321" w:lineRule="auto"/>
        <w:rPr>
          <w:sz w:val="20"/>
          <w:szCs w:val="20"/>
          <w:color w:val="auto"/>
        </w:rPr>
      </w:pPr>
      <w:r>
        <w:rPr>
          <w:rFonts w:ascii="Arial" w:cs="Arial" w:eastAsia="Arial" w:hAnsi="Arial"/>
          <w:sz w:val="13"/>
          <w:szCs w:val="13"/>
          <w:color w:val="auto"/>
        </w:rPr>
        <w:t>The consolidated financial statements include our accounts and those of our wholly-owned and majority-owned subsidiaries and partnerships. In addition, we consolidate any entity which we own 50% or more and exercise control. Intercompany transactions and balances have been eliminated.</w:t>
      </w:r>
    </w:p>
    <w:p>
      <w:pPr>
        <w:spacing w:after="0" w:line="106"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NONCONTROLLING INTEREST IN SUBSIDIARIES</w:t>
      </w:r>
    </w:p>
    <w:p>
      <w:pPr>
        <w:spacing w:after="0" w:line="183" w:lineRule="exact"/>
        <w:rPr>
          <w:sz w:val="20"/>
          <w:szCs w:val="20"/>
          <w:color w:val="auto"/>
        </w:rPr>
      </w:pPr>
    </w:p>
    <w:p>
      <w:pPr>
        <w:jc w:val="both"/>
        <w:ind w:firstLine="510"/>
        <w:spacing w:after="0" w:line="267" w:lineRule="auto"/>
        <w:rPr>
          <w:sz w:val="20"/>
          <w:szCs w:val="20"/>
          <w:color w:val="auto"/>
        </w:rPr>
      </w:pPr>
      <w:r>
        <w:rPr>
          <w:rFonts w:ascii="Arial" w:cs="Arial" w:eastAsia="Arial" w:hAnsi="Arial"/>
          <w:sz w:val="14"/>
          <w:szCs w:val="14"/>
          <w:color w:val="auto"/>
        </w:rPr>
        <w:t>Noncontrolling interest in results of operations of consolidated subsidiaries represents the noncontrolling shareholders’ share of the income or loss of various consolidated subsidiaries. The noncontrolling interest reflects the original investment by these noncontrolling shareholders combined with their proportional share of the earnings or losses of these subsidiaries, net of distributions paid.</w:t>
      </w:r>
    </w:p>
    <w:p>
      <w:pPr>
        <w:spacing w:after="0" w:line="138"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FISCAL YEAR</w:t>
      </w:r>
    </w:p>
    <w:p>
      <w:pPr>
        <w:spacing w:after="0" w:line="183" w:lineRule="exact"/>
        <w:rPr>
          <w:sz w:val="20"/>
          <w:szCs w:val="20"/>
          <w:color w:val="auto"/>
        </w:rPr>
      </w:pPr>
    </w:p>
    <w:p>
      <w:pPr>
        <w:jc w:val="both"/>
        <w:ind w:firstLine="510"/>
        <w:spacing w:after="0" w:line="297" w:lineRule="auto"/>
        <w:rPr>
          <w:sz w:val="20"/>
          <w:szCs w:val="20"/>
          <w:color w:val="auto"/>
        </w:rPr>
      </w:pPr>
      <w:r>
        <w:rPr>
          <w:rFonts w:ascii="Arial" w:cs="Arial" w:eastAsia="Arial" w:hAnsi="Arial"/>
          <w:sz w:val="13"/>
          <w:szCs w:val="13"/>
          <w:color w:val="auto"/>
        </w:rPr>
        <w:t>Our fiscal year is a 52 or 53 week period, ending on the last Saturday of December. Unless otherwise stated, references to 2018, 2017, and 2016 relate to the fiscal years ended December 29, 2018, December 30, 2017, and December 31, 2016, respectively. Fiscal year 2016 was comprised of 53 weeks, which contributed an additional $60 million in sales in 2016 compared to fiscal years 2018 and 2017, which were comprised of 52 weeks.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FAIR VALUE DISCLOSURES OF FINANCIAL INSTRUMENTS</w:t>
      </w:r>
    </w:p>
    <w:p>
      <w:pPr>
        <w:spacing w:after="0" w:line="183" w:lineRule="exact"/>
        <w:rPr>
          <w:sz w:val="20"/>
          <w:szCs w:val="20"/>
          <w:color w:val="auto"/>
        </w:rPr>
      </w:pPr>
    </w:p>
    <w:p>
      <w:pPr>
        <w:jc w:val="both"/>
        <w:ind w:firstLine="510"/>
        <w:spacing w:after="0" w:line="267" w:lineRule="auto"/>
        <w:rPr>
          <w:sz w:val="20"/>
          <w:szCs w:val="20"/>
          <w:color w:val="auto"/>
        </w:rPr>
      </w:pPr>
      <w:r>
        <w:rPr>
          <w:rFonts w:ascii="Arial" w:cs="Arial" w:eastAsia="Arial" w:hAnsi="Arial"/>
          <w:sz w:val="14"/>
          <w:szCs w:val="14"/>
          <w:color w:val="auto"/>
        </w:rPr>
        <w:t xml:space="preserve">We follow ASC Topic 820, </w:t>
      </w:r>
      <w:r>
        <w:rPr>
          <w:rFonts w:ascii="Arial" w:cs="Arial" w:eastAsia="Arial" w:hAnsi="Arial"/>
          <w:sz w:val="14"/>
          <w:szCs w:val="14"/>
          <w:i w:val="1"/>
          <w:iCs w:val="1"/>
          <w:color w:val="auto"/>
        </w:rPr>
        <w:t>Fair Value Measurements and Disclosures</w:t>
      </w:r>
      <w:r>
        <w:rPr>
          <w:rFonts w:ascii="Arial" w:cs="Arial" w:eastAsia="Arial" w:hAnsi="Arial"/>
          <w:sz w:val="14"/>
          <w:szCs w:val="14"/>
          <w:color w:val="auto"/>
        </w:rPr>
        <w:t>, which provides a consistent definition of fair value, focuses on exit price, prioritizes the use of market-based inputs over entity-specific inputs for measuring fair value and establishes a three-tier hierarchy for fair value measurements. This topic requires fair value measurements to be classified and disclosed in one of the following three categories:</w:t>
      </w:r>
    </w:p>
    <w:p>
      <w:pPr>
        <w:spacing w:after="0" w:line="142" w:lineRule="exact"/>
        <w:rPr>
          <w:sz w:val="20"/>
          <w:szCs w:val="20"/>
          <w:color w:val="auto"/>
        </w:rPr>
      </w:pPr>
    </w:p>
    <w:p>
      <w:pPr>
        <w:ind w:left="520" w:hanging="261"/>
        <w:spacing w:after="0"/>
        <w:tabs>
          <w:tab w:leader="none" w:pos="520" w:val="left"/>
        </w:tabs>
        <w:numPr>
          <w:ilvl w:val="0"/>
          <w:numId w:val="46"/>
        </w:numPr>
        <w:rPr>
          <w:rFonts w:ascii="Arial" w:cs="Arial" w:eastAsia="Arial" w:hAnsi="Arial"/>
          <w:sz w:val="14"/>
          <w:szCs w:val="14"/>
          <w:color w:val="auto"/>
        </w:rPr>
      </w:pPr>
      <w:r>
        <w:rPr>
          <w:rFonts w:ascii="Arial" w:cs="Arial" w:eastAsia="Arial" w:hAnsi="Arial"/>
          <w:sz w:val="14"/>
          <w:szCs w:val="14"/>
          <w:color w:val="auto"/>
        </w:rPr>
        <w:t>Level 1 — Financial instruments with unadjusted, quoted prices listed on active market exchanges.</w:t>
      </w:r>
    </w:p>
    <w:p>
      <w:pPr>
        <w:spacing w:after="0" w:line="178" w:lineRule="exact"/>
        <w:rPr>
          <w:rFonts w:ascii="Arial" w:cs="Arial" w:eastAsia="Arial" w:hAnsi="Arial"/>
          <w:sz w:val="14"/>
          <w:szCs w:val="14"/>
          <w:color w:val="auto"/>
        </w:rPr>
      </w:pPr>
    </w:p>
    <w:p>
      <w:pPr>
        <w:jc w:val="both"/>
        <w:ind w:left="520" w:right="20" w:hanging="261"/>
        <w:spacing w:after="0" w:line="267" w:lineRule="auto"/>
        <w:tabs>
          <w:tab w:leader="none" w:pos="520" w:val="left"/>
        </w:tabs>
        <w:numPr>
          <w:ilvl w:val="0"/>
          <w:numId w:val="46"/>
        </w:numPr>
        <w:rPr>
          <w:rFonts w:ascii="Arial" w:cs="Arial" w:eastAsia="Arial" w:hAnsi="Arial"/>
          <w:sz w:val="14"/>
          <w:szCs w:val="14"/>
          <w:color w:val="auto"/>
        </w:rPr>
      </w:pPr>
      <w:r>
        <w:rPr>
          <w:rFonts w:ascii="Arial" w:cs="Arial" w:eastAsia="Arial" w:hAnsi="Arial"/>
          <w:sz w:val="14"/>
          <w:szCs w:val="14"/>
          <w:color w:val="auto"/>
        </w:rPr>
        <w:t>Level 2 — Financial instruments lacking unadjusted, quoted prices from active market exchanges, including over-the-counter traded financial instruments. Financial instrument values are determined using prices for recently traded financial instruments with similar underlying terms and direct or indirect observational inputs, such as interest rates and yield curves at commonly quoted intervals.</w:t>
      </w:r>
    </w:p>
    <w:p>
      <w:pPr>
        <w:spacing w:after="0" w:line="142" w:lineRule="exact"/>
        <w:rPr>
          <w:rFonts w:ascii="Arial" w:cs="Arial" w:eastAsia="Arial" w:hAnsi="Arial"/>
          <w:sz w:val="14"/>
          <w:szCs w:val="14"/>
          <w:color w:val="auto"/>
        </w:rPr>
      </w:pPr>
    </w:p>
    <w:p>
      <w:pPr>
        <w:ind w:left="520" w:right="20" w:hanging="261"/>
        <w:spacing w:after="0" w:line="281" w:lineRule="auto"/>
        <w:tabs>
          <w:tab w:leader="none" w:pos="520" w:val="left"/>
        </w:tabs>
        <w:numPr>
          <w:ilvl w:val="0"/>
          <w:numId w:val="46"/>
        </w:numPr>
        <w:rPr>
          <w:rFonts w:ascii="Arial" w:cs="Arial" w:eastAsia="Arial" w:hAnsi="Arial"/>
          <w:sz w:val="14"/>
          <w:szCs w:val="14"/>
          <w:color w:val="auto"/>
        </w:rPr>
      </w:pPr>
      <w:r>
        <w:rPr>
          <w:rFonts w:ascii="Arial" w:cs="Arial" w:eastAsia="Arial" w:hAnsi="Arial"/>
          <w:sz w:val="14"/>
          <w:szCs w:val="14"/>
          <w:color w:val="auto"/>
        </w:rPr>
        <w:t>Level 3 — Financial instruments not actively traded on a market exchange and there is little, if any, market activity. Values are determined using significant unobservable inputs or valuation techniques.</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66675</wp:posOffset>
            </wp:positionV>
            <wp:extent cx="5779135" cy="2032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9">
                      <a:extLst>
                        <a:ext uri="{28A0092B-C50C-407E-A947-70E740481C1C}"/>
                      </a:extLst>
                    </a:blip>
                    <a:srcRect/>
                    <a:stretch>
                      <a:fillRect/>
                    </a:stretch>
                  </pic:blipFill>
                  <pic:spPr bwMode="auto">
                    <a:xfrm>
                      <a:off x="0" y="0"/>
                      <a:ext cx="5779135" cy="20320"/>
                    </a:xfrm>
                    <a:prstGeom prst="rect">
                      <a:avLst/>
                    </a:prstGeom>
                    <a:noFill/>
                  </pic:spPr>
                </pic:pic>
              </a:graphicData>
            </a:graphic>
          </wp:anchor>
        </w:drawing>
      </w:r>
    </w:p>
    <w:p>
      <w:pPr>
        <w:sectPr>
          <w:pgSz w:w="11900" w:h="16838" w:orient="portrait"/>
          <w:cols w:equalWidth="0" w:num="1">
            <w:col w:w="9100"/>
          </w:cols>
          <w:pgMar w:left="1400" w:top="129" w:right="1399" w:bottom="1440" w:gutter="0" w:footer="0" w:header="0"/>
        </w:sectPr>
      </w:pPr>
    </w:p>
    <w:bookmarkStart w:id="75" w:name="page76"/>
    <w:bookmarkEnd w:id="75"/>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90"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CASH AND CASH EQUIVALENTS</w:t>
      </w:r>
    </w:p>
    <w:p>
      <w:pPr>
        <w:spacing w:after="0" w:line="183" w:lineRule="exact"/>
        <w:rPr>
          <w:sz w:val="20"/>
          <w:szCs w:val="20"/>
          <w:color w:val="auto"/>
        </w:rPr>
      </w:pPr>
    </w:p>
    <w:p>
      <w:pPr>
        <w:ind w:left="520"/>
        <w:spacing w:after="0"/>
        <w:rPr>
          <w:sz w:val="20"/>
          <w:szCs w:val="20"/>
          <w:color w:val="auto"/>
        </w:rPr>
      </w:pPr>
      <w:r>
        <w:rPr>
          <w:rFonts w:ascii="Arial" w:cs="Arial" w:eastAsia="Arial" w:hAnsi="Arial"/>
          <w:sz w:val="14"/>
          <w:szCs w:val="14"/>
          <w:color w:val="auto"/>
        </w:rPr>
        <w:t>Cash and cash equivalents consist of cash and highly-liquid investments purchased with an original maturity of three months or less.</w:t>
      </w:r>
    </w:p>
    <w:p>
      <w:pPr>
        <w:spacing w:after="0" w:line="179" w:lineRule="exact"/>
        <w:rPr>
          <w:sz w:val="20"/>
          <w:szCs w:val="20"/>
          <w:color w:val="auto"/>
        </w:rPr>
      </w:pPr>
    </w:p>
    <w:p>
      <w:pPr>
        <w:jc w:val="both"/>
        <w:ind w:firstLine="510"/>
        <w:spacing w:after="0" w:line="280" w:lineRule="auto"/>
        <w:rPr>
          <w:sz w:val="20"/>
          <w:szCs w:val="20"/>
          <w:color w:val="auto"/>
        </w:rPr>
      </w:pPr>
      <w:r>
        <w:rPr>
          <w:rFonts w:ascii="Arial" w:cs="Arial" w:eastAsia="Arial" w:hAnsi="Arial"/>
          <w:sz w:val="13"/>
          <w:szCs w:val="13"/>
          <w:color w:val="auto"/>
        </w:rPr>
        <w:t>In November 2016, the Financial Accounting Standards Board (FASB) issued Accounting Standard Update (ASU) No. 2016-18, “Statement of Cash Flows (Topic 230)” (ASU 2016-18). Under ASU 2016-18, an entity will be required to explain changes in the statement of cash flows during the period in the total of cash, cash equivalents, and amounts generally described as restricted cash or restricted cash equivalents. Therefore, amounts generally described as restricted cash and restricted cash equivalents should be included with cash and cash equivalents when reconciling the beginning-of-period and end-of-period total amounts shown on the statement of cash flows. The amendments in this update should be applied using retrospective transition method to each period presented. Companies are required to adopt the new standard for fiscal years beginning after December 15, 2017. Early adoption of ASU 2016-18 is permitted, including adoption in an interim period. The Company has early adopted this standard during the first quarter of 2017.</w:t>
      </w:r>
    </w:p>
    <w:p>
      <w:pPr>
        <w:spacing w:after="0" w:line="134"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INVESTMENTS</w:t>
      </w:r>
    </w:p>
    <w:p>
      <w:pPr>
        <w:spacing w:after="0" w:line="183" w:lineRule="exact"/>
        <w:rPr>
          <w:sz w:val="20"/>
          <w:szCs w:val="20"/>
          <w:color w:val="auto"/>
        </w:rPr>
      </w:pPr>
    </w:p>
    <w:p>
      <w:pPr>
        <w:ind w:left="520"/>
        <w:spacing w:after="0"/>
        <w:rPr>
          <w:sz w:val="20"/>
          <w:szCs w:val="20"/>
          <w:color w:val="auto"/>
        </w:rPr>
      </w:pPr>
      <w:r>
        <w:rPr>
          <w:rFonts w:ascii="Arial" w:cs="Arial" w:eastAsia="Arial" w:hAnsi="Arial"/>
          <w:sz w:val="14"/>
          <w:szCs w:val="14"/>
          <w:color w:val="auto"/>
        </w:rPr>
        <w:t>Investments are deemed to be "available for sale" and are, accordingly, carried at fair value being the quoted market value.</w:t>
      </w:r>
    </w:p>
    <w:p>
      <w:pPr>
        <w:spacing w:after="0" w:line="179" w:lineRule="exact"/>
        <w:rPr>
          <w:sz w:val="20"/>
          <w:szCs w:val="20"/>
          <w:color w:val="auto"/>
        </w:rPr>
      </w:pPr>
    </w:p>
    <w:p>
      <w:pPr>
        <w:jc w:val="both"/>
        <w:ind w:firstLine="510"/>
        <w:spacing w:after="0" w:line="258" w:lineRule="auto"/>
        <w:rPr>
          <w:sz w:val="20"/>
          <w:szCs w:val="20"/>
          <w:color w:val="auto"/>
        </w:rPr>
      </w:pPr>
      <w:r>
        <w:rPr>
          <w:rFonts w:ascii="Arial" w:cs="Arial" w:eastAsia="Arial" w:hAnsi="Arial"/>
          <w:sz w:val="14"/>
          <w:szCs w:val="14"/>
          <w:color w:val="auto"/>
        </w:rPr>
        <w:t>In January 2016, the FASB issued ASU No. 2016-01, Recognition and Measurement of Financial Assets and Financial Liabilities, which amends ASC 825-10, Financial Instruments – Overall, this ASU changes the treatment for available-for-sale equity investments by recognizing unrealized fair value changes directly in net income and no longer in other comprehensive income. For public entities, the amendment is effective for fiscal years beginning after December 15, 2017. The ASU was adopted during fiscal 2018 with a cumulative-effect adjustment to retained earnings of $0.9 million at the beginning of 2018. The available-for-sale equity securities balance at December 29, 2018 is $10.7 million, which resulted in an unrealized loss recorded as a non-operating expense of $1.9 million.</w:t>
      </w:r>
    </w:p>
    <w:p>
      <w:pPr>
        <w:spacing w:after="0" w:line="317"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ACCOUNTS RECEIVABLE AND ALLOWANCES</w:t>
      </w:r>
    </w:p>
    <w:p>
      <w:pPr>
        <w:spacing w:after="0" w:line="183" w:lineRule="exact"/>
        <w:rPr>
          <w:sz w:val="20"/>
          <w:szCs w:val="20"/>
          <w:color w:val="auto"/>
        </w:rPr>
      </w:pPr>
    </w:p>
    <w:p>
      <w:pPr>
        <w:jc w:val="both"/>
        <w:ind w:firstLine="510"/>
        <w:spacing w:after="0" w:line="281" w:lineRule="auto"/>
        <w:rPr>
          <w:sz w:val="20"/>
          <w:szCs w:val="20"/>
          <w:color w:val="auto"/>
        </w:rPr>
      </w:pPr>
      <w:r>
        <w:rPr>
          <w:rFonts w:ascii="Arial" w:cs="Arial" w:eastAsia="Arial" w:hAnsi="Arial"/>
          <w:sz w:val="14"/>
          <w:szCs w:val="14"/>
          <w:color w:val="auto"/>
        </w:rPr>
        <w:t>We perform periodic credit evaluations of our customers and generally do not require collateral. Accounts receivable are due under a range of terms we offer to our customers. Discounts are offered, in most instances, as an incentive for early payment.</w:t>
      </w:r>
    </w:p>
    <w:p>
      <w:pPr>
        <w:spacing w:after="0" w:line="133" w:lineRule="exact"/>
        <w:rPr>
          <w:sz w:val="20"/>
          <w:szCs w:val="20"/>
          <w:color w:val="auto"/>
        </w:rPr>
      </w:pPr>
    </w:p>
    <w:p>
      <w:pPr>
        <w:jc w:val="both"/>
        <w:ind w:firstLine="510"/>
        <w:spacing w:after="0" w:line="267" w:lineRule="auto"/>
        <w:rPr>
          <w:sz w:val="20"/>
          <w:szCs w:val="20"/>
          <w:color w:val="auto"/>
        </w:rPr>
      </w:pPr>
      <w:r>
        <w:rPr>
          <w:rFonts w:ascii="Arial" w:cs="Arial" w:eastAsia="Arial" w:hAnsi="Arial"/>
          <w:sz w:val="14"/>
          <w:szCs w:val="14"/>
          <w:color w:val="auto"/>
        </w:rPr>
        <w:t>We base our allowances related to receivables on historical credit and collections experience, and the specific identification of other potential problems, including the general economic climate. Actual collections can differ, requiring adjustments to the allowances. Individual accounts receivable balances are evaluated on a monthly basis, and those balances considered uncollectible are charged to the allowance.</w:t>
      </w:r>
    </w:p>
    <w:p>
      <w:pPr>
        <w:spacing w:after="0" w:line="142"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following table presents the activity in our accounts receivable allowances (in thousands):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jc w:val="center"/>
              <w:ind w:right="36"/>
              <w:spacing w:after="0"/>
              <w:rPr>
                <w:sz w:val="20"/>
                <w:szCs w:val="20"/>
                <w:color w:val="auto"/>
              </w:rPr>
            </w:pPr>
            <w:r>
              <w:rPr>
                <w:rFonts w:ascii="Arial" w:cs="Arial" w:eastAsia="Arial" w:hAnsi="Arial"/>
                <w:sz w:val="11"/>
                <w:szCs w:val="11"/>
                <w:b w:val="1"/>
                <w:bCs w:val="1"/>
                <w:color w:val="auto"/>
                <w:w w:val="94"/>
              </w:rPr>
              <w:t>Additions</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vMerge w:val="restart"/>
          </w:tcPr>
          <w:p>
            <w:pPr>
              <w:jc w:val="right"/>
              <w:ind w:right="15"/>
              <w:spacing w:after="0"/>
              <w:rPr>
                <w:sz w:val="20"/>
                <w:szCs w:val="20"/>
                <w:color w:val="auto"/>
              </w:rPr>
            </w:pPr>
            <w:r>
              <w:rPr>
                <w:rFonts w:ascii="Arial" w:cs="Arial" w:eastAsia="Arial" w:hAnsi="Arial"/>
                <w:sz w:val="11"/>
                <w:szCs w:val="11"/>
                <w:b w:val="1"/>
                <w:bCs w:val="1"/>
                <w:color w:val="auto"/>
                <w:w w:val="89"/>
              </w:rPr>
              <w:t>Beginning</w:t>
            </w:r>
          </w:p>
        </w:tc>
        <w:tc>
          <w:tcPr>
            <w:tcW w:w="160" w:type="dxa"/>
            <w:vAlign w:val="bottom"/>
          </w:tcPr>
          <w:p>
            <w:pPr>
              <w:spacing w:after="0"/>
              <w:rPr>
                <w:sz w:val="10"/>
                <w:szCs w:val="10"/>
                <w:color w:val="auto"/>
              </w:rPr>
            </w:pPr>
          </w:p>
        </w:tc>
        <w:tc>
          <w:tcPr>
            <w:tcW w:w="660" w:type="dxa"/>
            <w:vAlign w:val="bottom"/>
            <w:gridSpan w:val="2"/>
          </w:tcPr>
          <w:p>
            <w:pPr>
              <w:jc w:val="center"/>
              <w:spacing w:after="0" w:line="117" w:lineRule="exact"/>
              <w:rPr>
                <w:sz w:val="20"/>
                <w:szCs w:val="20"/>
                <w:color w:val="auto"/>
              </w:rPr>
            </w:pPr>
            <w:r>
              <w:rPr>
                <w:rFonts w:ascii="Arial" w:cs="Arial" w:eastAsia="Arial" w:hAnsi="Arial"/>
                <w:sz w:val="11"/>
                <w:szCs w:val="11"/>
                <w:b w:val="1"/>
                <w:bCs w:val="1"/>
                <w:color w:val="auto"/>
                <w:w w:val="92"/>
              </w:rPr>
              <w:t>Charged to</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vMerge w:val="restart"/>
          </w:tcPr>
          <w:p>
            <w:pPr>
              <w:jc w:val="right"/>
              <w:ind w:right="75"/>
              <w:spacing w:after="0"/>
              <w:rPr>
                <w:sz w:val="20"/>
                <w:szCs w:val="20"/>
                <w:color w:val="auto"/>
              </w:rPr>
            </w:pPr>
            <w:r>
              <w:rPr>
                <w:rFonts w:ascii="Arial" w:cs="Arial" w:eastAsia="Arial" w:hAnsi="Arial"/>
                <w:sz w:val="11"/>
                <w:szCs w:val="11"/>
                <w:b w:val="1"/>
                <w:bCs w:val="1"/>
                <w:color w:val="auto"/>
              </w:rPr>
              <w:t>Ending</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jc w:val="center"/>
              <w:ind w:right="36"/>
              <w:spacing w:after="0" w:line="117" w:lineRule="exact"/>
              <w:rPr>
                <w:sz w:val="20"/>
                <w:szCs w:val="20"/>
                <w:color w:val="auto"/>
              </w:rPr>
            </w:pPr>
            <w:r>
              <w:rPr>
                <w:rFonts w:ascii="Arial" w:cs="Arial" w:eastAsia="Arial" w:hAnsi="Arial"/>
                <w:sz w:val="11"/>
                <w:szCs w:val="11"/>
                <w:b w:val="1"/>
                <w:bCs w:val="1"/>
                <w:color w:val="auto"/>
                <w:w w:val="90"/>
              </w:rPr>
              <w:t>Costs and</w:t>
            </w:r>
          </w:p>
        </w:tc>
        <w:tc>
          <w:tcPr>
            <w:tcW w:w="160" w:type="dxa"/>
            <w:vAlign w:val="bottom"/>
          </w:tcPr>
          <w:p>
            <w:pPr>
              <w:spacing w:after="0"/>
              <w:rPr>
                <w:sz w:val="10"/>
                <w:szCs w:val="10"/>
                <w:color w:val="auto"/>
              </w:rPr>
            </w:pPr>
          </w:p>
        </w:tc>
        <w:tc>
          <w:tcPr>
            <w:tcW w:w="620" w:type="dxa"/>
            <w:vAlign w:val="bottom"/>
            <w:gridSpan w:val="2"/>
            <w:vMerge w:val="restart"/>
          </w:tcPr>
          <w:p>
            <w:pPr>
              <w:spacing w:after="0"/>
              <w:rPr>
                <w:sz w:val="20"/>
                <w:szCs w:val="20"/>
                <w:color w:val="auto"/>
              </w:rPr>
            </w:pPr>
            <w:r>
              <w:rPr>
                <w:rFonts w:ascii="Arial" w:cs="Arial" w:eastAsia="Arial" w:hAnsi="Arial"/>
                <w:sz w:val="11"/>
                <w:szCs w:val="11"/>
                <w:b w:val="1"/>
                <w:bCs w:val="1"/>
                <w:color w:val="auto"/>
                <w:w w:val="93"/>
              </w:rPr>
              <w:t>Deductions*</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4580" w:type="dxa"/>
            <w:vAlign w:val="bottom"/>
            <w:gridSpan w:val="3"/>
            <w:vMerge w:val="restart"/>
          </w:tcPr>
          <w:p>
            <w:pPr>
              <w:spacing w:after="0"/>
              <w:rPr>
                <w:sz w:val="20"/>
                <w:szCs w:val="20"/>
                <w:color w:val="auto"/>
              </w:rPr>
            </w:pPr>
            <w:r>
              <w:rPr>
                <w:rFonts w:ascii="Arial" w:cs="Arial" w:eastAsia="Arial" w:hAnsi="Arial"/>
                <w:sz w:val="14"/>
                <w:szCs w:val="14"/>
                <w:color w:val="auto"/>
              </w:rPr>
              <w:t>Year Ended December 29,2018:</w:t>
            </w:r>
          </w:p>
        </w:tc>
        <w:tc>
          <w:tcPr>
            <w:tcW w:w="14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75"/>
              <w:spacing w:after="0"/>
              <w:rPr>
                <w:sz w:val="20"/>
                <w:szCs w:val="20"/>
                <w:color w:val="auto"/>
              </w:rPr>
            </w:pPr>
            <w:r>
              <w:rPr>
                <w:rFonts w:ascii="Arial" w:cs="Arial" w:eastAsia="Arial" w:hAnsi="Arial"/>
                <w:sz w:val="11"/>
                <w:szCs w:val="11"/>
                <w:b w:val="1"/>
                <w:bCs w:val="1"/>
                <w:color w:val="auto"/>
                <w:w w:val="99"/>
              </w:rPr>
              <w:t>Balance</w:t>
            </w:r>
          </w:p>
        </w:tc>
        <w:tc>
          <w:tcPr>
            <w:tcW w:w="1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center"/>
              <w:ind w:right="36"/>
              <w:spacing w:after="0"/>
              <w:rPr>
                <w:sz w:val="20"/>
                <w:szCs w:val="20"/>
                <w:color w:val="auto"/>
              </w:rPr>
            </w:pPr>
            <w:r>
              <w:rPr>
                <w:rFonts w:ascii="Arial" w:cs="Arial" w:eastAsia="Arial" w:hAnsi="Arial"/>
                <w:sz w:val="11"/>
                <w:szCs w:val="11"/>
                <w:b w:val="1"/>
                <w:bCs w:val="1"/>
                <w:color w:val="auto"/>
                <w:w w:val="85"/>
              </w:rPr>
              <w:t>Expenses</w:t>
            </w:r>
          </w:p>
        </w:tc>
        <w:tc>
          <w:tcPr>
            <w:tcW w:w="160" w:type="dxa"/>
            <w:vAlign w:val="bottom"/>
          </w:tcPr>
          <w:p>
            <w:pPr>
              <w:spacing w:after="0"/>
              <w:rPr>
                <w:sz w:val="11"/>
                <w:szCs w:val="11"/>
                <w:color w:val="auto"/>
              </w:rPr>
            </w:pPr>
          </w:p>
        </w:tc>
        <w:tc>
          <w:tcPr>
            <w:tcW w:w="620" w:type="dxa"/>
            <w:vAlign w:val="bottom"/>
            <w:tcBorders>
              <w:bottom w:val="single" w:sz="8" w:color="auto"/>
            </w:tcBorders>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55"/>
              <w:spacing w:after="0"/>
              <w:rPr>
                <w:sz w:val="20"/>
                <w:szCs w:val="20"/>
                <w:color w:val="auto"/>
              </w:rPr>
            </w:pPr>
            <w:r>
              <w:rPr>
                <w:rFonts w:ascii="Arial" w:cs="Arial" w:eastAsia="Arial" w:hAnsi="Arial"/>
                <w:sz w:val="11"/>
                <w:szCs w:val="11"/>
                <w:b w:val="1"/>
                <w:bCs w:val="1"/>
                <w:color w:val="auto"/>
                <w:w w:val="94"/>
              </w:rPr>
              <w:t>Balance</w:t>
            </w:r>
          </w:p>
        </w:tc>
        <w:tc>
          <w:tcPr>
            <w:tcW w:w="0" w:type="dxa"/>
            <w:vAlign w:val="bottom"/>
          </w:tcPr>
          <w:p>
            <w:pPr>
              <w:spacing w:after="0"/>
              <w:rPr>
                <w:sz w:val="1"/>
                <w:szCs w:val="1"/>
                <w:color w:val="auto"/>
              </w:rPr>
            </w:pPr>
          </w:p>
        </w:tc>
      </w:tr>
      <w:tr>
        <w:trPr>
          <w:trHeight w:val="170"/>
        </w:trPr>
        <w:tc>
          <w:tcPr>
            <w:tcW w:w="4580" w:type="dxa"/>
            <w:vAlign w:val="bottom"/>
            <w:gridSpan w:val="3"/>
            <w:vMerge w:val="continue"/>
          </w:tcPr>
          <w:p>
            <w:pPr>
              <w:spacing w:after="0"/>
              <w:rPr>
                <w:sz w:val="14"/>
                <w:szCs w:val="14"/>
                <w:color w:val="auto"/>
              </w:rPr>
            </w:pPr>
          </w:p>
        </w:tc>
        <w:tc>
          <w:tcPr>
            <w:tcW w:w="1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56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Allowance for possible losses on accounts receivable</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2,424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38,963</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5"/>
              </w:rPr>
              <w:t>(38,786)</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2,601</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560" w:type="dxa"/>
            <w:vAlign w:val="bottom"/>
            <w:gridSpan w:val="2"/>
          </w:tcPr>
          <w:p>
            <w:pPr>
              <w:spacing w:after="0"/>
              <w:rPr>
                <w:sz w:val="20"/>
                <w:szCs w:val="20"/>
                <w:color w:val="auto"/>
              </w:rPr>
            </w:pPr>
            <w:r>
              <w:rPr>
                <w:rFonts w:ascii="Arial" w:cs="Arial" w:eastAsia="Arial" w:hAnsi="Arial"/>
                <w:sz w:val="14"/>
                <w:szCs w:val="14"/>
                <w:color w:val="auto"/>
              </w:rPr>
              <w:t>Year Ended December 30, 2017:</w:t>
            </w:r>
          </w:p>
        </w:tc>
        <w:tc>
          <w:tcPr>
            <w:tcW w:w="1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56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Allowance for possible losses on accounts receivable</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2,845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28,102</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5"/>
              </w:rPr>
              <w:t>(28,523)</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2,424</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560" w:type="dxa"/>
            <w:vAlign w:val="bottom"/>
            <w:gridSpan w:val="2"/>
          </w:tcPr>
          <w:p>
            <w:pPr>
              <w:spacing w:after="0"/>
              <w:rPr>
                <w:sz w:val="20"/>
                <w:szCs w:val="20"/>
                <w:color w:val="auto"/>
              </w:rPr>
            </w:pPr>
            <w:r>
              <w:rPr>
                <w:rFonts w:ascii="Arial" w:cs="Arial" w:eastAsia="Arial" w:hAnsi="Arial"/>
                <w:sz w:val="14"/>
                <w:szCs w:val="14"/>
                <w:color w:val="auto"/>
              </w:rPr>
              <w:t>Year Ended December 31, 2016:</w:t>
            </w:r>
          </w:p>
        </w:tc>
        <w:tc>
          <w:tcPr>
            <w:tcW w:w="1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56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Allowance for possible losses on accounts receivable</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2,672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28,405</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5"/>
              </w:rPr>
              <w:t>(28,232)</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2,845</w:t>
            </w:r>
          </w:p>
        </w:tc>
        <w:tc>
          <w:tcPr>
            <w:tcW w:w="0" w:type="dxa"/>
            <w:vAlign w:val="bottom"/>
          </w:tcPr>
          <w:p>
            <w:pPr>
              <w:spacing w:after="0"/>
              <w:rPr>
                <w:sz w:val="1"/>
                <w:szCs w:val="1"/>
                <w:color w:val="auto"/>
              </w:rPr>
            </w:pPr>
          </w:p>
        </w:tc>
      </w:tr>
      <w:tr>
        <w:trPr>
          <w:trHeight w:val="85"/>
        </w:trPr>
        <w:tc>
          <w:tcPr>
            <w:tcW w:w="20" w:type="dxa"/>
            <w:vAlign w:val="bottom"/>
            <w:tcBorders>
              <w:bottom w:val="single" w:sz="8" w:color="auto"/>
            </w:tcBorders>
          </w:tcPr>
          <w:p>
            <w:pPr>
              <w:spacing w:after="0"/>
              <w:rPr>
                <w:sz w:val="7"/>
                <w:szCs w:val="7"/>
                <w:color w:val="auto"/>
              </w:rPr>
            </w:pPr>
          </w:p>
        </w:tc>
        <w:tc>
          <w:tcPr>
            <w:tcW w:w="2260" w:type="dxa"/>
            <w:vAlign w:val="bottom"/>
            <w:tcBorders>
              <w:bottom w:val="single" w:sz="8" w:color="auto"/>
            </w:tcBorders>
          </w:tcPr>
          <w:p>
            <w:pPr>
              <w:spacing w:after="0"/>
              <w:rPr>
                <w:sz w:val="7"/>
                <w:szCs w:val="7"/>
                <w:color w:val="auto"/>
              </w:rPr>
            </w:pPr>
          </w:p>
        </w:tc>
        <w:tc>
          <w:tcPr>
            <w:tcW w:w="2300" w:type="dxa"/>
            <w:vAlign w:val="bottom"/>
          </w:tcPr>
          <w:p>
            <w:pPr>
              <w:spacing w:after="0"/>
              <w:rPr>
                <w:sz w:val="7"/>
                <w:szCs w:val="7"/>
                <w:color w:val="auto"/>
              </w:rPr>
            </w:pPr>
          </w:p>
        </w:tc>
        <w:tc>
          <w:tcPr>
            <w:tcW w:w="148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4" w:lineRule="exact"/>
        <w:rPr>
          <w:sz w:val="20"/>
          <w:szCs w:val="20"/>
          <w:color w:val="auto"/>
        </w:rPr>
      </w:pPr>
    </w:p>
    <w:p>
      <w:pPr>
        <w:ind w:left="4480" w:right="2920" w:hanging="4476"/>
        <w:spacing w:after="0" w:line="788" w:lineRule="auto"/>
        <w:tabs>
          <w:tab w:leader="none" w:pos="242" w:val="left"/>
        </w:tabs>
        <w:numPr>
          <w:ilvl w:val="0"/>
          <w:numId w:val="47"/>
        </w:numPr>
        <w:rPr>
          <w:rFonts w:ascii="Arial" w:cs="Arial" w:eastAsia="Arial" w:hAnsi="Arial"/>
          <w:sz w:val="14"/>
          <w:szCs w:val="14"/>
          <w:color w:val="auto"/>
        </w:rPr>
      </w:pPr>
      <w:r>
        <w:rPr>
          <w:rFonts w:ascii="Arial" w:cs="Arial" w:eastAsia="Arial" w:hAnsi="Arial"/>
          <w:sz w:val="14"/>
          <w:szCs w:val="14"/>
          <w:color w:val="auto"/>
        </w:rPr>
        <w:t>Includes accounts charged off, discounts given to customers and actual customer returns and allowances.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-178435</wp:posOffset>
            </wp:positionV>
            <wp:extent cx="5779135" cy="2032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0">
                      <a:extLst>
                        <a:ext uri="{28A0092B-C50C-407E-A947-70E740481C1C}"/>
                      </a:extLst>
                    </a:blip>
                    <a:srcRect/>
                    <a:stretch>
                      <a:fillRect/>
                    </a:stretch>
                  </pic:blipFill>
                  <pic:spPr bwMode="auto">
                    <a:xfrm>
                      <a:off x="0" y="0"/>
                      <a:ext cx="5779135" cy="20320"/>
                    </a:xfrm>
                    <a:prstGeom prst="rect">
                      <a:avLst/>
                    </a:prstGeom>
                    <a:noFill/>
                  </pic:spPr>
                </pic:pic>
              </a:graphicData>
            </a:graphic>
          </wp:anchor>
        </w:drawing>
      </w:r>
    </w:p>
    <w:p>
      <w:pPr>
        <w:sectPr>
          <w:pgSz w:w="11900" w:h="16838" w:orient="portrait"/>
          <w:cols w:equalWidth="0" w:num="1">
            <w:col w:w="9100"/>
          </w:cols>
          <w:pgMar w:left="1400" w:top="129" w:right="1399" w:bottom="1440" w:gutter="0" w:footer="0" w:header="0"/>
        </w:sectPr>
      </w:pPr>
    </w:p>
    <w:bookmarkStart w:id="76" w:name="page77"/>
    <w:bookmarkEnd w:id="76"/>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94" w:lineRule="exact"/>
        <w:rPr>
          <w:sz w:val="20"/>
          <w:szCs w:val="20"/>
          <w:color w:val="auto"/>
        </w:rPr>
      </w:pPr>
    </w:p>
    <w:p>
      <w:pPr>
        <w:ind w:left="520"/>
        <w:spacing w:after="0"/>
        <w:rPr>
          <w:sz w:val="20"/>
          <w:szCs w:val="20"/>
          <w:color w:val="auto"/>
        </w:rPr>
      </w:pPr>
      <w:r>
        <w:rPr>
          <w:rFonts w:ascii="Arial" w:cs="Arial" w:eastAsia="Arial" w:hAnsi="Arial"/>
          <w:sz w:val="13"/>
          <w:szCs w:val="13"/>
          <w:color w:val="auto"/>
        </w:rPr>
        <w:t>We record estimated sales returns, discounts, and other applicable adjustments as a reduction of net sales in the same period revenue is recognized.</w:t>
      </w:r>
    </w:p>
    <w:p>
      <w:pPr>
        <w:spacing w:after="0" w:line="190" w:lineRule="exact"/>
        <w:rPr>
          <w:sz w:val="20"/>
          <w:szCs w:val="20"/>
          <w:color w:val="auto"/>
        </w:rPr>
      </w:pPr>
    </w:p>
    <w:p>
      <w:pPr>
        <w:jc w:val="both"/>
        <w:ind w:right="20" w:firstLine="510"/>
        <w:spacing w:after="0" w:line="267" w:lineRule="auto"/>
        <w:rPr>
          <w:sz w:val="20"/>
          <w:szCs w:val="20"/>
          <w:color w:val="auto"/>
        </w:rPr>
      </w:pPr>
      <w:r>
        <w:rPr>
          <w:rFonts w:ascii="Arial" w:cs="Arial" w:eastAsia="Arial" w:hAnsi="Arial"/>
          <w:sz w:val="14"/>
          <w:szCs w:val="14"/>
          <w:color w:val="auto"/>
        </w:rPr>
        <w:t>Accounts receivable retainage amounts related to long term construction contracts totaled $5.5 million and $4.8 million as of December 29, 2018 and December 30, 2017, respectively. All amounts are expected to be collected within 18 months. Concentration of accounts receivable related to our largest customer totaled $44.5 million and $55.9 million as of December 29, 2018 and December 30, 2017, respectively.</w:t>
      </w:r>
    </w:p>
    <w:p>
      <w:pPr>
        <w:spacing w:after="0" w:line="138"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INVENTORIES</w:t>
      </w:r>
    </w:p>
    <w:p>
      <w:pPr>
        <w:spacing w:after="0" w:line="183" w:lineRule="exact"/>
        <w:rPr>
          <w:sz w:val="20"/>
          <w:szCs w:val="20"/>
          <w:color w:val="auto"/>
        </w:rPr>
      </w:pPr>
    </w:p>
    <w:p>
      <w:pPr>
        <w:jc w:val="both"/>
        <w:ind w:right="20" w:firstLine="510"/>
        <w:spacing w:after="0" w:line="262" w:lineRule="auto"/>
        <w:rPr>
          <w:sz w:val="20"/>
          <w:szCs w:val="20"/>
          <w:color w:val="auto"/>
        </w:rPr>
      </w:pPr>
      <w:r>
        <w:rPr>
          <w:rFonts w:ascii="Arial" w:cs="Arial" w:eastAsia="Arial" w:hAnsi="Arial"/>
          <w:sz w:val="14"/>
          <w:szCs w:val="14"/>
          <w:color w:val="auto"/>
        </w:rPr>
        <w:t>Inventories are stated at the lower of cost or market. The cost of inventories includes raw materials, direct labor, and manufacturing overhead. Cost is determined on a weighted average basis. Raw materials consist primarily of unfinished wood products expected to be manufactured or treated prior to sale, while finished goods represent various manufactured and treated wood products ready for sale. We have inventory on consignment at customer locations valued at $16.8 million as of December 29, 2018 and $14.8 million as of December 30, 2017.</w:t>
      </w:r>
    </w:p>
    <w:p>
      <w:pPr>
        <w:spacing w:after="0" w:line="143"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PROPERTY, PLANT, AND EQUIPMENT</w:t>
      </w:r>
    </w:p>
    <w:p>
      <w:pPr>
        <w:spacing w:after="0" w:line="183" w:lineRule="exact"/>
        <w:rPr>
          <w:sz w:val="20"/>
          <w:szCs w:val="20"/>
          <w:color w:val="auto"/>
        </w:rPr>
      </w:pPr>
    </w:p>
    <w:p>
      <w:pPr>
        <w:jc w:val="both"/>
        <w:ind w:right="20" w:firstLine="510"/>
        <w:spacing w:after="0" w:line="297" w:lineRule="auto"/>
        <w:rPr>
          <w:sz w:val="20"/>
          <w:szCs w:val="20"/>
          <w:color w:val="auto"/>
        </w:rPr>
      </w:pPr>
      <w:r>
        <w:rPr>
          <w:rFonts w:ascii="Arial" w:cs="Arial" w:eastAsia="Arial" w:hAnsi="Arial"/>
          <w:sz w:val="13"/>
          <w:szCs w:val="13"/>
          <w:color w:val="auto"/>
        </w:rPr>
        <w:t>Property, plant, and equipment are stated at cost. Expenditures for renewals and betterments are capitalized, and maintenance and repairs are expensed as incurred. Amortization of assets held under capital leases is included in depreciation and amortized over the shorter of the estimated useful life of the asset or the lease term. Depreciation is computed principally by the straight-line method over the estimated useful lives of the assets as follows: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40" w:type="dxa"/>
            <w:vAlign w:val="bottom"/>
            <w:shd w:val="clear" w:color="auto" w:fill="CCEEFF"/>
          </w:tcPr>
          <w:p>
            <w:pPr>
              <w:spacing w:after="0"/>
              <w:rPr>
                <w:sz w:val="20"/>
                <w:szCs w:val="20"/>
                <w:color w:val="auto"/>
              </w:rPr>
            </w:pPr>
            <w:r>
              <w:rPr>
                <w:rFonts w:ascii="Arial" w:cs="Arial" w:eastAsia="Arial" w:hAnsi="Arial"/>
                <w:sz w:val="14"/>
                <w:szCs w:val="14"/>
                <w:color w:val="auto"/>
              </w:rPr>
              <w:t>Land improvements</w:t>
            </w:r>
          </w:p>
        </w:tc>
        <w:tc>
          <w:tcPr>
            <w:tcW w:w="3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 to 15 years</w:t>
            </w:r>
          </w:p>
        </w:tc>
      </w:tr>
      <w:tr>
        <w:trPr>
          <w:trHeight w:val="170"/>
        </w:trPr>
        <w:tc>
          <w:tcPr>
            <w:tcW w:w="5340" w:type="dxa"/>
            <w:vAlign w:val="bottom"/>
          </w:tcPr>
          <w:p>
            <w:pPr>
              <w:spacing w:after="0"/>
              <w:rPr>
                <w:sz w:val="20"/>
                <w:szCs w:val="20"/>
                <w:color w:val="auto"/>
              </w:rPr>
            </w:pPr>
            <w:r>
              <w:rPr>
                <w:rFonts w:ascii="Arial" w:cs="Arial" w:eastAsia="Arial" w:hAnsi="Arial"/>
                <w:sz w:val="14"/>
                <w:szCs w:val="14"/>
                <w:color w:val="auto"/>
              </w:rPr>
              <w:t>Buildings and improvements</w:t>
            </w:r>
          </w:p>
        </w:tc>
        <w:tc>
          <w:tcPr>
            <w:tcW w:w="3780" w:type="dxa"/>
            <w:vAlign w:val="bottom"/>
          </w:tcPr>
          <w:p>
            <w:pPr>
              <w:jc w:val="right"/>
              <w:spacing w:after="0"/>
              <w:rPr>
                <w:sz w:val="20"/>
                <w:szCs w:val="20"/>
                <w:color w:val="auto"/>
              </w:rPr>
            </w:pPr>
            <w:r>
              <w:rPr>
                <w:rFonts w:ascii="Arial" w:cs="Arial" w:eastAsia="Arial" w:hAnsi="Arial"/>
                <w:sz w:val="14"/>
                <w:szCs w:val="14"/>
                <w:color w:val="auto"/>
              </w:rPr>
              <w:t>10 to 32 years</w:t>
            </w:r>
          </w:p>
        </w:tc>
      </w:tr>
      <w:tr>
        <w:trPr>
          <w:trHeight w:val="170"/>
        </w:trPr>
        <w:tc>
          <w:tcPr>
            <w:tcW w:w="5340" w:type="dxa"/>
            <w:vAlign w:val="bottom"/>
            <w:shd w:val="clear" w:color="auto" w:fill="CCEEFF"/>
          </w:tcPr>
          <w:p>
            <w:pPr>
              <w:spacing w:after="0"/>
              <w:rPr>
                <w:sz w:val="20"/>
                <w:szCs w:val="20"/>
                <w:color w:val="auto"/>
              </w:rPr>
            </w:pPr>
            <w:r>
              <w:rPr>
                <w:rFonts w:ascii="Arial" w:cs="Arial" w:eastAsia="Arial" w:hAnsi="Arial"/>
                <w:sz w:val="14"/>
                <w:szCs w:val="14"/>
                <w:color w:val="auto"/>
              </w:rPr>
              <w:t>Machinery, equipment and office furniture</w:t>
            </w:r>
          </w:p>
        </w:tc>
        <w:tc>
          <w:tcPr>
            <w:tcW w:w="3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 to 8 years</w:t>
            </w:r>
          </w:p>
        </w:tc>
      </w:tr>
    </w:tbl>
    <w:p>
      <w:pPr>
        <w:spacing w:after="0" w:line="155"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LONG-LIVED ASSETS</w:t>
      </w:r>
    </w:p>
    <w:p>
      <w:pPr>
        <w:spacing w:after="0" w:line="183" w:lineRule="exact"/>
        <w:rPr>
          <w:sz w:val="20"/>
          <w:szCs w:val="20"/>
          <w:color w:val="auto"/>
        </w:rPr>
      </w:pPr>
    </w:p>
    <w:p>
      <w:pPr>
        <w:jc w:val="both"/>
        <w:ind w:right="20" w:firstLine="510"/>
        <w:spacing w:after="0" w:line="262" w:lineRule="auto"/>
        <w:rPr>
          <w:sz w:val="20"/>
          <w:szCs w:val="20"/>
          <w:color w:val="auto"/>
        </w:rPr>
      </w:pPr>
      <w:r>
        <w:rPr>
          <w:rFonts w:ascii="Arial" w:cs="Arial" w:eastAsia="Arial" w:hAnsi="Arial"/>
          <w:sz w:val="14"/>
          <w:szCs w:val="14"/>
          <w:color w:val="auto"/>
        </w:rPr>
        <w:t xml:space="preserve">In accordance with ASC 360, </w:t>
      </w:r>
      <w:r>
        <w:rPr>
          <w:rFonts w:ascii="Arial" w:cs="Arial" w:eastAsia="Arial" w:hAnsi="Arial"/>
          <w:sz w:val="14"/>
          <w:szCs w:val="14"/>
          <w:i w:val="1"/>
          <w:iCs w:val="1"/>
          <w:color w:val="auto"/>
        </w:rPr>
        <w:t>Property, Plant, and Equipment</w:t>
      </w:r>
      <w:r>
        <w:rPr>
          <w:rFonts w:ascii="Arial" w:cs="Arial" w:eastAsia="Arial" w:hAnsi="Arial"/>
          <w:sz w:val="14"/>
          <w:szCs w:val="14"/>
          <w:color w:val="auto"/>
        </w:rPr>
        <w:t xml:space="preserve"> (“ASC 360”), when an indicator of potential impairment exists, we evaluate the recoverability of our long-lived assets by determining whether unamortized balances could be recovered through undiscounted future operating cash flows over the remaining lives of the assets. If the sum of the expected future cash flows was less than the carrying value of the assets, an impairment loss would be recognized for the excess of the carrying value over the fair value.</w:t>
      </w:r>
    </w:p>
    <w:p>
      <w:pPr>
        <w:spacing w:after="0" w:line="143"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LEASES</w:t>
      </w:r>
    </w:p>
    <w:p>
      <w:pPr>
        <w:spacing w:after="0" w:line="183" w:lineRule="exact"/>
        <w:rPr>
          <w:sz w:val="20"/>
          <w:szCs w:val="20"/>
          <w:color w:val="auto"/>
        </w:rPr>
      </w:pPr>
    </w:p>
    <w:p>
      <w:pPr>
        <w:jc w:val="both"/>
        <w:ind w:right="20" w:firstLine="510"/>
        <w:spacing w:after="0" w:line="171" w:lineRule="exact"/>
        <w:rPr>
          <w:sz w:val="20"/>
          <w:szCs w:val="20"/>
          <w:color w:val="auto"/>
        </w:rPr>
      </w:pPr>
      <w:r>
        <w:rPr>
          <w:rFonts w:ascii="Arial" w:cs="Arial" w:eastAsia="Arial" w:hAnsi="Arial"/>
          <w:sz w:val="13"/>
          <w:szCs w:val="13"/>
          <w:color w:val="auto"/>
        </w:rPr>
        <w:t>In February 2016, the Financial Accounting Standards Board (FASB) issued Accounting Standard Update (ASU) No. 2016</w:t>
      </w:r>
      <w:r>
        <w:rPr>
          <w:rFonts w:ascii="MS PGothic" w:cs="MS PGothic" w:eastAsia="MS PGothic" w:hAnsi="MS PGothic"/>
          <w:sz w:val="13"/>
          <w:szCs w:val="13"/>
          <w:color w:val="auto"/>
        </w:rPr>
        <w:t>‑</w:t>
      </w:r>
      <w:r>
        <w:rPr>
          <w:rFonts w:ascii="Arial" w:cs="Arial" w:eastAsia="Arial" w:hAnsi="Arial"/>
          <w:sz w:val="13"/>
          <w:szCs w:val="13"/>
          <w:color w:val="auto"/>
        </w:rPr>
        <w:t>02, “Leases (Topic 842)” (ASU 2016</w:t>
      </w:r>
      <w:r>
        <w:rPr>
          <w:rFonts w:ascii="MS PGothic" w:cs="MS PGothic" w:eastAsia="MS PGothic" w:hAnsi="MS PGothic"/>
          <w:sz w:val="13"/>
          <w:szCs w:val="13"/>
          <w:color w:val="auto"/>
        </w:rPr>
        <w:t>‑</w:t>
      </w:r>
      <w:r>
        <w:rPr>
          <w:rFonts w:ascii="Arial" w:cs="Arial" w:eastAsia="Arial" w:hAnsi="Arial"/>
          <w:sz w:val="13"/>
          <w:szCs w:val="13"/>
          <w:color w:val="auto"/>
        </w:rPr>
        <w:t>02). Under ASU 2016</w:t>
      </w:r>
      <w:r>
        <w:rPr>
          <w:rFonts w:ascii="MS PGothic" w:cs="MS PGothic" w:eastAsia="MS PGothic" w:hAnsi="MS PGothic"/>
          <w:sz w:val="13"/>
          <w:szCs w:val="13"/>
          <w:color w:val="auto"/>
        </w:rPr>
        <w:t>‑</w:t>
      </w:r>
      <w:r>
        <w:rPr>
          <w:rFonts w:ascii="Arial" w:cs="Arial" w:eastAsia="Arial" w:hAnsi="Arial"/>
          <w:sz w:val="13"/>
          <w:szCs w:val="13"/>
          <w:color w:val="auto"/>
        </w:rPr>
        <w:t>02, an entity will be required to recognize assets and liabilities for the rights and obligations created by leases on the entity’s balance sheet for both finance and operating leases. For leases with a term of 12 months or less, an entity can elect to not recognize lease assets and lease liabilities and expense the lease over a straight-line basis for the term of the lease. ASU 2016</w:t>
      </w:r>
      <w:r>
        <w:rPr>
          <w:rFonts w:ascii="MS PGothic" w:cs="MS PGothic" w:eastAsia="MS PGothic" w:hAnsi="MS PGothic"/>
          <w:sz w:val="13"/>
          <w:szCs w:val="13"/>
          <w:color w:val="auto"/>
        </w:rPr>
        <w:t>‑</w:t>
      </w:r>
      <w:r>
        <w:rPr>
          <w:rFonts w:ascii="Arial" w:cs="Arial" w:eastAsia="Arial" w:hAnsi="Arial"/>
          <w:sz w:val="13"/>
          <w:szCs w:val="13"/>
          <w:color w:val="auto"/>
        </w:rPr>
        <w:t>02 will require new disclosures that depict the amount, timing, and uncertainty of cash flows pertaining to an entity’s leases. Companies are required to adopt the new standard for annual and interim periods beginning after December 15, 2018. Early adoption of ASU 2016</w:t>
      </w:r>
      <w:r>
        <w:rPr>
          <w:rFonts w:ascii="MS PGothic" w:cs="MS PGothic" w:eastAsia="MS PGothic" w:hAnsi="MS PGothic"/>
          <w:sz w:val="13"/>
          <w:szCs w:val="13"/>
          <w:color w:val="auto"/>
        </w:rPr>
        <w:t>‑</w:t>
      </w:r>
      <w:r>
        <w:rPr>
          <w:rFonts w:ascii="Arial" w:cs="Arial" w:eastAsia="Arial" w:hAnsi="Arial"/>
          <w:sz w:val="13"/>
          <w:szCs w:val="13"/>
          <w:color w:val="auto"/>
        </w:rPr>
        <w:t>02 is permitted. The FASB has decided to amend certain aspects of its new leasing standard in an attempt to provide a relief from implementation costs. Specifically, entities may elect not to restate their comparative periods in the period of adoption when transitioning to the new standard. The Company will elect practical expedients permitted under the transition guidance within the new standard, which among other things, allows the carryforward of historical lease classification, lease and related non-lease components accounted as a single component, and hindsight practical expedient to determine the reasonably certain lease term for existing leases. As required by the standard, the Company expects to make additional disclosures related to the nature and type of leases, practical expedients applied, and adoption method in the first quarter of 2019 fiscal year. The Company expects $60-80 million impact on our consolidated balance sheets and no material impact on our consolidated income statement.</w:t>
      </w:r>
    </w:p>
    <w:p>
      <w:pPr>
        <w:spacing w:after="0" w:line="331"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66675</wp:posOffset>
            </wp:positionV>
            <wp:extent cx="5779135" cy="2032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1">
                      <a:extLst>
                        <a:ext uri="{28A0092B-C50C-407E-A947-70E740481C1C}"/>
                      </a:extLst>
                    </a:blip>
                    <a:srcRect/>
                    <a:stretch>
                      <a:fillRect/>
                    </a:stretch>
                  </pic:blipFill>
                  <pic:spPr bwMode="auto">
                    <a:xfrm>
                      <a:off x="0" y="0"/>
                      <a:ext cx="5779135" cy="20320"/>
                    </a:xfrm>
                    <a:prstGeom prst="rect">
                      <a:avLst/>
                    </a:prstGeom>
                    <a:noFill/>
                  </pic:spPr>
                </pic:pic>
              </a:graphicData>
            </a:graphic>
          </wp:anchor>
        </w:drawing>
      </w:r>
    </w:p>
    <w:p>
      <w:pPr>
        <w:sectPr>
          <w:pgSz w:w="11900" w:h="16838" w:orient="portrait"/>
          <w:cols w:equalWidth="0" w:num="1">
            <w:col w:w="9120"/>
          </w:cols>
          <w:pgMar w:left="1400" w:top="129" w:right="1379" w:bottom="1440" w:gutter="0" w:footer="0" w:header="0"/>
        </w:sectPr>
      </w:pPr>
    </w:p>
    <w:bookmarkStart w:id="77" w:name="page78"/>
    <w:bookmarkEnd w:id="77"/>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90"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GOODWILL</w:t>
      </w:r>
    </w:p>
    <w:p>
      <w:pPr>
        <w:spacing w:after="0" w:line="183" w:lineRule="exact"/>
        <w:rPr>
          <w:sz w:val="20"/>
          <w:szCs w:val="20"/>
          <w:color w:val="auto"/>
        </w:rPr>
      </w:pPr>
    </w:p>
    <w:p>
      <w:pPr>
        <w:jc w:val="both"/>
        <w:ind w:firstLine="510"/>
        <w:spacing w:after="0" w:line="260" w:lineRule="auto"/>
        <w:rPr>
          <w:sz w:val="20"/>
          <w:szCs w:val="20"/>
          <w:color w:val="auto"/>
        </w:rPr>
      </w:pPr>
      <w:r>
        <w:rPr>
          <w:rFonts w:ascii="Arial" w:cs="Arial" w:eastAsia="Arial" w:hAnsi="Arial"/>
          <w:sz w:val="14"/>
          <w:szCs w:val="14"/>
          <w:color w:val="auto"/>
        </w:rPr>
        <w:t>Goodwill represents the excess of the purchase price over the fair value of net tangible and identifiable intangible assets of acquired businesses. Goodwill and intangible assets deemed to have indefinite lives are not amortized, but are subject to impairment tests at least annually in accordance with ASC 350, Intangibles-Goodwill and Other. We review the carrying amounts of goodwill and other non-amortizable intangibles by reporting unit to determine if such assets may be impaired. As the carrying amount of these assets are recoverable based upon a discounted cash flow and market approach analysis, no impairment was recognized.</w:t>
      </w:r>
    </w:p>
    <w:p>
      <w:pPr>
        <w:spacing w:after="0" w:line="147" w:lineRule="exact"/>
        <w:rPr>
          <w:sz w:val="20"/>
          <w:szCs w:val="20"/>
          <w:color w:val="auto"/>
        </w:rPr>
      </w:pPr>
    </w:p>
    <w:p>
      <w:pPr>
        <w:jc w:val="both"/>
        <w:ind w:firstLine="510"/>
        <w:spacing w:after="0" w:line="267" w:lineRule="auto"/>
        <w:rPr>
          <w:sz w:val="20"/>
          <w:szCs w:val="20"/>
          <w:color w:val="auto"/>
        </w:rPr>
      </w:pPr>
      <w:r>
        <w:rPr>
          <w:rFonts w:ascii="Arial" w:cs="Arial" w:eastAsia="Arial" w:hAnsi="Arial"/>
          <w:sz w:val="14"/>
          <w:szCs w:val="14"/>
          <w:color w:val="auto"/>
        </w:rPr>
        <w:t>Our annual testing date for evaluating goodwill and indefinite-lived intangible asset impairment is the first day of the Company’s fourth fiscal quarter for all reporting units. Additionally, the Company reviews various triggering events throughout the year to ensure that a mid-year impairment analysis is not required.</w:t>
      </w:r>
    </w:p>
    <w:p>
      <w:pPr>
        <w:spacing w:after="0" w:line="138"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FOREIGN CURRENCY</w:t>
      </w:r>
    </w:p>
    <w:p>
      <w:pPr>
        <w:spacing w:after="0" w:line="183" w:lineRule="exact"/>
        <w:rPr>
          <w:sz w:val="20"/>
          <w:szCs w:val="20"/>
          <w:color w:val="auto"/>
        </w:rPr>
      </w:pPr>
    </w:p>
    <w:p>
      <w:pPr>
        <w:jc w:val="both"/>
        <w:ind w:firstLine="510"/>
        <w:spacing w:after="0" w:line="297" w:lineRule="auto"/>
        <w:rPr>
          <w:sz w:val="20"/>
          <w:szCs w:val="20"/>
          <w:color w:val="auto"/>
        </w:rPr>
      </w:pPr>
      <w:r>
        <w:rPr>
          <w:rFonts w:ascii="Arial" w:cs="Arial" w:eastAsia="Arial" w:hAnsi="Arial"/>
          <w:sz w:val="13"/>
          <w:szCs w:val="13"/>
          <w:color w:val="auto"/>
        </w:rPr>
        <w:t>Our foreign operations use the local currency as their functional currency. Accordingly, assets and liabilities are translated at exchange rates as of the balance sheet date and revenues and expenses are translated using weighted average rates, with translation adjustments included as a separate component of shareholders’ equity. Gains and losses arising from re-measuring foreign currency transactions are included in earnings.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INSURANCE RESERVES</w:t>
      </w:r>
    </w:p>
    <w:p>
      <w:pPr>
        <w:spacing w:after="0" w:line="183" w:lineRule="exact"/>
        <w:rPr>
          <w:sz w:val="20"/>
          <w:szCs w:val="20"/>
          <w:color w:val="auto"/>
        </w:rPr>
      </w:pPr>
    </w:p>
    <w:p>
      <w:pPr>
        <w:jc w:val="both"/>
        <w:ind w:firstLine="510"/>
        <w:spacing w:after="0" w:line="267" w:lineRule="auto"/>
        <w:rPr>
          <w:sz w:val="20"/>
          <w:szCs w:val="20"/>
          <w:color w:val="auto"/>
        </w:rPr>
      </w:pPr>
      <w:r>
        <w:rPr>
          <w:rFonts w:ascii="Arial" w:cs="Arial" w:eastAsia="Arial" w:hAnsi="Arial"/>
          <w:sz w:val="14"/>
          <w:szCs w:val="14"/>
          <w:color w:val="auto"/>
        </w:rPr>
        <w:t>Our wholly-owned insurance company, Ardellis Insurance Ltd.(“Ardellis”), was incorporated on April 21, 2001 under the laws of Bermuda and is licensed as a Class 3A insurer under the Insurance Act 1978 of Bermuda. On April 14, 2017 the U.S. Branch of Ardellis Insurance Ltd. was granted its Certificate of Authority to transact property and casualty insurance lines as an admitted carrier in the State of Michigan.</w:t>
      </w:r>
    </w:p>
    <w:p>
      <w:pPr>
        <w:spacing w:after="0" w:line="142" w:lineRule="exact"/>
        <w:rPr>
          <w:sz w:val="20"/>
          <w:szCs w:val="20"/>
          <w:color w:val="auto"/>
        </w:rPr>
      </w:pPr>
    </w:p>
    <w:p>
      <w:pPr>
        <w:jc w:val="both"/>
        <w:ind w:firstLine="510"/>
        <w:spacing w:after="0" w:line="282" w:lineRule="auto"/>
        <w:rPr>
          <w:sz w:val="20"/>
          <w:szCs w:val="20"/>
          <w:color w:val="auto"/>
        </w:rPr>
      </w:pPr>
      <w:r>
        <w:rPr>
          <w:rFonts w:ascii="Arial" w:cs="Arial" w:eastAsia="Arial" w:hAnsi="Arial"/>
          <w:sz w:val="13"/>
          <w:szCs w:val="13"/>
          <w:color w:val="auto"/>
        </w:rPr>
        <w:t>We are primarily self-insured for certain employee health benefits, and have self-funded retentions for general liability, automobile liability, property and workers’ compensation. We are fully self-insured for environmental liabilities. The general liability, automobile liability, property, workers’ compensation, and certain environmental liabilities are managed through Ardellis; the related assets and liabilities of which are included in the consolidated financial statements as of December 29, 2018 and December 30, 2017. Our policy is to accrue amounts equal to actuarially determined or internally computed liabilities. The actuarial and internal valuations are based on historical information along with certain assumptions about future events. Changes in assumptions for such matters as legal actions, medical cost trends, and changes in claims experience could cause these estimates to change in the future.</w:t>
      </w:r>
    </w:p>
    <w:p>
      <w:pPr>
        <w:spacing w:after="0" w:line="135" w:lineRule="exact"/>
        <w:rPr>
          <w:sz w:val="20"/>
          <w:szCs w:val="20"/>
          <w:color w:val="auto"/>
        </w:rPr>
      </w:pPr>
    </w:p>
    <w:p>
      <w:pPr>
        <w:jc w:val="both"/>
        <w:ind w:firstLine="510"/>
        <w:spacing w:after="0" w:line="297" w:lineRule="auto"/>
        <w:rPr>
          <w:sz w:val="20"/>
          <w:szCs w:val="20"/>
          <w:color w:val="auto"/>
        </w:rPr>
      </w:pPr>
      <w:r>
        <w:rPr>
          <w:rFonts w:ascii="Arial" w:cs="Arial" w:eastAsia="Arial" w:hAnsi="Arial"/>
          <w:sz w:val="13"/>
          <w:szCs w:val="13"/>
          <w:color w:val="auto"/>
        </w:rPr>
        <w:t>In addition to providing coverage for the Company, Ardellis provides Excess Loss Insurance (primarily medical and prescription drug) to certain third parties. As of December 29, 2018, Ardellis had 39 such contracts in place. Reserves associated with these contracts were $4.9 million at December 29, 2018 and $3.4 million at December 30, 2017, and are accrued based on third party actuarial valuations of the expected future liabilities.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INCOME TAXES</w:t>
      </w:r>
    </w:p>
    <w:p>
      <w:pPr>
        <w:spacing w:after="0" w:line="183" w:lineRule="exact"/>
        <w:rPr>
          <w:sz w:val="20"/>
          <w:szCs w:val="20"/>
          <w:color w:val="auto"/>
        </w:rPr>
      </w:pPr>
    </w:p>
    <w:p>
      <w:pPr>
        <w:jc w:val="both"/>
        <w:ind w:firstLine="510"/>
        <w:spacing w:after="0" w:line="289" w:lineRule="auto"/>
        <w:rPr>
          <w:sz w:val="20"/>
          <w:szCs w:val="20"/>
          <w:color w:val="auto"/>
        </w:rPr>
      </w:pPr>
      <w:r>
        <w:rPr>
          <w:rFonts w:ascii="Arial" w:cs="Arial" w:eastAsia="Arial" w:hAnsi="Arial"/>
          <w:sz w:val="13"/>
          <w:szCs w:val="13"/>
          <w:color w:val="auto"/>
        </w:rPr>
        <w:t>Deferred income tax assets and liabilities are computed for differences between the financial statement and tax basis of assets and liabilities that will result in taxable or deductible amounts in the future. Such deferred income tax asset and liability computations are based on enacted tax laws and rates. Valuation allowances are established when necessary to reduce deferred income tax assets to the amounts expected to be realized. Income tax expense is the tax payable or refundable for the period plus or minus the change during the period in deferred income tax assets and liabilities.</w:t>
      </w:r>
    </w:p>
    <w:p>
      <w:pPr>
        <w:spacing w:after="0" w:line="125"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REVENUE RECOGNITION</w:t>
      </w:r>
    </w:p>
    <w:p>
      <w:pPr>
        <w:spacing w:after="0" w:line="183" w:lineRule="exact"/>
        <w:rPr>
          <w:sz w:val="20"/>
          <w:szCs w:val="20"/>
          <w:color w:val="auto"/>
        </w:rPr>
      </w:pPr>
    </w:p>
    <w:p>
      <w:pPr>
        <w:jc w:val="both"/>
        <w:ind w:firstLine="382"/>
        <w:spacing w:after="0" w:line="267" w:lineRule="auto"/>
        <w:rPr>
          <w:sz w:val="20"/>
          <w:szCs w:val="20"/>
          <w:color w:val="auto"/>
        </w:rPr>
      </w:pPr>
      <w:r>
        <w:rPr>
          <w:rFonts w:ascii="Arial" w:cs="Arial" w:eastAsia="Arial" w:hAnsi="Arial"/>
          <w:sz w:val="14"/>
          <w:szCs w:val="14"/>
          <w:color w:val="auto"/>
        </w:rPr>
        <w:t>On May 28, 2014, the FASB issued ASU No. 2014-09 (Accounting Standard Codification 606), Revenue from Contracts with Customers. Topic 606 supersedes the revenue recognition requirements in Accounting Standards Codification Topic 605, Revenue Recognition, and requires the recognition of revenue when promised goods or services</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66675</wp:posOffset>
            </wp:positionV>
            <wp:extent cx="5779135" cy="2032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2">
                      <a:extLst>
                        <a:ext uri="{28A0092B-C50C-407E-A947-70E740481C1C}"/>
                      </a:extLst>
                    </a:blip>
                    <a:srcRect/>
                    <a:stretch>
                      <a:fillRect/>
                    </a:stretch>
                  </pic:blipFill>
                  <pic:spPr bwMode="auto">
                    <a:xfrm>
                      <a:off x="0" y="0"/>
                      <a:ext cx="5779135" cy="20320"/>
                    </a:xfrm>
                    <a:prstGeom prst="rect">
                      <a:avLst/>
                    </a:prstGeom>
                    <a:noFill/>
                  </pic:spPr>
                </pic:pic>
              </a:graphicData>
            </a:graphic>
          </wp:anchor>
        </w:drawing>
      </w:r>
    </w:p>
    <w:p>
      <w:pPr>
        <w:sectPr>
          <w:pgSz w:w="11900" w:h="16838" w:orient="portrait"/>
          <w:cols w:equalWidth="0" w:num="1">
            <w:col w:w="9100"/>
          </w:cols>
          <w:pgMar w:left="1400" w:top="129" w:right="1399" w:bottom="1440" w:gutter="0" w:footer="0" w:header="0"/>
        </w:sectPr>
      </w:pPr>
    </w:p>
    <w:bookmarkStart w:id="78" w:name="page79"/>
    <w:bookmarkEnd w:id="78"/>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9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are transferred to customers in an amount that reflects the considerations to which the entity expects to be entitled to in exchange for those goods or services. The ASU requires additional disclosure about the nature, amount, timing and uncertainty of revenue and cash flows arising from customer contracts, including significant judgments and changes in judgments. The Company has adopted the requirements of the new standard as of January 1, 2018, and utilized the modified retrospective method of transition which was applied to all contracts.</w:t>
      </w:r>
    </w:p>
    <w:p>
      <w:pPr>
        <w:spacing w:after="0" w:line="147" w:lineRule="exact"/>
        <w:rPr>
          <w:sz w:val="20"/>
          <w:szCs w:val="20"/>
          <w:color w:val="auto"/>
        </w:rPr>
      </w:pPr>
    </w:p>
    <w:p>
      <w:pPr>
        <w:jc w:val="both"/>
        <w:ind w:firstLine="382"/>
        <w:spacing w:after="0" w:line="321" w:lineRule="auto"/>
        <w:rPr>
          <w:sz w:val="20"/>
          <w:szCs w:val="20"/>
          <w:color w:val="auto"/>
        </w:rPr>
      </w:pPr>
      <w:r>
        <w:rPr>
          <w:rFonts w:ascii="Arial" w:cs="Arial" w:eastAsia="Arial" w:hAnsi="Arial"/>
          <w:sz w:val="13"/>
          <w:szCs w:val="13"/>
          <w:color w:val="auto"/>
        </w:rPr>
        <w:t>The Company completed the new revenue recognition standard assessment and determined that there was no material impact to our consolidated financial statements, aside from additional required disclosures, thus no needed adjustment to the opening retained earnings for the annual reporting period.</w:t>
      </w:r>
    </w:p>
    <w:p>
      <w:pPr>
        <w:spacing w:after="0" w:line="110" w:lineRule="exact"/>
        <w:rPr>
          <w:sz w:val="20"/>
          <w:szCs w:val="20"/>
          <w:color w:val="auto"/>
        </w:rPr>
      </w:pPr>
    </w:p>
    <w:p>
      <w:pPr>
        <w:jc w:val="both"/>
        <w:ind w:firstLine="382"/>
        <w:spacing w:after="0" w:line="258" w:lineRule="auto"/>
        <w:rPr>
          <w:sz w:val="20"/>
          <w:szCs w:val="20"/>
          <w:color w:val="auto"/>
        </w:rPr>
      </w:pPr>
      <w:r>
        <w:rPr>
          <w:rFonts w:ascii="Arial" w:cs="Arial" w:eastAsia="Arial" w:hAnsi="Arial"/>
          <w:sz w:val="14"/>
          <w:szCs w:val="14"/>
          <w:color w:val="auto"/>
        </w:rPr>
        <w:t>Within the three markets (retail, industrial, and construction) that the Company operates, there are a variety of written and oral contracts that are utilized to generate revenue from the sale of wood, wood composite and other products. The transaction price is stated at the purchase order level, which includes shipping and/or freight costs and any applicable governmental authority taxes. The majority of our contracts have a single performance obligation concentrated around the delivery of goods to the carrier, Free On Board (FOB) shipping point. Therefore, revenue is recognized when this performance obligation is satisfied. Generally, title and control passes at the time of shipment. In certain circumstances, the customer takes title when the shipment arrives at the destination. However, our shipping process is typically completed the same day.</w:t>
      </w:r>
    </w:p>
    <w:p>
      <w:pPr>
        <w:spacing w:after="0" w:line="151" w:lineRule="exact"/>
        <w:rPr>
          <w:sz w:val="20"/>
          <w:szCs w:val="20"/>
          <w:color w:val="auto"/>
        </w:rPr>
      </w:pPr>
    </w:p>
    <w:p>
      <w:pPr>
        <w:jc w:val="both"/>
        <w:ind w:firstLine="382"/>
        <w:spacing w:after="0" w:line="267" w:lineRule="auto"/>
        <w:rPr>
          <w:sz w:val="20"/>
          <w:szCs w:val="20"/>
          <w:color w:val="auto"/>
        </w:rPr>
      </w:pPr>
      <w:r>
        <w:rPr>
          <w:rFonts w:ascii="Arial" w:cs="Arial" w:eastAsia="Arial" w:hAnsi="Arial"/>
          <w:sz w:val="14"/>
          <w:szCs w:val="14"/>
          <w:color w:val="auto"/>
        </w:rPr>
        <w:t>Certain customer products that we provide require installation by the Company or a 3rd party. Installation revenue is recognized upon completion, which is typically 2-3 days after receipt. If it is determined to utilize a 3rd party for installation, the party will act as an agent to the Company until completion of the installation. Installation revenue represents an immaterial share of the Company’s total sales.</w:t>
      </w:r>
    </w:p>
    <w:p>
      <w:pPr>
        <w:spacing w:after="0" w:line="142" w:lineRule="exact"/>
        <w:rPr>
          <w:sz w:val="20"/>
          <w:szCs w:val="20"/>
          <w:color w:val="auto"/>
        </w:rPr>
      </w:pPr>
    </w:p>
    <w:p>
      <w:pPr>
        <w:jc w:val="both"/>
        <w:ind w:firstLine="382"/>
        <w:spacing w:after="0" w:line="285" w:lineRule="auto"/>
        <w:rPr>
          <w:sz w:val="20"/>
          <w:szCs w:val="20"/>
          <w:color w:val="auto"/>
        </w:rPr>
      </w:pPr>
      <w:r>
        <w:rPr>
          <w:rFonts w:ascii="Arial" w:cs="Arial" w:eastAsia="Arial" w:hAnsi="Arial"/>
          <w:sz w:val="13"/>
          <w:szCs w:val="13"/>
          <w:color w:val="auto"/>
        </w:rPr>
        <w:t>The Company utilizes rebates, credits, discounts and/or cash-based incentives with certain customers which are accounted for as variable consideration. We estimate these amounts based on historical and anticipated customer sales and reduce recognized revenues accordingly. We believe that there will not be significant changes to our estimates of variable consideration. Our estimates of variable consideration are considered not constrained as the likelihood and magnitude of a significant reversal are not probable. The allocation of these costs are applied at the invoice level and recognized in conjunction with revenue. Additionally, the volume returns and refunds are estimated on a historical and expected basis which is a reduction of revenue recognized.</w:t>
      </w:r>
    </w:p>
    <w:p>
      <w:pPr>
        <w:spacing w:after="0" w:line="132" w:lineRule="exact"/>
        <w:rPr>
          <w:sz w:val="20"/>
          <w:szCs w:val="20"/>
          <w:color w:val="auto"/>
        </w:rPr>
      </w:pPr>
    </w:p>
    <w:p>
      <w:pPr>
        <w:jc w:val="both"/>
        <w:ind w:firstLine="382"/>
        <w:spacing w:after="0" w:line="280" w:lineRule="auto"/>
        <w:rPr>
          <w:sz w:val="20"/>
          <w:szCs w:val="20"/>
          <w:color w:val="auto"/>
        </w:rPr>
      </w:pPr>
      <w:r>
        <w:rPr>
          <w:rFonts w:ascii="Arial" w:cs="Arial" w:eastAsia="Arial" w:hAnsi="Arial"/>
          <w:sz w:val="13"/>
          <w:szCs w:val="13"/>
          <w:color w:val="auto"/>
        </w:rPr>
        <w:t>Earnings on construction contracts are reflected in operations using over time accounting, under either cost to cost or units of delivery methods, depending on the nature of the business at individual operations, which is in accordance with ASC 606 as revenue is recognized when certain performance obligations are performed. Under over time accounting using the cost to cost method, revenues and related earnings on construction contracts are measured by the relationships of actual costs incurred related to the total estimated costs. Under over time accounting using the units of delivery method, revenues and related earnings on construction contracts are measured by the relationships of actual units produced related to the total number of units. Revisions in earnings estimates on the construction contracts are recorded in the accounting period in which the basis for such revisions becomes known. Projected losses on individual contracts are charged to operations in their entirety when such losses become apparent.</w:t>
      </w:r>
    </w:p>
    <w:p>
      <w:pPr>
        <w:spacing w:after="0" w:line="138" w:lineRule="exact"/>
        <w:rPr>
          <w:sz w:val="20"/>
          <w:szCs w:val="20"/>
          <w:color w:val="auto"/>
        </w:rPr>
      </w:pPr>
    </w:p>
    <w:p>
      <w:pPr>
        <w:jc w:val="both"/>
        <w:ind w:firstLine="382"/>
        <w:spacing w:after="0" w:line="262" w:lineRule="auto"/>
        <w:rPr>
          <w:sz w:val="20"/>
          <w:szCs w:val="20"/>
          <w:color w:val="auto"/>
        </w:rPr>
      </w:pPr>
      <w:r>
        <w:rPr>
          <w:rFonts w:ascii="Arial" w:cs="Arial" w:eastAsia="Arial" w:hAnsi="Arial"/>
          <w:sz w:val="14"/>
          <w:szCs w:val="14"/>
          <w:color w:val="auto"/>
        </w:rPr>
        <w:t>Our construction contracts are generally entered into with a fixed price and completion of the projects and performance obligations can range from 6 to 18 months in duration. Therefore, our operating results are impacted by, among many other things, labor rates and commodity costs. Invoices are issued routinely throughout the projects’ life and payments are primarily due 45-60 days after invoice date. During the year, we update our estimated costs to complete our projects using current labor and commodity costs and recognize losses to the extent that they exist.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66675</wp:posOffset>
            </wp:positionV>
            <wp:extent cx="5779135" cy="2032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3">
                      <a:extLst>
                        <a:ext uri="{28A0092B-C50C-407E-A947-70E740481C1C}"/>
                      </a:extLst>
                    </a:blip>
                    <a:srcRect/>
                    <a:stretch>
                      <a:fillRect/>
                    </a:stretch>
                  </pic:blipFill>
                  <pic:spPr bwMode="auto">
                    <a:xfrm>
                      <a:off x="0" y="0"/>
                      <a:ext cx="5779135" cy="20320"/>
                    </a:xfrm>
                    <a:prstGeom prst="rect">
                      <a:avLst/>
                    </a:prstGeom>
                    <a:noFill/>
                  </pic:spPr>
                </pic:pic>
              </a:graphicData>
            </a:graphic>
          </wp:anchor>
        </w:drawing>
      </w:r>
    </w:p>
    <w:p>
      <w:pPr>
        <w:sectPr>
          <w:pgSz w:w="11900" w:h="16838" w:orient="portrait"/>
          <w:cols w:equalWidth="0" w:num="1">
            <w:col w:w="9100"/>
          </w:cols>
          <w:pgMar w:left="1400" w:top="129" w:right="1399" w:bottom="1440" w:gutter="0" w:footer="0" w:header="0"/>
        </w:sectPr>
      </w:pPr>
    </w:p>
    <w:bookmarkStart w:id="79" w:name="page80"/>
    <w:bookmarkEnd w:id="79"/>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94"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The following table presents our gross revenues disaggregated by revenue source:</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180" w:type="dxa"/>
            <w:vAlign w:val="bottom"/>
            <w:gridSpan w:val="2"/>
          </w:tcPr>
          <w:p>
            <w:pPr>
              <w:spacing w:after="0"/>
              <w:rPr>
                <w:sz w:val="20"/>
                <w:szCs w:val="20"/>
                <w:color w:val="auto"/>
              </w:rPr>
            </w:pPr>
            <w:r>
              <w:rPr>
                <w:rFonts w:ascii="Arial" w:cs="Arial" w:eastAsia="Arial" w:hAnsi="Arial"/>
                <w:sz w:val="11"/>
                <w:szCs w:val="11"/>
                <w:b w:val="1"/>
                <w:bCs w:val="1"/>
                <w:color w:val="auto"/>
              </w:rPr>
              <w:t>(in thousands)</w:t>
            </w:r>
          </w:p>
        </w:tc>
        <w:tc>
          <w:tcPr>
            <w:tcW w:w="300" w:type="dxa"/>
            <w:vAlign w:val="bottom"/>
          </w:tcPr>
          <w:p>
            <w:pPr>
              <w:spacing w:after="0"/>
              <w:rPr>
                <w:sz w:val="10"/>
                <w:szCs w:val="10"/>
                <w:color w:val="auto"/>
              </w:rPr>
            </w:pPr>
          </w:p>
        </w:tc>
        <w:tc>
          <w:tcPr>
            <w:tcW w:w="1600" w:type="dxa"/>
            <w:vAlign w:val="bottom"/>
            <w:gridSpan w:val="2"/>
          </w:tcPr>
          <w:p>
            <w:pPr>
              <w:ind w:left="220"/>
              <w:spacing w:after="0"/>
              <w:rPr>
                <w:sz w:val="20"/>
                <w:szCs w:val="20"/>
                <w:color w:val="auto"/>
              </w:rPr>
            </w:pPr>
            <w:r>
              <w:rPr>
                <w:rFonts w:ascii="Arial" w:cs="Arial" w:eastAsia="Arial" w:hAnsi="Arial"/>
                <w:sz w:val="11"/>
                <w:szCs w:val="11"/>
                <w:b w:val="1"/>
                <w:bCs w:val="1"/>
                <w:color w:val="auto"/>
              </w:rPr>
              <w:t>December 29,</w:t>
            </w:r>
          </w:p>
        </w:tc>
        <w:tc>
          <w:tcPr>
            <w:tcW w:w="300" w:type="dxa"/>
            <w:vAlign w:val="bottom"/>
          </w:tcPr>
          <w:p>
            <w:pPr>
              <w:spacing w:after="0"/>
              <w:rPr>
                <w:sz w:val="10"/>
                <w:szCs w:val="10"/>
                <w:color w:val="auto"/>
              </w:rPr>
            </w:pPr>
          </w:p>
        </w:tc>
        <w:tc>
          <w:tcPr>
            <w:tcW w:w="1620" w:type="dxa"/>
            <w:vAlign w:val="bottom"/>
            <w:gridSpan w:val="2"/>
          </w:tcPr>
          <w:p>
            <w:pPr>
              <w:jc w:val="right"/>
              <w:ind w:right="740"/>
              <w:spacing w:after="0"/>
              <w:rPr>
                <w:sz w:val="20"/>
                <w:szCs w:val="20"/>
                <w:color w:val="auto"/>
              </w:rPr>
            </w:pPr>
            <w:r>
              <w:rPr>
                <w:rFonts w:ascii="Arial" w:cs="Arial" w:eastAsia="Arial" w:hAnsi="Arial"/>
                <w:sz w:val="11"/>
                <w:szCs w:val="11"/>
                <w:b w:val="1"/>
                <w:bCs w:val="1"/>
                <w:color w:val="auto"/>
              </w:rPr>
              <w:t>December 30,</w:t>
            </w:r>
          </w:p>
        </w:tc>
        <w:tc>
          <w:tcPr>
            <w:tcW w:w="1100" w:type="dxa"/>
            <w:vAlign w:val="bottom"/>
          </w:tcPr>
          <w:p>
            <w:pPr>
              <w:spacing w:after="0"/>
              <w:rPr>
                <w:sz w:val="10"/>
                <w:szCs w:val="10"/>
                <w:color w:val="auto"/>
              </w:rPr>
            </w:pPr>
          </w:p>
        </w:tc>
      </w:tr>
      <w:tr>
        <w:trPr>
          <w:trHeight w:val="154"/>
        </w:trPr>
        <w:tc>
          <w:tcPr>
            <w:tcW w:w="106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w w:val="94"/>
              </w:rPr>
              <w:t>Market Classification</w:t>
            </w:r>
          </w:p>
        </w:tc>
        <w:tc>
          <w:tcPr>
            <w:tcW w:w="312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ind w:right="673"/>
              <w:spacing w:after="0"/>
              <w:rPr>
                <w:sz w:val="20"/>
                <w:szCs w:val="20"/>
                <w:color w:val="auto"/>
              </w:rPr>
            </w:pPr>
            <w:r>
              <w:rPr>
                <w:rFonts w:ascii="Arial" w:cs="Arial" w:eastAsia="Arial" w:hAnsi="Arial"/>
                <w:sz w:val="11"/>
                <w:szCs w:val="11"/>
                <w:b w:val="1"/>
                <w:bCs w:val="1"/>
                <w:color w:val="auto"/>
              </w:rPr>
              <w:t>2018</w:t>
            </w:r>
          </w:p>
        </w:tc>
        <w:tc>
          <w:tcPr>
            <w:tcW w:w="20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ind w:right="653"/>
              <w:spacing w:after="0"/>
              <w:rPr>
                <w:sz w:val="20"/>
                <w:szCs w:val="20"/>
                <w:color w:val="auto"/>
              </w:rPr>
            </w:pPr>
            <w:r>
              <w:rPr>
                <w:rFonts w:ascii="Arial" w:cs="Arial" w:eastAsia="Arial" w:hAnsi="Arial"/>
                <w:sz w:val="11"/>
                <w:szCs w:val="11"/>
                <w:b w:val="1"/>
                <w:bCs w:val="1"/>
                <w:color w:val="auto"/>
              </w:rPr>
              <w:t>2017</w:t>
            </w:r>
          </w:p>
        </w:tc>
        <w:tc>
          <w:tcPr>
            <w:tcW w:w="220" w:type="dxa"/>
            <w:vAlign w:val="bottom"/>
          </w:tcPr>
          <w:p>
            <w:pPr>
              <w:spacing w:after="0"/>
              <w:rPr>
                <w:sz w:val="13"/>
                <w:szCs w:val="13"/>
                <w:color w:val="auto"/>
              </w:rPr>
            </w:pPr>
          </w:p>
        </w:tc>
        <w:tc>
          <w:tcPr>
            <w:tcW w:w="1100" w:type="dxa"/>
            <w:vAlign w:val="bottom"/>
            <w:tcBorders>
              <w:bottom w:val="single" w:sz="8" w:color="auto"/>
            </w:tcBorders>
          </w:tcPr>
          <w:p>
            <w:pPr>
              <w:jc w:val="right"/>
              <w:ind w:right="232"/>
              <w:spacing w:after="0"/>
              <w:rPr>
                <w:sz w:val="20"/>
                <w:szCs w:val="20"/>
                <w:color w:val="auto"/>
              </w:rPr>
            </w:pPr>
            <w:r>
              <w:rPr>
                <w:rFonts w:ascii="Arial" w:cs="Arial" w:eastAsia="Arial" w:hAnsi="Arial"/>
                <w:sz w:val="11"/>
                <w:szCs w:val="11"/>
                <w:b w:val="1"/>
                <w:bCs w:val="1"/>
                <w:color w:val="auto"/>
              </w:rPr>
              <w:t>% Change</w:t>
            </w:r>
          </w:p>
        </w:tc>
      </w:tr>
      <w:tr>
        <w:trPr>
          <w:trHeight w:val="151"/>
        </w:trPr>
        <w:tc>
          <w:tcPr>
            <w:tcW w:w="4180" w:type="dxa"/>
            <w:vAlign w:val="bottom"/>
            <w:tcBorders>
              <w:top w:val="single" w:sz="8" w:color="CCEEFF"/>
            </w:tcBorders>
            <w:gridSpan w:val="2"/>
            <w:shd w:val="clear" w:color="auto" w:fill="CCEEFF"/>
          </w:tcPr>
          <w:p>
            <w:pPr>
              <w:spacing w:after="0" w:line="151" w:lineRule="exact"/>
              <w:rPr>
                <w:sz w:val="20"/>
                <w:szCs w:val="20"/>
                <w:color w:val="auto"/>
              </w:rPr>
            </w:pPr>
            <w:r>
              <w:rPr>
                <w:rFonts w:ascii="Arial" w:cs="Arial" w:eastAsia="Arial" w:hAnsi="Arial"/>
                <w:sz w:val="14"/>
                <w:szCs w:val="14"/>
                <w:color w:val="auto"/>
              </w:rPr>
              <w:t>FOB Shipping Point Revenue</w:t>
            </w:r>
          </w:p>
        </w:tc>
        <w:tc>
          <w:tcPr>
            <w:tcW w:w="300" w:type="dxa"/>
            <w:vAlign w:val="bottom"/>
            <w:tcBorders>
              <w:top w:val="single" w:sz="8" w:color="auto"/>
            </w:tcBorders>
            <w:shd w:val="clear" w:color="auto" w:fill="CCEEFF"/>
          </w:tcPr>
          <w:p>
            <w:pPr>
              <w:jc w:val="right"/>
              <w:ind w:right="189"/>
              <w:spacing w:after="0"/>
              <w:rPr>
                <w:sz w:val="20"/>
                <w:szCs w:val="20"/>
                <w:color w:val="auto"/>
              </w:rPr>
            </w:pPr>
            <w:r>
              <w:rPr>
                <w:rFonts w:ascii="Arial" w:cs="Arial" w:eastAsia="Arial" w:hAnsi="Arial"/>
                <w:sz w:val="10"/>
                <w:szCs w:val="10"/>
                <w:color w:val="auto"/>
                <w:w w:val="71"/>
              </w:rPr>
              <w:t>$</w:t>
            </w:r>
          </w:p>
        </w:tc>
        <w:tc>
          <w:tcPr>
            <w:tcW w:w="1400" w:type="dxa"/>
            <w:vAlign w:val="bottom"/>
            <w:tcBorders>
              <w:top w:val="single" w:sz="8" w:color="auto"/>
            </w:tcBorders>
            <w:shd w:val="clear" w:color="auto" w:fill="CCEEFF"/>
          </w:tcPr>
          <w:p>
            <w:pPr>
              <w:jc w:val="right"/>
              <w:spacing w:after="0" w:line="151" w:lineRule="exact"/>
              <w:rPr>
                <w:sz w:val="20"/>
                <w:szCs w:val="20"/>
                <w:color w:val="auto"/>
              </w:rPr>
            </w:pPr>
            <w:r>
              <w:rPr>
                <w:rFonts w:ascii="Arial" w:cs="Arial" w:eastAsia="Arial" w:hAnsi="Arial"/>
                <w:sz w:val="14"/>
                <w:szCs w:val="14"/>
                <w:color w:val="auto"/>
              </w:rPr>
              <w:t>4,440,098</w:t>
            </w:r>
          </w:p>
        </w:tc>
        <w:tc>
          <w:tcPr>
            <w:tcW w:w="20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jc w:val="right"/>
              <w:ind w:right="149"/>
              <w:spacing w:after="0" w:line="151" w:lineRule="exact"/>
              <w:rPr>
                <w:sz w:val="20"/>
                <w:szCs w:val="20"/>
                <w:color w:val="auto"/>
              </w:rPr>
            </w:pPr>
            <w:r>
              <w:rPr>
                <w:rFonts w:ascii="Arial" w:cs="Arial" w:eastAsia="Arial" w:hAnsi="Arial"/>
                <w:sz w:val="14"/>
                <w:szCs w:val="14"/>
                <w:color w:val="auto"/>
                <w:w w:val="76"/>
              </w:rPr>
              <w:t>$</w:t>
            </w:r>
          </w:p>
        </w:tc>
        <w:tc>
          <w:tcPr>
            <w:tcW w:w="1400" w:type="dxa"/>
            <w:vAlign w:val="bottom"/>
            <w:tcBorders>
              <w:top w:val="single" w:sz="8" w:color="auto"/>
            </w:tcBorders>
            <w:shd w:val="clear" w:color="auto" w:fill="CCEEFF"/>
          </w:tcPr>
          <w:p>
            <w:pPr>
              <w:jc w:val="right"/>
              <w:spacing w:after="0" w:line="151" w:lineRule="exact"/>
              <w:rPr>
                <w:sz w:val="20"/>
                <w:szCs w:val="20"/>
                <w:color w:val="auto"/>
              </w:rPr>
            </w:pPr>
            <w:r>
              <w:rPr>
                <w:rFonts w:ascii="Arial" w:cs="Arial" w:eastAsia="Arial" w:hAnsi="Arial"/>
                <w:sz w:val="14"/>
                <w:szCs w:val="14"/>
                <w:color w:val="auto"/>
              </w:rPr>
              <w:t>3,867,781</w:t>
            </w:r>
          </w:p>
        </w:tc>
        <w:tc>
          <w:tcPr>
            <w:tcW w:w="220" w:type="dxa"/>
            <w:vAlign w:val="bottom"/>
            <w:tcBorders>
              <w:top w:val="single" w:sz="8" w:color="CCEEFF"/>
            </w:tcBorders>
            <w:shd w:val="clear" w:color="auto" w:fill="CCEEFF"/>
          </w:tcPr>
          <w:p>
            <w:pPr>
              <w:spacing w:after="0"/>
              <w:rPr>
                <w:sz w:val="13"/>
                <w:szCs w:val="13"/>
                <w:color w:val="auto"/>
              </w:rPr>
            </w:pPr>
          </w:p>
        </w:tc>
        <w:tc>
          <w:tcPr>
            <w:tcW w:w="1100" w:type="dxa"/>
            <w:vAlign w:val="bottom"/>
            <w:tcBorders>
              <w:top w:val="single" w:sz="8" w:color="auto"/>
            </w:tcBorders>
            <w:shd w:val="clear" w:color="auto" w:fill="CCEEFF"/>
          </w:tcPr>
          <w:p>
            <w:pPr>
              <w:jc w:val="right"/>
              <w:spacing w:after="0" w:line="151" w:lineRule="exact"/>
              <w:rPr>
                <w:sz w:val="20"/>
                <w:szCs w:val="20"/>
                <w:color w:val="auto"/>
              </w:rPr>
            </w:pPr>
            <w:r>
              <w:rPr>
                <w:rFonts w:ascii="Arial" w:cs="Arial" w:eastAsia="Arial" w:hAnsi="Arial"/>
                <w:sz w:val="14"/>
                <w:szCs w:val="14"/>
                <w:color w:val="auto"/>
              </w:rPr>
              <w:t>14.8%</w:t>
            </w:r>
          </w:p>
        </w:tc>
      </w:tr>
      <w:tr>
        <w:trPr>
          <w:trHeight w:val="171"/>
        </w:trPr>
        <w:tc>
          <w:tcPr>
            <w:tcW w:w="418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Construction Contract Revenue</w:t>
            </w:r>
          </w:p>
        </w:tc>
        <w:tc>
          <w:tcPr>
            <w:tcW w:w="3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125,651</w:t>
            </w:r>
          </w:p>
        </w:tc>
        <w:tc>
          <w:tcPr>
            <w:tcW w:w="2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138,422</w:t>
            </w:r>
          </w:p>
        </w:tc>
        <w:tc>
          <w:tcPr>
            <w:tcW w:w="220" w:type="dxa"/>
            <w:vAlign w:val="bottom"/>
            <w:tcBorders>
              <w:bottom w:val="single" w:sz="8" w:color="CCEEFF"/>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w:t>
            </w:r>
          </w:p>
        </w:tc>
      </w:tr>
      <w:tr>
        <w:trPr>
          <w:trHeight w:val="170"/>
        </w:trPr>
        <w:tc>
          <w:tcPr>
            <w:tcW w:w="41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Total Gross Sales</w:t>
            </w:r>
          </w:p>
        </w:tc>
        <w:tc>
          <w:tcPr>
            <w:tcW w:w="30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4,565,749</w:t>
            </w:r>
          </w:p>
        </w:tc>
        <w:tc>
          <w:tcPr>
            <w:tcW w:w="2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4,006,203</w:t>
            </w:r>
          </w:p>
        </w:tc>
        <w:tc>
          <w:tcPr>
            <w:tcW w:w="2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w:t>
            </w:r>
          </w:p>
        </w:tc>
      </w:tr>
      <w:tr>
        <w:trPr>
          <w:trHeight w:val="171"/>
        </w:trPr>
        <w:tc>
          <w:tcPr>
            <w:tcW w:w="4180" w:type="dxa"/>
            <w:vAlign w:val="bottom"/>
            <w:gridSpan w:val="2"/>
          </w:tcPr>
          <w:p>
            <w:pPr>
              <w:spacing w:after="0"/>
              <w:rPr>
                <w:sz w:val="20"/>
                <w:szCs w:val="20"/>
                <w:color w:val="auto"/>
              </w:rPr>
            </w:pPr>
            <w:r>
              <w:rPr>
                <w:rFonts w:ascii="Arial" w:cs="Arial" w:eastAsia="Arial" w:hAnsi="Arial"/>
                <w:sz w:val="14"/>
                <w:szCs w:val="14"/>
                <w:color w:val="auto"/>
              </w:rPr>
              <w:t>Sales Allowances</w:t>
            </w:r>
          </w:p>
        </w:tc>
        <w:tc>
          <w:tcPr>
            <w:tcW w:w="300" w:type="dxa"/>
            <w:vAlign w:val="bottom"/>
          </w:tcPr>
          <w:p>
            <w:pPr>
              <w:spacing w:after="0"/>
              <w:rPr>
                <w:sz w:val="14"/>
                <w:szCs w:val="14"/>
                <w:color w:val="auto"/>
              </w:rPr>
            </w:pPr>
          </w:p>
        </w:tc>
        <w:tc>
          <w:tcPr>
            <w:tcW w:w="1600" w:type="dxa"/>
            <w:vAlign w:val="bottom"/>
            <w:gridSpan w:val="2"/>
          </w:tcPr>
          <w:p>
            <w:pPr>
              <w:jc w:val="right"/>
              <w:ind w:right="200"/>
              <w:spacing w:after="0"/>
              <w:rPr>
                <w:sz w:val="20"/>
                <w:szCs w:val="20"/>
                <w:color w:val="auto"/>
              </w:rPr>
            </w:pPr>
            <w:r>
              <w:rPr>
                <w:rFonts w:ascii="Arial" w:cs="Arial" w:eastAsia="Arial" w:hAnsi="Arial"/>
                <w:sz w:val="14"/>
                <w:szCs w:val="14"/>
                <w:color w:val="auto"/>
              </w:rPr>
              <w:t>(76,569)</w:t>
            </w:r>
          </w:p>
        </w:tc>
        <w:tc>
          <w:tcPr>
            <w:tcW w:w="300" w:type="dxa"/>
            <w:vAlign w:val="bottom"/>
          </w:tcPr>
          <w:p>
            <w:pPr>
              <w:spacing w:after="0"/>
              <w:rPr>
                <w:sz w:val="14"/>
                <w:szCs w:val="14"/>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4"/>
                <w:szCs w:val="14"/>
                <w:color w:val="auto"/>
              </w:rPr>
              <w:t>(65,021)</w:t>
            </w:r>
          </w:p>
        </w:tc>
        <w:tc>
          <w:tcPr>
            <w:tcW w:w="1100" w:type="dxa"/>
            <w:vAlign w:val="bottom"/>
          </w:tcPr>
          <w:p>
            <w:pPr>
              <w:jc w:val="right"/>
              <w:spacing w:after="0"/>
              <w:rPr>
                <w:sz w:val="20"/>
                <w:szCs w:val="20"/>
                <w:color w:val="auto"/>
              </w:rPr>
            </w:pPr>
            <w:r>
              <w:rPr>
                <w:rFonts w:ascii="Arial" w:cs="Arial" w:eastAsia="Arial" w:hAnsi="Arial"/>
                <w:sz w:val="14"/>
                <w:szCs w:val="14"/>
                <w:color w:val="auto"/>
              </w:rPr>
              <w:t>17.8%</w:t>
            </w:r>
          </w:p>
        </w:tc>
      </w:tr>
      <w:tr>
        <w:trPr>
          <w:trHeight w:val="171"/>
        </w:trPr>
        <w:tc>
          <w:tcPr>
            <w:tcW w:w="41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Total Net Sales</w:t>
            </w:r>
          </w:p>
        </w:tc>
        <w:tc>
          <w:tcPr>
            <w:tcW w:w="300" w:type="dxa"/>
            <w:vAlign w:val="bottom"/>
            <w:tcBorders>
              <w:top w:val="single" w:sz="8" w:color="auto"/>
              <w:bottom w:val="single" w:sz="8" w:color="auto"/>
            </w:tcBorders>
            <w:shd w:val="clear" w:color="auto" w:fill="CCEEFF"/>
          </w:tcPr>
          <w:p>
            <w:pPr>
              <w:jc w:val="right"/>
              <w:ind w:right="189"/>
              <w:spacing w:after="0"/>
              <w:rPr>
                <w:sz w:val="20"/>
                <w:szCs w:val="20"/>
                <w:color w:val="auto"/>
              </w:rPr>
            </w:pPr>
            <w:r>
              <w:rPr>
                <w:rFonts w:ascii="Arial" w:cs="Arial" w:eastAsia="Arial" w:hAnsi="Arial"/>
                <w:sz w:val="10"/>
                <w:szCs w:val="10"/>
                <w:color w:val="auto"/>
                <w:w w:val="71"/>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4,489,180</w:t>
            </w:r>
          </w:p>
        </w:tc>
        <w:tc>
          <w:tcPr>
            <w:tcW w:w="200" w:type="dxa"/>
            <w:vAlign w:val="bottom"/>
            <w:tcBorders>
              <w:top w:val="single" w:sz="8" w:color="CCEEFF"/>
              <w:bottom w:val="single" w:sz="8" w:color="CCEEFF"/>
            </w:tcBorders>
            <w:shd w:val="clear" w:color="auto" w:fill="CCEEFF"/>
          </w:tcPr>
          <w:p>
            <w:pPr>
              <w:spacing w:after="0"/>
              <w:rPr>
                <w:sz w:val="14"/>
                <w:szCs w:val="14"/>
                <w:color w:val="auto"/>
              </w:rPr>
            </w:pPr>
          </w:p>
        </w:tc>
        <w:tc>
          <w:tcPr>
            <w:tcW w:w="300" w:type="dxa"/>
            <w:vAlign w:val="bottom"/>
            <w:tcBorders>
              <w:top w:val="single" w:sz="8" w:color="auto"/>
              <w:bottom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3,941,182</w:t>
            </w:r>
          </w:p>
        </w:tc>
        <w:tc>
          <w:tcPr>
            <w:tcW w:w="220" w:type="dxa"/>
            <w:vAlign w:val="bottom"/>
            <w:tcBorders>
              <w:top w:val="single" w:sz="8" w:color="CCEEFF"/>
              <w:bottom w:val="single" w:sz="8" w:color="CCEEFF"/>
            </w:tcBorders>
            <w:shd w:val="clear" w:color="auto" w:fill="CCEEFF"/>
          </w:tcPr>
          <w:p>
            <w:pPr>
              <w:spacing w:after="0"/>
              <w:rPr>
                <w:sz w:val="14"/>
                <w:szCs w:val="14"/>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13.9%</w:t>
            </w:r>
          </w:p>
        </w:tc>
      </w:tr>
    </w:tbl>
    <w:p>
      <w:pPr>
        <w:spacing w:after="0" w:line="329"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In 2018, $77.8 million and $47.8 million of our construction contract revenue was attributable to our North and West segments, respectively. Construction contract revenue is primarily made up of site-built and framing customers.</w:t>
      </w:r>
    </w:p>
    <w:p>
      <w:pPr>
        <w:spacing w:after="0" w:line="133" w:lineRule="exact"/>
        <w:rPr>
          <w:sz w:val="20"/>
          <w:szCs w:val="20"/>
          <w:color w:val="auto"/>
        </w:rPr>
      </w:pPr>
    </w:p>
    <w:p>
      <w:pPr>
        <w:jc w:val="both"/>
        <w:ind w:firstLine="510"/>
        <w:spacing w:after="0" w:line="281" w:lineRule="auto"/>
        <w:rPr>
          <w:sz w:val="20"/>
          <w:szCs w:val="20"/>
          <w:color w:val="auto"/>
        </w:rPr>
      </w:pPr>
      <w:r>
        <w:rPr>
          <w:rFonts w:ascii="Arial" w:cs="Arial" w:eastAsia="Arial" w:hAnsi="Arial"/>
          <w:sz w:val="14"/>
          <w:szCs w:val="14"/>
          <w:color w:val="auto"/>
        </w:rPr>
        <w:t>The following table presents the balances of percentage-of-completion accounts on December 29, 2018 and December 30, 2017 which are included in other current assets and other accrued liabilities, respectively (in thousands):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6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jc w:val="right"/>
              <w:ind w:right="96"/>
              <w:spacing w:after="0"/>
              <w:rPr>
                <w:sz w:val="20"/>
                <w:szCs w:val="20"/>
                <w:color w:val="auto"/>
              </w:rPr>
            </w:pPr>
            <w:r>
              <w:rPr>
                <w:rFonts w:ascii="Arial" w:cs="Arial" w:eastAsia="Arial" w:hAnsi="Arial"/>
                <w:sz w:val="11"/>
                <w:szCs w:val="11"/>
                <w:b w:val="1"/>
                <w:bCs w:val="1"/>
                <w:color w:val="auto"/>
                <w:w w:val="94"/>
              </w:rPr>
              <w:t>December 29,</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jc w:val="right"/>
              <w:ind w:right="96"/>
              <w:spacing w:after="0"/>
              <w:rPr>
                <w:sz w:val="20"/>
                <w:szCs w:val="20"/>
                <w:color w:val="auto"/>
              </w:rPr>
            </w:pPr>
            <w:r>
              <w:rPr>
                <w:rFonts w:ascii="Arial" w:cs="Arial" w:eastAsia="Arial" w:hAnsi="Arial"/>
                <w:sz w:val="11"/>
                <w:szCs w:val="11"/>
                <w:b w:val="1"/>
                <w:bCs w:val="1"/>
                <w:color w:val="auto"/>
                <w:w w:val="94"/>
              </w:rPr>
              <w:t>December 30,</w:t>
            </w:r>
          </w:p>
        </w:tc>
      </w:tr>
      <w:tr>
        <w:trPr>
          <w:trHeight w:val="135"/>
        </w:trPr>
        <w:tc>
          <w:tcPr>
            <w:tcW w:w="20" w:type="dxa"/>
            <w:vAlign w:val="bottom"/>
          </w:tcPr>
          <w:p>
            <w:pPr>
              <w:spacing w:after="0"/>
              <w:rPr>
                <w:sz w:val="11"/>
                <w:szCs w:val="11"/>
                <w:color w:val="auto"/>
              </w:rPr>
            </w:pPr>
          </w:p>
        </w:tc>
        <w:tc>
          <w:tcPr>
            <w:tcW w:w="694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ind w:right="296"/>
              <w:spacing w:after="0"/>
              <w:rPr>
                <w:sz w:val="20"/>
                <w:szCs w:val="20"/>
                <w:color w:val="auto"/>
              </w:rPr>
            </w:pPr>
            <w:r>
              <w:rPr>
                <w:rFonts w:ascii="Arial" w:cs="Arial" w:eastAsia="Arial" w:hAnsi="Arial"/>
                <w:sz w:val="11"/>
                <w:szCs w:val="11"/>
                <w:b w:val="1"/>
                <w:bCs w:val="1"/>
                <w:color w:val="auto"/>
              </w:rPr>
              <w:t>2018</w:t>
            </w:r>
          </w:p>
        </w:tc>
        <w:tc>
          <w:tcPr>
            <w:tcW w:w="22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ind w:right="316"/>
              <w:spacing w:after="0"/>
              <w:rPr>
                <w:sz w:val="20"/>
                <w:szCs w:val="20"/>
                <w:color w:val="auto"/>
              </w:rPr>
            </w:pPr>
            <w:r>
              <w:rPr>
                <w:rFonts w:ascii="Arial" w:cs="Arial" w:eastAsia="Arial" w:hAnsi="Arial"/>
                <w:sz w:val="11"/>
                <w:szCs w:val="11"/>
                <w:b w:val="1"/>
                <w:bCs w:val="1"/>
                <w:color w:val="auto"/>
              </w:rPr>
              <w:t>2017</w:t>
            </w:r>
          </w:p>
        </w:tc>
      </w:tr>
      <w:tr>
        <w:trPr>
          <w:trHeight w:val="170"/>
        </w:trPr>
        <w:tc>
          <w:tcPr>
            <w:tcW w:w="20" w:type="dxa"/>
            <w:vAlign w:val="bottom"/>
          </w:tcPr>
          <w:p>
            <w:pPr>
              <w:spacing w:after="0"/>
              <w:rPr>
                <w:sz w:val="14"/>
                <w:szCs w:val="14"/>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4"/>
                <w:szCs w:val="14"/>
                <w:color w:val="auto"/>
              </w:rPr>
              <w:t>Cost and Earnings in Excess of Billings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6,945</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5,005</w:t>
            </w:r>
          </w:p>
        </w:tc>
      </w:tr>
      <w:tr>
        <w:trPr>
          <w:trHeight w:val="180"/>
        </w:trPr>
        <w:tc>
          <w:tcPr>
            <w:tcW w:w="20" w:type="dxa"/>
            <w:vAlign w:val="bottom"/>
          </w:tcPr>
          <w:p>
            <w:pPr>
              <w:spacing w:after="0"/>
              <w:rPr>
                <w:sz w:val="15"/>
                <w:szCs w:val="15"/>
                <w:color w:val="auto"/>
              </w:rPr>
            </w:pPr>
          </w:p>
        </w:tc>
        <w:tc>
          <w:tcPr>
            <w:tcW w:w="6940" w:type="dxa"/>
            <w:vAlign w:val="bottom"/>
          </w:tcPr>
          <w:p>
            <w:pPr>
              <w:spacing w:after="0"/>
              <w:rPr>
                <w:sz w:val="20"/>
                <w:szCs w:val="20"/>
                <w:color w:val="auto"/>
              </w:rPr>
            </w:pPr>
            <w:r>
              <w:rPr>
                <w:rFonts w:ascii="Arial" w:cs="Arial" w:eastAsia="Arial" w:hAnsi="Arial"/>
                <w:sz w:val="14"/>
                <w:szCs w:val="14"/>
                <w:color w:val="auto"/>
              </w:rPr>
              <w:t>Billings in Excess of Cost and Earnings</w:t>
            </w: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3,245</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4,435</w:t>
            </w:r>
          </w:p>
        </w:tc>
      </w:tr>
    </w:tbl>
    <w:p>
      <w:pPr>
        <w:spacing w:after="0" w:line="145"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SHIPPING AND HANDLING OF PRODUCT</w:t>
      </w:r>
    </w:p>
    <w:p>
      <w:pPr>
        <w:spacing w:after="0" w:line="183" w:lineRule="exact"/>
        <w:rPr>
          <w:sz w:val="20"/>
          <w:szCs w:val="20"/>
          <w:color w:val="auto"/>
        </w:rPr>
      </w:pPr>
    </w:p>
    <w:p>
      <w:pPr>
        <w:jc w:val="both"/>
        <w:ind w:firstLine="510"/>
        <w:spacing w:after="0" w:line="281" w:lineRule="auto"/>
        <w:rPr>
          <w:sz w:val="20"/>
          <w:szCs w:val="20"/>
          <w:color w:val="auto"/>
        </w:rPr>
      </w:pPr>
      <w:r>
        <w:rPr>
          <w:rFonts w:ascii="Arial" w:cs="Arial" w:eastAsia="Arial" w:hAnsi="Arial"/>
          <w:sz w:val="14"/>
          <w:szCs w:val="14"/>
          <w:color w:val="auto"/>
        </w:rPr>
        <w:t>Shipping and handling costs that are charged to and reimbursed by the customer are recognized as revenue. Costs incurred related to the shipment and handling of products are classified in cost of goods sold.</w:t>
      </w:r>
    </w:p>
    <w:p>
      <w:pPr>
        <w:spacing w:after="0" w:line="129"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EARNINGS PER SHARE</w:t>
      </w:r>
    </w:p>
    <w:p>
      <w:pPr>
        <w:spacing w:after="0" w:line="183" w:lineRule="exact"/>
        <w:rPr>
          <w:sz w:val="20"/>
          <w:szCs w:val="20"/>
          <w:color w:val="auto"/>
        </w:rPr>
      </w:pPr>
    </w:p>
    <w:p>
      <w:pPr>
        <w:ind w:left="520"/>
        <w:spacing w:after="0"/>
        <w:rPr>
          <w:sz w:val="20"/>
          <w:szCs w:val="20"/>
          <w:color w:val="auto"/>
        </w:rPr>
      </w:pPr>
      <w:r>
        <w:rPr>
          <w:rFonts w:ascii="Arial" w:cs="Arial" w:eastAsia="Arial" w:hAnsi="Arial"/>
          <w:sz w:val="13"/>
          <w:szCs w:val="13"/>
          <w:color w:val="auto"/>
        </w:rPr>
        <w:t>The computation of earnings per share (“EPS”) is as follows (in thousands), which incorporate the retroactive effect of the Company’s 3 for 1 stock</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split:</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50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jc w:val="right"/>
              <w:ind w:right="72"/>
              <w:spacing w:after="0"/>
              <w:rPr>
                <w:sz w:val="20"/>
                <w:szCs w:val="20"/>
                <w:color w:val="auto"/>
              </w:rPr>
            </w:pPr>
            <w:r>
              <w:rPr>
                <w:rFonts w:ascii="Arial" w:cs="Arial" w:eastAsia="Arial" w:hAnsi="Arial"/>
                <w:sz w:val="11"/>
                <w:szCs w:val="11"/>
                <w:b w:val="1"/>
                <w:bCs w:val="1"/>
                <w:color w:val="auto"/>
                <w:w w:val="94"/>
              </w:rPr>
              <w:t>December 29,</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jc w:val="right"/>
              <w:ind w:right="72"/>
              <w:spacing w:after="0"/>
              <w:rPr>
                <w:sz w:val="20"/>
                <w:szCs w:val="20"/>
                <w:color w:val="auto"/>
              </w:rPr>
            </w:pPr>
            <w:r>
              <w:rPr>
                <w:rFonts w:ascii="Arial" w:cs="Arial" w:eastAsia="Arial" w:hAnsi="Arial"/>
                <w:sz w:val="11"/>
                <w:szCs w:val="11"/>
                <w:b w:val="1"/>
                <w:bCs w:val="1"/>
                <w:color w:val="auto"/>
                <w:w w:val="94"/>
              </w:rPr>
              <w:t>December 30,</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jc w:val="right"/>
              <w:ind w:right="72"/>
              <w:spacing w:after="0"/>
              <w:rPr>
                <w:sz w:val="20"/>
                <w:szCs w:val="20"/>
                <w:color w:val="auto"/>
              </w:rPr>
            </w:pPr>
            <w:r>
              <w:rPr>
                <w:rFonts w:ascii="Arial" w:cs="Arial" w:eastAsia="Arial" w:hAnsi="Arial"/>
                <w:sz w:val="11"/>
                <w:szCs w:val="11"/>
                <w:b w:val="1"/>
                <w:bCs w:val="1"/>
                <w:color w:val="auto"/>
                <w:w w:val="97"/>
              </w:rPr>
              <w:t>December 31,</w:t>
            </w:r>
          </w:p>
        </w:tc>
        <w:tc>
          <w:tcPr>
            <w:tcW w:w="0" w:type="dxa"/>
            <w:vAlign w:val="bottom"/>
          </w:tcPr>
          <w:p>
            <w:pPr>
              <w:spacing w:after="0"/>
              <w:rPr>
                <w:sz w:val="1"/>
                <w:szCs w:val="1"/>
                <w:color w:val="auto"/>
              </w:rPr>
            </w:pPr>
          </w:p>
        </w:tc>
      </w:tr>
      <w:tr>
        <w:trPr>
          <w:trHeight w:val="135"/>
        </w:trPr>
        <w:tc>
          <w:tcPr>
            <w:tcW w:w="5100" w:type="dxa"/>
            <w:vAlign w:val="bottom"/>
            <w:gridSpan w:val="2"/>
            <w:vMerge w:val="restart"/>
          </w:tcPr>
          <w:p>
            <w:pPr>
              <w:spacing w:after="0"/>
              <w:rPr>
                <w:sz w:val="20"/>
                <w:szCs w:val="20"/>
                <w:color w:val="auto"/>
              </w:rPr>
            </w:pPr>
            <w:r>
              <w:rPr>
                <w:rFonts w:ascii="Arial" w:cs="Arial" w:eastAsia="Arial" w:hAnsi="Arial"/>
                <w:sz w:val="14"/>
                <w:szCs w:val="14"/>
                <w:color w:val="auto"/>
              </w:rPr>
              <w:t>Numerator:</w:t>
            </w:r>
          </w:p>
        </w:tc>
        <w:tc>
          <w:tcPr>
            <w:tcW w:w="8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292"/>
              <w:spacing w:after="0"/>
              <w:rPr>
                <w:sz w:val="20"/>
                <w:szCs w:val="20"/>
                <w:color w:val="auto"/>
              </w:rPr>
            </w:pPr>
            <w:r>
              <w:rPr>
                <w:rFonts w:ascii="Arial" w:cs="Arial" w:eastAsia="Arial" w:hAnsi="Arial"/>
                <w:sz w:val="11"/>
                <w:szCs w:val="11"/>
                <w:b w:val="1"/>
                <w:bCs w:val="1"/>
                <w:color w:val="auto"/>
              </w:rPr>
              <w:t>2018</w:t>
            </w:r>
          </w:p>
        </w:tc>
        <w:tc>
          <w:tcPr>
            <w:tcW w:w="1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292"/>
              <w:spacing w:after="0"/>
              <w:rPr>
                <w:sz w:val="20"/>
                <w:szCs w:val="20"/>
                <w:color w:val="auto"/>
              </w:rPr>
            </w:pPr>
            <w:r>
              <w:rPr>
                <w:rFonts w:ascii="Arial" w:cs="Arial" w:eastAsia="Arial" w:hAnsi="Arial"/>
                <w:sz w:val="11"/>
                <w:szCs w:val="11"/>
                <w:b w:val="1"/>
                <w:bCs w:val="1"/>
                <w:color w:val="auto"/>
              </w:rPr>
              <w:t>2017</w:t>
            </w:r>
          </w:p>
        </w:tc>
        <w:tc>
          <w:tcPr>
            <w:tcW w:w="1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ind w:right="292"/>
              <w:spacing w:after="0"/>
              <w:rPr>
                <w:sz w:val="20"/>
                <w:szCs w:val="20"/>
                <w:color w:val="auto"/>
              </w:rPr>
            </w:pPr>
            <w:r>
              <w:rPr>
                <w:rFonts w:ascii="Arial" w:cs="Arial" w:eastAsia="Arial" w:hAnsi="Arial"/>
                <w:sz w:val="11"/>
                <w:szCs w:val="11"/>
                <w:b w:val="1"/>
                <w:bCs w:val="1"/>
                <w:color w:val="auto"/>
              </w:rPr>
              <w:t>2016</w:t>
            </w:r>
          </w:p>
        </w:tc>
        <w:tc>
          <w:tcPr>
            <w:tcW w:w="0" w:type="dxa"/>
            <w:vAlign w:val="bottom"/>
          </w:tcPr>
          <w:p>
            <w:pPr>
              <w:spacing w:after="0"/>
              <w:rPr>
                <w:sz w:val="1"/>
                <w:szCs w:val="1"/>
                <w:color w:val="auto"/>
              </w:rPr>
            </w:pPr>
          </w:p>
        </w:tc>
      </w:tr>
      <w:tr>
        <w:trPr>
          <w:trHeight w:val="170"/>
        </w:trPr>
        <w:tc>
          <w:tcPr>
            <w:tcW w:w="5100" w:type="dxa"/>
            <w:vAlign w:val="bottom"/>
            <w:gridSpan w:val="2"/>
            <w:vMerge w:val="continue"/>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080" w:type="dxa"/>
            <w:vAlign w:val="bottom"/>
            <w:shd w:val="clear" w:color="auto" w:fill="CCEEFF"/>
          </w:tcPr>
          <w:p>
            <w:pPr>
              <w:ind w:left="80"/>
              <w:spacing w:after="0"/>
              <w:rPr>
                <w:sz w:val="20"/>
                <w:szCs w:val="20"/>
                <w:color w:val="auto"/>
              </w:rPr>
            </w:pPr>
            <w:r>
              <w:rPr>
                <w:rFonts w:ascii="Arial" w:cs="Arial" w:eastAsia="Arial" w:hAnsi="Arial"/>
                <w:sz w:val="14"/>
                <w:szCs w:val="14"/>
                <w:color w:val="auto"/>
              </w:rPr>
              <w:t>Net earnings attributable to controlling interest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148,598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119,512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101,179</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80" w:type="dxa"/>
            <w:vAlign w:val="bottom"/>
            <w:tcBorders>
              <w:bottom w:val="single" w:sz="8" w:color="CCEEFF"/>
            </w:tcBorders>
          </w:tcPr>
          <w:p>
            <w:pPr>
              <w:ind w:left="80"/>
              <w:spacing w:after="0"/>
              <w:rPr>
                <w:sz w:val="20"/>
                <w:szCs w:val="20"/>
                <w:color w:val="auto"/>
              </w:rPr>
            </w:pPr>
            <w:r>
              <w:rPr>
                <w:rFonts w:ascii="Arial" w:cs="Arial" w:eastAsia="Arial" w:hAnsi="Arial"/>
                <w:sz w:val="14"/>
                <w:szCs w:val="14"/>
                <w:color w:val="auto"/>
              </w:rPr>
              <w:t>Adjustment for earnings allocated to non-vested restricted common stock</w:t>
            </w:r>
          </w:p>
        </w:tc>
        <w:tc>
          <w:tcPr>
            <w:tcW w:w="8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(3,396)</w:t>
            </w: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(2,225)</w:t>
            </w: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(1,595)</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0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4"/>
                <w:szCs w:val="14"/>
                <w:color w:val="auto"/>
              </w:rPr>
              <w:t>Net earnings for calculating EPS</w:t>
            </w:r>
          </w:p>
        </w:tc>
        <w:tc>
          <w:tcPr>
            <w:tcW w:w="8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145,202</w:t>
            </w:r>
          </w:p>
        </w:tc>
        <w:tc>
          <w:tcPr>
            <w:tcW w:w="1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117,287</w:t>
            </w:r>
          </w:p>
        </w:tc>
        <w:tc>
          <w:tcPr>
            <w:tcW w:w="1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99,584</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5080" w:type="dxa"/>
            <w:vAlign w:val="bottom"/>
          </w:tcPr>
          <w:p>
            <w:pPr>
              <w:spacing w:after="0" w:line="151" w:lineRule="exact"/>
              <w:rPr>
                <w:sz w:val="20"/>
                <w:szCs w:val="20"/>
                <w:color w:val="auto"/>
              </w:rPr>
            </w:pPr>
            <w:r>
              <w:rPr>
                <w:rFonts w:ascii="Arial" w:cs="Arial" w:eastAsia="Arial" w:hAnsi="Arial"/>
                <w:sz w:val="14"/>
                <w:szCs w:val="14"/>
                <w:color w:val="auto"/>
              </w:rPr>
              <w:t>Denominator:</w:t>
            </w: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080" w:type="dxa"/>
            <w:vAlign w:val="bottom"/>
            <w:shd w:val="clear" w:color="auto" w:fill="CCEEFF"/>
          </w:tcPr>
          <w:p>
            <w:pPr>
              <w:ind w:left="80"/>
              <w:spacing w:after="0"/>
              <w:rPr>
                <w:sz w:val="20"/>
                <w:szCs w:val="20"/>
                <w:color w:val="auto"/>
              </w:rPr>
            </w:pPr>
            <w:r>
              <w:rPr>
                <w:rFonts w:ascii="Arial" w:cs="Arial" w:eastAsia="Arial" w:hAnsi="Arial"/>
                <w:sz w:val="14"/>
                <w:szCs w:val="14"/>
                <w:color w:val="auto"/>
              </w:rPr>
              <w:t>Weighted average shares outstanding</w:t>
            </w: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61,762</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61,416</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61,089</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80" w:type="dxa"/>
            <w:vAlign w:val="bottom"/>
            <w:tcBorders>
              <w:bottom w:val="single" w:sz="8" w:color="CCEEFF"/>
            </w:tcBorders>
          </w:tcPr>
          <w:p>
            <w:pPr>
              <w:ind w:left="80"/>
              <w:spacing w:after="0"/>
              <w:rPr>
                <w:sz w:val="20"/>
                <w:szCs w:val="20"/>
                <w:color w:val="auto"/>
              </w:rPr>
            </w:pPr>
            <w:r>
              <w:rPr>
                <w:rFonts w:ascii="Arial" w:cs="Arial" w:eastAsia="Arial" w:hAnsi="Arial"/>
                <w:sz w:val="14"/>
                <w:szCs w:val="14"/>
                <w:color w:val="auto"/>
              </w:rPr>
              <w:t>Adjustment for non-vested restricted common stock</w:t>
            </w:r>
          </w:p>
        </w:tc>
        <w:tc>
          <w:tcPr>
            <w:tcW w:w="8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(1,411)</w:t>
            </w: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(1,143)</w:t>
            </w: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(963)</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080" w:type="dxa"/>
            <w:vAlign w:val="bottom"/>
            <w:shd w:val="clear" w:color="auto" w:fill="CCEEFF"/>
          </w:tcPr>
          <w:p>
            <w:pPr>
              <w:ind w:left="80"/>
              <w:spacing w:after="0"/>
              <w:rPr>
                <w:sz w:val="20"/>
                <w:szCs w:val="20"/>
                <w:color w:val="auto"/>
              </w:rPr>
            </w:pPr>
            <w:r>
              <w:rPr>
                <w:rFonts w:ascii="Arial" w:cs="Arial" w:eastAsia="Arial" w:hAnsi="Arial"/>
                <w:sz w:val="14"/>
                <w:szCs w:val="14"/>
                <w:color w:val="auto"/>
              </w:rPr>
              <w:t>Shares for calculating basic EPS</w:t>
            </w: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60,351</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60,273</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60,126</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80" w:type="dxa"/>
            <w:vAlign w:val="bottom"/>
            <w:tcBorders>
              <w:bottom w:val="single" w:sz="8" w:color="CCEEFF"/>
            </w:tcBorders>
          </w:tcPr>
          <w:p>
            <w:pPr>
              <w:ind w:left="80"/>
              <w:spacing w:after="0"/>
              <w:rPr>
                <w:sz w:val="20"/>
                <w:szCs w:val="20"/>
                <w:color w:val="auto"/>
              </w:rPr>
            </w:pPr>
            <w:r>
              <w:rPr>
                <w:rFonts w:ascii="Arial" w:cs="Arial" w:eastAsia="Arial" w:hAnsi="Arial"/>
                <w:sz w:val="14"/>
                <w:szCs w:val="14"/>
                <w:color w:val="auto"/>
              </w:rPr>
              <w:t>Effect of dilutive restricted common stock</w:t>
            </w:r>
          </w:p>
        </w:tc>
        <w:tc>
          <w:tcPr>
            <w:tcW w:w="8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w:t>
            </w: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w:t>
            </w: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99</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0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4"/>
                <w:szCs w:val="14"/>
                <w:color w:val="auto"/>
              </w:rPr>
              <w:t>Shares for calculating diluted EPS</w:t>
            </w:r>
          </w:p>
        </w:tc>
        <w:tc>
          <w:tcPr>
            <w:tcW w:w="8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60,433</w:t>
            </w:r>
          </w:p>
        </w:tc>
        <w:tc>
          <w:tcPr>
            <w:tcW w:w="1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60,363</w:t>
            </w:r>
          </w:p>
        </w:tc>
        <w:tc>
          <w:tcPr>
            <w:tcW w:w="1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60,225</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5080" w:type="dxa"/>
            <w:vAlign w:val="bottom"/>
          </w:tcPr>
          <w:p>
            <w:pPr>
              <w:spacing w:after="0" w:line="151" w:lineRule="exact"/>
              <w:rPr>
                <w:sz w:val="20"/>
                <w:szCs w:val="20"/>
                <w:color w:val="auto"/>
              </w:rPr>
            </w:pPr>
            <w:r>
              <w:rPr>
                <w:rFonts w:ascii="Arial" w:cs="Arial" w:eastAsia="Arial" w:hAnsi="Arial"/>
                <w:sz w:val="14"/>
                <w:szCs w:val="14"/>
                <w:color w:val="auto"/>
              </w:rPr>
              <w:t>Net earnings per share:</w:t>
            </w: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080" w:type="dxa"/>
            <w:vAlign w:val="bottom"/>
            <w:shd w:val="clear" w:color="auto" w:fill="CCEEFF"/>
          </w:tcPr>
          <w:p>
            <w:pPr>
              <w:ind w:left="80"/>
              <w:spacing w:after="0"/>
              <w:rPr>
                <w:sz w:val="20"/>
                <w:szCs w:val="20"/>
                <w:color w:val="auto"/>
              </w:rPr>
            </w:pPr>
            <w:r>
              <w:rPr>
                <w:rFonts w:ascii="Arial" w:cs="Arial" w:eastAsia="Arial" w:hAnsi="Arial"/>
                <w:sz w:val="14"/>
                <w:szCs w:val="14"/>
                <w:color w:val="auto"/>
              </w:rPr>
              <w:t>Basic</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1.66</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080" w:type="dxa"/>
            <w:vAlign w:val="bottom"/>
          </w:tcPr>
          <w:p>
            <w:pPr>
              <w:ind w:left="80"/>
              <w:spacing w:after="0"/>
              <w:rPr>
                <w:sz w:val="20"/>
                <w:szCs w:val="20"/>
                <w:color w:val="auto"/>
              </w:rPr>
            </w:pPr>
            <w:r>
              <w:rPr>
                <w:rFonts w:ascii="Arial" w:cs="Arial" w:eastAsia="Arial" w:hAnsi="Arial"/>
                <w:sz w:val="14"/>
                <w:szCs w:val="14"/>
                <w:color w:val="auto"/>
              </w:rPr>
              <w:t>Diluted</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2.40</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1.94</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1.65</w:t>
            </w:r>
          </w:p>
        </w:tc>
        <w:tc>
          <w:tcPr>
            <w:tcW w:w="0" w:type="dxa"/>
            <w:vAlign w:val="bottom"/>
          </w:tcPr>
          <w:p>
            <w:pPr>
              <w:spacing w:after="0"/>
              <w:rPr>
                <w:sz w:val="1"/>
                <w:szCs w:val="1"/>
                <w:color w:val="auto"/>
              </w:rPr>
            </w:pPr>
          </w:p>
        </w:tc>
      </w:tr>
    </w:tbl>
    <w:p>
      <w:pPr>
        <w:spacing w:after="0" w:line="149" w:lineRule="exact"/>
        <w:rPr>
          <w:sz w:val="20"/>
          <w:szCs w:val="20"/>
          <w:color w:val="auto"/>
        </w:rPr>
      </w:pPr>
    </w:p>
    <w:p>
      <w:pPr>
        <w:ind w:left="520"/>
        <w:spacing w:after="0"/>
        <w:rPr>
          <w:sz w:val="20"/>
          <w:szCs w:val="20"/>
          <w:color w:val="auto"/>
        </w:rPr>
      </w:pPr>
      <w:r>
        <w:rPr>
          <w:rFonts w:ascii="Arial" w:cs="Arial" w:eastAsia="Arial" w:hAnsi="Arial"/>
          <w:sz w:val="14"/>
          <w:szCs w:val="14"/>
          <w:color w:val="auto"/>
        </w:rPr>
        <w:t>No options were excluded from the computation of diluted EPS for 2018, 2017, or 2016.</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66675</wp:posOffset>
            </wp:positionV>
            <wp:extent cx="5779135" cy="2032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4">
                      <a:extLst>
                        <a:ext uri="{28A0092B-C50C-407E-A947-70E740481C1C}"/>
                      </a:extLst>
                    </a:blip>
                    <a:srcRect/>
                    <a:stretch>
                      <a:fillRect/>
                    </a:stretch>
                  </pic:blipFill>
                  <pic:spPr bwMode="auto">
                    <a:xfrm>
                      <a:off x="0" y="0"/>
                      <a:ext cx="5779135" cy="20320"/>
                    </a:xfrm>
                    <a:prstGeom prst="rect">
                      <a:avLst/>
                    </a:prstGeom>
                    <a:noFill/>
                  </pic:spPr>
                </pic:pic>
              </a:graphicData>
            </a:graphic>
          </wp:anchor>
        </w:drawing>
      </w:r>
    </w:p>
    <w:p>
      <w:pPr>
        <w:sectPr>
          <w:pgSz w:w="11900" w:h="16838" w:orient="portrait"/>
          <w:cols w:equalWidth="0" w:num="1">
            <w:col w:w="9100"/>
          </w:cols>
          <w:pgMar w:left="1400" w:top="129" w:right="1399" w:bottom="1440" w:gutter="0" w:footer="0" w:header="0"/>
        </w:sectPr>
      </w:pPr>
    </w:p>
    <w:bookmarkStart w:id="80" w:name="page81"/>
    <w:bookmarkEnd w:id="80"/>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90"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USE OF ACCOUNTING ESTIMATES</w:t>
      </w:r>
    </w:p>
    <w:p>
      <w:pPr>
        <w:spacing w:after="0" w:line="183" w:lineRule="exact"/>
        <w:rPr>
          <w:sz w:val="20"/>
          <w:szCs w:val="20"/>
          <w:color w:val="auto"/>
        </w:rPr>
      </w:pPr>
    </w:p>
    <w:p>
      <w:pPr>
        <w:jc w:val="both"/>
        <w:ind w:right="20" w:firstLine="510"/>
        <w:spacing w:after="0" w:line="262" w:lineRule="auto"/>
        <w:rPr>
          <w:sz w:val="20"/>
          <w:szCs w:val="20"/>
          <w:color w:val="auto"/>
        </w:rPr>
      </w:pPr>
      <w:r>
        <w:rPr>
          <w:rFonts w:ascii="Arial" w:cs="Arial" w:eastAsia="Arial" w:hAnsi="Arial"/>
          <w:sz w:val="14"/>
          <w:szCs w:val="14"/>
          <w:color w:val="auto"/>
        </w:rPr>
        <w:t>The preparation of financial statements in conformity with accounting principles generally accepted in the United States requires us to make estimates and assumptions that affect the reported amounts of assets and liabilities and disclosure of contingent assets and liabilities at the date of the financial statements as well as the reported amounts of revenues and expenses during the reporting period. We believe our estimates to be reasonable; however, actual results could differ from these estimates.</w:t>
      </w:r>
    </w:p>
    <w:p>
      <w:pPr>
        <w:spacing w:after="0" w:line="200" w:lineRule="exact"/>
        <w:rPr>
          <w:sz w:val="20"/>
          <w:szCs w:val="20"/>
          <w:color w:val="auto"/>
        </w:rPr>
      </w:pPr>
    </w:p>
    <w:p>
      <w:pPr>
        <w:spacing w:after="0" w:line="282" w:lineRule="exact"/>
        <w:rPr>
          <w:sz w:val="20"/>
          <w:szCs w:val="20"/>
          <w:color w:val="auto"/>
        </w:rPr>
      </w:pPr>
    </w:p>
    <w:p>
      <w:pPr>
        <w:ind w:left="640" w:hanging="636"/>
        <w:spacing w:after="0"/>
        <w:tabs>
          <w:tab w:leader="none" w:pos="640" w:val="left"/>
        </w:tabs>
        <w:numPr>
          <w:ilvl w:val="0"/>
          <w:numId w:val="48"/>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FAIR VALUE</w:t>
      </w:r>
    </w:p>
    <w:p>
      <w:pPr>
        <w:spacing w:after="0" w:line="183" w:lineRule="exact"/>
        <w:rPr>
          <w:sz w:val="20"/>
          <w:szCs w:val="20"/>
          <w:color w:val="auto"/>
        </w:rPr>
      </w:pPr>
    </w:p>
    <w:p>
      <w:pPr>
        <w:jc w:val="both"/>
        <w:ind w:right="20" w:firstLine="510"/>
        <w:spacing w:after="0" w:line="281" w:lineRule="auto"/>
        <w:rPr>
          <w:sz w:val="20"/>
          <w:szCs w:val="20"/>
          <w:color w:val="auto"/>
        </w:rPr>
      </w:pPr>
      <w:r>
        <w:rPr>
          <w:rFonts w:ascii="Arial" w:cs="Arial" w:eastAsia="Arial" w:hAnsi="Arial"/>
          <w:sz w:val="14"/>
          <w:szCs w:val="14"/>
          <w:color w:val="auto"/>
        </w:rPr>
        <w:t xml:space="preserve">We apply the provisions of ASC 820, </w:t>
      </w:r>
      <w:r>
        <w:rPr>
          <w:rFonts w:ascii="Arial" w:cs="Arial" w:eastAsia="Arial" w:hAnsi="Arial"/>
          <w:sz w:val="14"/>
          <w:szCs w:val="14"/>
          <w:i w:val="1"/>
          <w:iCs w:val="1"/>
          <w:color w:val="auto"/>
        </w:rPr>
        <w:t>Fair Value Measurements and Disclosures,</w:t>
      </w:r>
      <w:r>
        <w:rPr>
          <w:rFonts w:ascii="Arial" w:cs="Arial" w:eastAsia="Arial" w:hAnsi="Arial"/>
          <w:sz w:val="14"/>
          <w:szCs w:val="14"/>
          <w:color w:val="auto"/>
        </w:rPr>
        <w:t xml:space="preserve"> to assets and liabilities measured at fair value. Assets and liabilities measured at fair value are as follows: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27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880" w:type="dxa"/>
            <w:vAlign w:val="bottom"/>
            <w:tcBorders>
              <w:bottom w:val="single" w:sz="8" w:color="auto"/>
            </w:tcBorders>
            <w:gridSpan w:val="4"/>
          </w:tcPr>
          <w:p>
            <w:pPr>
              <w:ind w:left="320"/>
              <w:spacing w:after="0"/>
              <w:rPr>
                <w:sz w:val="20"/>
                <w:szCs w:val="20"/>
                <w:color w:val="auto"/>
              </w:rPr>
            </w:pPr>
            <w:r>
              <w:rPr>
                <w:rFonts w:ascii="Arial" w:cs="Arial" w:eastAsia="Arial" w:hAnsi="Arial"/>
                <w:sz w:val="11"/>
                <w:szCs w:val="11"/>
                <w:b w:val="1"/>
                <w:bCs w:val="1"/>
                <w:color w:val="auto"/>
              </w:rPr>
              <w:t>December 29, 2018</w:t>
            </w:r>
          </w:p>
        </w:tc>
        <w:tc>
          <w:tcPr>
            <w:tcW w:w="16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1"/>
                <w:szCs w:val="11"/>
                <w:b w:val="1"/>
                <w:bCs w:val="1"/>
                <w:color w:val="auto"/>
                <w:w w:val="92"/>
              </w:rPr>
              <w:t>December 30, 2017</w:t>
            </w:r>
          </w:p>
        </w:tc>
        <w:tc>
          <w:tcPr>
            <w:tcW w:w="16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2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gridSpan w:val="2"/>
          </w:tcPr>
          <w:p>
            <w:pPr>
              <w:jc w:val="center"/>
              <w:ind w:right="300"/>
              <w:spacing w:after="0" w:line="100" w:lineRule="exact"/>
              <w:rPr>
                <w:sz w:val="20"/>
                <w:szCs w:val="20"/>
                <w:color w:val="auto"/>
              </w:rPr>
            </w:pPr>
            <w:r>
              <w:rPr>
                <w:rFonts w:ascii="Arial" w:cs="Arial" w:eastAsia="Arial" w:hAnsi="Arial"/>
                <w:sz w:val="11"/>
                <w:szCs w:val="11"/>
                <w:b w:val="1"/>
                <w:bCs w:val="1"/>
                <w:color w:val="auto"/>
                <w:w w:val="93"/>
              </w:rPr>
              <w:t>Quoted</w:t>
            </w:r>
          </w:p>
        </w:tc>
        <w:tc>
          <w:tcPr>
            <w:tcW w:w="100" w:type="dxa"/>
            <w:vAlign w:val="bottom"/>
          </w:tcPr>
          <w:p>
            <w:pPr>
              <w:spacing w:after="0"/>
              <w:rPr>
                <w:sz w:val="8"/>
                <w:szCs w:val="8"/>
                <w:color w:val="auto"/>
              </w:rPr>
            </w:pPr>
          </w:p>
        </w:tc>
        <w:tc>
          <w:tcPr>
            <w:tcW w:w="680" w:type="dxa"/>
            <w:vAlign w:val="bottom"/>
          </w:tcPr>
          <w:p>
            <w:pPr>
              <w:jc w:val="center"/>
              <w:ind w:right="34"/>
              <w:spacing w:after="0" w:line="100" w:lineRule="exact"/>
              <w:rPr>
                <w:sz w:val="20"/>
                <w:szCs w:val="20"/>
                <w:color w:val="auto"/>
              </w:rPr>
            </w:pPr>
            <w:r>
              <w:rPr>
                <w:rFonts w:ascii="Arial" w:cs="Arial" w:eastAsia="Arial" w:hAnsi="Arial"/>
                <w:sz w:val="11"/>
                <w:szCs w:val="11"/>
                <w:b w:val="1"/>
                <w:bCs w:val="1"/>
                <w:color w:val="auto"/>
                <w:w w:val="92"/>
              </w:rPr>
              <w:t>Prices with</w:t>
            </w:r>
          </w:p>
        </w:tc>
        <w:tc>
          <w:tcPr>
            <w:tcW w:w="120" w:type="dxa"/>
            <w:vAlign w:val="bottom"/>
          </w:tcPr>
          <w:p>
            <w:pPr>
              <w:spacing w:after="0"/>
              <w:rPr>
                <w:sz w:val="8"/>
                <w:szCs w:val="8"/>
                <w:color w:val="auto"/>
              </w:rPr>
            </w:pPr>
          </w:p>
        </w:tc>
        <w:tc>
          <w:tcPr>
            <w:tcW w:w="1080" w:type="dxa"/>
            <w:vAlign w:val="bottom"/>
            <w:gridSpan w:val="2"/>
            <w:vMerge w:val="restart"/>
          </w:tcPr>
          <w:p>
            <w:pPr>
              <w:jc w:val="center"/>
              <w:ind w:right="180"/>
              <w:spacing w:after="0"/>
              <w:rPr>
                <w:sz w:val="20"/>
                <w:szCs w:val="20"/>
                <w:color w:val="auto"/>
              </w:rPr>
            </w:pPr>
            <w:r>
              <w:rPr>
                <w:rFonts w:ascii="Arial" w:cs="Arial" w:eastAsia="Arial" w:hAnsi="Arial"/>
                <w:sz w:val="11"/>
                <w:szCs w:val="11"/>
                <w:b w:val="1"/>
                <w:bCs w:val="1"/>
                <w:color w:val="auto"/>
                <w:w w:val="92"/>
              </w:rPr>
              <w:t>Prices with</w:t>
            </w: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jc w:val="center"/>
              <w:ind w:right="54"/>
              <w:spacing w:after="0" w:line="100" w:lineRule="exact"/>
              <w:rPr>
                <w:sz w:val="20"/>
                <w:szCs w:val="20"/>
                <w:color w:val="auto"/>
              </w:rPr>
            </w:pPr>
            <w:r>
              <w:rPr>
                <w:rFonts w:ascii="Arial" w:cs="Arial" w:eastAsia="Arial" w:hAnsi="Arial"/>
                <w:sz w:val="11"/>
                <w:szCs w:val="11"/>
                <w:b w:val="1"/>
                <w:bCs w:val="1"/>
                <w:color w:val="auto"/>
                <w:w w:val="93"/>
              </w:rPr>
              <w:t>Quoted</w:t>
            </w: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gridSpan w:val="2"/>
          </w:tcPr>
          <w:p>
            <w:pPr>
              <w:jc w:val="center"/>
              <w:ind w:right="260"/>
              <w:spacing w:after="0" w:line="100" w:lineRule="exact"/>
              <w:rPr>
                <w:sz w:val="20"/>
                <w:szCs w:val="20"/>
                <w:color w:val="auto"/>
              </w:rPr>
            </w:pPr>
            <w:r>
              <w:rPr>
                <w:rFonts w:ascii="Arial" w:cs="Arial" w:eastAsia="Arial" w:hAnsi="Arial"/>
                <w:sz w:val="11"/>
                <w:szCs w:val="11"/>
                <w:b w:val="1"/>
                <w:bCs w:val="1"/>
                <w:color w:val="auto"/>
                <w:w w:val="92"/>
              </w:rPr>
              <w:t>Prices with</w:t>
            </w: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2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tcPr>
          <w:p>
            <w:pPr>
              <w:jc w:val="center"/>
              <w:ind w:right="280"/>
              <w:spacing w:after="0" w:line="117" w:lineRule="exact"/>
              <w:rPr>
                <w:sz w:val="20"/>
                <w:szCs w:val="20"/>
                <w:color w:val="auto"/>
              </w:rPr>
            </w:pPr>
            <w:r>
              <w:rPr>
                <w:rFonts w:ascii="Arial" w:cs="Arial" w:eastAsia="Arial" w:hAnsi="Arial"/>
                <w:sz w:val="11"/>
                <w:szCs w:val="11"/>
                <w:b w:val="1"/>
                <w:bCs w:val="1"/>
                <w:color w:val="auto"/>
                <w:w w:val="91"/>
              </w:rPr>
              <w:t>Prices in</w:t>
            </w:r>
          </w:p>
        </w:tc>
        <w:tc>
          <w:tcPr>
            <w:tcW w:w="100" w:type="dxa"/>
            <w:vAlign w:val="bottom"/>
          </w:tcPr>
          <w:p>
            <w:pPr>
              <w:spacing w:after="0"/>
              <w:rPr>
                <w:sz w:val="10"/>
                <w:szCs w:val="10"/>
                <w:color w:val="auto"/>
              </w:rPr>
            </w:pPr>
          </w:p>
        </w:tc>
        <w:tc>
          <w:tcPr>
            <w:tcW w:w="680" w:type="dxa"/>
            <w:vAlign w:val="bottom"/>
          </w:tcPr>
          <w:p>
            <w:pPr>
              <w:jc w:val="center"/>
              <w:ind w:right="34"/>
              <w:spacing w:after="0" w:line="117" w:lineRule="exact"/>
              <w:rPr>
                <w:sz w:val="20"/>
                <w:szCs w:val="20"/>
                <w:color w:val="auto"/>
              </w:rPr>
            </w:pPr>
            <w:r>
              <w:rPr>
                <w:rFonts w:ascii="Arial" w:cs="Arial" w:eastAsia="Arial" w:hAnsi="Arial"/>
                <w:sz w:val="11"/>
                <w:szCs w:val="11"/>
                <w:b w:val="1"/>
                <w:bCs w:val="1"/>
                <w:color w:val="auto"/>
              </w:rPr>
              <w:t>Other</w:t>
            </w:r>
          </w:p>
        </w:tc>
        <w:tc>
          <w:tcPr>
            <w:tcW w:w="12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jc w:val="center"/>
              <w:ind w:right="34"/>
              <w:spacing w:after="0" w:line="117" w:lineRule="exact"/>
              <w:rPr>
                <w:sz w:val="20"/>
                <w:szCs w:val="20"/>
                <w:color w:val="auto"/>
              </w:rPr>
            </w:pPr>
            <w:r>
              <w:rPr>
                <w:rFonts w:ascii="Arial" w:cs="Arial" w:eastAsia="Arial" w:hAnsi="Arial"/>
                <w:sz w:val="11"/>
                <w:szCs w:val="11"/>
                <w:b w:val="1"/>
                <w:bCs w:val="1"/>
                <w:color w:val="auto"/>
                <w:w w:val="91"/>
              </w:rPr>
              <w:t>Prices in</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2"/>
          </w:tcPr>
          <w:p>
            <w:pPr>
              <w:jc w:val="center"/>
              <w:ind w:right="260"/>
              <w:spacing w:after="0" w:line="117" w:lineRule="exact"/>
              <w:rPr>
                <w:sz w:val="20"/>
                <w:szCs w:val="20"/>
                <w:color w:val="auto"/>
              </w:rPr>
            </w:pPr>
            <w:r>
              <w:rPr>
                <w:rFonts w:ascii="Arial" w:cs="Arial" w:eastAsia="Arial" w:hAnsi="Arial"/>
                <w:sz w:val="11"/>
                <w:szCs w:val="11"/>
                <w:b w:val="1"/>
                <w:bCs w:val="1"/>
                <w:color w:val="auto"/>
              </w:rPr>
              <w:t>Other</w:t>
            </w: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tcPr>
          <w:p>
            <w:pPr>
              <w:jc w:val="center"/>
              <w:ind w:right="280"/>
              <w:spacing w:after="0" w:line="117" w:lineRule="exact"/>
              <w:rPr>
                <w:sz w:val="20"/>
                <w:szCs w:val="20"/>
                <w:color w:val="auto"/>
              </w:rPr>
            </w:pPr>
            <w:r>
              <w:rPr>
                <w:rFonts w:ascii="Arial" w:cs="Arial" w:eastAsia="Arial" w:hAnsi="Arial"/>
                <w:sz w:val="11"/>
                <w:szCs w:val="11"/>
                <w:b w:val="1"/>
                <w:bCs w:val="1"/>
                <w:color w:val="auto"/>
                <w:w w:val="90"/>
              </w:rPr>
              <w:t>Active</w:t>
            </w:r>
          </w:p>
        </w:tc>
        <w:tc>
          <w:tcPr>
            <w:tcW w:w="100" w:type="dxa"/>
            <w:vAlign w:val="bottom"/>
          </w:tcPr>
          <w:p>
            <w:pPr>
              <w:spacing w:after="0"/>
              <w:rPr>
                <w:sz w:val="10"/>
                <w:szCs w:val="10"/>
                <w:color w:val="auto"/>
              </w:rPr>
            </w:pPr>
          </w:p>
        </w:tc>
        <w:tc>
          <w:tcPr>
            <w:tcW w:w="680" w:type="dxa"/>
            <w:vAlign w:val="bottom"/>
          </w:tcPr>
          <w:p>
            <w:pPr>
              <w:jc w:val="center"/>
              <w:ind w:right="14"/>
              <w:spacing w:after="0" w:line="117" w:lineRule="exact"/>
              <w:rPr>
                <w:sz w:val="20"/>
                <w:szCs w:val="20"/>
                <w:color w:val="auto"/>
              </w:rPr>
            </w:pPr>
            <w:r>
              <w:rPr>
                <w:rFonts w:ascii="Arial" w:cs="Arial" w:eastAsia="Arial" w:hAnsi="Arial"/>
                <w:sz w:val="11"/>
                <w:szCs w:val="11"/>
                <w:b w:val="1"/>
                <w:bCs w:val="1"/>
                <w:color w:val="auto"/>
                <w:w w:val="93"/>
              </w:rPr>
              <w:t>Observable</w:t>
            </w:r>
          </w:p>
        </w:tc>
        <w:tc>
          <w:tcPr>
            <w:tcW w:w="120" w:type="dxa"/>
            <w:vAlign w:val="bottom"/>
          </w:tcPr>
          <w:p>
            <w:pPr>
              <w:spacing w:after="0"/>
              <w:rPr>
                <w:sz w:val="10"/>
                <w:szCs w:val="10"/>
                <w:color w:val="auto"/>
              </w:rPr>
            </w:pPr>
          </w:p>
        </w:tc>
        <w:tc>
          <w:tcPr>
            <w:tcW w:w="1080" w:type="dxa"/>
            <w:vAlign w:val="bottom"/>
            <w:gridSpan w:val="2"/>
          </w:tcPr>
          <w:p>
            <w:pPr>
              <w:jc w:val="center"/>
              <w:ind w:right="180"/>
              <w:spacing w:after="0" w:line="117" w:lineRule="exact"/>
              <w:rPr>
                <w:sz w:val="20"/>
                <w:szCs w:val="20"/>
                <w:color w:val="auto"/>
              </w:rPr>
            </w:pPr>
            <w:r>
              <w:rPr>
                <w:rFonts w:ascii="Arial" w:cs="Arial" w:eastAsia="Arial" w:hAnsi="Arial"/>
                <w:sz w:val="11"/>
                <w:szCs w:val="11"/>
                <w:b w:val="1"/>
                <w:bCs w:val="1"/>
                <w:color w:val="auto"/>
                <w:w w:val="90"/>
              </w:rPr>
              <w:t>Unobservable</w:t>
            </w: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jc w:val="center"/>
              <w:ind w:right="34"/>
              <w:spacing w:after="0" w:line="117" w:lineRule="exact"/>
              <w:rPr>
                <w:sz w:val="20"/>
                <w:szCs w:val="20"/>
                <w:color w:val="auto"/>
              </w:rPr>
            </w:pPr>
            <w:r>
              <w:rPr>
                <w:rFonts w:ascii="Arial" w:cs="Arial" w:eastAsia="Arial" w:hAnsi="Arial"/>
                <w:sz w:val="11"/>
                <w:szCs w:val="11"/>
                <w:b w:val="1"/>
                <w:bCs w:val="1"/>
                <w:color w:val="auto"/>
                <w:w w:val="90"/>
              </w:rPr>
              <w:t>Active</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2"/>
          </w:tcPr>
          <w:p>
            <w:pPr>
              <w:jc w:val="center"/>
              <w:ind w:right="280"/>
              <w:spacing w:after="0" w:line="117" w:lineRule="exact"/>
              <w:rPr>
                <w:sz w:val="20"/>
                <w:szCs w:val="20"/>
                <w:color w:val="auto"/>
              </w:rPr>
            </w:pPr>
            <w:r>
              <w:rPr>
                <w:rFonts w:ascii="Arial" w:cs="Arial" w:eastAsia="Arial" w:hAnsi="Arial"/>
                <w:sz w:val="11"/>
                <w:szCs w:val="11"/>
                <w:b w:val="1"/>
                <w:bCs w:val="1"/>
                <w:color w:val="auto"/>
                <w:w w:val="93"/>
              </w:rPr>
              <w:t>Observable</w:t>
            </w: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tcPr>
          <w:p>
            <w:pPr>
              <w:jc w:val="center"/>
              <w:ind w:right="300"/>
              <w:spacing w:after="0" w:line="117" w:lineRule="exact"/>
              <w:rPr>
                <w:sz w:val="20"/>
                <w:szCs w:val="20"/>
                <w:color w:val="auto"/>
              </w:rPr>
            </w:pPr>
            <w:r>
              <w:rPr>
                <w:rFonts w:ascii="Arial" w:cs="Arial" w:eastAsia="Arial" w:hAnsi="Arial"/>
                <w:sz w:val="11"/>
                <w:szCs w:val="11"/>
                <w:b w:val="1"/>
                <w:bCs w:val="1"/>
                <w:color w:val="auto"/>
                <w:w w:val="96"/>
              </w:rPr>
              <w:t>Markets</w:t>
            </w:r>
          </w:p>
        </w:tc>
        <w:tc>
          <w:tcPr>
            <w:tcW w:w="100" w:type="dxa"/>
            <w:vAlign w:val="bottom"/>
          </w:tcPr>
          <w:p>
            <w:pPr>
              <w:spacing w:after="0"/>
              <w:rPr>
                <w:sz w:val="10"/>
                <w:szCs w:val="10"/>
                <w:color w:val="auto"/>
              </w:rPr>
            </w:pPr>
          </w:p>
        </w:tc>
        <w:tc>
          <w:tcPr>
            <w:tcW w:w="680" w:type="dxa"/>
            <w:vAlign w:val="bottom"/>
          </w:tcPr>
          <w:p>
            <w:pPr>
              <w:jc w:val="center"/>
              <w:ind w:right="14"/>
              <w:spacing w:after="0" w:line="117" w:lineRule="exact"/>
              <w:rPr>
                <w:sz w:val="20"/>
                <w:szCs w:val="20"/>
                <w:color w:val="auto"/>
              </w:rPr>
            </w:pPr>
            <w:r>
              <w:rPr>
                <w:rFonts w:ascii="Arial" w:cs="Arial" w:eastAsia="Arial" w:hAnsi="Arial"/>
                <w:sz w:val="11"/>
                <w:szCs w:val="11"/>
                <w:b w:val="1"/>
                <w:bCs w:val="1"/>
                <w:color w:val="auto"/>
                <w:w w:val="96"/>
              </w:rPr>
              <w:t>Inputs</w:t>
            </w:r>
          </w:p>
        </w:tc>
        <w:tc>
          <w:tcPr>
            <w:tcW w:w="120" w:type="dxa"/>
            <w:vAlign w:val="bottom"/>
          </w:tcPr>
          <w:p>
            <w:pPr>
              <w:spacing w:after="0"/>
              <w:rPr>
                <w:sz w:val="10"/>
                <w:szCs w:val="10"/>
                <w:color w:val="auto"/>
              </w:rPr>
            </w:pPr>
          </w:p>
        </w:tc>
        <w:tc>
          <w:tcPr>
            <w:tcW w:w="1080" w:type="dxa"/>
            <w:vAlign w:val="bottom"/>
            <w:gridSpan w:val="2"/>
          </w:tcPr>
          <w:p>
            <w:pPr>
              <w:jc w:val="center"/>
              <w:ind w:right="160"/>
              <w:spacing w:after="0" w:line="117" w:lineRule="exact"/>
              <w:rPr>
                <w:sz w:val="20"/>
                <w:szCs w:val="20"/>
                <w:color w:val="auto"/>
              </w:rPr>
            </w:pPr>
            <w:r>
              <w:rPr>
                <w:rFonts w:ascii="Arial" w:cs="Arial" w:eastAsia="Arial" w:hAnsi="Arial"/>
                <w:sz w:val="11"/>
                <w:szCs w:val="11"/>
                <w:b w:val="1"/>
                <w:bCs w:val="1"/>
                <w:color w:val="auto"/>
                <w:w w:val="96"/>
              </w:rPr>
              <w:t>Inputs</w:t>
            </w: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jc w:val="center"/>
              <w:ind w:right="54"/>
              <w:spacing w:after="0" w:line="117" w:lineRule="exact"/>
              <w:rPr>
                <w:sz w:val="20"/>
                <w:szCs w:val="20"/>
                <w:color w:val="auto"/>
              </w:rPr>
            </w:pPr>
            <w:r>
              <w:rPr>
                <w:rFonts w:ascii="Arial" w:cs="Arial" w:eastAsia="Arial" w:hAnsi="Arial"/>
                <w:sz w:val="11"/>
                <w:szCs w:val="11"/>
                <w:b w:val="1"/>
                <w:bCs w:val="1"/>
                <w:color w:val="auto"/>
                <w:w w:val="96"/>
              </w:rPr>
              <w:t>Markets</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2"/>
          </w:tcPr>
          <w:p>
            <w:pPr>
              <w:jc w:val="center"/>
              <w:ind w:right="280"/>
              <w:spacing w:after="0" w:line="117" w:lineRule="exact"/>
              <w:rPr>
                <w:sz w:val="20"/>
                <w:szCs w:val="20"/>
                <w:color w:val="auto"/>
              </w:rPr>
            </w:pPr>
            <w:r>
              <w:rPr>
                <w:rFonts w:ascii="Arial" w:cs="Arial" w:eastAsia="Arial" w:hAnsi="Arial"/>
                <w:sz w:val="11"/>
                <w:szCs w:val="11"/>
                <w:b w:val="1"/>
                <w:bCs w:val="1"/>
                <w:color w:val="auto"/>
                <w:w w:val="96"/>
              </w:rPr>
              <w:t>Inputs</w:t>
            </w: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700" w:type="dxa"/>
            <w:vAlign w:val="bottom"/>
          </w:tcPr>
          <w:p>
            <w:pPr>
              <w:spacing w:after="0"/>
              <w:rPr>
                <w:sz w:val="20"/>
                <w:szCs w:val="20"/>
                <w:color w:val="auto"/>
              </w:rPr>
            </w:pPr>
            <w:r>
              <w:rPr>
                <w:rFonts w:ascii="Arial" w:cs="Arial" w:eastAsia="Arial" w:hAnsi="Arial"/>
                <w:sz w:val="11"/>
                <w:szCs w:val="11"/>
                <w:b w:val="1"/>
                <w:bCs w:val="1"/>
                <w:color w:val="auto"/>
              </w:rPr>
              <w:t>(in thousands)</w:t>
            </w:r>
          </w:p>
        </w:tc>
        <w:tc>
          <w:tcPr>
            <w:tcW w:w="120" w:type="dxa"/>
            <w:vAlign w:val="bottom"/>
          </w:tcPr>
          <w:p>
            <w:pPr>
              <w:spacing w:after="0"/>
              <w:rPr>
                <w:sz w:val="11"/>
                <w:szCs w:val="11"/>
                <w:color w:val="auto"/>
              </w:rPr>
            </w:pPr>
          </w:p>
        </w:tc>
        <w:tc>
          <w:tcPr>
            <w:tcW w:w="82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94"/>
              </w:rPr>
              <w:t>(Level 1)</w:t>
            </w:r>
          </w:p>
        </w:tc>
        <w:tc>
          <w:tcPr>
            <w:tcW w:w="100" w:type="dxa"/>
            <w:vAlign w:val="bottom"/>
          </w:tcPr>
          <w:p>
            <w:pPr>
              <w:spacing w:after="0"/>
              <w:rPr>
                <w:sz w:val="11"/>
                <w:szCs w:val="11"/>
                <w:color w:val="auto"/>
              </w:rPr>
            </w:pPr>
          </w:p>
        </w:tc>
        <w:tc>
          <w:tcPr>
            <w:tcW w:w="680" w:type="dxa"/>
            <w:vAlign w:val="bottom"/>
          </w:tcPr>
          <w:p>
            <w:pPr>
              <w:jc w:val="center"/>
              <w:ind w:right="34"/>
              <w:spacing w:after="0"/>
              <w:rPr>
                <w:sz w:val="20"/>
                <w:szCs w:val="20"/>
                <w:color w:val="auto"/>
              </w:rPr>
            </w:pPr>
            <w:r>
              <w:rPr>
                <w:rFonts w:ascii="Arial" w:cs="Arial" w:eastAsia="Arial" w:hAnsi="Arial"/>
                <w:sz w:val="11"/>
                <w:szCs w:val="11"/>
                <w:b w:val="1"/>
                <w:bCs w:val="1"/>
                <w:color w:val="auto"/>
                <w:w w:val="94"/>
              </w:rPr>
              <w:t>(Level 2)</w:t>
            </w:r>
          </w:p>
        </w:tc>
        <w:tc>
          <w:tcPr>
            <w:tcW w:w="120" w:type="dxa"/>
            <w:vAlign w:val="bottom"/>
          </w:tcPr>
          <w:p>
            <w:pPr>
              <w:spacing w:after="0"/>
              <w:rPr>
                <w:sz w:val="11"/>
                <w:szCs w:val="11"/>
                <w:color w:val="auto"/>
              </w:rPr>
            </w:pPr>
          </w:p>
        </w:tc>
        <w:tc>
          <w:tcPr>
            <w:tcW w:w="108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4"/>
              </w:rPr>
              <w:t>(Level 3)</w:t>
            </w:r>
          </w:p>
        </w:tc>
        <w:tc>
          <w:tcPr>
            <w:tcW w:w="160" w:type="dxa"/>
            <w:vAlign w:val="bottom"/>
          </w:tcPr>
          <w:p>
            <w:pPr>
              <w:spacing w:after="0"/>
              <w:rPr>
                <w:sz w:val="11"/>
                <w:szCs w:val="11"/>
                <w:color w:val="auto"/>
              </w:rPr>
            </w:pP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Total</w:t>
            </w:r>
          </w:p>
        </w:tc>
        <w:tc>
          <w:tcPr>
            <w:tcW w:w="100" w:type="dxa"/>
            <w:vAlign w:val="bottom"/>
          </w:tcPr>
          <w:p>
            <w:pPr>
              <w:spacing w:after="0"/>
              <w:rPr>
                <w:sz w:val="11"/>
                <w:szCs w:val="11"/>
                <w:color w:val="auto"/>
              </w:rPr>
            </w:pPr>
          </w:p>
        </w:tc>
        <w:tc>
          <w:tcPr>
            <w:tcW w:w="640" w:type="dxa"/>
            <w:vAlign w:val="bottom"/>
          </w:tcPr>
          <w:p>
            <w:pPr>
              <w:jc w:val="center"/>
              <w:ind w:right="34"/>
              <w:spacing w:after="0"/>
              <w:rPr>
                <w:sz w:val="20"/>
                <w:szCs w:val="20"/>
                <w:color w:val="auto"/>
              </w:rPr>
            </w:pPr>
            <w:r>
              <w:rPr>
                <w:rFonts w:ascii="Arial" w:cs="Arial" w:eastAsia="Arial" w:hAnsi="Arial"/>
                <w:sz w:val="11"/>
                <w:szCs w:val="11"/>
                <w:b w:val="1"/>
                <w:bCs w:val="1"/>
                <w:color w:val="auto"/>
                <w:w w:val="94"/>
              </w:rPr>
              <w:t>(Level 1)</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4"/>
              </w:rPr>
              <w:t>(Level 2)</w:t>
            </w:r>
          </w:p>
        </w:tc>
        <w:tc>
          <w:tcPr>
            <w:tcW w:w="160" w:type="dxa"/>
            <w:vAlign w:val="bottom"/>
          </w:tcPr>
          <w:p>
            <w:pPr>
              <w:spacing w:after="0"/>
              <w:rPr>
                <w:sz w:val="11"/>
                <w:szCs w:val="11"/>
                <w:color w:val="auto"/>
              </w:rPr>
            </w:pPr>
          </w:p>
        </w:tc>
        <w:tc>
          <w:tcPr>
            <w:tcW w:w="560" w:type="dxa"/>
            <w:vAlign w:val="bottom"/>
          </w:tcPr>
          <w:p>
            <w:pPr>
              <w:jc w:val="right"/>
              <w:ind w:right="171"/>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70"/>
        </w:trPr>
        <w:tc>
          <w:tcPr>
            <w:tcW w:w="2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color w:val="auto"/>
              </w:rPr>
              <w:t>Money market funds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w:t>
            </w:r>
          </w:p>
        </w:tc>
        <w:tc>
          <w:tcPr>
            <w:tcW w:w="1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5,267</w:t>
            </w:r>
          </w:p>
        </w:tc>
        <w:tc>
          <w:tcPr>
            <w:tcW w:w="1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5,323</w:t>
            </w:r>
          </w:p>
        </w:tc>
        <w:tc>
          <w:tcPr>
            <w:tcW w:w="1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w:t>
            </w:r>
          </w:p>
        </w:tc>
        <w:tc>
          <w:tcPr>
            <w:tcW w:w="1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3,071</w:t>
            </w:r>
          </w:p>
        </w:tc>
        <w:tc>
          <w:tcPr>
            <w:tcW w:w="1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3,135</w:t>
            </w:r>
          </w:p>
        </w:tc>
        <w:tc>
          <w:tcPr>
            <w:tcW w:w="0" w:type="dxa"/>
            <w:vAlign w:val="bottom"/>
          </w:tcPr>
          <w:p>
            <w:pPr>
              <w:spacing w:after="0"/>
              <w:rPr>
                <w:sz w:val="1"/>
                <w:szCs w:val="1"/>
                <w:color w:val="auto"/>
              </w:rPr>
            </w:pPr>
          </w:p>
        </w:tc>
      </w:tr>
      <w:tr>
        <w:trPr>
          <w:trHeight w:val="170"/>
        </w:trPr>
        <w:tc>
          <w:tcPr>
            <w:tcW w:w="2700" w:type="dxa"/>
            <w:vAlign w:val="bottom"/>
          </w:tcPr>
          <w:p>
            <w:pPr>
              <w:spacing w:after="0"/>
              <w:rPr>
                <w:sz w:val="20"/>
                <w:szCs w:val="20"/>
                <w:color w:val="auto"/>
              </w:rPr>
            </w:pPr>
            <w:r>
              <w:rPr>
                <w:rFonts w:ascii="Arial" w:cs="Arial" w:eastAsia="Arial" w:hAnsi="Arial"/>
                <w:sz w:val="14"/>
                <w:szCs w:val="14"/>
                <w:color w:val="auto"/>
              </w:rPr>
              <w:t>Fixed income funds</w:t>
            </w: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3,387</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9,738</w:t>
            </w:r>
          </w:p>
        </w:tc>
        <w:tc>
          <w:tcPr>
            <w:tcW w:w="120" w:type="dxa"/>
            <w:vAlign w:val="bottom"/>
          </w:tcPr>
          <w:p>
            <w:pPr>
              <w:spacing w:after="0"/>
              <w:rPr>
                <w:sz w:val="14"/>
                <w:szCs w:val="1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13,125</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1,182</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6,974</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8,156</w:t>
            </w:r>
          </w:p>
        </w:tc>
        <w:tc>
          <w:tcPr>
            <w:tcW w:w="0" w:type="dxa"/>
            <w:vAlign w:val="bottom"/>
          </w:tcPr>
          <w:p>
            <w:pPr>
              <w:spacing w:after="0"/>
              <w:rPr>
                <w:sz w:val="1"/>
                <w:szCs w:val="1"/>
                <w:color w:val="auto"/>
              </w:rPr>
            </w:pPr>
          </w:p>
        </w:tc>
      </w:tr>
      <w:tr>
        <w:trPr>
          <w:trHeight w:val="170"/>
        </w:trPr>
        <w:tc>
          <w:tcPr>
            <w:tcW w:w="2700" w:type="dxa"/>
            <w:vAlign w:val="bottom"/>
            <w:shd w:val="clear" w:color="auto" w:fill="CCEEFF"/>
          </w:tcPr>
          <w:p>
            <w:pPr>
              <w:spacing w:after="0"/>
              <w:rPr>
                <w:sz w:val="20"/>
                <w:szCs w:val="20"/>
                <w:color w:val="auto"/>
              </w:rPr>
            </w:pPr>
            <w:r>
              <w:rPr>
                <w:rFonts w:ascii="Arial" w:cs="Arial" w:eastAsia="Arial" w:hAnsi="Arial"/>
                <w:sz w:val="14"/>
                <w:szCs w:val="14"/>
                <w:color w:val="auto"/>
              </w:rPr>
              <w:t>Equity securities</w:t>
            </w: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7,262</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7,262</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10,710</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10,710</w:t>
            </w:r>
          </w:p>
        </w:tc>
        <w:tc>
          <w:tcPr>
            <w:tcW w:w="0" w:type="dxa"/>
            <w:vAlign w:val="bottom"/>
          </w:tcPr>
          <w:p>
            <w:pPr>
              <w:spacing w:after="0"/>
              <w:rPr>
                <w:sz w:val="1"/>
                <w:szCs w:val="1"/>
                <w:color w:val="auto"/>
              </w:rPr>
            </w:pPr>
          </w:p>
        </w:tc>
      </w:tr>
      <w:tr>
        <w:trPr>
          <w:trHeight w:val="170"/>
        </w:trPr>
        <w:tc>
          <w:tcPr>
            <w:tcW w:w="2700" w:type="dxa"/>
            <w:vAlign w:val="bottom"/>
          </w:tcPr>
          <w:p>
            <w:pPr>
              <w:spacing w:after="0"/>
              <w:rPr>
                <w:sz w:val="20"/>
                <w:szCs w:val="20"/>
                <w:color w:val="auto"/>
              </w:rPr>
            </w:pPr>
            <w:r>
              <w:rPr>
                <w:rFonts w:ascii="Arial" w:cs="Arial" w:eastAsia="Arial" w:hAnsi="Arial"/>
                <w:sz w:val="14"/>
                <w:szCs w:val="14"/>
                <w:color w:val="auto"/>
              </w:rPr>
              <w:t>Hedge funds</w:t>
            </w:r>
          </w:p>
        </w:tc>
        <w:tc>
          <w:tcPr>
            <w:tcW w:w="120" w:type="dxa"/>
            <w:vAlign w:val="bottom"/>
          </w:tcPr>
          <w:p>
            <w:pPr>
              <w:spacing w:after="0"/>
              <w:rPr>
                <w:sz w:val="14"/>
                <w:szCs w:val="14"/>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1,756</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1,756</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700" w:type="dxa"/>
            <w:vAlign w:val="bottom"/>
            <w:shd w:val="clear" w:color="auto" w:fill="CCEEFF"/>
          </w:tcPr>
          <w:p>
            <w:pPr>
              <w:spacing w:after="0"/>
              <w:rPr>
                <w:sz w:val="20"/>
                <w:szCs w:val="20"/>
                <w:color w:val="auto"/>
              </w:rPr>
            </w:pPr>
            <w:r>
              <w:rPr>
                <w:rFonts w:ascii="Arial" w:cs="Arial" w:eastAsia="Arial" w:hAnsi="Arial"/>
                <w:sz w:val="14"/>
                <w:szCs w:val="14"/>
                <w:color w:val="auto"/>
              </w:rPr>
              <w:t>Mutual funds:</w:t>
            </w: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700" w:type="dxa"/>
            <w:vAlign w:val="bottom"/>
          </w:tcPr>
          <w:p>
            <w:pPr>
              <w:ind w:left="80"/>
              <w:spacing w:after="0"/>
              <w:rPr>
                <w:sz w:val="20"/>
                <w:szCs w:val="20"/>
                <w:color w:val="auto"/>
              </w:rPr>
            </w:pPr>
            <w:r>
              <w:rPr>
                <w:rFonts w:ascii="Arial" w:cs="Arial" w:eastAsia="Arial" w:hAnsi="Arial"/>
                <w:sz w:val="14"/>
                <w:szCs w:val="14"/>
                <w:color w:val="auto"/>
              </w:rPr>
              <w:t>Domestic stock funds</w:t>
            </w: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2,846</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2,846</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367</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367</w:t>
            </w:r>
          </w:p>
        </w:tc>
        <w:tc>
          <w:tcPr>
            <w:tcW w:w="0" w:type="dxa"/>
            <w:vAlign w:val="bottom"/>
          </w:tcPr>
          <w:p>
            <w:pPr>
              <w:spacing w:after="0"/>
              <w:rPr>
                <w:sz w:val="1"/>
                <w:szCs w:val="1"/>
                <w:color w:val="auto"/>
              </w:rPr>
            </w:pPr>
          </w:p>
        </w:tc>
      </w:tr>
      <w:tr>
        <w:trPr>
          <w:trHeight w:val="170"/>
        </w:trPr>
        <w:tc>
          <w:tcPr>
            <w:tcW w:w="2700" w:type="dxa"/>
            <w:vAlign w:val="bottom"/>
            <w:shd w:val="clear" w:color="auto" w:fill="CCEEFF"/>
          </w:tcPr>
          <w:p>
            <w:pPr>
              <w:ind w:left="80"/>
              <w:spacing w:after="0"/>
              <w:rPr>
                <w:sz w:val="20"/>
                <w:szCs w:val="20"/>
                <w:color w:val="auto"/>
              </w:rPr>
            </w:pPr>
            <w:r>
              <w:rPr>
                <w:rFonts w:ascii="Arial" w:cs="Arial" w:eastAsia="Arial" w:hAnsi="Arial"/>
                <w:sz w:val="14"/>
                <w:szCs w:val="14"/>
                <w:color w:val="auto"/>
              </w:rPr>
              <w:t>International stock funds</w:t>
            </w: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937</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937</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w:t>
            </w:r>
          </w:p>
        </w:tc>
        <w:tc>
          <w:tcPr>
            <w:tcW w:w="0" w:type="dxa"/>
            <w:vAlign w:val="bottom"/>
          </w:tcPr>
          <w:p>
            <w:pPr>
              <w:spacing w:after="0"/>
              <w:rPr>
                <w:sz w:val="1"/>
                <w:szCs w:val="1"/>
                <w:color w:val="auto"/>
              </w:rPr>
            </w:pPr>
          </w:p>
        </w:tc>
      </w:tr>
      <w:tr>
        <w:trPr>
          <w:trHeight w:val="170"/>
        </w:trPr>
        <w:tc>
          <w:tcPr>
            <w:tcW w:w="2700" w:type="dxa"/>
            <w:vAlign w:val="bottom"/>
          </w:tcPr>
          <w:p>
            <w:pPr>
              <w:ind w:left="80"/>
              <w:spacing w:after="0"/>
              <w:rPr>
                <w:sz w:val="20"/>
                <w:szCs w:val="20"/>
                <w:color w:val="auto"/>
              </w:rPr>
            </w:pPr>
            <w:r>
              <w:rPr>
                <w:rFonts w:ascii="Arial" w:cs="Arial" w:eastAsia="Arial" w:hAnsi="Arial"/>
                <w:sz w:val="14"/>
                <w:szCs w:val="14"/>
                <w:color w:val="auto"/>
              </w:rPr>
              <w:t>Target funds</w:t>
            </w: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237</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237</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270</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270</w:t>
            </w:r>
          </w:p>
        </w:tc>
        <w:tc>
          <w:tcPr>
            <w:tcW w:w="0" w:type="dxa"/>
            <w:vAlign w:val="bottom"/>
          </w:tcPr>
          <w:p>
            <w:pPr>
              <w:spacing w:after="0"/>
              <w:rPr>
                <w:sz w:val="1"/>
                <w:szCs w:val="1"/>
                <w:color w:val="auto"/>
              </w:rPr>
            </w:pPr>
          </w:p>
        </w:tc>
      </w:tr>
      <w:tr>
        <w:trPr>
          <w:trHeight w:val="170"/>
        </w:trPr>
        <w:tc>
          <w:tcPr>
            <w:tcW w:w="2700" w:type="dxa"/>
            <w:vAlign w:val="bottom"/>
            <w:shd w:val="clear" w:color="auto" w:fill="CCEEFF"/>
          </w:tcPr>
          <w:p>
            <w:pPr>
              <w:ind w:left="80"/>
              <w:spacing w:after="0"/>
              <w:rPr>
                <w:sz w:val="20"/>
                <w:szCs w:val="20"/>
                <w:color w:val="auto"/>
              </w:rPr>
            </w:pPr>
            <w:r>
              <w:rPr>
                <w:rFonts w:ascii="Arial" w:cs="Arial" w:eastAsia="Arial" w:hAnsi="Arial"/>
                <w:sz w:val="14"/>
                <w:szCs w:val="14"/>
                <w:color w:val="auto"/>
              </w:rPr>
              <w:t>Bond funds</w:t>
            </w: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796</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796</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209</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209</w:t>
            </w:r>
          </w:p>
        </w:tc>
        <w:tc>
          <w:tcPr>
            <w:tcW w:w="0" w:type="dxa"/>
            <w:vAlign w:val="bottom"/>
          </w:tcPr>
          <w:p>
            <w:pPr>
              <w:spacing w:after="0"/>
              <w:rPr>
                <w:sz w:val="1"/>
                <w:szCs w:val="1"/>
                <w:color w:val="auto"/>
              </w:rPr>
            </w:pPr>
          </w:p>
        </w:tc>
      </w:tr>
      <w:tr>
        <w:trPr>
          <w:trHeight w:val="171"/>
        </w:trPr>
        <w:tc>
          <w:tcPr>
            <w:tcW w:w="2700" w:type="dxa"/>
            <w:vAlign w:val="bottom"/>
          </w:tcPr>
          <w:p>
            <w:pPr>
              <w:ind w:left="80"/>
              <w:spacing w:after="0"/>
              <w:rPr>
                <w:sz w:val="20"/>
                <w:szCs w:val="20"/>
                <w:color w:val="auto"/>
              </w:rPr>
            </w:pPr>
            <w:r>
              <w:rPr>
                <w:rFonts w:ascii="Arial" w:cs="Arial" w:eastAsia="Arial" w:hAnsi="Arial"/>
                <w:sz w:val="14"/>
                <w:szCs w:val="14"/>
                <w:color w:val="auto"/>
              </w:rPr>
              <w:t>Alternative funds</w:t>
            </w: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1,318</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1,318</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7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Total mutual funds</w:t>
            </w:r>
          </w:p>
        </w:tc>
        <w:tc>
          <w:tcPr>
            <w:tcW w:w="120" w:type="dxa"/>
            <w:vAlign w:val="bottom"/>
            <w:tcBorders>
              <w:top w:val="single" w:sz="8" w:color="auto"/>
              <w:bottom w:val="single" w:sz="8" w:color="auto"/>
            </w:tcBorders>
            <w:shd w:val="clear" w:color="auto" w:fill="CCEEFF"/>
          </w:tcPr>
          <w:p>
            <w:pPr>
              <w:spacing w:after="0"/>
              <w:rPr>
                <w:sz w:val="16"/>
                <w:szCs w:val="16"/>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6,134</w:t>
            </w:r>
          </w:p>
        </w:tc>
        <w:tc>
          <w:tcPr>
            <w:tcW w:w="1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spacing w:after="0"/>
              <w:rPr>
                <w:sz w:val="16"/>
                <w:szCs w:val="16"/>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6,134</w:t>
            </w:r>
          </w:p>
        </w:tc>
        <w:tc>
          <w:tcPr>
            <w:tcW w:w="1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937</w:t>
            </w:r>
          </w:p>
        </w:tc>
        <w:tc>
          <w:tcPr>
            <w:tcW w:w="18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spacing w:after="0"/>
              <w:rPr>
                <w:sz w:val="16"/>
                <w:szCs w:val="16"/>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spacing w:after="0"/>
              <w:rPr>
                <w:sz w:val="16"/>
                <w:szCs w:val="16"/>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937</w:t>
            </w:r>
          </w:p>
        </w:tc>
        <w:tc>
          <w:tcPr>
            <w:tcW w:w="0" w:type="dxa"/>
            <w:vAlign w:val="bottom"/>
          </w:tcPr>
          <w:p>
            <w:pPr>
              <w:spacing w:after="0"/>
              <w:rPr>
                <w:sz w:val="1"/>
                <w:szCs w:val="1"/>
                <w:color w:val="auto"/>
              </w:rPr>
            </w:pPr>
          </w:p>
        </w:tc>
      </w:tr>
      <w:tr>
        <w:trPr>
          <w:trHeight w:val="151"/>
        </w:trPr>
        <w:tc>
          <w:tcPr>
            <w:tcW w:w="2700" w:type="dxa"/>
            <w:vAlign w:val="bottom"/>
          </w:tcPr>
          <w:p>
            <w:pPr>
              <w:spacing w:after="0" w:line="151" w:lineRule="exact"/>
              <w:rPr>
                <w:sz w:val="20"/>
                <w:szCs w:val="20"/>
                <w:color w:val="auto"/>
              </w:rPr>
            </w:pPr>
            <w:r>
              <w:rPr>
                <w:rFonts w:ascii="Arial" w:cs="Arial" w:eastAsia="Arial" w:hAnsi="Arial"/>
                <w:sz w:val="14"/>
                <w:szCs w:val="14"/>
                <w:color w:val="auto"/>
              </w:rPr>
              <w:t>Total</w:t>
            </w:r>
          </w:p>
        </w:tc>
        <w:tc>
          <w:tcPr>
            <w:tcW w:w="120" w:type="dxa"/>
            <w:vAlign w:val="bottom"/>
          </w:tcPr>
          <w:p>
            <w:pPr>
              <w:jc w:val="right"/>
              <w:spacing w:after="0" w:line="151" w:lineRule="exact"/>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line="151" w:lineRule="exact"/>
              <w:rPr>
                <w:sz w:val="20"/>
                <w:szCs w:val="20"/>
                <w:color w:val="auto"/>
              </w:rPr>
            </w:pPr>
            <w:r>
              <w:rPr>
                <w:rFonts w:ascii="Arial" w:cs="Arial" w:eastAsia="Arial" w:hAnsi="Arial"/>
                <w:sz w:val="14"/>
                <w:szCs w:val="14"/>
                <w:color w:val="auto"/>
              </w:rPr>
              <w:t>16,839</w:t>
            </w:r>
          </w:p>
        </w:tc>
        <w:tc>
          <w:tcPr>
            <w:tcW w:w="180" w:type="dxa"/>
            <w:vAlign w:val="bottom"/>
          </w:tcPr>
          <w:p>
            <w:pPr>
              <w:spacing w:after="0"/>
              <w:rPr>
                <w:sz w:val="13"/>
                <w:szCs w:val="13"/>
                <w:color w:val="auto"/>
              </w:rPr>
            </w:pPr>
          </w:p>
        </w:tc>
        <w:tc>
          <w:tcPr>
            <w:tcW w:w="100" w:type="dxa"/>
            <w:vAlign w:val="bottom"/>
          </w:tcPr>
          <w:p>
            <w:pPr>
              <w:jc w:val="right"/>
              <w:spacing w:after="0" w:line="151" w:lineRule="exact"/>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line="151" w:lineRule="exact"/>
              <w:rPr>
                <w:sz w:val="20"/>
                <w:szCs w:val="20"/>
                <w:color w:val="auto"/>
              </w:rPr>
            </w:pPr>
            <w:r>
              <w:rPr>
                <w:rFonts w:ascii="Arial" w:cs="Arial" w:eastAsia="Arial" w:hAnsi="Arial"/>
                <w:sz w:val="14"/>
                <w:szCs w:val="14"/>
                <w:color w:val="auto"/>
              </w:rPr>
              <w:t>15,005</w:t>
            </w:r>
          </w:p>
        </w:tc>
        <w:tc>
          <w:tcPr>
            <w:tcW w:w="120" w:type="dxa"/>
            <w:vAlign w:val="bottom"/>
          </w:tcPr>
          <w:p>
            <w:pPr>
              <w:spacing w:after="0"/>
              <w:rPr>
                <w:sz w:val="13"/>
                <w:szCs w:val="13"/>
                <w:color w:val="auto"/>
              </w:rPr>
            </w:pPr>
          </w:p>
        </w:tc>
        <w:tc>
          <w:tcPr>
            <w:tcW w:w="900" w:type="dxa"/>
            <w:vAlign w:val="bottom"/>
          </w:tcPr>
          <w:p>
            <w:pPr>
              <w:jc w:val="right"/>
              <w:spacing w:after="0" w:line="151" w:lineRule="exact"/>
              <w:rPr>
                <w:sz w:val="20"/>
                <w:szCs w:val="20"/>
                <w:color w:val="auto"/>
              </w:rPr>
            </w:pPr>
            <w:r>
              <w:rPr>
                <w:rFonts w:ascii="Arial" w:cs="Arial" w:eastAsia="Arial" w:hAnsi="Arial"/>
                <w:sz w:val="14"/>
                <w:szCs w:val="14"/>
                <w:color w:val="auto"/>
              </w:rPr>
              <w:t>1,756</w:t>
            </w:r>
          </w:p>
        </w:tc>
        <w:tc>
          <w:tcPr>
            <w:tcW w:w="180" w:type="dxa"/>
            <w:vAlign w:val="bottom"/>
          </w:tcPr>
          <w:p>
            <w:pPr>
              <w:spacing w:after="0"/>
              <w:rPr>
                <w:sz w:val="13"/>
                <w:szCs w:val="13"/>
                <w:color w:val="auto"/>
              </w:rPr>
            </w:pPr>
          </w:p>
        </w:tc>
        <w:tc>
          <w:tcPr>
            <w:tcW w:w="160" w:type="dxa"/>
            <w:vAlign w:val="bottom"/>
          </w:tcPr>
          <w:p>
            <w:pPr>
              <w:jc w:val="right"/>
              <w:ind w:right="9"/>
              <w:spacing w:after="0" w:line="151" w:lineRule="exact"/>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line="151" w:lineRule="exact"/>
              <w:rPr>
                <w:sz w:val="20"/>
                <w:szCs w:val="20"/>
                <w:color w:val="auto"/>
              </w:rPr>
            </w:pPr>
            <w:r>
              <w:rPr>
                <w:rFonts w:ascii="Arial" w:cs="Arial" w:eastAsia="Arial" w:hAnsi="Arial"/>
                <w:sz w:val="14"/>
                <w:szCs w:val="14"/>
                <w:color w:val="auto"/>
              </w:rPr>
              <w:t>33,600</w:t>
            </w:r>
          </w:p>
        </w:tc>
        <w:tc>
          <w:tcPr>
            <w:tcW w:w="1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line="151" w:lineRule="exact"/>
              <w:rPr>
                <w:sz w:val="20"/>
                <w:szCs w:val="20"/>
                <w:color w:val="auto"/>
              </w:rPr>
            </w:pPr>
            <w:r>
              <w:rPr>
                <w:rFonts w:ascii="Arial" w:cs="Arial" w:eastAsia="Arial" w:hAnsi="Arial"/>
                <w:sz w:val="14"/>
                <w:szCs w:val="14"/>
                <w:color w:val="auto"/>
              </w:rPr>
              <w:t>12,893</w:t>
            </w:r>
          </w:p>
        </w:tc>
        <w:tc>
          <w:tcPr>
            <w:tcW w:w="18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line="151" w:lineRule="exact"/>
              <w:rPr>
                <w:sz w:val="20"/>
                <w:szCs w:val="20"/>
                <w:color w:val="auto"/>
              </w:rPr>
            </w:pPr>
            <w:r>
              <w:rPr>
                <w:rFonts w:ascii="Arial" w:cs="Arial" w:eastAsia="Arial" w:hAnsi="Arial"/>
                <w:sz w:val="14"/>
                <w:szCs w:val="14"/>
                <w:color w:val="auto"/>
              </w:rPr>
              <w:t>10,045</w:t>
            </w:r>
          </w:p>
        </w:tc>
        <w:tc>
          <w:tcPr>
            <w:tcW w:w="180" w:type="dxa"/>
            <w:vAlign w:val="bottom"/>
          </w:tcPr>
          <w:p>
            <w:pPr>
              <w:spacing w:after="0"/>
              <w:rPr>
                <w:sz w:val="13"/>
                <w:szCs w:val="13"/>
                <w:color w:val="auto"/>
              </w:rPr>
            </w:pP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line="151" w:lineRule="exact"/>
              <w:rPr>
                <w:sz w:val="20"/>
                <w:szCs w:val="20"/>
                <w:color w:val="auto"/>
              </w:rPr>
            </w:pPr>
            <w:r>
              <w:rPr>
                <w:rFonts w:ascii="Arial" w:cs="Arial" w:eastAsia="Arial" w:hAnsi="Arial"/>
                <w:sz w:val="14"/>
                <w:szCs w:val="14"/>
                <w:color w:val="auto"/>
              </w:rPr>
              <w:t>22,938</w:t>
            </w:r>
          </w:p>
        </w:tc>
        <w:tc>
          <w:tcPr>
            <w:tcW w:w="0" w:type="dxa"/>
            <w:vAlign w:val="bottom"/>
          </w:tcPr>
          <w:p>
            <w:pPr>
              <w:spacing w:after="0"/>
              <w:rPr>
                <w:sz w:val="1"/>
                <w:szCs w:val="1"/>
                <w:color w:val="auto"/>
              </w:rPr>
            </w:pPr>
          </w:p>
        </w:tc>
      </w:tr>
      <w:tr>
        <w:trPr>
          <w:trHeight w:val="170"/>
        </w:trPr>
        <w:tc>
          <w:tcPr>
            <w:tcW w:w="2700" w:type="dxa"/>
            <w:vAlign w:val="bottom"/>
            <w:shd w:val="clear" w:color="auto" w:fill="CCEEFF"/>
          </w:tcPr>
          <w:p>
            <w:pPr>
              <w:ind w:left="80"/>
              <w:spacing w:after="0"/>
              <w:rPr>
                <w:sz w:val="20"/>
                <w:szCs w:val="20"/>
                <w:color w:val="auto"/>
              </w:rPr>
            </w:pPr>
            <w:r>
              <w:rPr>
                <w:rFonts w:ascii="Arial" w:cs="Arial" w:eastAsia="Arial" w:hAnsi="Arial"/>
                <w:sz w:val="14"/>
                <w:szCs w:val="14"/>
                <w:color w:val="auto"/>
              </w:rPr>
              <w:t>Assets at fair value</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16,839</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15,005</w:t>
            </w: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1,756</w:t>
            </w: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33,600</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12,893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10,045</w:t>
            </w: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22,938</w:t>
            </w:r>
          </w:p>
        </w:tc>
        <w:tc>
          <w:tcPr>
            <w:tcW w:w="0" w:type="dxa"/>
            <w:vAlign w:val="bottom"/>
          </w:tcPr>
          <w:p>
            <w:pPr>
              <w:spacing w:after="0"/>
              <w:rPr>
                <w:sz w:val="1"/>
                <w:szCs w:val="1"/>
                <w:color w:val="auto"/>
              </w:rPr>
            </w:pPr>
          </w:p>
        </w:tc>
      </w:tr>
      <w:tr>
        <w:trPr>
          <w:trHeight w:val="21"/>
        </w:trPr>
        <w:tc>
          <w:tcPr>
            <w:tcW w:w="27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9" w:lineRule="exact"/>
        <w:rPr>
          <w:sz w:val="20"/>
          <w:szCs w:val="20"/>
          <w:color w:val="auto"/>
        </w:rPr>
      </w:pPr>
    </w:p>
    <w:p>
      <w:pPr>
        <w:jc w:val="both"/>
        <w:ind w:right="20" w:firstLine="510"/>
        <w:spacing w:after="0" w:line="262" w:lineRule="auto"/>
        <w:rPr>
          <w:sz w:val="20"/>
          <w:szCs w:val="20"/>
          <w:color w:val="auto"/>
        </w:rPr>
      </w:pPr>
      <w:r>
        <w:rPr>
          <w:rFonts w:ascii="Arial" w:cs="Arial" w:eastAsia="Arial" w:hAnsi="Arial"/>
          <w:sz w:val="14"/>
          <w:szCs w:val="14"/>
          <w:color w:val="auto"/>
        </w:rPr>
        <w:t xml:space="preserve">We maintain money market, mutual funds, bonds, and/or stocks in our non-qualified deferred compensation plan and our wholly owned licensed captive insurance company. These funds are valued at prices quoted in an active exchange market and are included in "Cash and Cash Equivalents", "Investments", and "Other Assets". We have elected not to apply the fair value option under ASC 825, </w:t>
      </w:r>
      <w:r>
        <w:rPr>
          <w:rFonts w:ascii="Arial" w:cs="Arial" w:eastAsia="Arial" w:hAnsi="Arial"/>
          <w:sz w:val="14"/>
          <w:szCs w:val="14"/>
          <w:i w:val="1"/>
          <w:iCs w:val="1"/>
          <w:color w:val="auto"/>
        </w:rPr>
        <w:t>Financial Instruments,</w:t>
      </w:r>
      <w:r>
        <w:rPr>
          <w:rFonts w:ascii="Arial" w:cs="Arial" w:eastAsia="Arial" w:hAnsi="Arial"/>
          <w:sz w:val="14"/>
          <w:szCs w:val="14"/>
          <w:color w:val="auto"/>
        </w:rPr>
        <w:t xml:space="preserve"> to any of our financial instruments except for those expressly required by U.S. GAAP.</w:t>
      </w:r>
    </w:p>
    <w:p>
      <w:pPr>
        <w:spacing w:after="0" w:line="147" w:lineRule="exact"/>
        <w:rPr>
          <w:sz w:val="20"/>
          <w:szCs w:val="20"/>
          <w:color w:val="auto"/>
        </w:rPr>
      </w:pPr>
    </w:p>
    <w:p>
      <w:pPr>
        <w:jc w:val="both"/>
        <w:ind w:right="20" w:firstLine="510"/>
        <w:spacing w:after="0" w:line="281" w:lineRule="auto"/>
        <w:rPr>
          <w:sz w:val="20"/>
          <w:szCs w:val="20"/>
          <w:color w:val="auto"/>
        </w:rPr>
      </w:pPr>
      <w:r>
        <w:rPr>
          <w:rFonts w:ascii="Arial" w:cs="Arial" w:eastAsia="Arial" w:hAnsi="Arial"/>
          <w:sz w:val="14"/>
          <w:szCs w:val="14"/>
          <w:color w:val="auto"/>
        </w:rPr>
        <w:t>The valuations of the Level 2 assets or liabilities rely on quoted prices in markets that are not active or observable inputs over the full term of the asset or liability.</w:t>
      </w:r>
    </w:p>
    <w:p>
      <w:pPr>
        <w:spacing w:after="0" w:line="133" w:lineRule="exact"/>
        <w:rPr>
          <w:sz w:val="20"/>
          <w:szCs w:val="20"/>
          <w:color w:val="auto"/>
        </w:rPr>
      </w:pPr>
    </w:p>
    <w:p>
      <w:pPr>
        <w:jc w:val="both"/>
        <w:ind w:right="20"/>
        <w:spacing w:after="0" w:line="281" w:lineRule="auto"/>
        <w:rPr>
          <w:sz w:val="20"/>
          <w:szCs w:val="20"/>
          <w:color w:val="auto"/>
        </w:rPr>
      </w:pPr>
      <w:r>
        <w:rPr>
          <w:rFonts w:ascii="Arial" w:cs="Arial" w:eastAsia="Arial" w:hAnsi="Arial"/>
          <w:sz w:val="14"/>
          <w:szCs w:val="14"/>
          <w:color w:val="auto"/>
        </w:rPr>
        <w:t>During 2018, we purchased a private real estate income trust which will be valued as a Level 3 asset. We did not maintain any Level 3 assets or liabilities at December 30, 2017.</w:t>
      </w:r>
    </w:p>
    <w:p>
      <w:pPr>
        <w:spacing w:after="0" w:line="133" w:lineRule="exact"/>
        <w:rPr>
          <w:sz w:val="20"/>
          <w:szCs w:val="20"/>
          <w:color w:val="auto"/>
        </w:rPr>
      </w:pPr>
    </w:p>
    <w:p>
      <w:pPr>
        <w:jc w:val="both"/>
        <w:ind w:right="20"/>
        <w:spacing w:after="0" w:line="267" w:lineRule="auto"/>
        <w:rPr>
          <w:sz w:val="20"/>
          <w:szCs w:val="20"/>
          <w:color w:val="auto"/>
        </w:rPr>
      </w:pPr>
      <w:r>
        <w:rPr>
          <w:rFonts w:ascii="Arial" w:cs="Arial" w:eastAsia="Arial" w:hAnsi="Arial"/>
          <w:sz w:val="14"/>
          <w:szCs w:val="14"/>
          <w:color w:val="auto"/>
        </w:rPr>
        <w:t>In 2017, our wholly-owned captive, Ardellis Insurance Ltd. (“Ardellis”) transferred fixed income securities to a newly formed collateral trust account in line with regulatory requirements in the State of Michigan to allow Ardellis to act as an admitted carrier in the State. These funds are intended to safeguard the insureds of the Michigan Branch of Ardellis. The funds are classified as “Restricted Investments”.</w:t>
      </w:r>
    </w:p>
    <w:p>
      <w:pPr>
        <w:spacing w:after="0" w:line="312"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66675</wp:posOffset>
            </wp:positionV>
            <wp:extent cx="5779135" cy="2032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5">
                      <a:extLst>
                        <a:ext uri="{28A0092B-C50C-407E-A947-70E740481C1C}"/>
                      </a:extLst>
                    </a:blip>
                    <a:srcRect/>
                    <a:stretch>
                      <a:fillRect/>
                    </a:stretch>
                  </pic:blipFill>
                  <pic:spPr bwMode="auto">
                    <a:xfrm>
                      <a:off x="0" y="0"/>
                      <a:ext cx="5779135" cy="20320"/>
                    </a:xfrm>
                    <a:prstGeom prst="rect">
                      <a:avLst/>
                    </a:prstGeom>
                    <a:noFill/>
                  </pic:spPr>
                </pic:pic>
              </a:graphicData>
            </a:graphic>
          </wp:anchor>
        </w:drawing>
      </w:r>
    </w:p>
    <w:p>
      <w:pPr>
        <w:sectPr>
          <w:pgSz w:w="11900" w:h="16838" w:orient="portrait"/>
          <w:cols w:equalWidth="0" w:num="1">
            <w:col w:w="9120"/>
          </w:cols>
          <w:pgMar w:left="1400" w:top="129" w:right="1379" w:bottom="1440" w:gutter="0" w:footer="0" w:header="0"/>
        </w:sectPr>
      </w:pPr>
    </w:p>
    <w:bookmarkStart w:id="81" w:name="page82"/>
    <w:bookmarkEnd w:id="81"/>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94" w:lineRule="exact"/>
        <w:rPr>
          <w:sz w:val="20"/>
          <w:szCs w:val="20"/>
          <w:color w:val="auto"/>
        </w:rPr>
      </w:pPr>
    </w:p>
    <w:p>
      <w:pPr>
        <w:jc w:val="both"/>
        <w:ind w:firstLine="510"/>
        <w:spacing w:after="0" w:line="281" w:lineRule="auto"/>
        <w:rPr>
          <w:sz w:val="20"/>
          <w:szCs w:val="20"/>
          <w:color w:val="auto"/>
        </w:rPr>
      </w:pPr>
      <w:r>
        <w:rPr>
          <w:rFonts w:ascii="Arial" w:cs="Arial" w:eastAsia="Arial" w:hAnsi="Arial"/>
          <w:sz w:val="14"/>
          <w:szCs w:val="14"/>
          <w:color w:val="auto"/>
        </w:rPr>
        <w:t>In accordance with our investment policy, our wholly-owned company, Ardellis Insurance Ltd. ("Ardellis"), maintains an investment portfolio, totaling $27.4 million as of December 29, 2018, consisting of mutual funds, domestic and international stocks, and fixed income bonds.</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color w:val="auto"/>
        </w:rPr>
        <w:t>Ardellis’ available for sale investment portfolio consists of the following:</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20" w:type="dxa"/>
            <w:vAlign w:val="bottom"/>
          </w:tcPr>
          <w:p>
            <w:pPr>
              <w:spacing w:after="0"/>
              <w:rPr>
                <w:sz w:val="11"/>
                <w:szCs w:val="11"/>
                <w:color w:val="auto"/>
              </w:rPr>
            </w:pPr>
          </w:p>
        </w:tc>
        <w:tc>
          <w:tcPr>
            <w:tcW w:w="39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gridSpan w:val="4"/>
          </w:tcPr>
          <w:p>
            <w:pPr>
              <w:jc w:val="center"/>
              <w:spacing w:after="0"/>
              <w:rPr>
                <w:sz w:val="20"/>
                <w:szCs w:val="20"/>
                <w:color w:val="auto"/>
              </w:rPr>
            </w:pPr>
            <w:r>
              <w:rPr>
                <w:rFonts w:ascii="Arial" w:cs="Arial" w:eastAsia="Arial" w:hAnsi="Arial"/>
                <w:sz w:val="11"/>
                <w:szCs w:val="11"/>
                <w:b w:val="1"/>
                <w:bCs w:val="1"/>
                <w:color w:val="auto"/>
                <w:w w:val="93"/>
              </w:rPr>
              <w:t>December 29,2018</w:t>
            </w:r>
          </w:p>
        </w:tc>
        <w:tc>
          <w:tcPr>
            <w:tcW w:w="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gridSpan w:val="4"/>
          </w:tcPr>
          <w:p>
            <w:pPr>
              <w:jc w:val="center"/>
              <w:ind w:left="3"/>
              <w:spacing w:after="0"/>
              <w:rPr>
                <w:sz w:val="20"/>
                <w:szCs w:val="20"/>
                <w:color w:val="auto"/>
              </w:rPr>
            </w:pPr>
            <w:r>
              <w:rPr>
                <w:rFonts w:ascii="Arial" w:cs="Arial" w:eastAsia="Arial" w:hAnsi="Arial"/>
                <w:sz w:val="11"/>
                <w:szCs w:val="11"/>
                <w:b w:val="1"/>
                <w:bCs w:val="1"/>
                <w:color w:val="auto"/>
                <w:w w:val="93"/>
              </w:rPr>
              <w:t>December 30,2017</w:t>
            </w:r>
          </w:p>
        </w:tc>
        <w:tc>
          <w:tcPr>
            <w:tcW w:w="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39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vMerge w:val="restart"/>
          </w:tcPr>
          <w:p>
            <w:pPr>
              <w:jc w:val="right"/>
              <w:ind w:right="192"/>
              <w:spacing w:after="0"/>
              <w:rPr>
                <w:sz w:val="20"/>
                <w:szCs w:val="20"/>
                <w:color w:val="auto"/>
              </w:rPr>
            </w:pPr>
            <w:r>
              <w:rPr>
                <w:rFonts w:ascii="Arial" w:cs="Arial" w:eastAsia="Arial" w:hAnsi="Arial"/>
                <w:sz w:val="11"/>
                <w:szCs w:val="11"/>
                <w:b w:val="1"/>
                <w:bCs w:val="1"/>
                <w:color w:val="auto"/>
              </w:rPr>
              <w:t>Cost</w:t>
            </w: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gridSpan w:val="2"/>
          </w:tcPr>
          <w:p>
            <w:pPr>
              <w:jc w:val="center"/>
              <w:ind w:right="200"/>
              <w:spacing w:after="0" w:line="100" w:lineRule="exact"/>
              <w:rPr>
                <w:sz w:val="20"/>
                <w:szCs w:val="20"/>
                <w:color w:val="auto"/>
              </w:rPr>
            </w:pPr>
            <w:r>
              <w:rPr>
                <w:rFonts w:ascii="Arial" w:cs="Arial" w:eastAsia="Arial" w:hAnsi="Arial"/>
                <w:sz w:val="11"/>
                <w:szCs w:val="11"/>
                <w:b w:val="1"/>
                <w:bCs w:val="1"/>
                <w:color w:val="auto"/>
                <w:w w:val="93"/>
              </w:rPr>
              <w:t>Unrealized</w:t>
            </w: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vMerge w:val="restart"/>
          </w:tcPr>
          <w:p>
            <w:pPr>
              <w:jc w:val="right"/>
              <w:ind w:right="32"/>
              <w:spacing w:after="0"/>
              <w:rPr>
                <w:sz w:val="20"/>
                <w:szCs w:val="20"/>
                <w:color w:val="auto"/>
              </w:rPr>
            </w:pPr>
            <w:r>
              <w:rPr>
                <w:rFonts w:ascii="Arial" w:cs="Arial" w:eastAsia="Arial" w:hAnsi="Arial"/>
                <w:sz w:val="11"/>
                <w:szCs w:val="11"/>
                <w:b w:val="1"/>
                <w:bCs w:val="1"/>
                <w:color w:val="auto"/>
                <w:w w:val="94"/>
              </w:rPr>
              <w:t>Fair Value</w:t>
            </w: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vMerge w:val="restart"/>
          </w:tcPr>
          <w:p>
            <w:pPr>
              <w:jc w:val="right"/>
              <w:ind w:right="192"/>
              <w:spacing w:after="0"/>
              <w:rPr>
                <w:sz w:val="20"/>
                <w:szCs w:val="20"/>
                <w:color w:val="auto"/>
              </w:rPr>
            </w:pPr>
            <w:r>
              <w:rPr>
                <w:rFonts w:ascii="Arial" w:cs="Arial" w:eastAsia="Arial" w:hAnsi="Arial"/>
                <w:sz w:val="11"/>
                <w:szCs w:val="11"/>
                <w:b w:val="1"/>
                <w:bCs w:val="1"/>
                <w:color w:val="auto"/>
              </w:rPr>
              <w:t>Cost</w:t>
            </w: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gridSpan w:val="2"/>
          </w:tcPr>
          <w:p>
            <w:pPr>
              <w:jc w:val="center"/>
              <w:ind w:right="180"/>
              <w:spacing w:after="0" w:line="100" w:lineRule="exact"/>
              <w:rPr>
                <w:sz w:val="20"/>
                <w:szCs w:val="20"/>
                <w:color w:val="auto"/>
              </w:rPr>
            </w:pPr>
            <w:r>
              <w:rPr>
                <w:rFonts w:ascii="Arial" w:cs="Arial" w:eastAsia="Arial" w:hAnsi="Arial"/>
                <w:sz w:val="11"/>
                <w:szCs w:val="11"/>
                <w:b w:val="1"/>
                <w:bCs w:val="1"/>
                <w:color w:val="auto"/>
                <w:w w:val="93"/>
              </w:rPr>
              <w:t>Unrealized</w:t>
            </w: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vMerge w:val="restart"/>
          </w:tcPr>
          <w:p>
            <w:pPr>
              <w:jc w:val="right"/>
              <w:ind w:right="32"/>
              <w:spacing w:after="0"/>
              <w:rPr>
                <w:sz w:val="20"/>
                <w:szCs w:val="20"/>
                <w:color w:val="auto"/>
              </w:rPr>
            </w:pPr>
            <w:r>
              <w:rPr>
                <w:rFonts w:ascii="Arial" w:cs="Arial" w:eastAsia="Arial" w:hAnsi="Arial"/>
                <w:sz w:val="11"/>
                <w:szCs w:val="11"/>
                <w:b w:val="1"/>
                <w:bCs w:val="1"/>
                <w:color w:val="auto"/>
                <w:w w:val="98"/>
              </w:rPr>
              <w:t>Fair Value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2"/>
              </w:rPr>
              <w:t>Gain/(Loss)</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2"/>
              </w:rPr>
              <w:t>Gain/(Loss)</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color w:val="auto"/>
              </w:rPr>
              <w:t>Fixed Income</w:t>
            </w:r>
          </w:p>
        </w:tc>
        <w:tc>
          <w:tcPr>
            <w:tcW w:w="14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13,301</w:t>
            </w:r>
          </w:p>
        </w:tc>
        <w:tc>
          <w:tcPr>
            <w:tcW w:w="1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(176)</w:t>
            </w:r>
          </w:p>
        </w:tc>
        <w:tc>
          <w:tcPr>
            <w:tcW w:w="10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13,125</w:t>
            </w:r>
          </w:p>
        </w:tc>
        <w:tc>
          <w:tcPr>
            <w:tcW w:w="14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8,170</w:t>
            </w:r>
          </w:p>
        </w:tc>
        <w:tc>
          <w:tcPr>
            <w:tcW w:w="1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8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8,156</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920" w:type="dxa"/>
            <w:vAlign w:val="bottom"/>
          </w:tcPr>
          <w:p>
            <w:pPr>
              <w:spacing w:after="0"/>
              <w:rPr>
                <w:sz w:val="20"/>
                <w:szCs w:val="20"/>
                <w:color w:val="auto"/>
              </w:rPr>
            </w:pPr>
            <w:r>
              <w:rPr>
                <w:rFonts w:ascii="Arial" w:cs="Arial" w:eastAsia="Arial" w:hAnsi="Arial"/>
                <w:sz w:val="14"/>
                <w:szCs w:val="14"/>
                <w:color w:val="auto"/>
              </w:rPr>
              <w:t>Equity</w:t>
            </w: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7,141</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121</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7,262</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9,185</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1,524</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10,709</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4"/>
                <w:szCs w:val="14"/>
                <w:color w:val="auto"/>
              </w:rPr>
              <w:t>Mutual Funds</w:t>
            </w: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5,815</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(567)</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5,248</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920" w:type="dxa"/>
            <w:vAlign w:val="bottom"/>
          </w:tcPr>
          <w:p>
            <w:pPr>
              <w:spacing w:after="0"/>
              <w:rPr>
                <w:sz w:val="20"/>
                <w:szCs w:val="20"/>
                <w:color w:val="auto"/>
              </w:rPr>
            </w:pPr>
            <w:r>
              <w:rPr>
                <w:rFonts w:ascii="Arial" w:cs="Arial" w:eastAsia="Arial" w:hAnsi="Arial"/>
                <w:sz w:val="14"/>
                <w:szCs w:val="14"/>
                <w:color w:val="auto"/>
              </w:rPr>
              <w:t>Hedge Funds</w:t>
            </w: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1,722</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34</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1,756</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9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Total</w:t>
            </w:r>
          </w:p>
        </w:tc>
        <w:tc>
          <w:tcPr>
            <w:tcW w:w="14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27,979</w:t>
            </w:r>
          </w:p>
        </w:tc>
        <w:tc>
          <w:tcPr>
            <w:tcW w:w="18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(588)</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27,391</w:t>
            </w: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17,355</w:t>
            </w:r>
          </w:p>
        </w:tc>
        <w:tc>
          <w:tcPr>
            <w:tcW w:w="18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1,510</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18,865</w:t>
            </w:r>
          </w:p>
        </w:tc>
        <w:tc>
          <w:tcPr>
            <w:tcW w:w="0" w:type="dxa"/>
            <w:vAlign w:val="bottom"/>
          </w:tcPr>
          <w:p>
            <w:pPr>
              <w:spacing w:after="0"/>
              <w:rPr>
                <w:sz w:val="1"/>
                <w:szCs w:val="1"/>
                <w:color w:val="auto"/>
              </w:rPr>
            </w:pPr>
          </w:p>
        </w:tc>
      </w:tr>
    </w:tbl>
    <w:p>
      <w:pPr>
        <w:spacing w:after="0" w:line="159" w:lineRule="exact"/>
        <w:rPr>
          <w:sz w:val="20"/>
          <w:szCs w:val="20"/>
          <w:color w:val="auto"/>
        </w:rPr>
      </w:pPr>
    </w:p>
    <w:p>
      <w:pPr>
        <w:jc w:val="both"/>
        <w:ind w:firstLine="510"/>
        <w:spacing w:after="0" w:line="262" w:lineRule="auto"/>
        <w:rPr>
          <w:sz w:val="20"/>
          <w:szCs w:val="20"/>
          <w:color w:val="auto"/>
        </w:rPr>
      </w:pPr>
      <w:r>
        <w:rPr>
          <w:rFonts w:ascii="Arial" w:cs="Arial" w:eastAsia="Arial" w:hAnsi="Arial"/>
          <w:sz w:val="14"/>
          <w:szCs w:val="14"/>
          <w:color w:val="auto"/>
        </w:rPr>
        <w:t>Our fixed income investments consist of a blend of US Government and Agency bonds and investment grade corporate bonds with varying maturities. Our equity investments consist of small, mid, and large cap growth and value funds, as well as international equity. Our hedge funds consist of the private real estate income trust which is valued as a Level 3 asset. The net pre-tax unrealized loss was $0.5 million. Carrying amounts above are recorded in the investments and restricted investments line items within the balance sheet as of December 29, 2018.</w:t>
      </w:r>
    </w:p>
    <w:p>
      <w:pPr>
        <w:spacing w:after="0" w:line="143" w:lineRule="exact"/>
        <w:rPr>
          <w:sz w:val="20"/>
          <w:szCs w:val="20"/>
          <w:color w:val="auto"/>
        </w:rPr>
      </w:pPr>
    </w:p>
    <w:p>
      <w:pPr>
        <w:ind w:left="660" w:hanging="656"/>
        <w:spacing w:after="0"/>
        <w:tabs>
          <w:tab w:leader="none" w:pos="660" w:val="left"/>
        </w:tabs>
        <w:numPr>
          <w:ilvl w:val="0"/>
          <w:numId w:val="49"/>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BUSINESS COMBINATIONS</w:t>
      </w:r>
    </w:p>
    <w:p>
      <w:pPr>
        <w:spacing w:after="0" w:line="183" w:lineRule="exact"/>
        <w:rPr>
          <w:sz w:val="20"/>
          <w:szCs w:val="20"/>
          <w:color w:val="auto"/>
        </w:rPr>
      </w:pPr>
    </w:p>
    <w:p>
      <w:pPr>
        <w:ind w:left="520"/>
        <w:spacing w:after="0"/>
        <w:rPr>
          <w:sz w:val="20"/>
          <w:szCs w:val="20"/>
          <w:color w:val="auto"/>
        </w:rPr>
      </w:pPr>
      <w:r>
        <w:rPr>
          <w:rFonts w:ascii="Arial" w:cs="Arial" w:eastAsia="Arial" w:hAnsi="Arial"/>
          <w:sz w:val="13"/>
          <w:szCs w:val="13"/>
          <w:color w:val="auto"/>
        </w:rPr>
        <w:t>We completed the following business combinations in fiscal 2018 and 2017, which were accounted for using the purchase method (in thousands).</w:t>
      </w:r>
    </w:p>
    <w:p>
      <w:pPr>
        <w:spacing w:after="0" w:line="202" w:lineRule="exact"/>
        <w:rPr>
          <w:sz w:val="20"/>
          <w:szCs w:val="20"/>
          <w:color w:val="auto"/>
        </w:rPr>
      </w:pPr>
    </w:p>
    <w:tbl>
      <w:tblPr>
        <w:tblLayout w:type="fixed"/>
        <w:tblInd w:w="10" w:type="dxa"/>
        <w:tblCellMar>
          <w:top w:w="0" w:type="dxa"/>
          <w:left w:w="0" w:type="dxa"/>
          <w:bottom w:w="0" w:type="dxa"/>
          <w:right w:w="0" w:type="dxa"/>
        </w:tblCellMar>
      </w:tblPr>
      <w:tr>
        <w:trPr>
          <w:trHeight w:val="159"/>
        </w:trPr>
        <w:tc>
          <w:tcPr>
            <w:tcW w:w="2680" w:type="dxa"/>
            <w:vAlign w:val="bottom"/>
            <w:tcBorders>
              <w:top w:val="single" w:sz="8" w:color="auto"/>
              <w:left w:val="single" w:sz="8" w:color="auto"/>
              <w:right w:val="single" w:sz="8" w:color="auto"/>
            </w:tcBorders>
          </w:tcPr>
          <w:p>
            <w:pPr>
              <w:spacing w:after="0"/>
              <w:rPr>
                <w:sz w:val="13"/>
                <w:szCs w:val="13"/>
                <w:color w:val="auto"/>
              </w:rPr>
            </w:pPr>
          </w:p>
        </w:tc>
        <w:tc>
          <w:tcPr>
            <w:tcW w:w="1500" w:type="dxa"/>
            <w:vAlign w:val="bottom"/>
            <w:tcBorders>
              <w:top w:val="single" w:sz="8" w:color="auto"/>
              <w:right w:val="single" w:sz="8" w:color="auto"/>
            </w:tcBorders>
          </w:tcPr>
          <w:p>
            <w:pPr>
              <w:spacing w:after="0"/>
              <w:rPr>
                <w:sz w:val="13"/>
                <w:szCs w:val="13"/>
                <w:color w:val="auto"/>
              </w:rPr>
            </w:pPr>
          </w:p>
        </w:tc>
        <w:tc>
          <w:tcPr>
            <w:tcW w:w="1860" w:type="dxa"/>
            <w:vAlign w:val="bottom"/>
            <w:tcBorders>
              <w:top w:val="single" w:sz="8" w:color="auto"/>
              <w:right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60" w:type="dxa"/>
            <w:vAlign w:val="bottom"/>
            <w:tcBorders>
              <w:top w:val="single" w:sz="8" w:color="auto"/>
              <w:right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00" w:type="dxa"/>
            <w:vAlign w:val="bottom"/>
            <w:tcBorders>
              <w:top w:val="single" w:sz="8" w:color="auto"/>
              <w:right w:val="single" w:sz="8" w:color="auto"/>
            </w:tcBorders>
          </w:tcPr>
          <w:p>
            <w:pPr>
              <w:jc w:val="center"/>
              <w:ind w:right="176"/>
              <w:spacing w:after="0"/>
              <w:rPr>
                <w:sz w:val="20"/>
                <w:szCs w:val="20"/>
                <w:color w:val="auto"/>
              </w:rPr>
            </w:pPr>
            <w:r>
              <w:rPr>
                <w:rFonts w:ascii="Arial" w:cs="Arial" w:eastAsia="Arial" w:hAnsi="Arial"/>
                <w:sz w:val="13"/>
                <w:szCs w:val="13"/>
                <w:b w:val="1"/>
                <w:bCs w:val="1"/>
                <w:color w:val="auto"/>
                <w:w w:val="95"/>
              </w:rPr>
              <w:t>Net</w:t>
            </w:r>
          </w:p>
        </w:tc>
        <w:tc>
          <w:tcPr>
            <w:tcW w:w="740" w:type="dxa"/>
            <w:vAlign w:val="bottom"/>
            <w:tcBorders>
              <w:top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Company</w:t>
            </w:r>
          </w:p>
        </w:tc>
        <w:tc>
          <w:tcPr>
            <w:tcW w:w="1500" w:type="dxa"/>
            <w:vAlign w:val="bottom"/>
            <w:tcBorders>
              <w:right w:val="single" w:sz="8" w:color="auto"/>
            </w:tcBorders>
          </w:tcPr>
          <w:p>
            <w:pPr>
              <w:ind w:left="420"/>
              <w:spacing w:after="0"/>
              <w:rPr>
                <w:sz w:val="20"/>
                <w:szCs w:val="20"/>
                <w:color w:val="auto"/>
              </w:rPr>
            </w:pPr>
            <w:r>
              <w:rPr>
                <w:rFonts w:ascii="Arial" w:cs="Arial" w:eastAsia="Arial" w:hAnsi="Arial"/>
                <w:sz w:val="13"/>
                <w:szCs w:val="13"/>
                <w:b w:val="1"/>
                <w:bCs w:val="1"/>
                <w:color w:val="auto"/>
              </w:rPr>
              <w:t>Acquisition</w:t>
            </w:r>
          </w:p>
        </w:tc>
        <w:tc>
          <w:tcPr>
            <w:tcW w:w="1860" w:type="dxa"/>
            <w:vAlign w:val="bottom"/>
            <w:tcBorders>
              <w:right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Borders>
              <w:right w:val="single" w:sz="8" w:color="auto"/>
            </w:tcBorders>
          </w:tcPr>
          <w:p>
            <w:pPr>
              <w:jc w:val="right"/>
              <w:ind w:right="276"/>
              <w:spacing w:after="0"/>
              <w:rPr>
                <w:sz w:val="20"/>
                <w:szCs w:val="20"/>
                <w:color w:val="auto"/>
              </w:rPr>
            </w:pPr>
            <w:r>
              <w:rPr>
                <w:rFonts w:ascii="Arial" w:cs="Arial" w:eastAsia="Arial" w:hAnsi="Arial"/>
                <w:sz w:val="13"/>
                <w:szCs w:val="13"/>
                <w:b w:val="1"/>
                <w:bCs w:val="1"/>
                <w:color w:val="auto"/>
                <w:w w:val="97"/>
              </w:rPr>
              <w:t>Intangible</w:t>
            </w:r>
          </w:p>
        </w:tc>
        <w:tc>
          <w:tcPr>
            <w:tcW w:w="180" w:type="dxa"/>
            <w:vAlign w:val="bottom"/>
          </w:tcPr>
          <w:p>
            <w:pPr>
              <w:spacing w:after="0"/>
              <w:rPr>
                <w:sz w:val="13"/>
                <w:szCs w:val="13"/>
                <w:color w:val="auto"/>
              </w:rPr>
            </w:pPr>
          </w:p>
        </w:tc>
        <w:tc>
          <w:tcPr>
            <w:tcW w:w="1000" w:type="dxa"/>
            <w:vAlign w:val="bottom"/>
            <w:tcBorders>
              <w:right w:val="single" w:sz="8" w:color="auto"/>
            </w:tcBorders>
          </w:tcPr>
          <w:p>
            <w:pPr>
              <w:jc w:val="center"/>
              <w:ind w:right="176"/>
              <w:spacing w:after="0"/>
              <w:rPr>
                <w:sz w:val="20"/>
                <w:szCs w:val="20"/>
                <w:color w:val="auto"/>
              </w:rPr>
            </w:pPr>
            <w:r>
              <w:rPr>
                <w:rFonts w:ascii="Arial" w:cs="Arial" w:eastAsia="Arial" w:hAnsi="Arial"/>
                <w:sz w:val="13"/>
                <w:szCs w:val="13"/>
                <w:b w:val="1"/>
                <w:bCs w:val="1"/>
                <w:color w:val="auto"/>
                <w:w w:val="89"/>
              </w:rPr>
              <w:t>Tangible</w:t>
            </w:r>
          </w:p>
        </w:tc>
        <w:tc>
          <w:tcPr>
            <w:tcW w:w="74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w w:val="91"/>
              </w:rPr>
              <w:t>Operating</w:t>
            </w:r>
          </w:p>
        </w:tc>
        <w:tc>
          <w:tcPr>
            <w:tcW w:w="0" w:type="dxa"/>
            <w:vAlign w:val="bottom"/>
          </w:tcPr>
          <w:p>
            <w:pPr>
              <w:spacing w:after="0"/>
              <w:rPr>
                <w:sz w:val="1"/>
                <w:szCs w:val="1"/>
                <w:color w:val="auto"/>
              </w:rPr>
            </w:pPr>
          </w:p>
        </w:tc>
      </w:tr>
      <w:tr>
        <w:trPr>
          <w:trHeight w:val="171"/>
        </w:trPr>
        <w:tc>
          <w:tcPr>
            <w:tcW w:w="26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Name</w:t>
            </w:r>
          </w:p>
        </w:tc>
        <w:tc>
          <w:tcPr>
            <w:tcW w:w="1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Date</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Purchase Price</w:t>
            </w:r>
          </w:p>
        </w:tc>
        <w:tc>
          <w:tcPr>
            <w:tcW w:w="200" w:type="dxa"/>
            <w:vAlign w:val="bottom"/>
            <w:tcBorders>
              <w:bottom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jc w:val="right"/>
              <w:ind w:right="376"/>
              <w:spacing w:after="0"/>
              <w:rPr>
                <w:sz w:val="20"/>
                <w:szCs w:val="20"/>
                <w:color w:val="auto"/>
              </w:rPr>
            </w:pPr>
            <w:r>
              <w:rPr>
                <w:rFonts w:ascii="Arial" w:cs="Arial" w:eastAsia="Arial" w:hAnsi="Arial"/>
                <w:sz w:val="13"/>
                <w:szCs w:val="13"/>
                <w:b w:val="1"/>
                <w:bCs w:val="1"/>
                <w:color w:val="auto"/>
              </w:rPr>
              <w:t>Assets</w:t>
            </w:r>
          </w:p>
        </w:tc>
        <w:tc>
          <w:tcPr>
            <w:tcW w:w="180" w:type="dxa"/>
            <w:vAlign w:val="bottom"/>
            <w:tcBorders>
              <w:bottom w:val="single" w:sz="8" w:color="auto"/>
            </w:tcBorders>
          </w:tcPr>
          <w:p>
            <w:pPr>
              <w:spacing w:after="0"/>
              <w:rPr>
                <w:sz w:val="14"/>
                <w:szCs w:val="14"/>
                <w:color w:val="auto"/>
              </w:rPr>
            </w:pPr>
          </w:p>
        </w:tc>
        <w:tc>
          <w:tcPr>
            <w:tcW w:w="1000" w:type="dxa"/>
            <w:vAlign w:val="bottom"/>
            <w:tcBorders>
              <w:bottom w:val="single" w:sz="8" w:color="auto"/>
              <w:right w:val="single" w:sz="8" w:color="auto"/>
            </w:tcBorders>
          </w:tcPr>
          <w:p>
            <w:pPr>
              <w:jc w:val="center"/>
              <w:ind w:right="156"/>
              <w:spacing w:after="0"/>
              <w:rPr>
                <w:sz w:val="20"/>
                <w:szCs w:val="20"/>
                <w:color w:val="auto"/>
              </w:rPr>
            </w:pPr>
            <w:r>
              <w:rPr>
                <w:rFonts w:ascii="Arial" w:cs="Arial" w:eastAsia="Arial" w:hAnsi="Arial"/>
                <w:sz w:val="13"/>
                <w:szCs w:val="13"/>
                <w:b w:val="1"/>
                <w:bCs w:val="1"/>
                <w:color w:val="auto"/>
                <w:w w:val="79"/>
              </w:rPr>
              <w:t>Assets</w:t>
            </w:r>
          </w:p>
        </w:tc>
        <w:tc>
          <w:tcPr>
            <w:tcW w:w="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3"/>
              </w:rPr>
              <w:t>Segment</w:t>
            </w:r>
          </w:p>
        </w:tc>
        <w:tc>
          <w:tcPr>
            <w:tcW w:w="0" w:type="dxa"/>
            <w:vAlign w:val="bottom"/>
          </w:tcPr>
          <w:p>
            <w:pPr>
              <w:spacing w:after="0"/>
              <w:rPr>
                <w:sz w:val="1"/>
                <w:szCs w:val="1"/>
                <w:color w:val="auto"/>
              </w:rPr>
            </w:pPr>
          </w:p>
        </w:tc>
      </w:tr>
      <w:tr>
        <w:trPr>
          <w:trHeight w:val="153"/>
        </w:trPr>
        <w:tc>
          <w:tcPr>
            <w:tcW w:w="2680" w:type="dxa"/>
            <w:vAlign w:val="bottom"/>
            <w:tcBorders>
              <w:left w:val="single" w:sz="8" w:color="auto"/>
              <w:right w:val="single" w:sz="8" w:color="auto"/>
            </w:tcBorders>
            <w:shd w:val="clear" w:color="auto" w:fill="CCEBFF"/>
          </w:tcPr>
          <w:p>
            <w:pPr>
              <w:spacing w:after="0"/>
              <w:rPr>
                <w:sz w:val="13"/>
                <w:szCs w:val="13"/>
                <w:color w:val="auto"/>
              </w:rPr>
            </w:pPr>
          </w:p>
        </w:tc>
        <w:tc>
          <w:tcPr>
            <w:tcW w:w="1500" w:type="dxa"/>
            <w:vAlign w:val="bottom"/>
            <w:tcBorders>
              <w:right w:val="single" w:sz="8" w:color="auto"/>
            </w:tcBorders>
            <w:vMerge w:val="restart"/>
            <w:shd w:val="clear" w:color="auto" w:fill="CCEBFF"/>
          </w:tcPr>
          <w:p>
            <w:pPr>
              <w:jc w:val="center"/>
              <w:spacing w:after="0"/>
              <w:rPr>
                <w:sz w:val="20"/>
                <w:szCs w:val="20"/>
                <w:color w:val="auto"/>
              </w:rPr>
            </w:pPr>
            <w:r>
              <w:rPr>
                <w:rFonts w:ascii="Arial" w:cs="Arial" w:eastAsia="Arial" w:hAnsi="Arial"/>
                <w:sz w:val="13"/>
                <w:szCs w:val="13"/>
                <w:color w:val="auto"/>
                <w:w w:val="87"/>
              </w:rPr>
              <w:t>October 22, 2018</w:t>
            </w:r>
          </w:p>
        </w:tc>
        <w:tc>
          <w:tcPr>
            <w:tcW w:w="1860" w:type="dxa"/>
            <w:vAlign w:val="bottom"/>
            <w:tcBorders>
              <w:right w:val="single" w:sz="8" w:color="auto"/>
            </w:tcBorders>
            <w:shd w:val="clear" w:color="auto" w:fill="CCEBFF"/>
          </w:tcPr>
          <w:p>
            <w:pPr>
              <w:jc w:val="center"/>
              <w:spacing w:after="0"/>
              <w:rPr>
                <w:sz w:val="20"/>
                <w:szCs w:val="20"/>
                <w:color w:val="auto"/>
              </w:rPr>
            </w:pPr>
            <w:r>
              <w:rPr>
                <w:rFonts w:ascii="Arial" w:cs="Arial" w:eastAsia="Arial" w:hAnsi="Arial"/>
                <w:sz w:val="13"/>
                <w:szCs w:val="13"/>
                <w:color w:val="auto"/>
                <w:w w:val="89"/>
              </w:rPr>
              <w:t>$15,115</w:t>
            </w:r>
          </w:p>
        </w:tc>
        <w:tc>
          <w:tcPr>
            <w:tcW w:w="200" w:type="dxa"/>
            <w:vAlign w:val="bottom"/>
            <w:vMerge w:val="restart"/>
            <w:shd w:val="clear" w:color="auto" w:fill="CCEBFF"/>
          </w:tcPr>
          <w:p>
            <w:pPr>
              <w:jc w:val="right"/>
              <w:ind w:right="133"/>
              <w:spacing w:after="0"/>
              <w:rPr>
                <w:sz w:val="20"/>
                <w:szCs w:val="20"/>
                <w:color w:val="auto"/>
              </w:rPr>
            </w:pPr>
            <w:r>
              <w:rPr>
                <w:rFonts w:ascii="Arial" w:cs="Arial" w:eastAsia="Arial" w:hAnsi="Arial"/>
                <w:sz w:val="5"/>
                <w:szCs w:val="5"/>
                <w:color w:val="auto"/>
                <w:w w:val="70"/>
              </w:rPr>
              <w:t>$</w:t>
            </w:r>
          </w:p>
        </w:tc>
        <w:tc>
          <w:tcPr>
            <w:tcW w:w="960" w:type="dxa"/>
            <w:vAlign w:val="bottom"/>
            <w:tcBorders>
              <w:right w:val="single" w:sz="8" w:color="auto"/>
            </w:tcBorders>
            <w:vMerge w:val="restart"/>
            <w:shd w:val="clear" w:color="auto" w:fill="CCEBFF"/>
          </w:tcPr>
          <w:p>
            <w:pPr>
              <w:jc w:val="right"/>
              <w:spacing w:after="0"/>
              <w:rPr>
                <w:sz w:val="20"/>
                <w:szCs w:val="20"/>
                <w:color w:val="auto"/>
              </w:rPr>
            </w:pPr>
            <w:r>
              <w:rPr>
                <w:rFonts w:ascii="Arial" w:cs="Arial" w:eastAsia="Arial" w:hAnsi="Arial"/>
                <w:sz w:val="13"/>
                <w:szCs w:val="13"/>
                <w:color w:val="auto"/>
              </w:rPr>
              <w:t>8,592</w:t>
            </w:r>
          </w:p>
        </w:tc>
        <w:tc>
          <w:tcPr>
            <w:tcW w:w="180" w:type="dxa"/>
            <w:vAlign w:val="bottom"/>
            <w:vMerge w:val="restart"/>
            <w:shd w:val="clear" w:color="auto" w:fill="CCEBFF"/>
          </w:tcPr>
          <w:p>
            <w:pPr>
              <w:jc w:val="right"/>
              <w:ind w:right="72"/>
              <w:spacing w:after="0"/>
              <w:rPr>
                <w:sz w:val="20"/>
                <w:szCs w:val="20"/>
                <w:color w:val="auto"/>
              </w:rPr>
            </w:pPr>
            <w:r>
              <w:rPr>
                <w:rFonts w:ascii="Arial" w:cs="Arial" w:eastAsia="Arial" w:hAnsi="Arial"/>
                <w:sz w:val="10"/>
                <w:szCs w:val="10"/>
                <w:color w:val="auto"/>
                <w:w w:val="71"/>
              </w:rPr>
              <w:t>$</w:t>
            </w:r>
          </w:p>
        </w:tc>
        <w:tc>
          <w:tcPr>
            <w:tcW w:w="1000" w:type="dxa"/>
            <w:vAlign w:val="bottom"/>
            <w:tcBorders>
              <w:right w:val="single" w:sz="8" w:color="auto"/>
            </w:tcBorders>
            <w:vMerge w:val="restart"/>
            <w:shd w:val="clear" w:color="auto" w:fill="CCEBFF"/>
          </w:tcPr>
          <w:p>
            <w:pPr>
              <w:jc w:val="right"/>
              <w:ind w:right="16"/>
              <w:spacing w:after="0"/>
              <w:rPr>
                <w:sz w:val="20"/>
                <w:szCs w:val="20"/>
                <w:color w:val="auto"/>
              </w:rPr>
            </w:pPr>
            <w:r>
              <w:rPr>
                <w:rFonts w:ascii="Arial" w:cs="Arial" w:eastAsia="Arial" w:hAnsi="Arial"/>
                <w:sz w:val="13"/>
                <w:szCs w:val="13"/>
                <w:color w:val="auto"/>
              </w:rPr>
              <w:t>6,523</w:t>
            </w:r>
          </w:p>
        </w:tc>
        <w:tc>
          <w:tcPr>
            <w:tcW w:w="740" w:type="dxa"/>
            <w:vAlign w:val="bottom"/>
            <w:tcBorders>
              <w:right w:val="single" w:sz="8" w:color="auto"/>
            </w:tcBorders>
            <w:vMerge w:val="restart"/>
            <w:shd w:val="clear" w:color="auto" w:fill="CCEBFF"/>
          </w:tcPr>
          <w:p>
            <w:pPr>
              <w:jc w:val="center"/>
              <w:spacing w:after="0"/>
              <w:rPr>
                <w:sz w:val="20"/>
                <w:szCs w:val="20"/>
                <w:color w:val="auto"/>
              </w:rPr>
            </w:pPr>
            <w:r>
              <w:rPr>
                <w:rFonts w:ascii="Arial" w:cs="Arial" w:eastAsia="Arial" w:hAnsi="Arial"/>
                <w:sz w:val="13"/>
                <w:szCs w:val="13"/>
                <w:color w:val="auto"/>
                <w:w w:val="94"/>
              </w:rPr>
              <w:t>North</w:t>
            </w:r>
          </w:p>
        </w:tc>
        <w:tc>
          <w:tcPr>
            <w:tcW w:w="0" w:type="dxa"/>
            <w:vAlign w:val="bottom"/>
          </w:tcPr>
          <w:p>
            <w:pPr>
              <w:spacing w:after="0"/>
              <w:rPr>
                <w:sz w:val="1"/>
                <w:szCs w:val="1"/>
                <w:color w:val="auto"/>
              </w:rPr>
            </w:pPr>
          </w:p>
        </w:tc>
      </w:tr>
      <w:tr>
        <w:trPr>
          <w:trHeight w:val="164"/>
        </w:trPr>
        <w:tc>
          <w:tcPr>
            <w:tcW w:w="2680" w:type="dxa"/>
            <w:vAlign w:val="bottom"/>
            <w:tcBorders>
              <w:left w:val="single" w:sz="8" w:color="auto"/>
              <w:bottom w:val="single" w:sz="8" w:color="CCEBFF"/>
              <w:right w:val="single" w:sz="8" w:color="auto"/>
            </w:tcBorders>
            <w:vMerge w:val="restart"/>
            <w:shd w:val="clear" w:color="auto" w:fill="CCEBFF"/>
          </w:tcPr>
          <w:p>
            <w:pPr>
              <w:jc w:val="center"/>
              <w:spacing w:after="0"/>
              <w:rPr>
                <w:sz w:val="20"/>
                <w:szCs w:val="20"/>
                <w:color w:val="auto"/>
              </w:rPr>
            </w:pPr>
            <w:r>
              <w:rPr>
                <w:rFonts w:ascii="Arial" w:cs="Arial" w:eastAsia="Arial" w:hAnsi="Arial"/>
                <w:sz w:val="13"/>
                <w:szCs w:val="13"/>
                <w:color w:val="auto"/>
                <w:w w:val="91"/>
              </w:rPr>
              <w:t>Pak-Rite, LTD ("Pak-Rite")</w:t>
            </w:r>
          </w:p>
        </w:tc>
        <w:tc>
          <w:tcPr>
            <w:tcW w:w="1500" w:type="dxa"/>
            <w:vAlign w:val="bottom"/>
            <w:tcBorders>
              <w:bottom w:val="single" w:sz="8" w:color="auto"/>
              <w:right w:val="single" w:sz="8" w:color="auto"/>
            </w:tcBorders>
            <w:vMerge w:val="continue"/>
            <w:shd w:val="clear" w:color="auto" w:fill="CCEBFF"/>
          </w:tcPr>
          <w:p>
            <w:pPr>
              <w:spacing w:after="0"/>
              <w:rPr>
                <w:sz w:val="14"/>
                <w:szCs w:val="14"/>
                <w:color w:val="auto"/>
              </w:rPr>
            </w:pPr>
          </w:p>
        </w:tc>
        <w:tc>
          <w:tcPr>
            <w:tcW w:w="1860" w:type="dxa"/>
            <w:vAlign w:val="bottom"/>
            <w:tcBorders>
              <w:bottom w:val="single" w:sz="8" w:color="auto"/>
              <w:right w:val="single" w:sz="8" w:color="auto"/>
            </w:tcBorders>
            <w:shd w:val="clear" w:color="auto" w:fill="CCEBFF"/>
          </w:tcPr>
          <w:p>
            <w:pPr>
              <w:jc w:val="center"/>
              <w:spacing w:after="0"/>
              <w:rPr>
                <w:sz w:val="20"/>
                <w:szCs w:val="20"/>
                <w:color w:val="auto"/>
              </w:rPr>
            </w:pPr>
            <w:r>
              <w:rPr>
                <w:rFonts w:ascii="Arial" w:cs="Arial" w:eastAsia="Arial" w:hAnsi="Arial"/>
                <w:sz w:val="13"/>
                <w:szCs w:val="13"/>
                <w:color w:val="auto"/>
                <w:w w:val="85"/>
              </w:rPr>
              <w:t>cash paid for 100% asset purchase</w:t>
            </w:r>
          </w:p>
        </w:tc>
        <w:tc>
          <w:tcPr>
            <w:tcW w:w="200" w:type="dxa"/>
            <w:vAlign w:val="bottom"/>
            <w:tcBorders>
              <w:bottom w:val="single" w:sz="8" w:color="auto"/>
            </w:tcBorders>
            <w:vMerge w:val="continue"/>
            <w:shd w:val="clear" w:color="auto" w:fill="CCEBFF"/>
          </w:tcPr>
          <w:p>
            <w:pPr>
              <w:spacing w:after="0"/>
              <w:rPr>
                <w:sz w:val="14"/>
                <w:szCs w:val="14"/>
                <w:color w:val="auto"/>
              </w:rPr>
            </w:pPr>
          </w:p>
        </w:tc>
        <w:tc>
          <w:tcPr>
            <w:tcW w:w="960" w:type="dxa"/>
            <w:vAlign w:val="bottom"/>
            <w:tcBorders>
              <w:bottom w:val="single" w:sz="8" w:color="auto"/>
              <w:right w:val="single" w:sz="8" w:color="auto"/>
            </w:tcBorders>
            <w:vMerge w:val="continue"/>
            <w:shd w:val="clear" w:color="auto" w:fill="CCEBFF"/>
          </w:tcPr>
          <w:p>
            <w:pPr>
              <w:spacing w:after="0"/>
              <w:rPr>
                <w:sz w:val="14"/>
                <w:szCs w:val="14"/>
                <w:color w:val="auto"/>
              </w:rPr>
            </w:pPr>
          </w:p>
        </w:tc>
        <w:tc>
          <w:tcPr>
            <w:tcW w:w="180" w:type="dxa"/>
            <w:vAlign w:val="bottom"/>
            <w:tcBorders>
              <w:bottom w:val="single" w:sz="8" w:color="auto"/>
            </w:tcBorders>
            <w:vMerge w:val="continue"/>
            <w:shd w:val="clear" w:color="auto" w:fill="CCEBFF"/>
          </w:tcPr>
          <w:p>
            <w:pPr>
              <w:spacing w:after="0"/>
              <w:rPr>
                <w:sz w:val="14"/>
                <w:szCs w:val="14"/>
                <w:color w:val="auto"/>
              </w:rPr>
            </w:pPr>
          </w:p>
        </w:tc>
        <w:tc>
          <w:tcPr>
            <w:tcW w:w="1000" w:type="dxa"/>
            <w:vAlign w:val="bottom"/>
            <w:tcBorders>
              <w:bottom w:val="single" w:sz="8" w:color="auto"/>
              <w:right w:val="single" w:sz="8" w:color="auto"/>
            </w:tcBorders>
            <w:vMerge w:val="continue"/>
            <w:shd w:val="clear" w:color="auto" w:fill="CCEBFF"/>
          </w:tcPr>
          <w:p>
            <w:pPr>
              <w:spacing w:after="0"/>
              <w:rPr>
                <w:sz w:val="14"/>
                <w:szCs w:val="14"/>
                <w:color w:val="auto"/>
              </w:rPr>
            </w:pPr>
          </w:p>
        </w:tc>
        <w:tc>
          <w:tcPr>
            <w:tcW w:w="740" w:type="dxa"/>
            <w:vAlign w:val="bottom"/>
            <w:tcBorders>
              <w:bottom w:val="single" w:sz="8" w:color="auto"/>
              <w:right w:val="single" w:sz="8" w:color="auto"/>
            </w:tcBorders>
            <w:vMerge w:val="continue"/>
            <w:shd w:val="clear" w:color="auto" w:fill="CCEBFF"/>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2680" w:type="dxa"/>
            <w:vAlign w:val="bottom"/>
            <w:tcBorders>
              <w:left w:val="single" w:sz="8" w:color="auto"/>
              <w:right w:val="single" w:sz="8" w:color="auto"/>
            </w:tcBorders>
            <w:vMerge w:val="continue"/>
            <w:shd w:val="clear" w:color="auto" w:fill="CCEBFF"/>
          </w:tcPr>
          <w:p>
            <w:pPr>
              <w:spacing w:after="0"/>
              <w:rPr>
                <w:sz w:val="12"/>
                <w:szCs w:val="12"/>
                <w:color w:val="auto"/>
              </w:rPr>
            </w:pPr>
          </w:p>
        </w:tc>
        <w:tc>
          <w:tcPr>
            <w:tcW w:w="5700" w:type="dxa"/>
            <w:vAlign w:val="bottom"/>
            <w:tcBorders>
              <w:right w:val="single" w:sz="8" w:color="CCEBFF"/>
            </w:tcBorders>
            <w:gridSpan w:val="6"/>
            <w:shd w:val="clear" w:color="auto" w:fill="CCEBFF"/>
          </w:tcPr>
          <w:p>
            <w:pPr>
              <w:spacing w:after="0" w:line="146" w:lineRule="exact"/>
              <w:rPr>
                <w:sz w:val="20"/>
                <w:szCs w:val="20"/>
                <w:color w:val="auto"/>
              </w:rPr>
            </w:pPr>
            <w:r>
              <w:rPr>
                <w:rFonts w:ascii="Arial" w:cs="Arial" w:eastAsia="Arial" w:hAnsi="Arial"/>
                <w:sz w:val="13"/>
                <w:szCs w:val="13"/>
                <w:color w:val="auto"/>
                <w:w w:val="88"/>
              </w:rPr>
              <w:t>A designer and manufacturer of packaging for high-value products, such as medical, aerospace and automation</w:t>
            </w:r>
          </w:p>
        </w:tc>
        <w:tc>
          <w:tcPr>
            <w:tcW w:w="740" w:type="dxa"/>
            <w:vAlign w:val="bottom"/>
            <w:tcBorders>
              <w:right w:val="single" w:sz="8" w:color="auto"/>
            </w:tcBorders>
            <w:shd w:val="clear" w:color="auto" w:fill="CCEB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680" w:type="dxa"/>
            <w:vAlign w:val="bottom"/>
            <w:tcBorders>
              <w:left w:val="single" w:sz="8" w:color="auto"/>
              <w:right w:val="single" w:sz="8" w:color="auto"/>
            </w:tcBorders>
            <w:shd w:val="clear" w:color="auto" w:fill="CCEBFF"/>
          </w:tcPr>
          <w:p>
            <w:pPr>
              <w:spacing w:after="0"/>
              <w:rPr>
                <w:sz w:val="13"/>
                <w:szCs w:val="13"/>
                <w:color w:val="auto"/>
              </w:rPr>
            </w:pPr>
          </w:p>
        </w:tc>
        <w:tc>
          <w:tcPr>
            <w:tcW w:w="6440" w:type="dxa"/>
            <w:vAlign w:val="bottom"/>
            <w:tcBorders>
              <w:right w:val="single" w:sz="8" w:color="auto"/>
            </w:tcBorders>
            <w:gridSpan w:val="7"/>
            <w:shd w:val="clear" w:color="auto" w:fill="CCEBFF"/>
          </w:tcPr>
          <w:p>
            <w:pPr>
              <w:spacing w:after="0"/>
              <w:rPr>
                <w:sz w:val="20"/>
                <w:szCs w:val="20"/>
                <w:color w:val="auto"/>
              </w:rPr>
            </w:pPr>
            <w:r>
              <w:rPr>
                <w:rFonts w:ascii="Arial" w:cs="Arial" w:eastAsia="Arial" w:hAnsi="Arial"/>
                <w:sz w:val="13"/>
                <w:szCs w:val="13"/>
                <w:color w:val="auto"/>
                <w:w w:val="95"/>
              </w:rPr>
              <w:t>equipment. Pak-Rite had annual sales of approximately $15 million. The acquisition of Pak-Rite allows us to grow our</w:t>
            </w:r>
          </w:p>
        </w:tc>
        <w:tc>
          <w:tcPr>
            <w:tcW w:w="0" w:type="dxa"/>
            <w:vAlign w:val="bottom"/>
          </w:tcPr>
          <w:p>
            <w:pPr>
              <w:spacing w:after="0"/>
              <w:rPr>
                <w:sz w:val="1"/>
                <w:szCs w:val="1"/>
                <w:color w:val="auto"/>
              </w:rPr>
            </w:pPr>
          </w:p>
        </w:tc>
      </w:tr>
      <w:tr>
        <w:trPr>
          <w:trHeight w:val="167"/>
        </w:trPr>
        <w:tc>
          <w:tcPr>
            <w:tcW w:w="2680" w:type="dxa"/>
            <w:vAlign w:val="bottom"/>
            <w:tcBorders>
              <w:left w:val="single" w:sz="8" w:color="auto"/>
              <w:bottom w:val="single" w:sz="8" w:color="auto"/>
              <w:right w:val="single" w:sz="8" w:color="auto"/>
            </w:tcBorders>
            <w:shd w:val="clear" w:color="auto" w:fill="CCEBFF"/>
          </w:tcPr>
          <w:p>
            <w:pPr>
              <w:spacing w:after="0"/>
              <w:rPr>
                <w:sz w:val="14"/>
                <w:szCs w:val="14"/>
                <w:color w:val="auto"/>
              </w:rPr>
            </w:pPr>
          </w:p>
        </w:tc>
        <w:tc>
          <w:tcPr>
            <w:tcW w:w="3560" w:type="dxa"/>
            <w:vAlign w:val="bottom"/>
            <w:tcBorders>
              <w:bottom w:val="single" w:sz="8" w:color="auto"/>
            </w:tcBorders>
            <w:gridSpan w:val="3"/>
            <w:shd w:val="clear" w:color="auto" w:fill="CCEBFF"/>
          </w:tcPr>
          <w:p>
            <w:pPr>
              <w:spacing w:after="0"/>
              <w:rPr>
                <w:sz w:val="20"/>
                <w:szCs w:val="20"/>
                <w:color w:val="auto"/>
              </w:rPr>
            </w:pPr>
            <w:r>
              <w:rPr>
                <w:rFonts w:ascii="Arial" w:cs="Arial" w:eastAsia="Arial" w:hAnsi="Arial"/>
                <w:sz w:val="13"/>
                <w:szCs w:val="13"/>
                <w:color w:val="auto"/>
                <w:w w:val="97"/>
              </w:rPr>
              <w:t>portfolio of packaging products and our presence in this region.</w:t>
            </w:r>
          </w:p>
        </w:tc>
        <w:tc>
          <w:tcPr>
            <w:tcW w:w="960" w:type="dxa"/>
            <w:vAlign w:val="bottom"/>
            <w:tcBorders>
              <w:bottom w:val="single" w:sz="8" w:color="auto"/>
              <w:right w:val="single" w:sz="8" w:color="CCEBFF"/>
            </w:tcBorders>
            <w:shd w:val="clear" w:color="auto" w:fill="CCEBFF"/>
          </w:tcPr>
          <w:p>
            <w:pPr>
              <w:spacing w:after="0"/>
              <w:rPr>
                <w:sz w:val="14"/>
                <w:szCs w:val="14"/>
                <w:color w:val="auto"/>
              </w:rPr>
            </w:pPr>
          </w:p>
        </w:tc>
        <w:tc>
          <w:tcPr>
            <w:tcW w:w="180" w:type="dxa"/>
            <w:vAlign w:val="bottom"/>
            <w:tcBorders>
              <w:bottom w:val="single" w:sz="8" w:color="auto"/>
            </w:tcBorders>
            <w:shd w:val="clear" w:color="auto" w:fill="CCEBFF"/>
          </w:tcPr>
          <w:p>
            <w:pPr>
              <w:spacing w:after="0"/>
              <w:rPr>
                <w:sz w:val="14"/>
                <w:szCs w:val="14"/>
                <w:color w:val="auto"/>
              </w:rPr>
            </w:pPr>
          </w:p>
        </w:tc>
        <w:tc>
          <w:tcPr>
            <w:tcW w:w="1000" w:type="dxa"/>
            <w:vAlign w:val="bottom"/>
            <w:tcBorders>
              <w:bottom w:val="single" w:sz="8" w:color="auto"/>
              <w:right w:val="single" w:sz="8" w:color="CCEBFF"/>
            </w:tcBorders>
            <w:shd w:val="clear" w:color="auto" w:fill="CCEBFF"/>
          </w:tcPr>
          <w:p>
            <w:pPr>
              <w:spacing w:after="0"/>
              <w:rPr>
                <w:sz w:val="14"/>
                <w:szCs w:val="14"/>
                <w:color w:val="auto"/>
              </w:rPr>
            </w:pPr>
          </w:p>
        </w:tc>
        <w:tc>
          <w:tcPr>
            <w:tcW w:w="740" w:type="dxa"/>
            <w:vAlign w:val="bottom"/>
            <w:tcBorders>
              <w:bottom w:val="single" w:sz="8" w:color="auto"/>
              <w:right w:val="single" w:sz="8" w:color="auto"/>
            </w:tcBorders>
            <w:shd w:val="clear" w:color="auto" w:fill="CCEB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680" w:type="dxa"/>
            <w:vAlign w:val="bottom"/>
            <w:tcBorders>
              <w:left w:val="single" w:sz="8" w:color="auto"/>
              <w:right w:val="single" w:sz="8" w:color="auto"/>
            </w:tcBorders>
          </w:tcPr>
          <w:p>
            <w:pPr>
              <w:spacing w:after="0"/>
              <w:rPr>
                <w:sz w:val="13"/>
                <w:szCs w:val="13"/>
                <w:color w:val="auto"/>
              </w:rPr>
            </w:pPr>
          </w:p>
        </w:tc>
        <w:tc>
          <w:tcPr>
            <w:tcW w:w="1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w w:val="87"/>
              </w:rPr>
              <w:t>July 31, 2018</w:t>
            </w:r>
          </w:p>
        </w:tc>
        <w:tc>
          <w:tcPr>
            <w:tcW w:w="18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85"/>
              </w:rPr>
              <w:t>$1,016</w:t>
            </w:r>
          </w:p>
        </w:tc>
        <w:tc>
          <w:tcPr>
            <w:tcW w:w="200" w:type="dxa"/>
            <w:vAlign w:val="bottom"/>
            <w:vMerge w:val="restart"/>
          </w:tcPr>
          <w:p>
            <w:pPr>
              <w:jc w:val="right"/>
              <w:ind w:right="133"/>
              <w:spacing w:after="0"/>
              <w:rPr>
                <w:sz w:val="20"/>
                <w:szCs w:val="20"/>
                <w:color w:val="auto"/>
              </w:rPr>
            </w:pPr>
            <w:r>
              <w:rPr>
                <w:rFonts w:ascii="Arial" w:cs="Arial" w:eastAsia="Arial" w:hAnsi="Arial"/>
                <w:sz w:val="5"/>
                <w:szCs w:val="5"/>
                <w:color w:val="auto"/>
                <w:w w:val="70"/>
              </w:rPr>
              <w:t>$</w:t>
            </w:r>
          </w:p>
        </w:tc>
        <w:tc>
          <w:tcPr>
            <w:tcW w:w="960" w:type="dxa"/>
            <w:vAlign w:val="bottom"/>
            <w:tcBorders>
              <w:right w:val="single" w:sz="8" w:color="auto"/>
            </w:tcBorders>
            <w:vMerge w:val="restart"/>
          </w:tcPr>
          <w:p>
            <w:pPr>
              <w:jc w:val="right"/>
              <w:spacing w:after="0"/>
              <w:rPr>
                <w:sz w:val="20"/>
                <w:szCs w:val="20"/>
                <w:color w:val="auto"/>
              </w:rPr>
            </w:pPr>
            <w:r>
              <w:rPr>
                <w:rFonts w:ascii="Arial" w:cs="Arial" w:eastAsia="Arial" w:hAnsi="Arial"/>
                <w:sz w:val="13"/>
                <w:szCs w:val="13"/>
                <w:color w:val="auto"/>
              </w:rPr>
              <w:t>250</w:t>
            </w:r>
          </w:p>
        </w:tc>
        <w:tc>
          <w:tcPr>
            <w:tcW w:w="180" w:type="dxa"/>
            <w:vAlign w:val="bottom"/>
            <w:vMerge w:val="restart"/>
          </w:tcPr>
          <w:p>
            <w:pPr>
              <w:jc w:val="right"/>
              <w:ind w:right="72"/>
              <w:spacing w:after="0"/>
              <w:rPr>
                <w:sz w:val="20"/>
                <w:szCs w:val="20"/>
                <w:color w:val="auto"/>
              </w:rPr>
            </w:pPr>
            <w:r>
              <w:rPr>
                <w:rFonts w:ascii="Arial" w:cs="Arial" w:eastAsia="Arial" w:hAnsi="Arial"/>
                <w:sz w:val="10"/>
                <w:szCs w:val="10"/>
                <w:color w:val="auto"/>
                <w:w w:val="71"/>
              </w:rPr>
              <w:t>$</w:t>
            </w:r>
          </w:p>
        </w:tc>
        <w:tc>
          <w:tcPr>
            <w:tcW w:w="1000" w:type="dxa"/>
            <w:vAlign w:val="bottom"/>
            <w:tcBorders>
              <w:right w:val="single" w:sz="8" w:color="auto"/>
            </w:tcBorders>
            <w:vMerge w:val="restart"/>
          </w:tcPr>
          <w:p>
            <w:pPr>
              <w:jc w:val="right"/>
              <w:ind w:right="16"/>
              <w:spacing w:after="0"/>
              <w:rPr>
                <w:sz w:val="20"/>
                <w:szCs w:val="20"/>
                <w:color w:val="auto"/>
              </w:rPr>
            </w:pPr>
            <w:r>
              <w:rPr>
                <w:rFonts w:ascii="Arial" w:cs="Arial" w:eastAsia="Arial" w:hAnsi="Arial"/>
                <w:sz w:val="13"/>
                <w:szCs w:val="13"/>
                <w:color w:val="auto"/>
              </w:rPr>
              <w:t>766</w:t>
            </w:r>
          </w:p>
        </w:tc>
        <w:tc>
          <w:tcPr>
            <w:tcW w:w="7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w w:val="87"/>
              </w:rPr>
              <w:t>West</w:t>
            </w:r>
          </w:p>
        </w:tc>
        <w:tc>
          <w:tcPr>
            <w:tcW w:w="0" w:type="dxa"/>
            <w:vAlign w:val="bottom"/>
          </w:tcPr>
          <w:p>
            <w:pPr>
              <w:spacing w:after="0"/>
              <w:rPr>
                <w:sz w:val="1"/>
                <w:szCs w:val="1"/>
                <w:color w:val="auto"/>
              </w:rPr>
            </w:pPr>
          </w:p>
        </w:tc>
      </w:tr>
      <w:tr>
        <w:trPr>
          <w:trHeight w:val="162"/>
        </w:trPr>
        <w:tc>
          <w:tcPr>
            <w:tcW w:w="26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3"/>
                <w:szCs w:val="13"/>
                <w:color w:val="auto"/>
                <w:w w:val="90"/>
              </w:rPr>
              <w:t>The Pallet Place, LLC ("Pallet Place")</w:t>
            </w:r>
          </w:p>
        </w:tc>
        <w:tc>
          <w:tcPr>
            <w:tcW w:w="1500" w:type="dxa"/>
            <w:vAlign w:val="bottom"/>
            <w:tcBorders>
              <w:bottom w:val="single" w:sz="8" w:color="auto"/>
              <w:right w:val="single" w:sz="8" w:color="auto"/>
            </w:tcBorders>
            <w:vMerge w:val="continue"/>
          </w:tcPr>
          <w:p>
            <w:pPr>
              <w:spacing w:after="0"/>
              <w:rPr>
                <w:sz w:val="14"/>
                <w:szCs w:val="14"/>
                <w:color w:val="auto"/>
              </w:rPr>
            </w:pP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5"/>
              </w:rPr>
              <w:t>cash paid for 100% asset purchase</w:t>
            </w:r>
          </w:p>
        </w:tc>
        <w:tc>
          <w:tcPr>
            <w:tcW w:w="200" w:type="dxa"/>
            <w:vAlign w:val="bottom"/>
            <w:tcBorders>
              <w:bottom w:val="single" w:sz="8" w:color="auto"/>
            </w:tcBorders>
            <w:vMerge w:val="continue"/>
          </w:tcPr>
          <w:p>
            <w:pPr>
              <w:spacing w:after="0"/>
              <w:rPr>
                <w:sz w:val="14"/>
                <w:szCs w:val="14"/>
                <w:color w:val="auto"/>
              </w:rPr>
            </w:pPr>
          </w:p>
        </w:tc>
        <w:tc>
          <w:tcPr>
            <w:tcW w:w="960" w:type="dxa"/>
            <w:vAlign w:val="bottom"/>
            <w:tcBorders>
              <w:bottom w:val="single" w:sz="8" w:color="auto"/>
              <w:right w:val="single" w:sz="8" w:color="auto"/>
            </w:tcBorders>
            <w:vMerge w:val="continue"/>
          </w:tcPr>
          <w:p>
            <w:pPr>
              <w:spacing w:after="0"/>
              <w:rPr>
                <w:sz w:val="14"/>
                <w:szCs w:val="14"/>
                <w:color w:val="auto"/>
              </w:rPr>
            </w:pPr>
          </w:p>
        </w:tc>
        <w:tc>
          <w:tcPr>
            <w:tcW w:w="180" w:type="dxa"/>
            <w:vAlign w:val="bottom"/>
            <w:tcBorders>
              <w:bottom w:val="single" w:sz="8" w:color="auto"/>
            </w:tcBorders>
            <w:vMerge w:val="continue"/>
          </w:tcPr>
          <w:p>
            <w:pPr>
              <w:spacing w:after="0"/>
              <w:rPr>
                <w:sz w:val="14"/>
                <w:szCs w:val="14"/>
                <w:color w:val="auto"/>
              </w:rPr>
            </w:pPr>
          </w:p>
        </w:tc>
        <w:tc>
          <w:tcPr>
            <w:tcW w:w="1000" w:type="dxa"/>
            <w:vAlign w:val="bottom"/>
            <w:tcBorders>
              <w:bottom w:val="single" w:sz="8" w:color="auto"/>
              <w:right w:val="single" w:sz="8" w:color="auto"/>
            </w:tcBorders>
            <w:vMerge w:val="continue"/>
          </w:tcPr>
          <w:p>
            <w:pPr>
              <w:spacing w:after="0"/>
              <w:rPr>
                <w:sz w:val="14"/>
                <w:szCs w:val="14"/>
                <w:color w:val="auto"/>
              </w:rPr>
            </w:pPr>
          </w:p>
        </w:tc>
        <w:tc>
          <w:tcPr>
            <w:tcW w:w="7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680" w:type="dxa"/>
            <w:vAlign w:val="bottom"/>
            <w:tcBorders>
              <w:left w:val="single" w:sz="8" w:color="auto"/>
              <w:right w:val="single" w:sz="8" w:color="auto"/>
            </w:tcBorders>
            <w:vMerge w:val="continue"/>
          </w:tcPr>
          <w:p>
            <w:pPr>
              <w:spacing w:after="0"/>
              <w:rPr>
                <w:sz w:val="12"/>
                <w:szCs w:val="12"/>
                <w:color w:val="auto"/>
              </w:rPr>
            </w:pPr>
          </w:p>
        </w:tc>
        <w:tc>
          <w:tcPr>
            <w:tcW w:w="6440" w:type="dxa"/>
            <w:vAlign w:val="bottom"/>
            <w:tcBorders>
              <w:right w:val="single" w:sz="8" w:color="auto"/>
            </w:tcBorders>
            <w:gridSpan w:val="7"/>
          </w:tcPr>
          <w:p>
            <w:pPr>
              <w:spacing w:after="0" w:line="148" w:lineRule="exact"/>
              <w:rPr>
                <w:sz w:val="20"/>
                <w:szCs w:val="20"/>
                <w:color w:val="auto"/>
              </w:rPr>
            </w:pPr>
            <w:r>
              <w:rPr>
                <w:rFonts w:ascii="Arial" w:cs="Arial" w:eastAsia="Arial" w:hAnsi="Arial"/>
                <w:sz w:val="13"/>
                <w:szCs w:val="13"/>
                <w:color w:val="auto"/>
                <w:w w:val="89"/>
              </w:rPr>
              <w:t>A manufacturer and distributor of total packaging solutions in timber, crates, skids, and pallets. Pallet Place had annual sales</w:t>
            </w:r>
          </w:p>
        </w:tc>
        <w:tc>
          <w:tcPr>
            <w:tcW w:w="0" w:type="dxa"/>
            <w:vAlign w:val="bottom"/>
          </w:tcPr>
          <w:p>
            <w:pPr>
              <w:spacing w:after="0"/>
              <w:rPr>
                <w:sz w:val="1"/>
                <w:szCs w:val="1"/>
                <w:color w:val="auto"/>
              </w:rPr>
            </w:pPr>
          </w:p>
        </w:tc>
      </w:tr>
      <w:tr>
        <w:trPr>
          <w:trHeight w:val="159"/>
        </w:trPr>
        <w:tc>
          <w:tcPr>
            <w:tcW w:w="2680" w:type="dxa"/>
            <w:vAlign w:val="bottom"/>
            <w:tcBorders>
              <w:left w:val="single" w:sz="8" w:color="auto"/>
              <w:right w:val="single" w:sz="8" w:color="auto"/>
            </w:tcBorders>
          </w:tcPr>
          <w:p>
            <w:pPr>
              <w:spacing w:after="0"/>
              <w:rPr>
                <w:sz w:val="13"/>
                <w:szCs w:val="13"/>
                <w:color w:val="auto"/>
              </w:rPr>
            </w:pPr>
          </w:p>
        </w:tc>
        <w:tc>
          <w:tcPr>
            <w:tcW w:w="6440" w:type="dxa"/>
            <w:vAlign w:val="bottom"/>
            <w:tcBorders>
              <w:right w:val="single" w:sz="8" w:color="auto"/>
            </w:tcBorders>
            <w:gridSpan w:val="7"/>
          </w:tcPr>
          <w:p>
            <w:pPr>
              <w:spacing w:after="0"/>
              <w:rPr>
                <w:sz w:val="20"/>
                <w:szCs w:val="20"/>
                <w:color w:val="auto"/>
              </w:rPr>
            </w:pPr>
            <w:r>
              <w:rPr>
                <w:rFonts w:ascii="Arial" w:cs="Arial" w:eastAsia="Arial" w:hAnsi="Arial"/>
                <w:sz w:val="13"/>
                <w:szCs w:val="13"/>
                <w:color w:val="auto"/>
                <w:w w:val="96"/>
              </w:rPr>
              <w:t>of approximately $5 million. The acquisition of Pallet Place allows us to increase our industrial business and creates</w:t>
            </w:r>
          </w:p>
        </w:tc>
        <w:tc>
          <w:tcPr>
            <w:tcW w:w="0" w:type="dxa"/>
            <w:vAlign w:val="bottom"/>
          </w:tcPr>
          <w:p>
            <w:pPr>
              <w:spacing w:after="0"/>
              <w:rPr>
                <w:sz w:val="1"/>
                <w:szCs w:val="1"/>
                <w:color w:val="auto"/>
              </w:rPr>
            </w:pPr>
          </w:p>
        </w:tc>
      </w:tr>
      <w:tr>
        <w:trPr>
          <w:trHeight w:val="164"/>
        </w:trPr>
        <w:tc>
          <w:tcPr>
            <w:tcW w:w="2680" w:type="dxa"/>
            <w:vAlign w:val="bottom"/>
            <w:tcBorders>
              <w:left w:val="single" w:sz="8" w:color="auto"/>
              <w:bottom w:val="single" w:sz="8" w:color="auto"/>
              <w:right w:val="single" w:sz="8" w:color="auto"/>
            </w:tcBorders>
          </w:tcPr>
          <w:p>
            <w:pPr>
              <w:spacing w:after="0"/>
              <w:rPr>
                <w:sz w:val="14"/>
                <w:szCs w:val="14"/>
                <w:color w:val="auto"/>
              </w:rPr>
            </w:pPr>
          </w:p>
        </w:tc>
        <w:tc>
          <w:tcPr>
            <w:tcW w:w="3560" w:type="dxa"/>
            <w:vAlign w:val="bottom"/>
            <w:tcBorders>
              <w:bottom w:val="single" w:sz="8" w:color="auto"/>
            </w:tcBorders>
            <w:gridSpan w:val="3"/>
          </w:tcPr>
          <w:p>
            <w:pPr>
              <w:spacing w:after="0"/>
              <w:rPr>
                <w:sz w:val="20"/>
                <w:szCs w:val="20"/>
                <w:color w:val="auto"/>
              </w:rPr>
            </w:pPr>
            <w:r>
              <w:rPr>
                <w:rFonts w:ascii="Arial" w:cs="Arial" w:eastAsia="Arial" w:hAnsi="Arial"/>
                <w:sz w:val="13"/>
                <w:szCs w:val="13"/>
                <w:color w:val="auto"/>
                <w:w w:val="90"/>
              </w:rPr>
              <w:t>operating leverage by consolidating with another regional operation.</w:t>
            </w:r>
          </w:p>
        </w:tc>
        <w:tc>
          <w:tcPr>
            <w:tcW w:w="9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7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2680" w:type="dxa"/>
            <w:vAlign w:val="bottom"/>
            <w:tcBorders>
              <w:left w:val="single" w:sz="8" w:color="auto"/>
              <w:right w:val="single" w:sz="8" w:color="auto"/>
            </w:tcBorders>
            <w:shd w:val="clear" w:color="auto" w:fill="CCEBFF"/>
          </w:tcPr>
          <w:p>
            <w:pPr>
              <w:spacing w:after="0"/>
              <w:rPr>
                <w:sz w:val="12"/>
                <w:szCs w:val="12"/>
                <w:color w:val="auto"/>
              </w:rPr>
            </w:pPr>
          </w:p>
        </w:tc>
        <w:tc>
          <w:tcPr>
            <w:tcW w:w="1500" w:type="dxa"/>
            <w:vAlign w:val="bottom"/>
            <w:tcBorders>
              <w:right w:val="single" w:sz="8" w:color="auto"/>
            </w:tcBorders>
            <w:vMerge w:val="restart"/>
            <w:shd w:val="clear" w:color="auto" w:fill="CCEBFF"/>
          </w:tcPr>
          <w:p>
            <w:pPr>
              <w:jc w:val="center"/>
              <w:spacing w:after="0"/>
              <w:rPr>
                <w:sz w:val="20"/>
                <w:szCs w:val="20"/>
                <w:color w:val="auto"/>
              </w:rPr>
            </w:pPr>
            <w:r>
              <w:rPr>
                <w:rFonts w:ascii="Arial" w:cs="Arial" w:eastAsia="Arial" w:hAnsi="Arial"/>
                <w:sz w:val="13"/>
                <w:szCs w:val="13"/>
                <w:color w:val="auto"/>
                <w:w w:val="85"/>
              </w:rPr>
              <w:t>June 1, 2018</w:t>
            </w:r>
          </w:p>
        </w:tc>
        <w:tc>
          <w:tcPr>
            <w:tcW w:w="1860" w:type="dxa"/>
            <w:vAlign w:val="bottom"/>
            <w:tcBorders>
              <w:right w:val="single" w:sz="8" w:color="auto"/>
            </w:tcBorders>
            <w:shd w:val="clear" w:color="auto" w:fill="CCEBFF"/>
          </w:tcPr>
          <w:p>
            <w:pPr>
              <w:jc w:val="center"/>
              <w:spacing w:after="0" w:line="146" w:lineRule="exact"/>
              <w:rPr>
                <w:sz w:val="20"/>
                <w:szCs w:val="20"/>
                <w:color w:val="auto"/>
              </w:rPr>
            </w:pPr>
            <w:r>
              <w:rPr>
                <w:rFonts w:ascii="Arial" w:cs="Arial" w:eastAsia="Arial" w:hAnsi="Arial"/>
                <w:sz w:val="13"/>
                <w:szCs w:val="13"/>
                <w:color w:val="auto"/>
                <w:w w:val="89"/>
              </w:rPr>
              <w:t>$23,866</w:t>
            </w:r>
          </w:p>
        </w:tc>
        <w:tc>
          <w:tcPr>
            <w:tcW w:w="200" w:type="dxa"/>
            <w:vAlign w:val="bottom"/>
            <w:vMerge w:val="restart"/>
            <w:shd w:val="clear" w:color="auto" w:fill="CCEBFF"/>
          </w:tcPr>
          <w:p>
            <w:pPr>
              <w:jc w:val="right"/>
              <w:ind w:right="133"/>
              <w:spacing w:after="0"/>
              <w:rPr>
                <w:sz w:val="20"/>
                <w:szCs w:val="20"/>
                <w:color w:val="auto"/>
              </w:rPr>
            </w:pPr>
            <w:r>
              <w:rPr>
                <w:rFonts w:ascii="Arial" w:cs="Arial" w:eastAsia="Arial" w:hAnsi="Arial"/>
                <w:sz w:val="5"/>
                <w:szCs w:val="5"/>
                <w:color w:val="auto"/>
                <w:w w:val="70"/>
              </w:rPr>
              <w:t>$</w:t>
            </w:r>
          </w:p>
        </w:tc>
        <w:tc>
          <w:tcPr>
            <w:tcW w:w="960" w:type="dxa"/>
            <w:vAlign w:val="bottom"/>
            <w:tcBorders>
              <w:right w:val="single" w:sz="8" w:color="auto"/>
            </w:tcBorders>
            <w:vMerge w:val="restart"/>
            <w:shd w:val="clear" w:color="auto" w:fill="CCEBFF"/>
          </w:tcPr>
          <w:p>
            <w:pPr>
              <w:jc w:val="right"/>
              <w:spacing w:after="0"/>
              <w:rPr>
                <w:sz w:val="20"/>
                <w:szCs w:val="20"/>
                <w:color w:val="auto"/>
              </w:rPr>
            </w:pPr>
            <w:r>
              <w:rPr>
                <w:rFonts w:ascii="Arial" w:cs="Arial" w:eastAsia="Arial" w:hAnsi="Arial"/>
                <w:sz w:val="13"/>
                <w:szCs w:val="13"/>
                <w:color w:val="auto"/>
              </w:rPr>
              <w:t>12,497</w:t>
            </w:r>
          </w:p>
        </w:tc>
        <w:tc>
          <w:tcPr>
            <w:tcW w:w="180" w:type="dxa"/>
            <w:vAlign w:val="bottom"/>
            <w:vMerge w:val="restart"/>
            <w:shd w:val="clear" w:color="auto" w:fill="CCEBFF"/>
          </w:tcPr>
          <w:p>
            <w:pPr>
              <w:jc w:val="right"/>
              <w:ind w:right="72"/>
              <w:spacing w:after="0"/>
              <w:rPr>
                <w:sz w:val="20"/>
                <w:szCs w:val="20"/>
                <w:color w:val="auto"/>
              </w:rPr>
            </w:pPr>
            <w:r>
              <w:rPr>
                <w:rFonts w:ascii="Arial" w:cs="Arial" w:eastAsia="Arial" w:hAnsi="Arial"/>
                <w:sz w:val="10"/>
                <w:szCs w:val="10"/>
                <w:color w:val="auto"/>
                <w:w w:val="71"/>
              </w:rPr>
              <w:t>$</w:t>
            </w:r>
          </w:p>
        </w:tc>
        <w:tc>
          <w:tcPr>
            <w:tcW w:w="1000" w:type="dxa"/>
            <w:vAlign w:val="bottom"/>
            <w:tcBorders>
              <w:right w:val="single" w:sz="8" w:color="auto"/>
            </w:tcBorders>
            <w:vMerge w:val="restart"/>
            <w:shd w:val="clear" w:color="auto" w:fill="CCEBFF"/>
          </w:tcPr>
          <w:p>
            <w:pPr>
              <w:jc w:val="right"/>
              <w:ind w:right="16"/>
              <w:spacing w:after="0"/>
              <w:rPr>
                <w:sz w:val="20"/>
                <w:szCs w:val="20"/>
                <w:color w:val="auto"/>
              </w:rPr>
            </w:pPr>
            <w:r>
              <w:rPr>
                <w:rFonts w:ascii="Arial" w:cs="Arial" w:eastAsia="Arial" w:hAnsi="Arial"/>
                <w:sz w:val="13"/>
                <w:szCs w:val="13"/>
                <w:color w:val="auto"/>
              </w:rPr>
              <w:t>11,369</w:t>
            </w:r>
          </w:p>
        </w:tc>
        <w:tc>
          <w:tcPr>
            <w:tcW w:w="740" w:type="dxa"/>
            <w:vAlign w:val="bottom"/>
            <w:tcBorders>
              <w:right w:val="single" w:sz="8" w:color="auto"/>
            </w:tcBorders>
            <w:vMerge w:val="restart"/>
            <w:shd w:val="clear" w:color="auto" w:fill="CCEBFF"/>
          </w:tcPr>
          <w:p>
            <w:pPr>
              <w:jc w:val="center"/>
              <w:spacing w:after="0"/>
              <w:rPr>
                <w:sz w:val="20"/>
                <w:szCs w:val="20"/>
                <w:color w:val="auto"/>
              </w:rPr>
            </w:pPr>
            <w:r>
              <w:rPr>
                <w:rFonts w:ascii="Arial" w:cs="Arial" w:eastAsia="Arial" w:hAnsi="Arial"/>
                <w:sz w:val="13"/>
                <w:szCs w:val="13"/>
                <w:color w:val="auto"/>
                <w:w w:val="88"/>
              </w:rPr>
              <w:t>South</w:t>
            </w:r>
          </w:p>
        </w:tc>
        <w:tc>
          <w:tcPr>
            <w:tcW w:w="0" w:type="dxa"/>
            <w:vAlign w:val="bottom"/>
          </w:tcPr>
          <w:p>
            <w:pPr>
              <w:spacing w:after="0"/>
              <w:rPr>
                <w:sz w:val="1"/>
                <w:szCs w:val="1"/>
                <w:color w:val="auto"/>
              </w:rPr>
            </w:pPr>
          </w:p>
        </w:tc>
      </w:tr>
      <w:tr>
        <w:trPr>
          <w:trHeight w:val="164"/>
        </w:trPr>
        <w:tc>
          <w:tcPr>
            <w:tcW w:w="2680" w:type="dxa"/>
            <w:vAlign w:val="bottom"/>
            <w:tcBorders>
              <w:left w:val="single" w:sz="8" w:color="auto"/>
              <w:bottom w:val="single" w:sz="8" w:color="CCEBFF"/>
              <w:right w:val="single" w:sz="8" w:color="auto"/>
            </w:tcBorders>
            <w:vMerge w:val="restart"/>
            <w:shd w:val="clear" w:color="auto" w:fill="CCEBFF"/>
          </w:tcPr>
          <w:p>
            <w:pPr>
              <w:jc w:val="center"/>
              <w:spacing w:after="0"/>
              <w:rPr>
                <w:sz w:val="20"/>
                <w:szCs w:val="20"/>
                <w:color w:val="auto"/>
              </w:rPr>
            </w:pPr>
            <w:r>
              <w:rPr>
                <w:rFonts w:ascii="Arial" w:cs="Arial" w:eastAsia="Arial" w:hAnsi="Arial"/>
                <w:sz w:val="13"/>
                <w:szCs w:val="13"/>
                <w:color w:val="auto"/>
                <w:w w:val="92"/>
              </w:rPr>
              <w:t>North American Container Corporation ("NACC")</w:t>
            </w:r>
          </w:p>
        </w:tc>
        <w:tc>
          <w:tcPr>
            <w:tcW w:w="1500" w:type="dxa"/>
            <w:vAlign w:val="bottom"/>
            <w:tcBorders>
              <w:bottom w:val="single" w:sz="8" w:color="auto"/>
              <w:right w:val="single" w:sz="8" w:color="auto"/>
            </w:tcBorders>
            <w:vMerge w:val="continue"/>
            <w:shd w:val="clear" w:color="auto" w:fill="CCEBFF"/>
          </w:tcPr>
          <w:p>
            <w:pPr>
              <w:spacing w:after="0"/>
              <w:rPr>
                <w:sz w:val="14"/>
                <w:szCs w:val="14"/>
                <w:color w:val="auto"/>
              </w:rPr>
            </w:pPr>
          </w:p>
        </w:tc>
        <w:tc>
          <w:tcPr>
            <w:tcW w:w="1860" w:type="dxa"/>
            <w:vAlign w:val="bottom"/>
            <w:tcBorders>
              <w:bottom w:val="single" w:sz="8" w:color="auto"/>
              <w:right w:val="single" w:sz="8" w:color="auto"/>
            </w:tcBorders>
            <w:shd w:val="clear" w:color="auto" w:fill="CCEBFF"/>
          </w:tcPr>
          <w:p>
            <w:pPr>
              <w:jc w:val="center"/>
              <w:spacing w:after="0"/>
              <w:rPr>
                <w:sz w:val="20"/>
                <w:szCs w:val="20"/>
                <w:color w:val="auto"/>
              </w:rPr>
            </w:pPr>
            <w:r>
              <w:rPr>
                <w:rFonts w:ascii="Arial" w:cs="Arial" w:eastAsia="Arial" w:hAnsi="Arial"/>
                <w:sz w:val="13"/>
                <w:szCs w:val="13"/>
                <w:color w:val="auto"/>
                <w:w w:val="85"/>
              </w:rPr>
              <w:t>cash paid for 100% asset purchase</w:t>
            </w:r>
          </w:p>
        </w:tc>
        <w:tc>
          <w:tcPr>
            <w:tcW w:w="200" w:type="dxa"/>
            <w:vAlign w:val="bottom"/>
            <w:tcBorders>
              <w:bottom w:val="single" w:sz="8" w:color="auto"/>
            </w:tcBorders>
            <w:vMerge w:val="continue"/>
            <w:shd w:val="clear" w:color="auto" w:fill="CCEBFF"/>
          </w:tcPr>
          <w:p>
            <w:pPr>
              <w:spacing w:after="0"/>
              <w:rPr>
                <w:sz w:val="14"/>
                <w:szCs w:val="14"/>
                <w:color w:val="auto"/>
              </w:rPr>
            </w:pPr>
          </w:p>
        </w:tc>
        <w:tc>
          <w:tcPr>
            <w:tcW w:w="960" w:type="dxa"/>
            <w:vAlign w:val="bottom"/>
            <w:tcBorders>
              <w:bottom w:val="single" w:sz="8" w:color="auto"/>
              <w:right w:val="single" w:sz="8" w:color="auto"/>
            </w:tcBorders>
            <w:vMerge w:val="continue"/>
            <w:shd w:val="clear" w:color="auto" w:fill="CCEBFF"/>
          </w:tcPr>
          <w:p>
            <w:pPr>
              <w:spacing w:after="0"/>
              <w:rPr>
                <w:sz w:val="14"/>
                <w:szCs w:val="14"/>
                <w:color w:val="auto"/>
              </w:rPr>
            </w:pPr>
          </w:p>
        </w:tc>
        <w:tc>
          <w:tcPr>
            <w:tcW w:w="180" w:type="dxa"/>
            <w:vAlign w:val="bottom"/>
            <w:tcBorders>
              <w:bottom w:val="single" w:sz="8" w:color="auto"/>
            </w:tcBorders>
            <w:vMerge w:val="continue"/>
            <w:shd w:val="clear" w:color="auto" w:fill="CCEBFF"/>
          </w:tcPr>
          <w:p>
            <w:pPr>
              <w:spacing w:after="0"/>
              <w:rPr>
                <w:sz w:val="14"/>
                <w:szCs w:val="14"/>
                <w:color w:val="auto"/>
              </w:rPr>
            </w:pPr>
          </w:p>
        </w:tc>
        <w:tc>
          <w:tcPr>
            <w:tcW w:w="1000" w:type="dxa"/>
            <w:vAlign w:val="bottom"/>
            <w:tcBorders>
              <w:bottom w:val="single" w:sz="8" w:color="auto"/>
              <w:right w:val="single" w:sz="8" w:color="auto"/>
            </w:tcBorders>
            <w:vMerge w:val="continue"/>
            <w:shd w:val="clear" w:color="auto" w:fill="CCEBFF"/>
          </w:tcPr>
          <w:p>
            <w:pPr>
              <w:spacing w:after="0"/>
              <w:rPr>
                <w:sz w:val="14"/>
                <w:szCs w:val="14"/>
                <w:color w:val="auto"/>
              </w:rPr>
            </w:pPr>
          </w:p>
        </w:tc>
        <w:tc>
          <w:tcPr>
            <w:tcW w:w="740" w:type="dxa"/>
            <w:vAlign w:val="bottom"/>
            <w:tcBorders>
              <w:bottom w:val="single" w:sz="8" w:color="auto"/>
              <w:right w:val="single" w:sz="8" w:color="auto"/>
            </w:tcBorders>
            <w:vMerge w:val="continue"/>
            <w:shd w:val="clear" w:color="auto" w:fill="CCEBFF"/>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2680" w:type="dxa"/>
            <w:vAlign w:val="bottom"/>
            <w:tcBorders>
              <w:left w:val="single" w:sz="8" w:color="auto"/>
              <w:right w:val="single" w:sz="8" w:color="auto"/>
            </w:tcBorders>
            <w:vMerge w:val="continue"/>
            <w:shd w:val="clear" w:color="auto" w:fill="CCEBFF"/>
          </w:tcPr>
          <w:p>
            <w:pPr>
              <w:spacing w:after="0"/>
              <w:rPr>
                <w:sz w:val="12"/>
                <w:szCs w:val="12"/>
                <w:color w:val="auto"/>
              </w:rPr>
            </w:pPr>
          </w:p>
        </w:tc>
        <w:tc>
          <w:tcPr>
            <w:tcW w:w="6440" w:type="dxa"/>
            <w:vAlign w:val="bottom"/>
            <w:tcBorders>
              <w:right w:val="single" w:sz="8" w:color="auto"/>
            </w:tcBorders>
            <w:gridSpan w:val="7"/>
            <w:shd w:val="clear" w:color="auto" w:fill="CCEBFF"/>
          </w:tcPr>
          <w:p>
            <w:pPr>
              <w:spacing w:after="0" w:line="146" w:lineRule="exact"/>
              <w:rPr>
                <w:sz w:val="20"/>
                <w:szCs w:val="20"/>
                <w:color w:val="auto"/>
              </w:rPr>
            </w:pPr>
            <w:r>
              <w:rPr>
                <w:rFonts w:ascii="Arial" w:cs="Arial" w:eastAsia="Arial" w:hAnsi="Arial"/>
                <w:sz w:val="13"/>
                <w:szCs w:val="13"/>
                <w:color w:val="auto"/>
                <w:w w:val="91"/>
              </w:rPr>
              <w:t>A manufacturer of structural packaging products, including steel, corrugated and hardwood packaging. NACC had annual</w:t>
            </w:r>
          </w:p>
        </w:tc>
        <w:tc>
          <w:tcPr>
            <w:tcW w:w="0" w:type="dxa"/>
            <w:vAlign w:val="bottom"/>
          </w:tcPr>
          <w:p>
            <w:pPr>
              <w:spacing w:after="0"/>
              <w:rPr>
                <w:sz w:val="1"/>
                <w:szCs w:val="1"/>
                <w:color w:val="auto"/>
              </w:rPr>
            </w:pPr>
          </w:p>
        </w:tc>
      </w:tr>
      <w:tr>
        <w:trPr>
          <w:trHeight w:val="159"/>
        </w:trPr>
        <w:tc>
          <w:tcPr>
            <w:tcW w:w="2680" w:type="dxa"/>
            <w:vAlign w:val="bottom"/>
            <w:tcBorders>
              <w:left w:val="single" w:sz="8" w:color="auto"/>
              <w:right w:val="single" w:sz="8" w:color="auto"/>
            </w:tcBorders>
            <w:shd w:val="clear" w:color="auto" w:fill="CCEBFF"/>
          </w:tcPr>
          <w:p>
            <w:pPr>
              <w:spacing w:after="0"/>
              <w:rPr>
                <w:sz w:val="13"/>
                <w:szCs w:val="13"/>
                <w:color w:val="auto"/>
              </w:rPr>
            </w:pPr>
          </w:p>
        </w:tc>
        <w:tc>
          <w:tcPr>
            <w:tcW w:w="6440" w:type="dxa"/>
            <w:vAlign w:val="bottom"/>
            <w:tcBorders>
              <w:right w:val="single" w:sz="8" w:color="auto"/>
            </w:tcBorders>
            <w:gridSpan w:val="7"/>
            <w:shd w:val="clear" w:color="auto" w:fill="CCEBFF"/>
          </w:tcPr>
          <w:p>
            <w:pPr>
              <w:spacing w:after="0"/>
              <w:rPr>
                <w:sz w:val="20"/>
                <w:szCs w:val="20"/>
                <w:color w:val="auto"/>
              </w:rPr>
            </w:pPr>
            <w:r>
              <w:rPr>
                <w:rFonts w:ascii="Arial" w:cs="Arial" w:eastAsia="Arial" w:hAnsi="Arial"/>
                <w:sz w:val="13"/>
                <w:szCs w:val="13"/>
                <w:color w:val="auto"/>
                <w:w w:val="91"/>
              </w:rPr>
              <w:t>sales of approximately $71 million. The acquisition of NACC allows us to enhance our presence in this region, expand our</w:t>
            </w:r>
          </w:p>
        </w:tc>
        <w:tc>
          <w:tcPr>
            <w:tcW w:w="0" w:type="dxa"/>
            <w:vAlign w:val="bottom"/>
          </w:tcPr>
          <w:p>
            <w:pPr>
              <w:spacing w:after="0"/>
              <w:rPr>
                <w:sz w:val="1"/>
                <w:szCs w:val="1"/>
                <w:color w:val="auto"/>
              </w:rPr>
            </w:pPr>
          </w:p>
        </w:tc>
      </w:tr>
      <w:tr>
        <w:trPr>
          <w:trHeight w:val="164"/>
        </w:trPr>
        <w:tc>
          <w:tcPr>
            <w:tcW w:w="2680" w:type="dxa"/>
            <w:vAlign w:val="bottom"/>
            <w:tcBorders>
              <w:left w:val="single" w:sz="8" w:color="auto"/>
              <w:bottom w:val="single" w:sz="8" w:color="auto"/>
              <w:right w:val="single" w:sz="8" w:color="auto"/>
            </w:tcBorders>
            <w:shd w:val="clear" w:color="auto" w:fill="CCEBFF"/>
          </w:tcPr>
          <w:p>
            <w:pPr>
              <w:spacing w:after="0"/>
              <w:rPr>
                <w:sz w:val="14"/>
                <w:szCs w:val="14"/>
                <w:color w:val="auto"/>
              </w:rPr>
            </w:pPr>
          </w:p>
        </w:tc>
        <w:tc>
          <w:tcPr>
            <w:tcW w:w="3560" w:type="dxa"/>
            <w:vAlign w:val="bottom"/>
            <w:tcBorders>
              <w:bottom w:val="single" w:sz="8" w:color="auto"/>
            </w:tcBorders>
            <w:gridSpan w:val="3"/>
            <w:shd w:val="clear" w:color="auto" w:fill="CCEBFF"/>
          </w:tcPr>
          <w:p>
            <w:pPr>
              <w:spacing w:after="0"/>
              <w:rPr>
                <w:sz w:val="20"/>
                <w:szCs w:val="20"/>
                <w:color w:val="auto"/>
              </w:rPr>
            </w:pPr>
            <w:r>
              <w:rPr>
                <w:rFonts w:ascii="Arial" w:cs="Arial" w:eastAsia="Arial" w:hAnsi="Arial"/>
                <w:sz w:val="13"/>
                <w:szCs w:val="13"/>
                <w:color w:val="auto"/>
              </w:rPr>
              <w:t>product offering, and serve customers more cost effectively.</w:t>
            </w:r>
          </w:p>
        </w:tc>
        <w:tc>
          <w:tcPr>
            <w:tcW w:w="960" w:type="dxa"/>
            <w:vAlign w:val="bottom"/>
            <w:tcBorders>
              <w:bottom w:val="single" w:sz="8" w:color="auto"/>
              <w:right w:val="single" w:sz="8" w:color="CCEBFF"/>
            </w:tcBorders>
            <w:shd w:val="clear" w:color="auto" w:fill="CCEBFF"/>
          </w:tcPr>
          <w:p>
            <w:pPr>
              <w:spacing w:after="0"/>
              <w:rPr>
                <w:sz w:val="14"/>
                <w:szCs w:val="14"/>
                <w:color w:val="auto"/>
              </w:rPr>
            </w:pPr>
          </w:p>
        </w:tc>
        <w:tc>
          <w:tcPr>
            <w:tcW w:w="180" w:type="dxa"/>
            <w:vAlign w:val="bottom"/>
            <w:tcBorders>
              <w:bottom w:val="single" w:sz="8" w:color="auto"/>
            </w:tcBorders>
            <w:shd w:val="clear" w:color="auto" w:fill="CCEBFF"/>
          </w:tcPr>
          <w:p>
            <w:pPr>
              <w:spacing w:after="0"/>
              <w:rPr>
                <w:sz w:val="14"/>
                <w:szCs w:val="14"/>
                <w:color w:val="auto"/>
              </w:rPr>
            </w:pPr>
          </w:p>
        </w:tc>
        <w:tc>
          <w:tcPr>
            <w:tcW w:w="1000" w:type="dxa"/>
            <w:vAlign w:val="bottom"/>
            <w:tcBorders>
              <w:bottom w:val="single" w:sz="8" w:color="auto"/>
              <w:right w:val="single" w:sz="8" w:color="CCEBFF"/>
            </w:tcBorders>
            <w:shd w:val="clear" w:color="auto" w:fill="CCEBFF"/>
          </w:tcPr>
          <w:p>
            <w:pPr>
              <w:spacing w:after="0"/>
              <w:rPr>
                <w:sz w:val="14"/>
                <w:szCs w:val="14"/>
                <w:color w:val="auto"/>
              </w:rPr>
            </w:pPr>
          </w:p>
        </w:tc>
        <w:tc>
          <w:tcPr>
            <w:tcW w:w="740" w:type="dxa"/>
            <w:vAlign w:val="bottom"/>
            <w:tcBorders>
              <w:bottom w:val="single" w:sz="8" w:color="auto"/>
              <w:right w:val="single" w:sz="8" w:color="auto"/>
            </w:tcBorders>
            <w:shd w:val="clear" w:color="auto" w:fill="CCEBFF"/>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66675</wp:posOffset>
            </wp:positionV>
            <wp:extent cx="5779135" cy="2032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6">
                      <a:extLst>
                        <a:ext uri="{28A0092B-C50C-407E-A947-70E740481C1C}"/>
                      </a:extLst>
                    </a:blip>
                    <a:srcRect/>
                    <a:stretch>
                      <a:fillRect/>
                    </a:stretch>
                  </pic:blipFill>
                  <pic:spPr bwMode="auto">
                    <a:xfrm>
                      <a:off x="0" y="0"/>
                      <a:ext cx="5779135" cy="20320"/>
                    </a:xfrm>
                    <a:prstGeom prst="rect">
                      <a:avLst/>
                    </a:prstGeom>
                    <a:noFill/>
                  </pic:spPr>
                </pic:pic>
              </a:graphicData>
            </a:graphic>
          </wp:anchor>
        </w:drawing>
      </w:r>
    </w:p>
    <w:p>
      <w:pPr>
        <w:sectPr>
          <w:pgSz w:w="11900" w:h="16838" w:orient="portrait"/>
          <w:cols w:equalWidth="0" w:num="1">
            <w:col w:w="9100"/>
          </w:cols>
          <w:pgMar w:left="1400" w:top="129" w:right="1399" w:bottom="1440" w:gutter="0" w:footer="0" w:header="0"/>
        </w:sectPr>
      </w:pPr>
    </w:p>
    <w:bookmarkStart w:id="82" w:name="page83"/>
    <w:bookmarkEnd w:id="82"/>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95" w:lineRule="exact"/>
        <w:rPr>
          <w:sz w:val="20"/>
          <w:szCs w:val="20"/>
          <w:color w:val="auto"/>
        </w:rPr>
      </w:pPr>
    </w:p>
    <w:tbl>
      <w:tblPr>
        <w:tblLayout w:type="fixed"/>
        <w:tblInd w:w="10" w:type="dxa"/>
        <w:tblCellMar>
          <w:top w:w="0" w:type="dxa"/>
          <w:left w:w="0" w:type="dxa"/>
          <w:bottom w:w="0" w:type="dxa"/>
          <w:right w:w="0" w:type="dxa"/>
        </w:tblCellMar>
      </w:tblPr>
      <w:tr>
        <w:trPr>
          <w:trHeight w:val="159"/>
        </w:trPr>
        <w:tc>
          <w:tcPr>
            <w:tcW w:w="2680" w:type="dxa"/>
            <w:vAlign w:val="bottom"/>
            <w:tcBorders>
              <w:top w:val="single" w:sz="8" w:color="auto"/>
              <w:left w:val="single" w:sz="8" w:color="auto"/>
              <w:right w:val="single" w:sz="8" w:color="auto"/>
            </w:tcBorders>
          </w:tcPr>
          <w:p>
            <w:pPr>
              <w:spacing w:after="0"/>
              <w:rPr>
                <w:sz w:val="13"/>
                <w:szCs w:val="13"/>
                <w:color w:val="auto"/>
              </w:rPr>
            </w:pPr>
          </w:p>
        </w:tc>
        <w:tc>
          <w:tcPr>
            <w:tcW w:w="1500" w:type="dxa"/>
            <w:vAlign w:val="bottom"/>
            <w:tcBorders>
              <w:top w:val="single" w:sz="8" w:color="auto"/>
              <w:right w:val="single" w:sz="8" w:color="auto"/>
            </w:tcBorders>
          </w:tcPr>
          <w:p>
            <w:pPr>
              <w:spacing w:after="0"/>
              <w:rPr>
                <w:sz w:val="13"/>
                <w:szCs w:val="13"/>
                <w:color w:val="auto"/>
              </w:rPr>
            </w:pPr>
          </w:p>
        </w:tc>
        <w:tc>
          <w:tcPr>
            <w:tcW w:w="1860" w:type="dxa"/>
            <w:vAlign w:val="bottom"/>
            <w:tcBorders>
              <w:top w:val="single" w:sz="8" w:color="auto"/>
              <w:right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60" w:type="dxa"/>
            <w:vAlign w:val="bottom"/>
            <w:tcBorders>
              <w:top w:val="single" w:sz="8" w:color="auto"/>
              <w:right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00" w:type="dxa"/>
            <w:vAlign w:val="bottom"/>
            <w:tcBorders>
              <w:top w:val="single" w:sz="8" w:color="auto"/>
              <w:right w:val="single" w:sz="8" w:color="auto"/>
            </w:tcBorders>
          </w:tcPr>
          <w:p>
            <w:pPr>
              <w:jc w:val="center"/>
              <w:ind w:right="176"/>
              <w:spacing w:after="0"/>
              <w:rPr>
                <w:sz w:val="20"/>
                <w:szCs w:val="20"/>
                <w:color w:val="auto"/>
              </w:rPr>
            </w:pPr>
            <w:r>
              <w:rPr>
                <w:rFonts w:ascii="Arial" w:cs="Arial" w:eastAsia="Arial" w:hAnsi="Arial"/>
                <w:sz w:val="13"/>
                <w:szCs w:val="13"/>
                <w:b w:val="1"/>
                <w:bCs w:val="1"/>
                <w:color w:val="auto"/>
                <w:w w:val="95"/>
              </w:rPr>
              <w:t>Net</w:t>
            </w:r>
          </w:p>
        </w:tc>
        <w:tc>
          <w:tcPr>
            <w:tcW w:w="40" w:type="dxa"/>
            <w:vAlign w:val="bottom"/>
            <w:tcBorders>
              <w:top w:val="single" w:sz="8" w:color="auto"/>
            </w:tcBorders>
          </w:tcPr>
          <w:p>
            <w:pPr>
              <w:spacing w:after="0"/>
              <w:rPr>
                <w:sz w:val="13"/>
                <w:szCs w:val="13"/>
                <w:color w:val="auto"/>
              </w:rPr>
            </w:pPr>
          </w:p>
        </w:tc>
        <w:tc>
          <w:tcPr>
            <w:tcW w:w="700" w:type="dxa"/>
            <w:vAlign w:val="bottom"/>
            <w:tcBorders>
              <w:top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Company</w:t>
            </w:r>
          </w:p>
        </w:tc>
        <w:tc>
          <w:tcPr>
            <w:tcW w:w="1500" w:type="dxa"/>
            <w:vAlign w:val="bottom"/>
            <w:tcBorders>
              <w:right w:val="single" w:sz="8" w:color="auto"/>
            </w:tcBorders>
          </w:tcPr>
          <w:p>
            <w:pPr>
              <w:ind w:left="420"/>
              <w:spacing w:after="0"/>
              <w:rPr>
                <w:sz w:val="20"/>
                <w:szCs w:val="20"/>
                <w:color w:val="auto"/>
              </w:rPr>
            </w:pPr>
            <w:r>
              <w:rPr>
                <w:rFonts w:ascii="Arial" w:cs="Arial" w:eastAsia="Arial" w:hAnsi="Arial"/>
                <w:sz w:val="13"/>
                <w:szCs w:val="13"/>
                <w:b w:val="1"/>
                <w:bCs w:val="1"/>
                <w:color w:val="auto"/>
              </w:rPr>
              <w:t>Acquisition</w:t>
            </w:r>
          </w:p>
        </w:tc>
        <w:tc>
          <w:tcPr>
            <w:tcW w:w="1860" w:type="dxa"/>
            <w:vAlign w:val="bottom"/>
            <w:tcBorders>
              <w:right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Borders>
              <w:right w:val="single" w:sz="8" w:color="auto"/>
            </w:tcBorders>
          </w:tcPr>
          <w:p>
            <w:pPr>
              <w:jc w:val="right"/>
              <w:ind w:right="276"/>
              <w:spacing w:after="0"/>
              <w:rPr>
                <w:sz w:val="20"/>
                <w:szCs w:val="20"/>
                <w:color w:val="auto"/>
              </w:rPr>
            </w:pPr>
            <w:r>
              <w:rPr>
                <w:rFonts w:ascii="Arial" w:cs="Arial" w:eastAsia="Arial" w:hAnsi="Arial"/>
                <w:sz w:val="13"/>
                <w:szCs w:val="13"/>
                <w:b w:val="1"/>
                <w:bCs w:val="1"/>
                <w:color w:val="auto"/>
                <w:w w:val="97"/>
              </w:rPr>
              <w:t>Intangible</w:t>
            </w:r>
          </w:p>
        </w:tc>
        <w:tc>
          <w:tcPr>
            <w:tcW w:w="180" w:type="dxa"/>
            <w:vAlign w:val="bottom"/>
          </w:tcPr>
          <w:p>
            <w:pPr>
              <w:spacing w:after="0"/>
              <w:rPr>
                <w:sz w:val="13"/>
                <w:szCs w:val="13"/>
                <w:color w:val="auto"/>
              </w:rPr>
            </w:pPr>
          </w:p>
        </w:tc>
        <w:tc>
          <w:tcPr>
            <w:tcW w:w="1000" w:type="dxa"/>
            <w:vAlign w:val="bottom"/>
            <w:tcBorders>
              <w:right w:val="single" w:sz="8" w:color="auto"/>
            </w:tcBorders>
          </w:tcPr>
          <w:p>
            <w:pPr>
              <w:jc w:val="center"/>
              <w:ind w:right="176"/>
              <w:spacing w:after="0"/>
              <w:rPr>
                <w:sz w:val="20"/>
                <w:szCs w:val="20"/>
                <w:color w:val="auto"/>
              </w:rPr>
            </w:pPr>
            <w:r>
              <w:rPr>
                <w:rFonts w:ascii="Arial" w:cs="Arial" w:eastAsia="Arial" w:hAnsi="Arial"/>
                <w:sz w:val="13"/>
                <w:szCs w:val="13"/>
                <w:b w:val="1"/>
                <w:bCs w:val="1"/>
                <w:color w:val="auto"/>
                <w:w w:val="89"/>
              </w:rPr>
              <w:t>Tangible</w:t>
            </w:r>
          </w:p>
        </w:tc>
        <w:tc>
          <w:tcPr>
            <w:tcW w:w="40" w:type="dxa"/>
            <w:vAlign w:val="bottom"/>
          </w:tcPr>
          <w:p>
            <w:pPr>
              <w:spacing w:after="0"/>
              <w:rPr>
                <w:sz w:val="13"/>
                <w:szCs w:val="13"/>
                <w:color w:val="auto"/>
              </w:rPr>
            </w:pPr>
          </w:p>
        </w:tc>
        <w:tc>
          <w:tcPr>
            <w:tcW w:w="700" w:type="dxa"/>
            <w:vAlign w:val="bottom"/>
            <w:tcBorders>
              <w:right w:val="single" w:sz="8" w:color="auto"/>
            </w:tcBorders>
          </w:tcPr>
          <w:p>
            <w:pPr>
              <w:jc w:val="center"/>
              <w:ind w:right="36"/>
              <w:spacing w:after="0"/>
              <w:rPr>
                <w:sz w:val="20"/>
                <w:szCs w:val="20"/>
                <w:color w:val="auto"/>
              </w:rPr>
            </w:pPr>
            <w:r>
              <w:rPr>
                <w:rFonts w:ascii="Arial" w:cs="Arial" w:eastAsia="Arial" w:hAnsi="Arial"/>
                <w:sz w:val="13"/>
                <w:szCs w:val="13"/>
                <w:b w:val="1"/>
                <w:bCs w:val="1"/>
                <w:color w:val="auto"/>
                <w:w w:val="91"/>
              </w:rPr>
              <w:t>Operating</w:t>
            </w:r>
          </w:p>
        </w:tc>
        <w:tc>
          <w:tcPr>
            <w:tcW w:w="0" w:type="dxa"/>
            <w:vAlign w:val="bottom"/>
          </w:tcPr>
          <w:p>
            <w:pPr>
              <w:spacing w:after="0"/>
              <w:rPr>
                <w:sz w:val="1"/>
                <w:szCs w:val="1"/>
                <w:color w:val="auto"/>
              </w:rPr>
            </w:pPr>
          </w:p>
        </w:tc>
      </w:tr>
      <w:tr>
        <w:trPr>
          <w:trHeight w:val="171"/>
        </w:trPr>
        <w:tc>
          <w:tcPr>
            <w:tcW w:w="26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Name</w:t>
            </w:r>
          </w:p>
        </w:tc>
        <w:tc>
          <w:tcPr>
            <w:tcW w:w="1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Date</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Purchase Price</w:t>
            </w:r>
          </w:p>
        </w:tc>
        <w:tc>
          <w:tcPr>
            <w:tcW w:w="200" w:type="dxa"/>
            <w:vAlign w:val="bottom"/>
            <w:tcBorders>
              <w:bottom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jc w:val="right"/>
              <w:ind w:right="376"/>
              <w:spacing w:after="0"/>
              <w:rPr>
                <w:sz w:val="20"/>
                <w:szCs w:val="20"/>
                <w:color w:val="auto"/>
              </w:rPr>
            </w:pPr>
            <w:r>
              <w:rPr>
                <w:rFonts w:ascii="Arial" w:cs="Arial" w:eastAsia="Arial" w:hAnsi="Arial"/>
                <w:sz w:val="13"/>
                <w:szCs w:val="13"/>
                <w:b w:val="1"/>
                <w:bCs w:val="1"/>
                <w:color w:val="auto"/>
              </w:rPr>
              <w:t>Assets</w:t>
            </w:r>
          </w:p>
        </w:tc>
        <w:tc>
          <w:tcPr>
            <w:tcW w:w="180" w:type="dxa"/>
            <w:vAlign w:val="bottom"/>
            <w:tcBorders>
              <w:bottom w:val="single" w:sz="8" w:color="auto"/>
            </w:tcBorders>
          </w:tcPr>
          <w:p>
            <w:pPr>
              <w:spacing w:after="0"/>
              <w:rPr>
                <w:sz w:val="14"/>
                <w:szCs w:val="14"/>
                <w:color w:val="auto"/>
              </w:rPr>
            </w:pPr>
          </w:p>
        </w:tc>
        <w:tc>
          <w:tcPr>
            <w:tcW w:w="1000" w:type="dxa"/>
            <w:vAlign w:val="bottom"/>
            <w:tcBorders>
              <w:bottom w:val="single" w:sz="8" w:color="auto"/>
              <w:right w:val="single" w:sz="8" w:color="auto"/>
            </w:tcBorders>
          </w:tcPr>
          <w:p>
            <w:pPr>
              <w:jc w:val="center"/>
              <w:ind w:right="156"/>
              <w:spacing w:after="0"/>
              <w:rPr>
                <w:sz w:val="20"/>
                <w:szCs w:val="20"/>
                <w:color w:val="auto"/>
              </w:rPr>
            </w:pPr>
            <w:r>
              <w:rPr>
                <w:rFonts w:ascii="Arial" w:cs="Arial" w:eastAsia="Arial" w:hAnsi="Arial"/>
                <w:sz w:val="13"/>
                <w:szCs w:val="13"/>
                <w:b w:val="1"/>
                <w:bCs w:val="1"/>
                <w:color w:val="auto"/>
                <w:w w:val="79"/>
              </w:rPr>
              <w:t>Assets</w:t>
            </w:r>
          </w:p>
        </w:tc>
        <w:tc>
          <w:tcPr>
            <w:tcW w:w="40" w:type="dxa"/>
            <w:vAlign w:val="bottom"/>
            <w:tcBorders>
              <w:bottom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center"/>
              <w:ind w:right="16"/>
              <w:spacing w:after="0"/>
              <w:rPr>
                <w:sz w:val="20"/>
                <w:szCs w:val="20"/>
                <w:color w:val="auto"/>
              </w:rPr>
            </w:pPr>
            <w:r>
              <w:rPr>
                <w:rFonts w:ascii="Arial" w:cs="Arial" w:eastAsia="Arial" w:hAnsi="Arial"/>
                <w:sz w:val="13"/>
                <w:szCs w:val="13"/>
                <w:b w:val="1"/>
                <w:bCs w:val="1"/>
                <w:color w:val="auto"/>
                <w:w w:val="83"/>
              </w:rPr>
              <w:t>Segment</w:t>
            </w:r>
          </w:p>
        </w:tc>
        <w:tc>
          <w:tcPr>
            <w:tcW w:w="0" w:type="dxa"/>
            <w:vAlign w:val="bottom"/>
          </w:tcPr>
          <w:p>
            <w:pPr>
              <w:spacing w:after="0"/>
              <w:rPr>
                <w:sz w:val="1"/>
                <w:szCs w:val="1"/>
                <w:color w:val="auto"/>
              </w:rPr>
            </w:pPr>
          </w:p>
        </w:tc>
      </w:tr>
      <w:tr>
        <w:trPr>
          <w:trHeight w:val="153"/>
        </w:trPr>
        <w:tc>
          <w:tcPr>
            <w:tcW w:w="2680" w:type="dxa"/>
            <w:vAlign w:val="bottom"/>
            <w:tcBorders>
              <w:left w:val="single" w:sz="8" w:color="auto"/>
              <w:right w:val="single" w:sz="8" w:color="auto"/>
            </w:tcBorders>
          </w:tcPr>
          <w:p>
            <w:pPr>
              <w:spacing w:after="0"/>
              <w:rPr>
                <w:sz w:val="13"/>
                <w:szCs w:val="13"/>
                <w:color w:val="auto"/>
              </w:rPr>
            </w:pPr>
          </w:p>
        </w:tc>
        <w:tc>
          <w:tcPr>
            <w:tcW w:w="1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w w:val="93"/>
              </w:rPr>
              <w:t>April 9, 2018</w:t>
            </w:r>
          </w:p>
        </w:tc>
        <w:tc>
          <w:tcPr>
            <w:tcW w:w="18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85"/>
              </w:rPr>
              <w:t>$3,890</w:t>
            </w:r>
          </w:p>
        </w:tc>
        <w:tc>
          <w:tcPr>
            <w:tcW w:w="200" w:type="dxa"/>
            <w:vAlign w:val="bottom"/>
            <w:vMerge w:val="restart"/>
          </w:tcPr>
          <w:p>
            <w:pPr>
              <w:jc w:val="right"/>
              <w:ind w:right="133"/>
              <w:spacing w:after="0"/>
              <w:rPr>
                <w:sz w:val="20"/>
                <w:szCs w:val="20"/>
                <w:color w:val="auto"/>
              </w:rPr>
            </w:pPr>
            <w:r>
              <w:rPr>
                <w:rFonts w:ascii="Arial" w:cs="Arial" w:eastAsia="Arial" w:hAnsi="Arial"/>
                <w:sz w:val="5"/>
                <w:szCs w:val="5"/>
                <w:color w:val="auto"/>
                <w:w w:val="70"/>
              </w:rPr>
              <w:t>$</w:t>
            </w:r>
          </w:p>
        </w:tc>
        <w:tc>
          <w:tcPr>
            <w:tcW w:w="960" w:type="dxa"/>
            <w:vAlign w:val="bottom"/>
            <w:tcBorders>
              <w:right w:val="single" w:sz="8" w:color="auto"/>
            </w:tcBorders>
            <w:vMerge w:val="restart"/>
          </w:tcPr>
          <w:p>
            <w:pPr>
              <w:jc w:val="right"/>
              <w:spacing w:after="0"/>
              <w:rPr>
                <w:sz w:val="20"/>
                <w:szCs w:val="20"/>
                <w:color w:val="auto"/>
              </w:rPr>
            </w:pPr>
            <w:r>
              <w:rPr>
                <w:rFonts w:ascii="Arial" w:cs="Arial" w:eastAsia="Arial" w:hAnsi="Arial"/>
                <w:sz w:val="13"/>
                <w:szCs w:val="13"/>
                <w:color w:val="auto"/>
              </w:rPr>
              <w:t>2,235</w:t>
            </w:r>
          </w:p>
        </w:tc>
        <w:tc>
          <w:tcPr>
            <w:tcW w:w="180" w:type="dxa"/>
            <w:vAlign w:val="bottom"/>
            <w:vMerge w:val="restart"/>
          </w:tcPr>
          <w:p>
            <w:pPr>
              <w:jc w:val="right"/>
              <w:ind w:right="72"/>
              <w:spacing w:after="0"/>
              <w:rPr>
                <w:sz w:val="20"/>
                <w:szCs w:val="20"/>
                <w:color w:val="auto"/>
              </w:rPr>
            </w:pPr>
            <w:r>
              <w:rPr>
                <w:rFonts w:ascii="Arial" w:cs="Arial" w:eastAsia="Arial" w:hAnsi="Arial"/>
                <w:sz w:val="10"/>
                <w:szCs w:val="10"/>
                <w:color w:val="auto"/>
                <w:w w:val="71"/>
              </w:rPr>
              <w:t>$</w:t>
            </w:r>
          </w:p>
        </w:tc>
        <w:tc>
          <w:tcPr>
            <w:tcW w:w="1000" w:type="dxa"/>
            <w:vAlign w:val="bottom"/>
            <w:tcBorders>
              <w:right w:val="single" w:sz="8" w:color="auto"/>
            </w:tcBorders>
            <w:vMerge w:val="restart"/>
          </w:tcPr>
          <w:p>
            <w:pPr>
              <w:jc w:val="right"/>
              <w:ind w:right="16"/>
              <w:spacing w:after="0"/>
              <w:rPr>
                <w:sz w:val="20"/>
                <w:szCs w:val="20"/>
                <w:color w:val="auto"/>
              </w:rPr>
            </w:pPr>
            <w:r>
              <w:rPr>
                <w:rFonts w:ascii="Arial" w:cs="Arial" w:eastAsia="Arial" w:hAnsi="Arial"/>
                <w:sz w:val="13"/>
                <w:szCs w:val="13"/>
                <w:color w:val="auto"/>
              </w:rPr>
              <w:t>1,655</w:t>
            </w:r>
          </w:p>
        </w:tc>
        <w:tc>
          <w:tcPr>
            <w:tcW w:w="40" w:type="dxa"/>
            <w:vAlign w:val="bottom"/>
          </w:tcPr>
          <w:p>
            <w:pPr>
              <w:spacing w:after="0"/>
              <w:rPr>
                <w:sz w:val="13"/>
                <w:szCs w:val="13"/>
                <w:color w:val="auto"/>
              </w:rPr>
            </w:pPr>
          </w:p>
        </w:tc>
        <w:tc>
          <w:tcPr>
            <w:tcW w:w="700" w:type="dxa"/>
            <w:vAlign w:val="bottom"/>
            <w:tcBorders>
              <w:right w:val="single" w:sz="8" w:color="auto"/>
            </w:tcBorders>
            <w:vMerge w:val="restart"/>
          </w:tcPr>
          <w:p>
            <w:pPr>
              <w:jc w:val="center"/>
              <w:ind w:right="16"/>
              <w:spacing w:after="0"/>
              <w:rPr>
                <w:sz w:val="20"/>
                <w:szCs w:val="20"/>
                <w:color w:val="auto"/>
              </w:rPr>
            </w:pPr>
            <w:r>
              <w:rPr>
                <w:rFonts w:ascii="Arial" w:cs="Arial" w:eastAsia="Arial" w:hAnsi="Arial"/>
                <w:sz w:val="13"/>
                <w:szCs w:val="13"/>
                <w:color w:val="auto"/>
                <w:w w:val="87"/>
              </w:rPr>
              <w:t>West</w:t>
            </w:r>
          </w:p>
        </w:tc>
        <w:tc>
          <w:tcPr>
            <w:tcW w:w="0" w:type="dxa"/>
            <w:vAlign w:val="bottom"/>
          </w:tcPr>
          <w:p>
            <w:pPr>
              <w:spacing w:after="0"/>
              <w:rPr>
                <w:sz w:val="1"/>
                <w:szCs w:val="1"/>
                <w:color w:val="auto"/>
              </w:rPr>
            </w:pPr>
          </w:p>
        </w:tc>
      </w:tr>
      <w:tr>
        <w:trPr>
          <w:trHeight w:val="164"/>
        </w:trPr>
        <w:tc>
          <w:tcPr>
            <w:tcW w:w="26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3"/>
                <w:szCs w:val="13"/>
                <w:color w:val="auto"/>
                <w:w w:val="87"/>
              </w:rPr>
              <w:t>Fontana Wood Products ("Fontana")</w:t>
            </w:r>
          </w:p>
        </w:tc>
        <w:tc>
          <w:tcPr>
            <w:tcW w:w="1500" w:type="dxa"/>
            <w:vAlign w:val="bottom"/>
            <w:tcBorders>
              <w:bottom w:val="single" w:sz="8" w:color="auto"/>
              <w:right w:val="single" w:sz="8" w:color="auto"/>
            </w:tcBorders>
            <w:vMerge w:val="continue"/>
          </w:tcPr>
          <w:p>
            <w:pPr>
              <w:spacing w:after="0"/>
              <w:rPr>
                <w:sz w:val="14"/>
                <w:szCs w:val="14"/>
                <w:color w:val="auto"/>
              </w:rPr>
            </w:pP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5"/>
              </w:rPr>
              <w:t>cash paid for 100% asset purchase</w:t>
            </w:r>
          </w:p>
        </w:tc>
        <w:tc>
          <w:tcPr>
            <w:tcW w:w="200" w:type="dxa"/>
            <w:vAlign w:val="bottom"/>
            <w:tcBorders>
              <w:bottom w:val="single" w:sz="8" w:color="auto"/>
            </w:tcBorders>
            <w:vMerge w:val="continue"/>
          </w:tcPr>
          <w:p>
            <w:pPr>
              <w:spacing w:after="0"/>
              <w:rPr>
                <w:sz w:val="14"/>
                <w:szCs w:val="14"/>
                <w:color w:val="auto"/>
              </w:rPr>
            </w:pPr>
          </w:p>
        </w:tc>
        <w:tc>
          <w:tcPr>
            <w:tcW w:w="960" w:type="dxa"/>
            <w:vAlign w:val="bottom"/>
            <w:tcBorders>
              <w:bottom w:val="single" w:sz="8" w:color="auto"/>
              <w:right w:val="single" w:sz="8" w:color="auto"/>
            </w:tcBorders>
            <w:vMerge w:val="continue"/>
          </w:tcPr>
          <w:p>
            <w:pPr>
              <w:spacing w:after="0"/>
              <w:rPr>
                <w:sz w:val="14"/>
                <w:szCs w:val="14"/>
                <w:color w:val="auto"/>
              </w:rPr>
            </w:pPr>
          </w:p>
        </w:tc>
        <w:tc>
          <w:tcPr>
            <w:tcW w:w="180" w:type="dxa"/>
            <w:vAlign w:val="bottom"/>
            <w:tcBorders>
              <w:bottom w:val="single" w:sz="8" w:color="auto"/>
            </w:tcBorders>
            <w:vMerge w:val="continue"/>
          </w:tcPr>
          <w:p>
            <w:pPr>
              <w:spacing w:after="0"/>
              <w:rPr>
                <w:sz w:val="14"/>
                <w:szCs w:val="14"/>
                <w:color w:val="auto"/>
              </w:rPr>
            </w:pPr>
          </w:p>
        </w:tc>
        <w:tc>
          <w:tcPr>
            <w:tcW w:w="1000" w:type="dxa"/>
            <w:vAlign w:val="bottom"/>
            <w:tcBorders>
              <w:bottom w:val="single" w:sz="8" w:color="auto"/>
              <w:right w:val="single" w:sz="8" w:color="auto"/>
            </w:tcBorders>
            <w:vMerge w:val="continue"/>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70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2680" w:type="dxa"/>
            <w:vAlign w:val="bottom"/>
            <w:tcBorders>
              <w:left w:val="single" w:sz="8" w:color="auto"/>
              <w:right w:val="single" w:sz="8" w:color="auto"/>
            </w:tcBorders>
            <w:vMerge w:val="continue"/>
          </w:tcPr>
          <w:p>
            <w:pPr>
              <w:spacing w:after="0"/>
              <w:rPr>
                <w:sz w:val="12"/>
                <w:szCs w:val="12"/>
                <w:color w:val="auto"/>
              </w:rPr>
            </w:pPr>
          </w:p>
        </w:tc>
        <w:tc>
          <w:tcPr>
            <w:tcW w:w="6440" w:type="dxa"/>
            <w:vAlign w:val="bottom"/>
            <w:tcBorders>
              <w:right w:val="single" w:sz="8" w:color="auto"/>
            </w:tcBorders>
            <w:gridSpan w:val="8"/>
          </w:tcPr>
          <w:p>
            <w:pPr>
              <w:spacing w:after="0" w:line="146" w:lineRule="exact"/>
              <w:rPr>
                <w:sz w:val="20"/>
                <w:szCs w:val="20"/>
                <w:color w:val="auto"/>
              </w:rPr>
            </w:pPr>
            <w:r>
              <w:rPr>
                <w:rFonts w:ascii="Arial" w:cs="Arial" w:eastAsia="Arial" w:hAnsi="Arial"/>
                <w:sz w:val="13"/>
                <w:szCs w:val="13"/>
                <w:color w:val="auto"/>
                <w:w w:val="96"/>
              </w:rPr>
              <w:t>A manufacturer and distributor of lumber and trusses in the Southern California region. Fontana had annual sales of</w:t>
            </w:r>
          </w:p>
        </w:tc>
        <w:tc>
          <w:tcPr>
            <w:tcW w:w="0" w:type="dxa"/>
            <w:vAlign w:val="bottom"/>
          </w:tcPr>
          <w:p>
            <w:pPr>
              <w:spacing w:after="0"/>
              <w:rPr>
                <w:sz w:val="1"/>
                <w:szCs w:val="1"/>
                <w:color w:val="auto"/>
              </w:rPr>
            </w:pPr>
          </w:p>
        </w:tc>
      </w:tr>
      <w:tr>
        <w:trPr>
          <w:trHeight w:val="159"/>
        </w:trPr>
        <w:tc>
          <w:tcPr>
            <w:tcW w:w="2680" w:type="dxa"/>
            <w:vAlign w:val="bottom"/>
            <w:tcBorders>
              <w:left w:val="single" w:sz="8" w:color="auto"/>
              <w:right w:val="single" w:sz="8" w:color="auto"/>
            </w:tcBorders>
          </w:tcPr>
          <w:p>
            <w:pPr>
              <w:spacing w:after="0"/>
              <w:rPr>
                <w:sz w:val="13"/>
                <w:szCs w:val="13"/>
                <w:color w:val="auto"/>
              </w:rPr>
            </w:pPr>
          </w:p>
        </w:tc>
        <w:tc>
          <w:tcPr>
            <w:tcW w:w="6440" w:type="dxa"/>
            <w:vAlign w:val="bottom"/>
            <w:tcBorders>
              <w:right w:val="single" w:sz="8" w:color="auto"/>
            </w:tcBorders>
            <w:gridSpan w:val="8"/>
          </w:tcPr>
          <w:p>
            <w:pPr>
              <w:spacing w:after="0"/>
              <w:rPr>
                <w:sz w:val="20"/>
                <w:szCs w:val="20"/>
                <w:color w:val="auto"/>
              </w:rPr>
            </w:pPr>
            <w:r>
              <w:rPr>
                <w:rFonts w:ascii="Arial" w:cs="Arial" w:eastAsia="Arial" w:hAnsi="Arial"/>
                <w:sz w:val="13"/>
                <w:szCs w:val="13"/>
                <w:color w:val="auto"/>
                <w:w w:val="90"/>
              </w:rPr>
              <w:t>approximately $12 million. The acquisition of Fontana allows us to expand our manufactured housing business and creates</w:t>
            </w:r>
          </w:p>
        </w:tc>
        <w:tc>
          <w:tcPr>
            <w:tcW w:w="0" w:type="dxa"/>
            <w:vAlign w:val="bottom"/>
          </w:tcPr>
          <w:p>
            <w:pPr>
              <w:spacing w:after="0"/>
              <w:rPr>
                <w:sz w:val="1"/>
                <w:szCs w:val="1"/>
                <w:color w:val="auto"/>
              </w:rPr>
            </w:pPr>
          </w:p>
        </w:tc>
      </w:tr>
      <w:tr>
        <w:trPr>
          <w:trHeight w:val="167"/>
        </w:trPr>
        <w:tc>
          <w:tcPr>
            <w:tcW w:w="2680" w:type="dxa"/>
            <w:vAlign w:val="bottom"/>
            <w:tcBorders>
              <w:left w:val="single" w:sz="8" w:color="auto"/>
              <w:bottom w:val="single" w:sz="8" w:color="auto"/>
              <w:right w:val="single" w:sz="8" w:color="auto"/>
            </w:tcBorders>
          </w:tcPr>
          <w:p>
            <w:pPr>
              <w:spacing w:after="0"/>
              <w:rPr>
                <w:sz w:val="14"/>
                <w:szCs w:val="14"/>
                <w:color w:val="auto"/>
              </w:rPr>
            </w:pPr>
          </w:p>
        </w:tc>
        <w:tc>
          <w:tcPr>
            <w:tcW w:w="3560" w:type="dxa"/>
            <w:vAlign w:val="bottom"/>
            <w:tcBorders>
              <w:bottom w:val="single" w:sz="8" w:color="auto"/>
            </w:tcBorders>
            <w:gridSpan w:val="3"/>
          </w:tcPr>
          <w:p>
            <w:pPr>
              <w:spacing w:after="0"/>
              <w:rPr>
                <w:sz w:val="20"/>
                <w:szCs w:val="20"/>
                <w:color w:val="auto"/>
              </w:rPr>
            </w:pPr>
            <w:r>
              <w:rPr>
                <w:rFonts w:ascii="Arial" w:cs="Arial" w:eastAsia="Arial" w:hAnsi="Arial"/>
                <w:sz w:val="13"/>
                <w:szCs w:val="13"/>
                <w:color w:val="auto"/>
                <w:w w:val="90"/>
              </w:rPr>
              <w:t>operating leverage by consolidating with another regional operation.</w:t>
            </w:r>
          </w:p>
        </w:tc>
        <w:tc>
          <w:tcPr>
            <w:tcW w:w="9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680" w:type="dxa"/>
            <w:vAlign w:val="bottom"/>
            <w:tcBorders>
              <w:left w:val="single" w:sz="8" w:color="auto"/>
              <w:right w:val="single" w:sz="8" w:color="auto"/>
            </w:tcBorders>
            <w:shd w:val="clear" w:color="auto" w:fill="CCEBFF"/>
          </w:tcPr>
          <w:p>
            <w:pPr>
              <w:spacing w:after="0"/>
              <w:rPr>
                <w:sz w:val="13"/>
                <w:szCs w:val="13"/>
                <w:color w:val="auto"/>
              </w:rPr>
            </w:pPr>
          </w:p>
        </w:tc>
        <w:tc>
          <w:tcPr>
            <w:tcW w:w="1500" w:type="dxa"/>
            <w:vAlign w:val="bottom"/>
            <w:tcBorders>
              <w:right w:val="single" w:sz="8" w:color="auto"/>
            </w:tcBorders>
            <w:vMerge w:val="restart"/>
            <w:shd w:val="clear" w:color="auto" w:fill="CCEBFF"/>
          </w:tcPr>
          <w:p>
            <w:pPr>
              <w:jc w:val="center"/>
              <w:spacing w:after="0"/>
              <w:rPr>
                <w:sz w:val="20"/>
                <w:szCs w:val="20"/>
                <w:color w:val="auto"/>
              </w:rPr>
            </w:pPr>
            <w:r>
              <w:rPr>
                <w:rFonts w:ascii="Arial" w:cs="Arial" w:eastAsia="Arial" w:hAnsi="Arial"/>
                <w:sz w:val="13"/>
                <w:szCs w:val="13"/>
                <w:color w:val="auto"/>
                <w:w w:val="93"/>
              </w:rPr>
              <w:t>April 3, 2018</w:t>
            </w:r>
          </w:p>
        </w:tc>
        <w:tc>
          <w:tcPr>
            <w:tcW w:w="1860" w:type="dxa"/>
            <w:vAlign w:val="bottom"/>
            <w:tcBorders>
              <w:right w:val="single" w:sz="8" w:color="auto"/>
            </w:tcBorders>
            <w:shd w:val="clear" w:color="auto" w:fill="CCEBFF"/>
          </w:tcPr>
          <w:p>
            <w:pPr>
              <w:jc w:val="center"/>
              <w:spacing w:after="0"/>
              <w:rPr>
                <w:sz w:val="20"/>
                <w:szCs w:val="20"/>
                <w:color w:val="auto"/>
              </w:rPr>
            </w:pPr>
            <w:r>
              <w:rPr>
                <w:rFonts w:ascii="Arial" w:cs="Arial" w:eastAsia="Arial" w:hAnsi="Arial"/>
                <w:sz w:val="13"/>
                <w:szCs w:val="13"/>
                <w:color w:val="auto"/>
                <w:w w:val="85"/>
              </w:rPr>
              <w:t>$1,347</w:t>
            </w:r>
          </w:p>
        </w:tc>
        <w:tc>
          <w:tcPr>
            <w:tcW w:w="200" w:type="dxa"/>
            <w:vAlign w:val="bottom"/>
            <w:vMerge w:val="restart"/>
            <w:shd w:val="clear" w:color="auto" w:fill="CCEBFF"/>
          </w:tcPr>
          <w:p>
            <w:pPr>
              <w:jc w:val="right"/>
              <w:ind w:right="133"/>
              <w:spacing w:after="0"/>
              <w:rPr>
                <w:sz w:val="20"/>
                <w:szCs w:val="20"/>
                <w:color w:val="auto"/>
              </w:rPr>
            </w:pPr>
            <w:r>
              <w:rPr>
                <w:rFonts w:ascii="Arial" w:cs="Arial" w:eastAsia="Arial" w:hAnsi="Arial"/>
                <w:sz w:val="5"/>
                <w:szCs w:val="5"/>
                <w:color w:val="auto"/>
                <w:w w:val="70"/>
              </w:rPr>
              <w:t>$</w:t>
            </w:r>
          </w:p>
        </w:tc>
        <w:tc>
          <w:tcPr>
            <w:tcW w:w="960" w:type="dxa"/>
            <w:vAlign w:val="bottom"/>
            <w:tcBorders>
              <w:right w:val="single" w:sz="8" w:color="auto"/>
            </w:tcBorders>
            <w:vMerge w:val="restart"/>
            <w:shd w:val="clear" w:color="auto" w:fill="CCEBFF"/>
          </w:tcPr>
          <w:p>
            <w:pPr>
              <w:jc w:val="right"/>
              <w:spacing w:after="0"/>
              <w:rPr>
                <w:sz w:val="20"/>
                <w:szCs w:val="20"/>
                <w:color w:val="auto"/>
              </w:rPr>
            </w:pPr>
            <w:r>
              <w:rPr>
                <w:rFonts w:ascii="Arial" w:cs="Arial" w:eastAsia="Arial" w:hAnsi="Arial"/>
                <w:sz w:val="13"/>
                <w:szCs w:val="13"/>
                <w:color w:val="auto"/>
              </w:rPr>
              <w:t>1,287</w:t>
            </w:r>
          </w:p>
        </w:tc>
        <w:tc>
          <w:tcPr>
            <w:tcW w:w="180" w:type="dxa"/>
            <w:vAlign w:val="bottom"/>
            <w:vMerge w:val="restart"/>
            <w:shd w:val="clear" w:color="auto" w:fill="CCEBFF"/>
          </w:tcPr>
          <w:p>
            <w:pPr>
              <w:jc w:val="right"/>
              <w:ind w:right="72"/>
              <w:spacing w:after="0"/>
              <w:rPr>
                <w:sz w:val="20"/>
                <w:szCs w:val="20"/>
                <w:color w:val="auto"/>
              </w:rPr>
            </w:pPr>
            <w:r>
              <w:rPr>
                <w:rFonts w:ascii="Arial" w:cs="Arial" w:eastAsia="Arial" w:hAnsi="Arial"/>
                <w:sz w:val="10"/>
                <w:szCs w:val="10"/>
                <w:color w:val="auto"/>
                <w:w w:val="71"/>
              </w:rPr>
              <w:t>$</w:t>
            </w:r>
          </w:p>
        </w:tc>
        <w:tc>
          <w:tcPr>
            <w:tcW w:w="1000" w:type="dxa"/>
            <w:vAlign w:val="bottom"/>
            <w:tcBorders>
              <w:right w:val="single" w:sz="8" w:color="auto"/>
            </w:tcBorders>
            <w:vMerge w:val="restart"/>
            <w:shd w:val="clear" w:color="auto" w:fill="CCEBFF"/>
          </w:tcPr>
          <w:p>
            <w:pPr>
              <w:jc w:val="right"/>
              <w:ind w:right="16"/>
              <w:spacing w:after="0"/>
              <w:rPr>
                <w:sz w:val="20"/>
                <w:szCs w:val="20"/>
                <w:color w:val="auto"/>
              </w:rPr>
            </w:pPr>
            <w:r>
              <w:rPr>
                <w:rFonts w:ascii="Arial" w:cs="Arial" w:eastAsia="Arial" w:hAnsi="Arial"/>
                <w:sz w:val="13"/>
                <w:szCs w:val="13"/>
                <w:color w:val="auto"/>
              </w:rPr>
              <w:t>60</w:t>
            </w:r>
          </w:p>
        </w:tc>
        <w:tc>
          <w:tcPr>
            <w:tcW w:w="40" w:type="dxa"/>
            <w:vAlign w:val="bottom"/>
            <w:shd w:val="clear" w:color="auto" w:fill="CCEBFF"/>
          </w:tcPr>
          <w:p>
            <w:pPr>
              <w:spacing w:after="0"/>
              <w:rPr>
                <w:sz w:val="13"/>
                <w:szCs w:val="13"/>
                <w:color w:val="auto"/>
              </w:rPr>
            </w:pPr>
          </w:p>
        </w:tc>
        <w:tc>
          <w:tcPr>
            <w:tcW w:w="700" w:type="dxa"/>
            <w:vAlign w:val="bottom"/>
            <w:tcBorders>
              <w:right w:val="single" w:sz="8" w:color="auto"/>
            </w:tcBorders>
            <w:vMerge w:val="restart"/>
            <w:shd w:val="clear" w:color="auto" w:fill="CCEBFF"/>
          </w:tcPr>
          <w:p>
            <w:pPr>
              <w:jc w:val="center"/>
              <w:ind w:right="16"/>
              <w:spacing w:after="0"/>
              <w:rPr>
                <w:sz w:val="20"/>
                <w:szCs w:val="20"/>
                <w:color w:val="auto"/>
              </w:rPr>
            </w:pPr>
            <w:r>
              <w:rPr>
                <w:rFonts w:ascii="Arial" w:cs="Arial" w:eastAsia="Arial" w:hAnsi="Arial"/>
                <w:sz w:val="13"/>
                <w:szCs w:val="13"/>
                <w:color w:val="auto"/>
                <w:w w:val="98"/>
              </w:rPr>
              <w:t>All Other</w:t>
            </w:r>
          </w:p>
        </w:tc>
        <w:tc>
          <w:tcPr>
            <w:tcW w:w="0" w:type="dxa"/>
            <w:vAlign w:val="bottom"/>
          </w:tcPr>
          <w:p>
            <w:pPr>
              <w:spacing w:after="0"/>
              <w:rPr>
                <w:sz w:val="1"/>
                <w:szCs w:val="1"/>
                <w:color w:val="auto"/>
              </w:rPr>
            </w:pPr>
          </w:p>
        </w:tc>
      </w:tr>
      <w:tr>
        <w:trPr>
          <w:trHeight w:val="164"/>
        </w:trPr>
        <w:tc>
          <w:tcPr>
            <w:tcW w:w="2680" w:type="dxa"/>
            <w:vAlign w:val="bottom"/>
            <w:tcBorders>
              <w:left w:val="single" w:sz="8" w:color="auto"/>
              <w:bottom w:val="single" w:sz="8" w:color="CCEBFF"/>
              <w:right w:val="single" w:sz="8" w:color="auto"/>
            </w:tcBorders>
            <w:vMerge w:val="restart"/>
            <w:shd w:val="clear" w:color="auto" w:fill="CCEBFF"/>
          </w:tcPr>
          <w:p>
            <w:pPr>
              <w:jc w:val="center"/>
              <w:spacing w:after="0"/>
              <w:rPr>
                <w:sz w:val="20"/>
                <w:szCs w:val="20"/>
                <w:color w:val="auto"/>
              </w:rPr>
            </w:pPr>
            <w:r>
              <w:rPr>
                <w:rFonts w:ascii="Arial" w:cs="Arial" w:eastAsia="Arial" w:hAnsi="Arial"/>
                <w:sz w:val="13"/>
                <w:szCs w:val="13"/>
                <w:color w:val="auto"/>
                <w:w w:val="90"/>
              </w:rPr>
              <w:t>Expert Packaging ("Expert")</w:t>
            </w:r>
          </w:p>
        </w:tc>
        <w:tc>
          <w:tcPr>
            <w:tcW w:w="1500" w:type="dxa"/>
            <w:vAlign w:val="bottom"/>
            <w:tcBorders>
              <w:bottom w:val="single" w:sz="8" w:color="auto"/>
              <w:right w:val="single" w:sz="8" w:color="auto"/>
            </w:tcBorders>
            <w:vMerge w:val="continue"/>
            <w:shd w:val="clear" w:color="auto" w:fill="CCEBFF"/>
          </w:tcPr>
          <w:p>
            <w:pPr>
              <w:spacing w:after="0"/>
              <w:rPr>
                <w:sz w:val="14"/>
                <w:szCs w:val="14"/>
                <w:color w:val="auto"/>
              </w:rPr>
            </w:pPr>
          </w:p>
        </w:tc>
        <w:tc>
          <w:tcPr>
            <w:tcW w:w="1860" w:type="dxa"/>
            <w:vAlign w:val="bottom"/>
            <w:tcBorders>
              <w:bottom w:val="single" w:sz="8" w:color="auto"/>
              <w:right w:val="single" w:sz="8" w:color="auto"/>
            </w:tcBorders>
            <w:shd w:val="clear" w:color="auto" w:fill="CCEBFF"/>
          </w:tcPr>
          <w:p>
            <w:pPr>
              <w:jc w:val="center"/>
              <w:spacing w:after="0"/>
              <w:rPr>
                <w:sz w:val="20"/>
                <w:szCs w:val="20"/>
                <w:color w:val="auto"/>
              </w:rPr>
            </w:pPr>
            <w:r>
              <w:rPr>
                <w:rFonts w:ascii="Arial" w:cs="Arial" w:eastAsia="Arial" w:hAnsi="Arial"/>
                <w:sz w:val="13"/>
                <w:szCs w:val="13"/>
                <w:color w:val="auto"/>
                <w:w w:val="85"/>
              </w:rPr>
              <w:t>cash paid for 100% asset purchase</w:t>
            </w:r>
          </w:p>
        </w:tc>
        <w:tc>
          <w:tcPr>
            <w:tcW w:w="200" w:type="dxa"/>
            <w:vAlign w:val="bottom"/>
            <w:tcBorders>
              <w:bottom w:val="single" w:sz="8" w:color="auto"/>
            </w:tcBorders>
            <w:vMerge w:val="continue"/>
            <w:shd w:val="clear" w:color="auto" w:fill="CCEBFF"/>
          </w:tcPr>
          <w:p>
            <w:pPr>
              <w:spacing w:after="0"/>
              <w:rPr>
                <w:sz w:val="14"/>
                <w:szCs w:val="14"/>
                <w:color w:val="auto"/>
              </w:rPr>
            </w:pPr>
          </w:p>
        </w:tc>
        <w:tc>
          <w:tcPr>
            <w:tcW w:w="960" w:type="dxa"/>
            <w:vAlign w:val="bottom"/>
            <w:tcBorders>
              <w:bottom w:val="single" w:sz="8" w:color="auto"/>
              <w:right w:val="single" w:sz="8" w:color="auto"/>
            </w:tcBorders>
            <w:vMerge w:val="continue"/>
            <w:shd w:val="clear" w:color="auto" w:fill="CCEBFF"/>
          </w:tcPr>
          <w:p>
            <w:pPr>
              <w:spacing w:after="0"/>
              <w:rPr>
                <w:sz w:val="14"/>
                <w:szCs w:val="14"/>
                <w:color w:val="auto"/>
              </w:rPr>
            </w:pPr>
          </w:p>
        </w:tc>
        <w:tc>
          <w:tcPr>
            <w:tcW w:w="180" w:type="dxa"/>
            <w:vAlign w:val="bottom"/>
            <w:tcBorders>
              <w:bottom w:val="single" w:sz="8" w:color="auto"/>
            </w:tcBorders>
            <w:vMerge w:val="continue"/>
            <w:shd w:val="clear" w:color="auto" w:fill="CCEBFF"/>
          </w:tcPr>
          <w:p>
            <w:pPr>
              <w:spacing w:after="0"/>
              <w:rPr>
                <w:sz w:val="14"/>
                <w:szCs w:val="14"/>
                <w:color w:val="auto"/>
              </w:rPr>
            </w:pPr>
          </w:p>
        </w:tc>
        <w:tc>
          <w:tcPr>
            <w:tcW w:w="1000" w:type="dxa"/>
            <w:vAlign w:val="bottom"/>
            <w:tcBorders>
              <w:bottom w:val="single" w:sz="8" w:color="auto"/>
              <w:right w:val="single" w:sz="8" w:color="auto"/>
            </w:tcBorders>
            <w:vMerge w:val="continue"/>
            <w:shd w:val="clear" w:color="auto" w:fill="CCEBFF"/>
          </w:tcPr>
          <w:p>
            <w:pPr>
              <w:spacing w:after="0"/>
              <w:rPr>
                <w:sz w:val="14"/>
                <w:szCs w:val="14"/>
                <w:color w:val="auto"/>
              </w:rPr>
            </w:pPr>
          </w:p>
        </w:tc>
        <w:tc>
          <w:tcPr>
            <w:tcW w:w="40" w:type="dxa"/>
            <w:vAlign w:val="bottom"/>
            <w:tcBorders>
              <w:bottom w:val="single" w:sz="8" w:color="auto"/>
            </w:tcBorders>
            <w:shd w:val="clear" w:color="auto" w:fill="CCEBFF"/>
          </w:tcPr>
          <w:p>
            <w:pPr>
              <w:spacing w:after="0"/>
              <w:rPr>
                <w:sz w:val="14"/>
                <w:szCs w:val="14"/>
                <w:color w:val="auto"/>
              </w:rPr>
            </w:pPr>
          </w:p>
        </w:tc>
        <w:tc>
          <w:tcPr>
            <w:tcW w:w="700" w:type="dxa"/>
            <w:vAlign w:val="bottom"/>
            <w:tcBorders>
              <w:bottom w:val="single" w:sz="8" w:color="auto"/>
              <w:right w:val="single" w:sz="8" w:color="auto"/>
            </w:tcBorders>
            <w:vMerge w:val="continue"/>
            <w:shd w:val="clear" w:color="auto" w:fill="CCEBFF"/>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2680" w:type="dxa"/>
            <w:vAlign w:val="bottom"/>
            <w:tcBorders>
              <w:left w:val="single" w:sz="8" w:color="auto"/>
              <w:right w:val="single" w:sz="8" w:color="auto"/>
            </w:tcBorders>
            <w:vMerge w:val="continue"/>
            <w:shd w:val="clear" w:color="auto" w:fill="CCEBFF"/>
          </w:tcPr>
          <w:p>
            <w:pPr>
              <w:spacing w:after="0"/>
              <w:rPr>
                <w:sz w:val="12"/>
                <w:szCs w:val="12"/>
                <w:color w:val="auto"/>
              </w:rPr>
            </w:pPr>
          </w:p>
        </w:tc>
        <w:tc>
          <w:tcPr>
            <w:tcW w:w="6440" w:type="dxa"/>
            <w:vAlign w:val="bottom"/>
            <w:tcBorders>
              <w:right w:val="single" w:sz="8" w:color="auto"/>
            </w:tcBorders>
            <w:gridSpan w:val="8"/>
            <w:shd w:val="clear" w:color="auto" w:fill="CCEBFF"/>
          </w:tcPr>
          <w:p>
            <w:pPr>
              <w:spacing w:after="0" w:line="146" w:lineRule="exact"/>
              <w:rPr>
                <w:sz w:val="20"/>
                <w:szCs w:val="20"/>
                <w:color w:val="auto"/>
              </w:rPr>
            </w:pPr>
            <w:r>
              <w:rPr>
                <w:rFonts w:ascii="Arial" w:cs="Arial" w:eastAsia="Arial" w:hAnsi="Arial"/>
                <w:sz w:val="13"/>
                <w:szCs w:val="13"/>
                <w:color w:val="auto"/>
                <w:w w:val="91"/>
              </w:rPr>
              <w:t>A manufacturer and distributor of total packaging solutions in timber, crates, pallets, and skids. Expert had annual sales of</w:t>
            </w:r>
          </w:p>
        </w:tc>
        <w:tc>
          <w:tcPr>
            <w:tcW w:w="0" w:type="dxa"/>
            <w:vAlign w:val="bottom"/>
          </w:tcPr>
          <w:p>
            <w:pPr>
              <w:spacing w:after="0"/>
              <w:rPr>
                <w:sz w:val="1"/>
                <w:szCs w:val="1"/>
                <w:color w:val="auto"/>
              </w:rPr>
            </w:pPr>
          </w:p>
        </w:tc>
      </w:tr>
      <w:tr>
        <w:trPr>
          <w:trHeight w:val="159"/>
        </w:trPr>
        <w:tc>
          <w:tcPr>
            <w:tcW w:w="2680" w:type="dxa"/>
            <w:vAlign w:val="bottom"/>
            <w:tcBorders>
              <w:left w:val="single" w:sz="8" w:color="auto"/>
              <w:right w:val="single" w:sz="8" w:color="auto"/>
            </w:tcBorders>
            <w:shd w:val="clear" w:color="auto" w:fill="CCEBFF"/>
          </w:tcPr>
          <w:p>
            <w:pPr>
              <w:spacing w:after="0"/>
              <w:rPr>
                <w:sz w:val="13"/>
                <w:szCs w:val="13"/>
                <w:color w:val="auto"/>
              </w:rPr>
            </w:pPr>
          </w:p>
        </w:tc>
        <w:tc>
          <w:tcPr>
            <w:tcW w:w="6440" w:type="dxa"/>
            <w:vAlign w:val="bottom"/>
            <w:tcBorders>
              <w:right w:val="single" w:sz="8" w:color="auto"/>
            </w:tcBorders>
            <w:gridSpan w:val="8"/>
            <w:shd w:val="clear" w:color="auto" w:fill="CCEBFF"/>
          </w:tcPr>
          <w:p>
            <w:pPr>
              <w:spacing w:after="0"/>
              <w:rPr>
                <w:sz w:val="20"/>
                <w:szCs w:val="20"/>
                <w:color w:val="auto"/>
              </w:rPr>
            </w:pPr>
            <w:r>
              <w:rPr>
                <w:rFonts w:ascii="Arial" w:cs="Arial" w:eastAsia="Arial" w:hAnsi="Arial"/>
                <w:sz w:val="13"/>
                <w:szCs w:val="13"/>
                <w:color w:val="auto"/>
                <w:w w:val="90"/>
              </w:rPr>
              <w:t>approximately $3.6 million. The acquisition of Expert allows us to make progress on our goal of becoming a global provider</w:t>
            </w:r>
          </w:p>
        </w:tc>
        <w:tc>
          <w:tcPr>
            <w:tcW w:w="0" w:type="dxa"/>
            <w:vAlign w:val="bottom"/>
          </w:tcPr>
          <w:p>
            <w:pPr>
              <w:spacing w:after="0"/>
              <w:rPr>
                <w:sz w:val="1"/>
                <w:szCs w:val="1"/>
                <w:color w:val="auto"/>
              </w:rPr>
            </w:pPr>
          </w:p>
        </w:tc>
      </w:tr>
      <w:tr>
        <w:trPr>
          <w:trHeight w:val="167"/>
        </w:trPr>
        <w:tc>
          <w:tcPr>
            <w:tcW w:w="2680" w:type="dxa"/>
            <w:vAlign w:val="bottom"/>
            <w:tcBorders>
              <w:left w:val="single" w:sz="8" w:color="auto"/>
              <w:bottom w:val="single" w:sz="8" w:color="auto"/>
              <w:right w:val="single" w:sz="8" w:color="auto"/>
            </w:tcBorders>
            <w:shd w:val="clear" w:color="auto" w:fill="CCEBFF"/>
          </w:tcPr>
          <w:p>
            <w:pPr>
              <w:spacing w:after="0"/>
              <w:rPr>
                <w:sz w:val="14"/>
                <w:szCs w:val="14"/>
                <w:color w:val="auto"/>
              </w:rPr>
            </w:pPr>
          </w:p>
        </w:tc>
        <w:tc>
          <w:tcPr>
            <w:tcW w:w="1500" w:type="dxa"/>
            <w:vAlign w:val="bottom"/>
            <w:tcBorders>
              <w:bottom w:val="single" w:sz="8" w:color="auto"/>
              <w:right w:val="single" w:sz="8" w:color="CCEBFF"/>
            </w:tcBorders>
            <w:shd w:val="clear" w:color="auto" w:fill="CCEBFF"/>
          </w:tcPr>
          <w:p>
            <w:pPr>
              <w:spacing w:after="0"/>
              <w:rPr>
                <w:sz w:val="20"/>
                <w:szCs w:val="20"/>
                <w:color w:val="auto"/>
              </w:rPr>
            </w:pPr>
            <w:r>
              <w:rPr>
                <w:rFonts w:ascii="Arial" w:cs="Arial" w:eastAsia="Arial" w:hAnsi="Arial"/>
                <w:sz w:val="13"/>
                <w:szCs w:val="13"/>
                <w:color w:val="auto"/>
              </w:rPr>
              <w:t>of packaging solutions.</w:t>
            </w:r>
          </w:p>
        </w:tc>
        <w:tc>
          <w:tcPr>
            <w:tcW w:w="1860" w:type="dxa"/>
            <w:vAlign w:val="bottom"/>
            <w:tcBorders>
              <w:bottom w:val="single" w:sz="8" w:color="auto"/>
              <w:right w:val="single" w:sz="8" w:color="CCEBFF"/>
            </w:tcBorders>
            <w:shd w:val="clear" w:color="auto" w:fill="CCEBFF"/>
          </w:tcPr>
          <w:p>
            <w:pPr>
              <w:spacing w:after="0"/>
              <w:rPr>
                <w:sz w:val="14"/>
                <w:szCs w:val="14"/>
                <w:color w:val="auto"/>
              </w:rPr>
            </w:pPr>
          </w:p>
        </w:tc>
        <w:tc>
          <w:tcPr>
            <w:tcW w:w="200" w:type="dxa"/>
            <w:vAlign w:val="bottom"/>
            <w:tcBorders>
              <w:bottom w:val="single" w:sz="8" w:color="auto"/>
            </w:tcBorders>
            <w:shd w:val="clear" w:color="auto" w:fill="CCEBFF"/>
          </w:tcPr>
          <w:p>
            <w:pPr>
              <w:spacing w:after="0"/>
              <w:rPr>
                <w:sz w:val="14"/>
                <w:szCs w:val="14"/>
                <w:color w:val="auto"/>
              </w:rPr>
            </w:pPr>
          </w:p>
        </w:tc>
        <w:tc>
          <w:tcPr>
            <w:tcW w:w="960" w:type="dxa"/>
            <w:vAlign w:val="bottom"/>
            <w:tcBorders>
              <w:bottom w:val="single" w:sz="8" w:color="auto"/>
              <w:right w:val="single" w:sz="8" w:color="CCEBFF"/>
            </w:tcBorders>
            <w:shd w:val="clear" w:color="auto" w:fill="CCEBFF"/>
          </w:tcPr>
          <w:p>
            <w:pPr>
              <w:spacing w:after="0"/>
              <w:rPr>
                <w:sz w:val="14"/>
                <w:szCs w:val="14"/>
                <w:color w:val="auto"/>
              </w:rPr>
            </w:pPr>
          </w:p>
        </w:tc>
        <w:tc>
          <w:tcPr>
            <w:tcW w:w="180" w:type="dxa"/>
            <w:vAlign w:val="bottom"/>
            <w:tcBorders>
              <w:bottom w:val="single" w:sz="8" w:color="auto"/>
            </w:tcBorders>
            <w:shd w:val="clear" w:color="auto" w:fill="CCEBFF"/>
          </w:tcPr>
          <w:p>
            <w:pPr>
              <w:spacing w:after="0"/>
              <w:rPr>
                <w:sz w:val="14"/>
                <w:szCs w:val="14"/>
                <w:color w:val="auto"/>
              </w:rPr>
            </w:pPr>
          </w:p>
        </w:tc>
        <w:tc>
          <w:tcPr>
            <w:tcW w:w="1000" w:type="dxa"/>
            <w:vAlign w:val="bottom"/>
            <w:tcBorders>
              <w:bottom w:val="single" w:sz="8" w:color="auto"/>
              <w:right w:val="single" w:sz="8" w:color="CCEBFF"/>
            </w:tcBorders>
            <w:shd w:val="clear" w:color="auto" w:fill="CCEBFF"/>
          </w:tcPr>
          <w:p>
            <w:pPr>
              <w:spacing w:after="0"/>
              <w:rPr>
                <w:sz w:val="14"/>
                <w:szCs w:val="14"/>
                <w:color w:val="auto"/>
              </w:rPr>
            </w:pPr>
          </w:p>
        </w:tc>
        <w:tc>
          <w:tcPr>
            <w:tcW w:w="40" w:type="dxa"/>
            <w:vAlign w:val="bottom"/>
            <w:tcBorders>
              <w:bottom w:val="single" w:sz="8" w:color="auto"/>
            </w:tcBorders>
            <w:shd w:val="clear" w:color="auto" w:fill="CCEBFF"/>
          </w:tcPr>
          <w:p>
            <w:pPr>
              <w:spacing w:after="0"/>
              <w:rPr>
                <w:sz w:val="14"/>
                <w:szCs w:val="14"/>
                <w:color w:val="auto"/>
              </w:rPr>
            </w:pPr>
          </w:p>
        </w:tc>
        <w:tc>
          <w:tcPr>
            <w:tcW w:w="700" w:type="dxa"/>
            <w:vAlign w:val="bottom"/>
            <w:tcBorders>
              <w:bottom w:val="single" w:sz="8" w:color="auto"/>
              <w:right w:val="single" w:sz="8" w:color="auto"/>
            </w:tcBorders>
            <w:shd w:val="clear" w:color="auto" w:fill="CCEB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680" w:type="dxa"/>
            <w:vAlign w:val="bottom"/>
            <w:tcBorders>
              <w:left w:val="single" w:sz="8" w:color="auto"/>
              <w:right w:val="single" w:sz="8" w:color="auto"/>
            </w:tcBorders>
          </w:tcPr>
          <w:p>
            <w:pPr>
              <w:spacing w:after="0"/>
              <w:rPr>
                <w:sz w:val="13"/>
                <w:szCs w:val="13"/>
                <w:color w:val="auto"/>
              </w:rPr>
            </w:pPr>
          </w:p>
        </w:tc>
        <w:tc>
          <w:tcPr>
            <w:tcW w:w="1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w w:val="87"/>
              </w:rPr>
              <w:t>January 23, 2018</w:t>
            </w:r>
          </w:p>
        </w:tc>
        <w:tc>
          <w:tcPr>
            <w:tcW w:w="18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85"/>
              </w:rPr>
              <w:t>$2,942</w:t>
            </w:r>
          </w:p>
        </w:tc>
        <w:tc>
          <w:tcPr>
            <w:tcW w:w="200" w:type="dxa"/>
            <w:vAlign w:val="bottom"/>
            <w:vMerge w:val="restart"/>
          </w:tcPr>
          <w:p>
            <w:pPr>
              <w:jc w:val="right"/>
              <w:ind w:right="133"/>
              <w:spacing w:after="0"/>
              <w:rPr>
                <w:sz w:val="20"/>
                <w:szCs w:val="20"/>
                <w:color w:val="auto"/>
              </w:rPr>
            </w:pPr>
            <w:r>
              <w:rPr>
                <w:rFonts w:ascii="Arial" w:cs="Arial" w:eastAsia="Arial" w:hAnsi="Arial"/>
                <w:sz w:val="5"/>
                <w:szCs w:val="5"/>
                <w:color w:val="auto"/>
                <w:w w:val="70"/>
              </w:rPr>
              <w:t>$</w:t>
            </w:r>
          </w:p>
        </w:tc>
        <w:tc>
          <w:tcPr>
            <w:tcW w:w="960" w:type="dxa"/>
            <w:vAlign w:val="bottom"/>
            <w:tcBorders>
              <w:right w:val="single" w:sz="8" w:color="auto"/>
            </w:tcBorders>
            <w:vMerge w:val="restart"/>
          </w:tcPr>
          <w:p>
            <w:pPr>
              <w:jc w:val="right"/>
              <w:spacing w:after="0"/>
              <w:rPr>
                <w:sz w:val="20"/>
                <w:szCs w:val="20"/>
                <w:color w:val="auto"/>
              </w:rPr>
            </w:pPr>
            <w:r>
              <w:rPr>
                <w:rFonts w:ascii="Arial" w:cs="Arial" w:eastAsia="Arial" w:hAnsi="Arial"/>
                <w:sz w:val="13"/>
                <w:szCs w:val="13"/>
                <w:color w:val="auto"/>
              </w:rPr>
              <w:t>850</w:t>
            </w:r>
          </w:p>
        </w:tc>
        <w:tc>
          <w:tcPr>
            <w:tcW w:w="180" w:type="dxa"/>
            <w:vAlign w:val="bottom"/>
            <w:vMerge w:val="restart"/>
          </w:tcPr>
          <w:p>
            <w:pPr>
              <w:jc w:val="right"/>
              <w:ind w:right="72"/>
              <w:spacing w:after="0"/>
              <w:rPr>
                <w:sz w:val="20"/>
                <w:szCs w:val="20"/>
                <w:color w:val="auto"/>
              </w:rPr>
            </w:pPr>
            <w:r>
              <w:rPr>
                <w:rFonts w:ascii="Arial" w:cs="Arial" w:eastAsia="Arial" w:hAnsi="Arial"/>
                <w:sz w:val="10"/>
                <w:szCs w:val="10"/>
                <w:color w:val="auto"/>
                <w:w w:val="71"/>
              </w:rPr>
              <w:t>$</w:t>
            </w:r>
          </w:p>
        </w:tc>
        <w:tc>
          <w:tcPr>
            <w:tcW w:w="1000" w:type="dxa"/>
            <w:vAlign w:val="bottom"/>
            <w:tcBorders>
              <w:right w:val="single" w:sz="8" w:color="auto"/>
            </w:tcBorders>
            <w:vMerge w:val="restart"/>
          </w:tcPr>
          <w:p>
            <w:pPr>
              <w:jc w:val="right"/>
              <w:ind w:right="16"/>
              <w:spacing w:after="0"/>
              <w:rPr>
                <w:sz w:val="20"/>
                <w:szCs w:val="20"/>
                <w:color w:val="auto"/>
              </w:rPr>
            </w:pPr>
            <w:r>
              <w:rPr>
                <w:rFonts w:ascii="Arial" w:cs="Arial" w:eastAsia="Arial" w:hAnsi="Arial"/>
                <w:sz w:val="13"/>
                <w:szCs w:val="13"/>
                <w:color w:val="auto"/>
              </w:rPr>
              <w:t>2,092</w:t>
            </w:r>
          </w:p>
        </w:tc>
        <w:tc>
          <w:tcPr>
            <w:tcW w:w="40" w:type="dxa"/>
            <w:vAlign w:val="bottom"/>
          </w:tcPr>
          <w:p>
            <w:pPr>
              <w:spacing w:after="0"/>
              <w:rPr>
                <w:sz w:val="13"/>
                <w:szCs w:val="13"/>
                <w:color w:val="auto"/>
              </w:rPr>
            </w:pPr>
          </w:p>
        </w:tc>
        <w:tc>
          <w:tcPr>
            <w:tcW w:w="700" w:type="dxa"/>
            <w:vAlign w:val="bottom"/>
            <w:tcBorders>
              <w:right w:val="single" w:sz="8" w:color="auto"/>
            </w:tcBorders>
            <w:vMerge w:val="restart"/>
          </w:tcPr>
          <w:p>
            <w:pPr>
              <w:jc w:val="center"/>
              <w:ind w:right="16"/>
              <w:spacing w:after="0"/>
              <w:rPr>
                <w:sz w:val="20"/>
                <w:szCs w:val="20"/>
                <w:color w:val="auto"/>
              </w:rPr>
            </w:pPr>
            <w:r>
              <w:rPr>
                <w:rFonts w:ascii="Arial" w:cs="Arial" w:eastAsia="Arial" w:hAnsi="Arial"/>
                <w:sz w:val="13"/>
                <w:szCs w:val="13"/>
                <w:color w:val="auto"/>
                <w:w w:val="87"/>
              </w:rPr>
              <w:t>West</w:t>
            </w:r>
          </w:p>
        </w:tc>
        <w:tc>
          <w:tcPr>
            <w:tcW w:w="0" w:type="dxa"/>
            <w:vAlign w:val="bottom"/>
          </w:tcPr>
          <w:p>
            <w:pPr>
              <w:spacing w:after="0"/>
              <w:rPr>
                <w:sz w:val="1"/>
                <w:szCs w:val="1"/>
                <w:color w:val="auto"/>
              </w:rPr>
            </w:pPr>
          </w:p>
        </w:tc>
      </w:tr>
      <w:tr>
        <w:trPr>
          <w:trHeight w:val="164"/>
        </w:trPr>
        <w:tc>
          <w:tcPr>
            <w:tcW w:w="26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3"/>
                <w:szCs w:val="13"/>
                <w:color w:val="auto"/>
                <w:w w:val="90"/>
              </w:rPr>
              <w:t>Spinner Wood Products, LLC ("Spinner")</w:t>
            </w:r>
          </w:p>
        </w:tc>
        <w:tc>
          <w:tcPr>
            <w:tcW w:w="1500" w:type="dxa"/>
            <w:vAlign w:val="bottom"/>
            <w:tcBorders>
              <w:bottom w:val="single" w:sz="8" w:color="auto"/>
              <w:right w:val="single" w:sz="8" w:color="auto"/>
            </w:tcBorders>
            <w:vMerge w:val="continue"/>
          </w:tcPr>
          <w:p>
            <w:pPr>
              <w:spacing w:after="0"/>
              <w:rPr>
                <w:sz w:val="14"/>
                <w:szCs w:val="14"/>
                <w:color w:val="auto"/>
              </w:rPr>
            </w:pP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5"/>
              </w:rPr>
              <w:t>cash paid for 100% asset purchase</w:t>
            </w:r>
          </w:p>
        </w:tc>
        <w:tc>
          <w:tcPr>
            <w:tcW w:w="200" w:type="dxa"/>
            <w:vAlign w:val="bottom"/>
            <w:tcBorders>
              <w:bottom w:val="single" w:sz="8" w:color="auto"/>
            </w:tcBorders>
            <w:vMerge w:val="continue"/>
          </w:tcPr>
          <w:p>
            <w:pPr>
              <w:spacing w:after="0"/>
              <w:rPr>
                <w:sz w:val="14"/>
                <w:szCs w:val="14"/>
                <w:color w:val="auto"/>
              </w:rPr>
            </w:pPr>
          </w:p>
        </w:tc>
        <w:tc>
          <w:tcPr>
            <w:tcW w:w="960" w:type="dxa"/>
            <w:vAlign w:val="bottom"/>
            <w:tcBorders>
              <w:bottom w:val="single" w:sz="8" w:color="auto"/>
              <w:right w:val="single" w:sz="8" w:color="auto"/>
            </w:tcBorders>
            <w:vMerge w:val="continue"/>
          </w:tcPr>
          <w:p>
            <w:pPr>
              <w:spacing w:after="0"/>
              <w:rPr>
                <w:sz w:val="14"/>
                <w:szCs w:val="14"/>
                <w:color w:val="auto"/>
              </w:rPr>
            </w:pPr>
          </w:p>
        </w:tc>
        <w:tc>
          <w:tcPr>
            <w:tcW w:w="180" w:type="dxa"/>
            <w:vAlign w:val="bottom"/>
            <w:tcBorders>
              <w:bottom w:val="single" w:sz="8" w:color="auto"/>
            </w:tcBorders>
            <w:vMerge w:val="continue"/>
          </w:tcPr>
          <w:p>
            <w:pPr>
              <w:spacing w:after="0"/>
              <w:rPr>
                <w:sz w:val="14"/>
                <w:szCs w:val="14"/>
                <w:color w:val="auto"/>
              </w:rPr>
            </w:pPr>
          </w:p>
        </w:tc>
        <w:tc>
          <w:tcPr>
            <w:tcW w:w="1000" w:type="dxa"/>
            <w:vAlign w:val="bottom"/>
            <w:tcBorders>
              <w:bottom w:val="single" w:sz="8" w:color="auto"/>
              <w:right w:val="single" w:sz="8" w:color="auto"/>
            </w:tcBorders>
            <w:vMerge w:val="continue"/>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70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2680" w:type="dxa"/>
            <w:vAlign w:val="bottom"/>
            <w:tcBorders>
              <w:left w:val="single" w:sz="8" w:color="auto"/>
              <w:right w:val="single" w:sz="8" w:color="auto"/>
            </w:tcBorders>
            <w:vMerge w:val="continue"/>
          </w:tcPr>
          <w:p>
            <w:pPr>
              <w:spacing w:after="0"/>
              <w:rPr>
                <w:sz w:val="12"/>
                <w:szCs w:val="12"/>
                <w:color w:val="auto"/>
              </w:rPr>
            </w:pPr>
          </w:p>
        </w:tc>
        <w:tc>
          <w:tcPr>
            <w:tcW w:w="5740" w:type="dxa"/>
            <w:vAlign w:val="bottom"/>
            <w:gridSpan w:val="7"/>
          </w:tcPr>
          <w:p>
            <w:pPr>
              <w:spacing w:after="0" w:line="146" w:lineRule="exact"/>
              <w:rPr>
                <w:sz w:val="20"/>
                <w:szCs w:val="20"/>
                <w:color w:val="auto"/>
              </w:rPr>
            </w:pPr>
            <w:r>
              <w:rPr>
                <w:rFonts w:ascii="Arial" w:cs="Arial" w:eastAsia="Arial" w:hAnsi="Arial"/>
                <w:sz w:val="13"/>
                <w:szCs w:val="13"/>
                <w:color w:val="auto"/>
                <w:w w:val="90"/>
              </w:rPr>
              <w:t>A manufacturer and distributor of agricultural bin and various industrial packaging. Spinner had annual sales of</w:t>
            </w:r>
          </w:p>
        </w:tc>
        <w:tc>
          <w:tcPr>
            <w:tcW w:w="7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680" w:type="dxa"/>
            <w:vAlign w:val="bottom"/>
            <w:tcBorders>
              <w:left w:val="single" w:sz="8" w:color="auto"/>
              <w:right w:val="single" w:sz="8" w:color="auto"/>
            </w:tcBorders>
          </w:tcPr>
          <w:p>
            <w:pPr>
              <w:spacing w:after="0"/>
              <w:rPr>
                <w:sz w:val="13"/>
                <w:szCs w:val="13"/>
                <w:color w:val="auto"/>
              </w:rPr>
            </w:pPr>
          </w:p>
        </w:tc>
        <w:tc>
          <w:tcPr>
            <w:tcW w:w="6440" w:type="dxa"/>
            <w:vAlign w:val="bottom"/>
            <w:tcBorders>
              <w:right w:val="single" w:sz="8" w:color="auto"/>
            </w:tcBorders>
            <w:gridSpan w:val="8"/>
          </w:tcPr>
          <w:p>
            <w:pPr>
              <w:spacing w:after="0"/>
              <w:rPr>
                <w:sz w:val="20"/>
                <w:szCs w:val="20"/>
                <w:color w:val="auto"/>
              </w:rPr>
            </w:pPr>
            <w:r>
              <w:rPr>
                <w:rFonts w:ascii="Arial" w:cs="Arial" w:eastAsia="Arial" w:hAnsi="Arial"/>
                <w:sz w:val="13"/>
                <w:szCs w:val="13"/>
                <w:color w:val="auto"/>
                <w:w w:val="94"/>
              </w:rPr>
              <w:t>approximately $8 million. The acquisition of Spinner allows us to expand our industrial packaging product offering and</w:t>
            </w:r>
          </w:p>
        </w:tc>
        <w:tc>
          <w:tcPr>
            <w:tcW w:w="0" w:type="dxa"/>
            <w:vAlign w:val="bottom"/>
          </w:tcPr>
          <w:p>
            <w:pPr>
              <w:spacing w:after="0"/>
              <w:rPr>
                <w:sz w:val="1"/>
                <w:szCs w:val="1"/>
                <w:color w:val="auto"/>
              </w:rPr>
            </w:pPr>
          </w:p>
        </w:tc>
      </w:tr>
      <w:tr>
        <w:trPr>
          <w:trHeight w:val="167"/>
        </w:trPr>
        <w:tc>
          <w:tcPr>
            <w:tcW w:w="2680" w:type="dxa"/>
            <w:vAlign w:val="bottom"/>
            <w:tcBorders>
              <w:left w:val="single" w:sz="8" w:color="auto"/>
              <w:bottom w:val="single" w:sz="8" w:color="auto"/>
              <w:right w:val="single" w:sz="8" w:color="auto"/>
            </w:tcBorders>
          </w:tcPr>
          <w:p>
            <w:pPr>
              <w:spacing w:after="0"/>
              <w:rPr>
                <w:sz w:val="14"/>
                <w:szCs w:val="14"/>
                <w:color w:val="auto"/>
              </w:rPr>
            </w:pPr>
          </w:p>
        </w:tc>
        <w:tc>
          <w:tcPr>
            <w:tcW w:w="4700" w:type="dxa"/>
            <w:vAlign w:val="bottom"/>
            <w:tcBorders>
              <w:bottom w:val="single" w:sz="8" w:color="auto"/>
            </w:tcBorders>
            <w:gridSpan w:val="5"/>
          </w:tcPr>
          <w:p>
            <w:pPr>
              <w:spacing w:after="0"/>
              <w:rPr>
                <w:sz w:val="20"/>
                <w:szCs w:val="20"/>
                <w:color w:val="auto"/>
              </w:rPr>
            </w:pPr>
            <w:r>
              <w:rPr>
                <w:rFonts w:ascii="Arial" w:cs="Arial" w:eastAsia="Arial" w:hAnsi="Arial"/>
                <w:sz w:val="13"/>
                <w:szCs w:val="13"/>
                <w:color w:val="auto"/>
              </w:rPr>
              <w:t>creates operating leverage by consolidating with other regional operations.</w:t>
            </w:r>
          </w:p>
        </w:tc>
        <w:tc>
          <w:tcPr>
            <w:tcW w:w="10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680" w:type="dxa"/>
            <w:vAlign w:val="bottom"/>
            <w:tcBorders>
              <w:left w:val="single" w:sz="8" w:color="auto"/>
              <w:right w:val="single" w:sz="8" w:color="auto"/>
            </w:tcBorders>
            <w:shd w:val="clear" w:color="auto" w:fill="CCEEFF"/>
          </w:tcPr>
          <w:p>
            <w:pPr>
              <w:spacing w:after="0"/>
              <w:rPr>
                <w:sz w:val="13"/>
                <w:szCs w:val="13"/>
                <w:color w:val="auto"/>
              </w:rPr>
            </w:pPr>
          </w:p>
        </w:tc>
        <w:tc>
          <w:tcPr>
            <w:tcW w:w="150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3"/>
                <w:szCs w:val="13"/>
                <w:color w:val="auto"/>
                <w:w w:val="87"/>
              </w:rPr>
              <w:t>January 15, 2018</w:t>
            </w:r>
          </w:p>
        </w:tc>
        <w:tc>
          <w:tcPr>
            <w:tcW w:w="186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85"/>
              </w:rPr>
              <w:t>$5,784</w:t>
            </w:r>
          </w:p>
        </w:tc>
        <w:tc>
          <w:tcPr>
            <w:tcW w:w="200" w:type="dxa"/>
            <w:vAlign w:val="bottom"/>
            <w:vMerge w:val="restart"/>
            <w:shd w:val="clear" w:color="auto" w:fill="CCEEFF"/>
          </w:tcPr>
          <w:p>
            <w:pPr>
              <w:jc w:val="right"/>
              <w:ind w:right="133"/>
              <w:spacing w:after="0"/>
              <w:rPr>
                <w:sz w:val="20"/>
                <w:szCs w:val="20"/>
                <w:color w:val="auto"/>
              </w:rPr>
            </w:pPr>
            <w:r>
              <w:rPr>
                <w:rFonts w:ascii="Arial" w:cs="Arial" w:eastAsia="Arial" w:hAnsi="Arial"/>
                <w:sz w:val="5"/>
                <w:szCs w:val="5"/>
                <w:color w:val="auto"/>
                <w:w w:val="70"/>
              </w:rPr>
              <w:t>$</w:t>
            </w:r>
          </w:p>
        </w:tc>
        <w:tc>
          <w:tcPr>
            <w:tcW w:w="96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50</w:t>
            </w:r>
          </w:p>
        </w:tc>
        <w:tc>
          <w:tcPr>
            <w:tcW w:w="180" w:type="dxa"/>
            <w:vAlign w:val="bottom"/>
            <w:vMerge w:val="restart"/>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1000" w:type="dxa"/>
            <w:vAlign w:val="bottom"/>
            <w:tcBorders>
              <w:right w:val="single" w:sz="8" w:color="auto"/>
            </w:tcBorders>
            <w:vMerge w:val="restart"/>
            <w:shd w:val="clear" w:color="auto" w:fill="CCEEFF"/>
          </w:tcPr>
          <w:p>
            <w:pPr>
              <w:jc w:val="right"/>
              <w:ind w:right="16"/>
              <w:spacing w:after="0"/>
              <w:rPr>
                <w:sz w:val="20"/>
                <w:szCs w:val="20"/>
                <w:color w:val="auto"/>
              </w:rPr>
            </w:pPr>
            <w:r>
              <w:rPr>
                <w:rFonts w:ascii="Arial" w:cs="Arial" w:eastAsia="Arial" w:hAnsi="Arial"/>
                <w:sz w:val="13"/>
                <w:szCs w:val="13"/>
                <w:color w:val="auto"/>
              </w:rPr>
              <w:t>5,734</w:t>
            </w:r>
          </w:p>
        </w:tc>
        <w:tc>
          <w:tcPr>
            <w:tcW w:w="40" w:type="dxa"/>
            <w:vAlign w:val="bottom"/>
            <w:shd w:val="clear" w:color="auto" w:fill="CCEEFF"/>
          </w:tcPr>
          <w:p>
            <w:pPr>
              <w:spacing w:after="0"/>
              <w:rPr>
                <w:sz w:val="13"/>
                <w:szCs w:val="13"/>
                <w:color w:val="auto"/>
              </w:rPr>
            </w:pPr>
          </w:p>
        </w:tc>
        <w:tc>
          <w:tcPr>
            <w:tcW w:w="700" w:type="dxa"/>
            <w:vAlign w:val="bottom"/>
            <w:tcBorders>
              <w:right w:val="single" w:sz="8" w:color="auto"/>
            </w:tcBorders>
            <w:vMerge w:val="restart"/>
            <w:shd w:val="clear" w:color="auto" w:fill="CCEEFF"/>
          </w:tcPr>
          <w:p>
            <w:pPr>
              <w:jc w:val="center"/>
              <w:ind w:right="16"/>
              <w:spacing w:after="0"/>
              <w:rPr>
                <w:sz w:val="20"/>
                <w:szCs w:val="20"/>
                <w:color w:val="auto"/>
              </w:rPr>
            </w:pPr>
            <w:r>
              <w:rPr>
                <w:rFonts w:ascii="Arial" w:cs="Arial" w:eastAsia="Arial" w:hAnsi="Arial"/>
                <w:sz w:val="13"/>
                <w:szCs w:val="13"/>
                <w:color w:val="auto"/>
                <w:w w:val="94"/>
              </w:rPr>
              <w:t>North</w:t>
            </w:r>
          </w:p>
        </w:tc>
        <w:tc>
          <w:tcPr>
            <w:tcW w:w="0" w:type="dxa"/>
            <w:vAlign w:val="bottom"/>
          </w:tcPr>
          <w:p>
            <w:pPr>
              <w:spacing w:after="0"/>
              <w:rPr>
                <w:sz w:val="1"/>
                <w:szCs w:val="1"/>
                <w:color w:val="auto"/>
              </w:rPr>
            </w:pPr>
          </w:p>
        </w:tc>
      </w:tr>
      <w:tr>
        <w:trPr>
          <w:trHeight w:val="164"/>
        </w:trPr>
        <w:tc>
          <w:tcPr>
            <w:tcW w:w="2680" w:type="dxa"/>
            <w:vAlign w:val="bottom"/>
            <w:tcBorders>
              <w:left w:val="single" w:sz="8" w:color="auto"/>
              <w:bottom w:val="single" w:sz="8" w:color="CCEEFF"/>
              <w:right w:val="single" w:sz="8" w:color="auto"/>
            </w:tcBorders>
            <w:vMerge w:val="restart"/>
            <w:shd w:val="clear" w:color="auto" w:fill="CCEEFF"/>
          </w:tcPr>
          <w:p>
            <w:pPr>
              <w:jc w:val="center"/>
              <w:spacing w:after="0"/>
              <w:rPr>
                <w:sz w:val="20"/>
                <w:szCs w:val="20"/>
                <w:color w:val="auto"/>
              </w:rPr>
            </w:pPr>
            <w:r>
              <w:rPr>
                <w:rFonts w:ascii="Arial" w:cs="Arial" w:eastAsia="Arial" w:hAnsi="Arial"/>
                <w:sz w:val="13"/>
                <w:szCs w:val="13"/>
                <w:color w:val="auto"/>
                <w:w w:val="91"/>
              </w:rPr>
              <w:t>Great Northern Lumber, LLC</w:t>
            </w:r>
          </w:p>
        </w:tc>
        <w:tc>
          <w:tcPr>
            <w:tcW w:w="1500" w:type="dxa"/>
            <w:vAlign w:val="bottom"/>
            <w:tcBorders>
              <w:bottom w:val="single" w:sz="8" w:color="auto"/>
              <w:right w:val="single" w:sz="8" w:color="auto"/>
            </w:tcBorders>
            <w:vMerge w:val="continue"/>
            <w:shd w:val="clear" w:color="auto" w:fill="CCEEFF"/>
          </w:tcPr>
          <w:p>
            <w:pPr>
              <w:spacing w:after="0"/>
              <w:rPr>
                <w:sz w:val="14"/>
                <w:szCs w:val="14"/>
                <w:color w:val="auto"/>
              </w:rPr>
            </w:pPr>
          </w:p>
        </w:tc>
        <w:tc>
          <w:tcPr>
            <w:tcW w:w="18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85"/>
              </w:rPr>
              <w:t>cash paid for 100% asset purchase</w:t>
            </w:r>
          </w:p>
        </w:tc>
        <w:tc>
          <w:tcPr>
            <w:tcW w:w="200" w:type="dxa"/>
            <w:vAlign w:val="bottom"/>
            <w:tcBorders>
              <w:bottom w:val="single" w:sz="8" w:color="auto"/>
            </w:tcBorders>
            <w:vMerge w:val="continue"/>
            <w:shd w:val="clear" w:color="auto" w:fill="CCEEFF"/>
          </w:tcPr>
          <w:p>
            <w:pPr>
              <w:spacing w:after="0"/>
              <w:rPr>
                <w:sz w:val="14"/>
                <w:szCs w:val="14"/>
                <w:color w:val="auto"/>
              </w:rPr>
            </w:pPr>
          </w:p>
        </w:tc>
        <w:tc>
          <w:tcPr>
            <w:tcW w:w="960" w:type="dxa"/>
            <w:vAlign w:val="bottom"/>
            <w:tcBorders>
              <w:bottom w:val="single" w:sz="8" w:color="auto"/>
              <w:right w:val="single" w:sz="8" w:color="auto"/>
            </w:tcBorders>
            <w:vMerge w:val="continue"/>
            <w:shd w:val="clear" w:color="auto" w:fill="CCEEFF"/>
          </w:tcPr>
          <w:p>
            <w:pPr>
              <w:spacing w:after="0"/>
              <w:rPr>
                <w:sz w:val="14"/>
                <w:szCs w:val="14"/>
                <w:color w:val="auto"/>
              </w:rPr>
            </w:pPr>
          </w:p>
        </w:tc>
        <w:tc>
          <w:tcPr>
            <w:tcW w:w="180" w:type="dxa"/>
            <w:vAlign w:val="bottom"/>
            <w:tcBorders>
              <w:bottom w:val="single" w:sz="8" w:color="auto"/>
            </w:tcBorders>
            <w:vMerge w:val="continue"/>
            <w:shd w:val="clear" w:color="auto" w:fill="CCEEFF"/>
          </w:tcPr>
          <w:p>
            <w:pPr>
              <w:spacing w:after="0"/>
              <w:rPr>
                <w:sz w:val="14"/>
                <w:szCs w:val="14"/>
                <w:color w:val="auto"/>
              </w:rPr>
            </w:pPr>
          </w:p>
        </w:tc>
        <w:tc>
          <w:tcPr>
            <w:tcW w:w="1000" w:type="dxa"/>
            <w:vAlign w:val="bottom"/>
            <w:tcBorders>
              <w:bottom w:val="single" w:sz="8" w:color="auto"/>
              <w:right w:val="single" w:sz="8" w:color="auto"/>
            </w:tcBorders>
            <w:vMerge w:val="continue"/>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right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2680" w:type="dxa"/>
            <w:vAlign w:val="bottom"/>
            <w:tcBorders>
              <w:left w:val="single" w:sz="8" w:color="auto"/>
              <w:right w:val="single" w:sz="8" w:color="auto"/>
            </w:tcBorders>
            <w:vMerge w:val="continue"/>
            <w:shd w:val="clear" w:color="auto" w:fill="CCEEFF"/>
          </w:tcPr>
          <w:p>
            <w:pPr>
              <w:spacing w:after="0"/>
              <w:rPr>
                <w:sz w:val="12"/>
                <w:szCs w:val="12"/>
                <w:color w:val="auto"/>
              </w:rPr>
            </w:pPr>
          </w:p>
        </w:tc>
        <w:tc>
          <w:tcPr>
            <w:tcW w:w="6440" w:type="dxa"/>
            <w:vAlign w:val="bottom"/>
            <w:tcBorders>
              <w:right w:val="single" w:sz="8" w:color="auto"/>
            </w:tcBorders>
            <w:gridSpan w:val="8"/>
            <w:shd w:val="clear" w:color="auto" w:fill="CCEEFF"/>
          </w:tcPr>
          <w:p>
            <w:pPr>
              <w:spacing w:after="0" w:line="146" w:lineRule="exact"/>
              <w:rPr>
                <w:sz w:val="20"/>
                <w:szCs w:val="20"/>
                <w:color w:val="auto"/>
              </w:rPr>
            </w:pPr>
            <w:r>
              <w:rPr>
                <w:rFonts w:ascii="Arial" w:cs="Arial" w:eastAsia="Arial" w:hAnsi="Arial"/>
                <w:sz w:val="13"/>
                <w:szCs w:val="13"/>
                <w:color w:val="auto"/>
                <w:w w:val="92"/>
              </w:rPr>
              <w:t>A manufacturer of industrial products as well as serving the concrete forming market in the Chicago area. Great Northern</w:t>
            </w:r>
          </w:p>
        </w:tc>
        <w:tc>
          <w:tcPr>
            <w:tcW w:w="0" w:type="dxa"/>
            <w:vAlign w:val="bottom"/>
          </w:tcPr>
          <w:p>
            <w:pPr>
              <w:spacing w:after="0"/>
              <w:rPr>
                <w:sz w:val="1"/>
                <w:szCs w:val="1"/>
                <w:color w:val="auto"/>
              </w:rPr>
            </w:pPr>
          </w:p>
        </w:tc>
      </w:tr>
      <w:tr>
        <w:trPr>
          <w:trHeight w:val="159"/>
        </w:trPr>
        <w:tc>
          <w:tcPr>
            <w:tcW w:w="2680" w:type="dxa"/>
            <w:vAlign w:val="bottom"/>
            <w:tcBorders>
              <w:left w:val="single" w:sz="8" w:color="auto"/>
              <w:right w:val="single" w:sz="8" w:color="auto"/>
            </w:tcBorders>
            <w:shd w:val="clear" w:color="auto" w:fill="CCEEFF"/>
          </w:tcPr>
          <w:p>
            <w:pPr>
              <w:spacing w:after="0"/>
              <w:rPr>
                <w:sz w:val="13"/>
                <w:szCs w:val="13"/>
                <w:color w:val="auto"/>
              </w:rPr>
            </w:pPr>
          </w:p>
        </w:tc>
        <w:tc>
          <w:tcPr>
            <w:tcW w:w="6440" w:type="dxa"/>
            <w:vAlign w:val="bottom"/>
            <w:tcBorders>
              <w:right w:val="single" w:sz="8" w:color="auto"/>
            </w:tcBorders>
            <w:gridSpan w:val="8"/>
            <w:shd w:val="clear" w:color="auto" w:fill="CCEEFF"/>
          </w:tcPr>
          <w:p>
            <w:pPr>
              <w:spacing w:after="0"/>
              <w:rPr>
                <w:sz w:val="20"/>
                <w:szCs w:val="20"/>
                <w:color w:val="auto"/>
              </w:rPr>
            </w:pPr>
            <w:r>
              <w:rPr>
                <w:rFonts w:ascii="Arial" w:cs="Arial" w:eastAsia="Arial" w:hAnsi="Arial"/>
                <w:sz w:val="13"/>
                <w:szCs w:val="13"/>
                <w:color w:val="auto"/>
                <w:w w:val="90"/>
              </w:rPr>
              <w:t>Lumber had annual sales of approximately $25 million. The acquisition of Great Northern Lumber enables us to expand our</w:t>
            </w:r>
          </w:p>
        </w:tc>
        <w:tc>
          <w:tcPr>
            <w:tcW w:w="0" w:type="dxa"/>
            <w:vAlign w:val="bottom"/>
          </w:tcPr>
          <w:p>
            <w:pPr>
              <w:spacing w:after="0"/>
              <w:rPr>
                <w:sz w:val="1"/>
                <w:szCs w:val="1"/>
                <w:color w:val="auto"/>
              </w:rPr>
            </w:pPr>
          </w:p>
        </w:tc>
      </w:tr>
      <w:tr>
        <w:trPr>
          <w:trHeight w:val="167"/>
        </w:trPr>
        <w:tc>
          <w:tcPr>
            <w:tcW w:w="268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3560" w:type="dxa"/>
            <w:vAlign w:val="bottom"/>
            <w:tcBorders>
              <w:bottom w:val="single" w:sz="8" w:color="auto"/>
            </w:tcBorders>
            <w:gridSpan w:val="3"/>
            <w:shd w:val="clear" w:color="auto" w:fill="CCEEFF"/>
          </w:tcPr>
          <w:p>
            <w:pPr>
              <w:spacing w:after="0"/>
              <w:rPr>
                <w:sz w:val="20"/>
                <w:szCs w:val="20"/>
                <w:color w:val="auto"/>
              </w:rPr>
            </w:pPr>
            <w:r>
              <w:rPr>
                <w:rFonts w:ascii="Arial" w:cs="Arial" w:eastAsia="Arial" w:hAnsi="Arial"/>
                <w:sz w:val="13"/>
                <w:szCs w:val="13"/>
                <w:color w:val="auto"/>
              </w:rPr>
              <w:t>concrete forming product offering and regional coverage.</w:t>
            </w:r>
          </w:p>
        </w:tc>
        <w:tc>
          <w:tcPr>
            <w:tcW w:w="960" w:type="dxa"/>
            <w:vAlign w:val="bottom"/>
            <w:tcBorders>
              <w:bottom w:val="single" w:sz="8" w:color="auto"/>
              <w:right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right w:val="single" w:sz="8" w:color="CCEEFF"/>
            </w:tcBorders>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right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680" w:type="dxa"/>
            <w:vAlign w:val="bottom"/>
            <w:tcBorders>
              <w:left w:val="single" w:sz="8" w:color="auto"/>
              <w:right w:val="single" w:sz="8" w:color="auto"/>
            </w:tcBorders>
          </w:tcPr>
          <w:p>
            <w:pPr>
              <w:spacing w:after="0"/>
              <w:rPr>
                <w:sz w:val="13"/>
                <w:szCs w:val="13"/>
                <w:color w:val="auto"/>
              </w:rPr>
            </w:pPr>
          </w:p>
        </w:tc>
        <w:tc>
          <w:tcPr>
            <w:tcW w:w="1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w w:val="87"/>
              </w:rPr>
              <w:t>October 16, 2017</w:t>
            </w:r>
          </w:p>
        </w:tc>
        <w:tc>
          <w:tcPr>
            <w:tcW w:w="18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89"/>
              </w:rPr>
              <w:t>$931</w:t>
            </w:r>
          </w:p>
        </w:tc>
        <w:tc>
          <w:tcPr>
            <w:tcW w:w="200" w:type="dxa"/>
            <w:vAlign w:val="bottom"/>
            <w:vMerge w:val="restart"/>
          </w:tcPr>
          <w:p>
            <w:pPr>
              <w:jc w:val="right"/>
              <w:ind w:right="133"/>
              <w:spacing w:after="0"/>
              <w:rPr>
                <w:sz w:val="20"/>
                <w:szCs w:val="20"/>
                <w:color w:val="auto"/>
              </w:rPr>
            </w:pPr>
            <w:r>
              <w:rPr>
                <w:rFonts w:ascii="Arial" w:cs="Arial" w:eastAsia="Arial" w:hAnsi="Arial"/>
                <w:sz w:val="5"/>
                <w:szCs w:val="5"/>
                <w:color w:val="auto"/>
                <w:w w:val="70"/>
              </w:rPr>
              <w:t>$</w:t>
            </w:r>
          </w:p>
        </w:tc>
        <w:tc>
          <w:tcPr>
            <w:tcW w:w="960" w:type="dxa"/>
            <w:vAlign w:val="bottom"/>
            <w:tcBorders>
              <w:right w:val="single" w:sz="8" w:color="auto"/>
            </w:tcBorders>
            <w:vMerge w:val="restart"/>
          </w:tcPr>
          <w:p>
            <w:pPr>
              <w:jc w:val="right"/>
              <w:spacing w:after="0"/>
              <w:rPr>
                <w:sz w:val="20"/>
                <w:szCs w:val="20"/>
                <w:color w:val="auto"/>
              </w:rPr>
            </w:pPr>
            <w:r>
              <w:rPr>
                <w:rFonts w:ascii="Arial" w:cs="Arial" w:eastAsia="Arial" w:hAnsi="Arial"/>
                <w:sz w:val="13"/>
                <w:szCs w:val="13"/>
                <w:color w:val="auto"/>
              </w:rPr>
              <w:t>909</w:t>
            </w:r>
          </w:p>
        </w:tc>
        <w:tc>
          <w:tcPr>
            <w:tcW w:w="180" w:type="dxa"/>
            <w:vAlign w:val="bottom"/>
            <w:vMerge w:val="restart"/>
          </w:tcPr>
          <w:p>
            <w:pPr>
              <w:jc w:val="right"/>
              <w:ind w:right="72"/>
              <w:spacing w:after="0"/>
              <w:rPr>
                <w:sz w:val="20"/>
                <w:szCs w:val="20"/>
                <w:color w:val="auto"/>
              </w:rPr>
            </w:pPr>
            <w:r>
              <w:rPr>
                <w:rFonts w:ascii="Arial" w:cs="Arial" w:eastAsia="Arial" w:hAnsi="Arial"/>
                <w:sz w:val="10"/>
                <w:szCs w:val="10"/>
                <w:color w:val="auto"/>
                <w:w w:val="71"/>
              </w:rPr>
              <w:t>$</w:t>
            </w:r>
          </w:p>
        </w:tc>
        <w:tc>
          <w:tcPr>
            <w:tcW w:w="1000" w:type="dxa"/>
            <w:vAlign w:val="bottom"/>
            <w:tcBorders>
              <w:right w:val="single" w:sz="8" w:color="auto"/>
            </w:tcBorders>
            <w:vMerge w:val="restart"/>
          </w:tcPr>
          <w:p>
            <w:pPr>
              <w:jc w:val="right"/>
              <w:ind w:right="16"/>
              <w:spacing w:after="0"/>
              <w:rPr>
                <w:sz w:val="20"/>
                <w:szCs w:val="20"/>
                <w:color w:val="auto"/>
              </w:rPr>
            </w:pPr>
            <w:r>
              <w:rPr>
                <w:rFonts w:ascii="Arial" w:cs="Arial" w:eastAsia="Arial" w:hAnsi="Arial"/>
                <w:sz w:val="13"/>
                <w:szCs w:val="13"/>
                <w:color w:val="auto"/>
              </w:rPr>
              <w:t>22</w:t>
            </w:r>
          </w:p>
        </w:tc>
        <w:tc>
          <w:tcPr>
            <w:tcW w:w="40" w:type="dxa"/>
            <w:vAlign w:val="bottom"/>
          </w:tcPr>
          <w:p>
            <w:pPr>
              <w:spacing w:after="0"/>
              <w:rPr>
                <w:sz w:val="13"/>
                <w:szCs w:val="13"/>
                <w:color w:val="auto"/>
              </w:rPr>
            </w:pPr>
          </w:p>
        </w:tc>
        <w:tc>
          <w:tcPr>
            <w:tcW w:w="700" w:type="dxa"/>
            <w:vAlign w:val="bottom"/>
            <w:tcBorders>
              <w:right w:val="single" w:sz="8" w:color="auto"/>
            </w:tcBorders>
            <w:vMerge w:val="restart"/>
          </w:tcPr>
          <w:p>
            <w:pPr>
              <w:jc w:val="center"/>
              <w:ind w:right="16"/>
              <w:spacing w:after="0"/>
              <w:rPr>
                <w:sz w:val="20"/>
                <w:szCs w:val="20"/>
                <w:color w:val="auto"/>
              </w:rPr>
            </w:pPr>
            <w:r>
              <w:rPr>
                <w:rFonts w:ascii="Arial" w:cs="Arial" w:eastAsia="Arial" w:hAnsi="Arial"/>
                <w:sz w:val="13"/>
                <w:szCs w:val="13"/>
                <w:color w:val="auto"/>
                <w:w w:val="98"/>
              </w:rPr>
              <w:t>All Other</w:t>
            </w:r>
          </w:p>
        </w:tc>
        <w:tc>
          <w:tcPr>
            <w:tcW w:w="0" w:type="dxa"/>
            <w:vAlign w:val="bottom"/>
          </w:tcPr>
          <w:p>
            <w:pPr>
              <w:spacing w:after="0"/>
              <w:rPr>
                <w:sz w:val="1"/>
                <w:szCs w:val="1"/>
                <w:color w:val="auto"/>
              </w:rPr>
            </w:pPr>
          </w:p>
        </w:tc>
      </w:tr>
      <w:tr>
        <w:trPr>
          <w:trHeight w:val="164"/>
        </w:trPr>
        <w:tc>
          <w:tcPr>
            <w:tcW w:w="26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3"/>
                <w:szCs w:val="13"/>
                <w:color w:val="auto"/>
                <w:w w:val="92"/>
              </w:rPr>
              <w:t>Silverwater Box</w:t>
            </w:r>
          </w:p>
        </w:tc>
        <w:tc>
          <w:tcPr>
            <w:tcW w:w="1500" w:type="dxa"/>
            <w:vAlign w:val="bottom"/>
            <w:tcBorders>
              <w:bottom w:val="single" w:sz="8" w:color="auto"/>
              <w:right w:val="single" w:sz="8" w:color="auto"/>
            </w:tcBorders>
            <w:vMerge w:val="continue"/>
          </w:tcPr>
          <w:p>
            <w:pPr>
              <w:spacing w:after="0"/>
              <w:rPr>
                <w:sz w:val="14"/>
                <w:szCs w:val="14"/>
                <w:color w:val="auto"/>
              </w:rPr>
            </w:pP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5"/>
              </w:rPr>
              <w:t>cash paid for 100% asset purchase</w:t>
            </w:r>
          </w:p>
        </w:tc>
        <w:tc>
          <w:tcPr>
            <w:tcW w:w="200" w:type="dxa"/>
            <w:vAlign w:val="bottom"/>
            <w:tcBorders>
              <w:bottom w:val="single" w:sz="8" w:color="auto"/>
            </w:tcBorders>
            <w:vMerge w:val="continue"/>
          </w:tcPr>
          <w:p>
            <w:pPr>
              <w:spacing w:after="0"/>
              <w:rPr>
                <w:sz w:val="14"/>
                <w:szCs w:val="14"/>
                <w:color w:val="auto"/>
              </w:rPr>
            </w:pPr>
          </w:p>
        </w:tc>
        <w:tc>
          <w:tcPr>
            <w:tcW w:w="960" w:type="dxa"/>
            <w:vAlign w:val="bottom"/>
            <w:tcBorders>
              <w:bottom w:val="single" w:sz="8" w:color="auto"/>
              <w:right w:val="single" w:sz="8" w:color="auto"/>
            </w:tcBorders>
            <w:vMerge w:val="continue"/>
          </w:tcPr>
          <w:p>
            <w:pPr>
              <w:spacing w:after="0"/>
              <w:rPr>
                <w:sz w:val="14"/>
                <w:szCs w:val="14"/>
                <w:color w:val="auto"/>
              </w:rPr>
            </w:pPr>
          </w:p>
        </w:tc>
        <w:tc>
          <w:tcPr>
            <w:tcW w:w="180" w:type="dxa"/>
            <w:vAlign w:val="bottom"/>
            <w:tcBorders>
              <w:bottom w:val="single" w:sz="8" w:color="auto"/>
            </w:tcBorders>
            <w:vMerge w:val="continue"/>
          </w:tcPr>
          <w:p>
            <w:pPr>
              <w:spacing w:after="0"/>
              <w:rPr>
                <w:sz w:val="14"/>
                <w:szCs w:val="14"/>
                <w:color w:val="auto"/>
              </w:rPr>
            </w:pPr>
          </w:p>
        </w:tc>
        <w:tc>
          <w:tcPr>
            <w:tcW w:w="1000" w:type="dxa"/>
            <w:vAlign w:val="bottom"/>
            <w:tcBorders>
              <w:bottom w:val="single" w:sz="8" w:color="auto"/>
              <w:right w:val="single" w:sz="8" w:color="auto"/>
            </w:tcBorders>
            <w:vMerge w:val="continue"/>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70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2680" w:type="dxa"/>
            <w:vAlign w:val="bottom"/>
            <w:tcBorders>
              <w:left w:val="single" w:sz="8" w:color="auto"/>
              <w:right w:val="single" w:sz="8" w:color="auto"/>
            </w:tcBorders>
            <w:vMerge w:val="continue"/>
          </w:tcPr>
          <w:p>
            <w:pPr>
              <w:spacing w:after="0"/>
              <w:rPr>
                <w:sz w:val="12"/>
                <w:szCs w:val="12"/>
                <w:color w:val="auto"/>
              </w:rPr>
            </w:pPr>
          </w:p>
        </w:tc>
        <w:tc>
          <w:tcPr>
            <w:tcW w:w="6440" w:type="dxa"/>
            <w:vAlign w:val="bottom"/>
            <w:tcBorders>
              <w:right w:val="single" w:sz="8" w:color="auto"/>
            </w:tcBorders>
            <w:gridSpan w:val="8"/>
          </w:tcPr>
          <w:p>
            <w:pPr>
              <w:spacing w:after="0" w:line="146" w:lineRule="exact"/>
              <w:rPr>
                <w:sz w:val="20"/>
                <w:szCs w:val="20"/>
                <w:color w:val="auto"/>
              </w:rPr>
            </w:pPr>
            <w:r>
              <w:rPr>
                <w:rFonts w:ascii="Arial" w:cs="Arial" w:eastAsia="Arial" w:hAnsi="Arial"/>
                <w:sz w:val="13"/>
                <w:szCs w:val="13"/>
                <w:color w:val="auto"/>
                <w:w w:val="92"/>
              </w:rPr>
              <w:t>A manufacturer and distributor of total packaging solutions in timber, plastic, steel, fiberglass, and cardboard. Silverwater</w:t>
            </w:r>
          </w:p>
        </w:tc>
        <w:tc>
          <w:tcPr>
            <w:tcW w:w="0" w:type="dxa"/>
            <w:vAlign w:val="bottom"/>
          </w:tcPr>
          <w:p>
            <w:pPr>
              <w:spacing w:after="0"/>
              <w:rPr>
                <w:sz w:val="1"/>
                <w:szCs w:val="1"/>
                <w:color w:val="auto"/>
              </w:rPr>
            </w:pPr>
          </w:p>
        </w:tc>
      </w:tr>
      <w:tr>
        <w:trPr>
          <w:trHeight w:val="159"/>
        </w:trPr>
        <w:tc>
          <w:tcPr>
            <w:tcW w:w="2680" w:type="dxa"/>
            <w:vAlign w:val="bottom"/>
            <w:tcBorders>
              <w:left w:val="single" w:sz="8" w:color="auto"/>
              <w:right w:val="single" w:sz="8" w:color="auto"/>
            </w:tcBorders>
          </w:tcPr>
          <w:p>
            <w:pPr>
              <w:spacing w:after="0"/>
              <w:rPr>
                <w:sz w:val="13"/>
                <w:szCs w:val="13"/>
                <w:color w:val="auto"/>
              </w:rPr>
            </w:pPr>
          </w:p>
        </w:tc>
        <w:tc>
          <w:tcPr>
            <w:tcW w:w="6440" w:type="dxa"/>
            <w:vAlign w:val="bottom"/>
            <w:tcBorders>
              <w:right w:val="single" w:sz="8" w:color="auto"/>
            </w:tcBorders>
            <w:gridSpan w:val="8"/>
          </w:tcPr>
          <w:p>
            <w:pPr>
              <w:spacing w:after="0"/>
              <w:rPr>
                <w:sz w:val="20"/>
                <w:szCs w:val="20"/>
                <w:color w:val="auto"/>
              </w:rPr>
            </w:pPr>
            <w:r>
              <w:rPr>
                <w:rFonts w:ascii="Arial" w:cs="Arial" w:eastAsia="Arial" w:hAnsi="Arial"/>
                <w:sz w:val="13"/>
                <w:szCs w:val="13"/>
                <w:color w:val="auto"/>
                <w:w w:val="91"/>
              </w:rPr>
              <w:t>Box has annual sales of approximately $2.8 million. The acquisition of Silverwater Box allows us to make progress on our</w:t>
            </w:r>
          </w:p>
        </w:tc>
        <w:tc>
          <w:tcPr>
            <w:tcW w:w="0" w:type="dxa"/>
            <w:vAlign w:val="bottom"/>
          </w:tcPr>
          <w:p>
            <w:pPr>
              <w:spacing w:after="0"/>
              <w:rPr>
                <w:sz w:val="1"/>
                <w:szCs w:val="1"/>
                <w:color w:val="auto"/>
              </w:rPr>
            </w:pPr>
          </w:p>
        </w:tc>
      </w:tr>
      <w:tr>
        <w:trPr>
          <w:trHeight w:val="167"/>
        </w:trPr>
        <w:tc>
          <w:tcPr>
            <w:tcW w:w="2680" w:type="dxa"/>
            <w:vAlign w:val="bottom"/>
            <w:tcBorders>
              <w:left w:val="single" w:sz="8" w:color="auto"/>
              <w:bottom w:val="single" w:sz="8" w:color="auto"/>
              <w:right w:val="single" w:sz="8" w:color="auto"/>
            </w:tcBorders>
          </w:tcPr>
          <w:p>
            <w:pPr>
              <w:spacing w:after="0"/>
              <w:rPr>
                <w:sz w:val="14"/>
                <w:szCs w:val="14"/>
                <w:color w:val="auto"/>
              </w:rPr>
            </w:pPr>
          </w:p>
        </w:tc>
        <w:tc>
          <w:tcPr>
            <w:tcW w:w="3560" w:type="dxa"/>
            <w:vAlign w:val="bottom"/>
            <w:tcBorders>
              <w:bottom w:val="single" w:sz="8" w:color="auto"/>
            </w:tcBorders>
            <w:gridSpan w:val="3"/>
          </w:tcPr>
          <w:p>
            <w:pPr>
              <w:spacing w:after="0"/>
              <w:rPr>
                <w:sz w:val="20"/>
                <w:szCs w:val="20"/>
                <w:color w:val="auto"/>
              </w:rPr>
            </w:pPr>
            <w:r>
              <w:rPr>
                <w:rFonts w:ascii="Arial" w:cs="Arial" w:eastAsia="Arial" w:hAnsi="Arial"/>
                <w:sz w:val="13"/>
                <w:szCs w:val="13"/>
                <w:color w:val="auto"/>
              </w:rPr>
              <w:t>goal of becoming a global provider of packaging solutions.</w:t>
            </w:r>
          </w:p>
        </w:tc>
        <w:tc>
          <w:tcPr>
            <w:tcW w:w="9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680" w:type="dxa"/>
            <w:vAlign w:val="bottom"/>
            <w:tcBorders>
              <w:left w:val="single" w:sz="8" w:color="auto"/>
              <w:right w:val="single" w:sz="8" w:color="auto"/>
            </w:tcBorders>
            <w:shd w:val="clear" w:color="auto" w:fill="CCEEFF"/>
          </w:tcPr>
          <w:p>
            <w:pPr>
              <w:spacing w:after="0"/>
              <w:rPr>
                <w:sz w:val="13"/>
                <w:szCs w:val="13"/>
                <w:color w:val="auto"/>
              </w:rPr>
            </w:pPr>
          </w:p>
        </w:tc>
        <w:tc>
          <w:tcPr>
            <w:tcW w:w="150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3"/>
                <w:szCs w:val="13"/>
                <w:color w:val="auto"/>
                <w:w w:val="91"/>
              </w:rPr>
              <w:t>May 26, 2017</w:t>
            </w:r>
          </w:p>
        </w:tc>
        <w:tc>
          <w:tcPr>
            <w:tcW w:w="186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85"/>
              </w:rPr>
              <w:t>$5,042</w:t>
            </w:r>
          </w:p>
        </w:tc>
        <w:tc>
          <w:tcPr>
            <w:tcW w:w="200" w:type="dxa"/>
            <w:vAlign w:val="bottom"/>
            <w:vMerge w:val="restart"/>
            <w:shd w:val="clear" w:color="auto" w:fill="CCEEFF"/>
          </w:tcPr>
          <w:p>
            <w:pPr>
              <w:jc w:val="right"/>
              <w:ind w:right="133"/>
              <w:spacing w:after="0"/>
              <w:rPr>
                <w:sz w:val="20"/>
                <w:szCs w:val="20"/>
                <w:color w:val="auto"/>
              </w:rPr>
            </w:pPr>
            <w:r>
              <w:rPr>
                <w:rFonts w:ascii="Arial" w:cs="Arial" w:eastAsia="Arial" w:hAnsi="Arial"/>
                <w:sz w:val="5"/>
                <w:szCs w:val="5"/>
                <w:color w:val="auto"/>
                <w:w w:val="70"/>
              </w:rPr>
              <w:t>$</w:t>
            </w:r>
          </w:p>
        </w:tc>
        <w:tc>
          <w:tcPr>
            <w:tcW w:w="96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4,880</w:t>
            </w:r>
          </w:p>
        </w:tc>
        <w:tc>
          <w:tcPr>
            <w:tcW w:w="180" w:type="dxa"/>
            <w:vAlign w:val="bottom"/>
            <w:vMerge w:val="restart"/>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1000" w:type="dxa"/>
            <w:vAlign w:val="bottom"/>
            <w:tcBorders>
              <w:right w:val="single" w:sz="8" w:color="auto"/>
            </w:tcBorders>
            <w:vMerge w:val="restart"/>
            <w:shd w:val="clear" w:color="auto" w:fill="CCEEFF"/>
          </w:tcPr>
          <w:p>
            <w:pPr>
              <w:jc w:val="right"/>
              <w:ind w:right="16"/>
              <w:spacing w:after="0"/>
              <w:rPr>
                <w:sz w:val="20"/>
                <w:szCs w:val="20"/>
                <w:color w:val="auto"/>
              </w:rPr>
            </w:pPr>
            <w:r>
              <w:rPr>
                <w:rFonts w:ascii="Arial" w:cs="Arial" w:eastAsia="Arial" w:hAnsi="Arial"/>
                <w:sz w:val="13"/>
                <w:szCs w:val="13"/>
                <w:color w:val="auto"/>
              </w:rPr>
              <w:t>162</w:t>
            </w:r>
          </w:p>
        </w:tc>
        <w:tc>
          <w:tcPr>
            <w:tcW w:w="40" w:type="dxa"/>
            <w:vAlign w:val="bottom"/>
            <w:shd w:val="clear" w:color="auto" w:fill="CCEEFF"/>
          </w:tcPr>
          <w:p>
            <w:pPr>
              <w:spacing w:after="0"/>
              <w:rPr>
                <w:sz w:val="13"/>
                <w:szCs w:val="13"/>
                <w:color w:val="auto"/>
              </w:rPr>
            </w:pPr>
          </w:p>
        </w:tc>
        <w:tc>
          <w:tcPr>
            <w:tcW w:w="700" w:type="dxa"/>
            <w:vAlign w:val="bottom"/>
            <w:tcBorders>
              <w:right w:val="single" w:sz="8" w:color="auto"/>
            </w:tcBorders>
            <w:vMerge w:val="restart"/>
            <w:shd w:val="clear" w:color="auto" w:fill="CCEEFF"/>
          </w:tcPr>
          <w:p>
            <w:pPr>
              <w:jc w:val="center"/>
              <w:ind w:right="16"/>
              <w:spacing w:after="0"/>
              <w:rPr>
                <w:sz w:val="20"/>
                <w:szCs w:val="20"/>
                <w:color w:val="auto"/>
              </w:rPr>
            </w:pPr>
            <w:r>
              <w:rPr>
                <w:rFonts w:ascii="Arial" w:cs="Arial" w:eastAsia="Arial" w:hAnsi="Arial"/>
                <w:sz w:val="13"/>
                <w:szCs w:val="13"/>
                <w:color w:val="auto"/>
                <w:w w:val="88"/>
              </w:rPr>
              <w:t>South</w:t>
            </w:r>
          </w:p>
        </w:tc>
        <w:tc>
          <w:tcPr>
            <w:tcW w:w="0" w:type="dxa"/>
            <w:vAlign w:val="bottom"/>
          </w:tcPr>
          <w:p>
            <w:pPr>
              <w:spacing w:after="0"/>
              <w:rPr>
                <w:sz w:val="1"/>
                <w:szCs w:val="1"/>
                <w:color w:val="auto"/>
              </w:rPr>
            </w:pPr>
          </w:p>
        </w:tc>
      </w:tr>
      <w:tr>
        <w:trPr>
          <w:trHeight w:val="164"/>
        </w:trPr>
        <w:tc>
          <w:tcPr>
            <w:tcW w:w="2680" w:type="dxa"/>
            <w:vAlign w:val="bottom"/>
            <w:tcBorders>
              <w:left w:val="single" w:sz="8" w:color="auto"/>
              <w:bottom w:val="single" w:sz="8" w:color="CCEEFF"/>
              <w:right w:val="single" w:sz="8" w:color="auto"/>
            </w:tcBorders>
            <w:vMerge w:val="restart"/>
            <w:shd w:val="clear" w:color="auto" w:fill="CCEEFF"/>
          </w:tcPr>
          <w:p>
            <w:pPr>
              <w:jc w:val="center"/>
              <w:spacing w:after="0"/>
              <w:rPr>
                <w:sz w:val="20"/>
                <w:szCs w:val="20"/>
                <w:color w:val="auto"/>
              </w:rPr>
            </w:pPr>
            <w:r>
              <w:rPr>
                <w:rFonts w:ascii="Arial" w:cs="Arial" w:eastAsia="Arial" w:hAnsi="Arial"/>
                <w:sz w:val="13"/>
                <w:szCs w:val="13"/>
                <w:color w:val="auto"/>
                <w:w w:val="93"/>
              </w:rPr>
              <w:t>Go Boy Pallets, LLC ("Go Boy")</w:t>
            </w:r>
          </w:p>
        </w:tc>
        <w:tc>
          <w:tcPr>
            <w:tcW w:w="1500" w:type="dxa"/>
            <w:vAlign w:val="bottom"/>
            <w:tcBorders>
              <w:bottom w:val="single" w:sz="8" w:color="auto"/>
              <w:right w:val="single" w:sz="8" w:color="auto"/>
            </w:tcBorders>
            <w:vMerge w:val="continue"/>
            <w:shd w:val="clear" w:color="auto" w:fill="CCEEFF"/>
          </w:tcPr>
          <w:p>
            <w:pPr>
              <w:spacing w:after="0"/>
              <w:rPr>
                <w:sz w:val="14"/>
                <w:szCs w:val="14"/>
                <w:color w:val="auto"/>
              </w:rPr>
            </w:pPr>
          </w:p>
        </w:tc>
        <w:tc>
          <w:tcPr>
            <w:tcW w:w="18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85"/>
              </w:rPr>
              <w:t>cash paid for 100% asset purchase</w:t>
            </w:r>
          </w:p>
        </w:tc>
        <w:tc>
          <w:tcPr>
            <w:tcW w:w="200" w:type="dxa"/>
            <w:vAlign w:val="bottom"/>
            <w:tcBorders>
              <w:bottom w:val="single" w:sz="8" w:color="auto"/>
            </w:tcBorders>
            <w:vMerge w:val="continue"/>
            <w:shd w:val="clear" w:color="auto" w:fill="CCEEFF"/>
          </w:tcPr>
          <w:p>
            <w:pPr>
              <w:spacing w:after="0"/>
              <w:rPr>
                <w:sz w:val="14"/>
                <w:szCs w:val="14"/>
                <w:color w:val="auto"/>
              </w:rPr>
            </w:pPr>
          </w:p>
        </w:tc>
        <w:tc>
          <w:tcPr>
            <w:tcW w:w="960" w:type="dxa"/>
            <w:vAlign w:val="bottom"/>
            <w:tcBorders>
              <w:bottom w:val="single" w:sz="8" w:color="auto"/>
              <w:right w:val="single" w:sz="8" w:color="auto"/>
            </w:tcBorders>
            <w:vMerge w:val="continue"/>
            <w:shd w:val="clear" w:color="auto" w:fill="CCEEFF"/>
          </w:tcPr>
          <w:p>
            <w:pPr>
              <w:spacing w:after="0"/>
              <w:rPr>
                <w:sz w:val="14"/>
                <w:szCs w:val="14"/>
                <w:color w:val="auto"/>
              </w:rPr>
            </w:pPr>
          </w:p>
        </w:tc>
        <w:tc>
          <w:tcPr>
            <w:tcW w:w="180" w:type="dxa"/>
            <w:vAlign w:val="bottom"/>
            <w:tcBorders>
              <w:bottom w:val="single" w:sz="8" w:color="auto"/>
            </w:tcBorders>
            <w:vMerge w:val="continue"/>
            <w:shd w:val="clear" w:color="auto" w:fill="CCEEFF"/>
          </w:tcPr>
          <w:p>
            <w:pPr>
              <w:spacing w:after="0"/>
              <w:rPr>
                <w:sz w:val="14"/>
                <w:szCs w:val="14"/>
                <w:color w:val="auto"/>
              </w:rPr>
            </w:pPr>
          </w:p>
        </w:tc>
        <w:tc>
          <w:tcPr>
            <w:tcW w:w="1000" w:type="dxa"/>
            <w:vAlign w:val="bottom"/>
            <w:tcBorders>
              <w:bottom w:val="single" w:sz="8" w:color="auto"/>
              <w:right w:val="single" w:sz="8" w:color="auto"/>
            </w:tcBorders>
            <w:vMerge w:val="continue"/>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right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2680" w:type="dxa"/>
            <w:vAlign w:val="bottom"/>
            <w:tcBorders>
              <w:left w:val="single" w:sz="8" w:color="auto"/>
              <w:right w:val="single" w:sz="8" w:color="auto"/>
            </w:tcBorders>
            <w:vMerge w:val="continue"/>
            <w:shd w:val="clear" w:color="auto" w:fill="CCEEFF"/>
          </w:tcPr>
          <w:p>
            <w:pPr>
              <w:spacing w:after="0"/>
              <w:rPr>
                <w:sz w:val="12"/>
                <w:szCs w:val="12"/>
                <w:color w:val="auto"/>
              </w:rPr>
            </w:pPr>
          </w:p>
        </w:tc>
        <w:tc>
          <w:tcPr>
            <w:tcW w:w="6440" w:type="dxa"/>
            <w:vAlign w:val="bottom"/>
            <w:tcBorders>
              <w:right w:val="single" w:sz="8" w:color="auto"/>
            </w:tcBorders>
            <w:gridSpan w:val="8"/>
            <w:shd w:val="clear" w:color="auto" w:fill="CCEEFF"/>
          </w:tcPr>
          <w:p>
            <w:pPr>
              <w:spacing w:after="0" w:line="146" w:lineRule="exact"/>
              <w:rPr>
                <w:sz w:val="20"/>
                <w:szCs w:val="20"/>
                <w:color w:val="auto"/>
              </w:rPr>
            </w:pPr>
            <w:r>
              <w:rPr>
                <w:rFonts w:ascii="Arial" w:cs="Arial" w:eastAsia="Arial" w:hAnsi="Arial"/>
                <w:sz w:val="13"/>
                <w:szCs w:val="13"/>
                <w:color w:val="auto"/>
                <w:w w:val="91"/>
              </w:rPr>
              <w:t>A manufacturer and distributor of industrial pallets and packaging in Georgia and North Carolina. Go Boy has annual sales</w:t>
            </w:r>
          </w:p>
        </w:tc>
        <w:tc>
          <w:tcPr>
            <w:tcW w:w="0" w:type="dxa"/>
            <w:vAlign w:val="bottom"/>
          </w:tcPr>
          <w:p>
            <w:pPr>
              <w:spacing w:after="0"/>
              <w:rPr>
                <w:sz w:val="1"/>
                <w:szCs w:val="1"/>
                <w:color w:val="auto"/>
              </w:rPr>
            </w:pPr>
          </w:p>
        </w:tc>
      </w:tr>
      <w:tr>
        <w:trPr>
          <w:trHeight w:val="159"/>
        </w:trPr>
        <w:tc>
          <w:tcPr>
            <w:tcW w:w="2680" w:type="dxa"/>
            <w:vAlign w:val="bottom"/>
            <w:tcBorders>
              <w:left w:val="single" w:sz="8" w:color="auto"/>
              <w:right w:val="single" w:sz="8" w:color="auto"/>
            </w:tcBorders>
            <w:shd w:val="clear" w:color="auto" w:fill="CCEEFF"/>
          </w:tcPr>
          <w:p>
            <w:pPr>
              <w:spacing w:after="0"/>
              <w:rPr>
                <w:sz w:val="13"/>
                <w:szCs w:val="13"/>
                <w:color w:val="auto"/>
              </w:rPr>
            </w:pPr>
          </w:p>
        </w:tc>
        <w:tc>
          <w:tcPr>
            <w:tcW w:w="6440" w:type="dxa"/>
            <w:vAlign w:val="bottom"/>
            <w:tcBorders>
              <w:right w:val="single" w:sz="8" w:color="auto"/>
            </w:tcBorders>
            <w:gridSpan w:val="8"/>
            <w:shd w:val="clear" w:color="auto" w:fill="CCEEFF"/>
          </w:tcPr>
          <w:p>
            <w:pPr>
              <w:spacing w:after="0"/>
              <w:rPr>
                <w:sz w:val="20"/>
                <w:szCs w:val="20"/>
                <w:color w:val="auto"/>
              </w:rPr>
            </w:pPr>
            <w:r>
              <w:rPr>
                <w:rFonts w:ascii="Arial" w:cs="Arial" w:eastAsia="Arial" w:hAnsi="Arial"/>
                <w:sz w:val="13"/>
                <w:szCs w:val="13"/>
                <w:color w:val="auto"/>
                <w:w w:val="91"/>
              </w:rPr>
              <w:t>of approximately $8 million. The acquisition of Go Boy enabled us to expand our industrial packaging product offering and</w:t>
            </w:r>
          </w:p>
        </w:tc>
        <w:tc>
          <w:tcPr>
            <w:tcW w:w="0" w:type="dxa"/>
            <w:vAlign w:val="bottom"/>
          </w:tcPr>
          <w:p>
            <w:pPr>
              <w:spacing w:after="0"/>
              <w:rPr>
                <w:sz w:val="1"/>
                <w:szCs w:val="1"/>
                <w:color w:val="auto"/>
              </w:rPr>
            </w:pPr>
          </w:p>
        </w:tc>
      </w:tr>
      <w:tr>
        <w:trPr>
          <w:trHeight w:val="167"/>
        </w:trPr>
        <w:tc>
          <w:tcPr>
            <w:tcW w:w="268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3560" w:type="dxa"/>
            <w:vAlign w:val="bottom"/>
            <w:tcBorders>
              <w:bottom w:val="single" w:sz="8" w:color="auto"/>
            </w:tcBorders>
            <w:gridSpan w:val="3"/>
            <w:shd w:val="clear" w:color="auto" w:fill="CCEEFF"/>
          </w:tcPr>
          <w:p>
            <w:pPr>
              <w:spacing w:after="0"/>
              <w:rPr>
                <w:sz w:val="20"/>
                <w:szCs w:val="20"/>
                <w:color w:val="auto"/>
              </w:rPr>
            </w:pPr>
            <w:r>
              <w:rPr>
                <w:rFonts w:ascii="Arial" w:cs="Arial" w:eastAsia="Arial" w:hAnsi="Arial"/>
                <w:sz w:val="13"/>
                <w:szCs w:val="13"/>
                <w:color w:val="auto"/>
              </w:rPr>
              <w:t>lumber sourcing in this region.</w:t>
            </w:r>
          </w:p>
        </w:tc>
        <w:tc>
          <w:tcPr>
            <w:tcW w:w="960" w:type="dxa"/>
            <w:vAlign w:val="bottom"/>
            <w:tcBorders>
              <w:bottom w:val="single" w:sz="8" w:color="auto"/>
              <w:right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right w:val="single" w:sz="8" w:color="CCEEFF"/>
            </w:tcBorders>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right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680" w:type="dxa"/>
            <w:vAlign w:val="bottom"/>
            <w:tcBorders>
              <w:left w:val="single" w:sz="8" w:color="auto"/>
              <w:right w:val="single" w:sz="8" w:color="auto"/>
            </w:tcBorders>
          </w:tcPr>
          <w:p>
            <w:pPr>
              <w:spacing w:after="0"/>
              <w:rPr>
                <w:sz w:val="13"/>
                <w:szCs w:val="13"/>
                <w:color w:val="auto"/>
              </w:rPr>
            </w:pPr>
          </w:p>
        </w:tc>
        <w:tc>
          <w:tcPr>
            <w:tcW w:w="1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w w:val="91"/>
              </w:rPr>
              <w:t>March 6, 2017</w:t>
            </w:r>
          </w:p>
        </w:tc>
        <w:tc>
          <w:tcPr>
            <w:tcW w:w="18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89"/>
              </w:rPr>
              <w:t>$31,818</w:t>
            </w:r>
          </w:p>
        </w:tc>
        <w:tc>
          <w:tcPr>
            <w:tcW w:w="200" w:type="dxa"/>
            <w:vAlign w:val="bottom"/>
            <w:vMerge w:val="restart"/>
          </w:tcPr>
          <w:p>
            <w:pPr>
              <w:jc w:val="right"/>
              <w:ind w:right="133"/>
              <w:spacing w:after="0"/>
              <w:rPr>
                <w:sz w:val="20"/>
                <w:szCs w:val="20"/>
                <w:color w:val="auto"/>
              </w:rPr>
            </w:pPr>
            <w:r>
              <w:rPr>
                <w:rFonts w:ascii="Arial" w:cs="Arial" w:eastAsia="Arial" w:hAnsi="Arial"/>
                <w:sz w:val="5"/>
                <w:szCs w:val="5"/>
                <w:color w:val="auto"/>
                <w:w w:val="70"/>
              </w:rPr>
              <w:t>$</w:t>
            </w:r>
          </w:p>
        </w:tc>
        <w:tc>
          <w:tcPr>
            <w:tcW w:w="960" w:type="dxa"/>
            <w:vAlign w:val="bottom"/>
            <w:tcBorders>
              <w:right w:val="single" w:sz="8" w:color="auto"/>
            </w:tcBorders>
            <w:vMerge w:val="restart"/>
          </w:tcPr>
          <w:p>
            <w:pPr>
              <w:jc w:val="right"/>
              <w:spacing w:after="0"/>
              <w:rPr>
                <w:sz w:val="20"/>
                <w:szCs w:val="20"/>
                <w:color w:val="auto"/>
              </w:rPr>
            </w:pPr>
            <w:r>
              <w:rPr>
                <w:rFonts w:ascii="Arial" w:cs="Arial" w:eastAsia="Arial" w:hAnsi="Arial"/>
                <w:sz w:val="13"/>
                <w:szCs w:val="13"/>
                <w:color w:val="auto"/>
              </w:rPr>
              <w:t>7,653</w:t>
            </w:r>
          </w:p>
        </w:tc>
        <w:tc>
          <w:tcPr>
            <w:tcW w:w="180" w:type="dxa"/>
            <w:vAlign w:val="bottom"/>
            <w:vMerge w:val="restart"/>
          </w:tcPr>
          <w:p>
            <w:pPr>
              <w:jc w:val="right"/>
              <w:ind w:right="72"/>
              <w:spacing w:after="0"/>
              <w:rPr>
                <w:sz w:val="20"/>
                <w:szCs w:val="20"/>
                <w:color w:val="auto"/>
              </w:rPr>
            </w:pPr>
            <w:r>
              <w:rPr>
                <w:rFonts w:ascii="Arial" w:cs="Arial" w:eastAsia="Arial" w:hAnsi="Arial"/>
                <w:sz w:val="10"/>
                <w:szCs w:val="10"/>
                <w:color w:val="auto"/>
                <w:w w:val="71"/>
              </w:rPr>
              <w:t>$</w:t>
            </w:r>
          </w:p>
        </w:tc>
        <w:tc>
          <w:tcPr>
            <w:tcW w:w="1000" w:type="dxa"/>
            <w:vAlign w:val="bottom"/>
            <w:tcBorders>
              <w:right w:val="single" w:sz="8" w:color="auto"/>
            </w:tcBorders>
            <w:vMerge w:val="restart"/>
          </w:tcPr>
          <w:p>
            <w:pPr>
              <w:jc w:val="right"/>
              <w:ind w:right="16"/>
              <w:spacing w:after="0"/>
              <w:rPr>
                <w:sz w:val="20"/>
                <w:szCs w:val="20"/>
                <w:color w:val="auto"/>
              </w:rPr>
            </w:pPr>
            <w:r>
              <w:rPr>
                <w:rFonts w:ascii="Arial" w:cs="Arial" w:eastAsia="Arial" w:hAnsi="Arial"/>
                <w:sz w:val="13"/>
                <w:szCs w:val="13"/>
                <w:color w:val="auto"/>
              </w:rPr>
              <w:t>24,165</w:t>
            </w:r>
          </w:p>
        </w:tc>
        <w:tc>
          <w:tcPr>
            <w:tcW w:w="40" w:type="dxa"/>
            <w:vAlign w:val="bottom"/>
          </w:tcPr>
          <w:p>
            <w:pPr>
              <w:spacing w:after="0"/>
              <w:rPr>
                <w:sz w:val="13"/>
                <w:szCs w:val="13"/>
                <w:color w:val="auto"/>
              </w:rPr>
            </w:pPr>
          </w:p>
        </w:tc>
        <w:tc>
          <w:tcPr>
            <w:tcW w:w="700" w:type="dxa"/>
            <w:vAlign w:val="bottom"/>
            <w:tcBorders>
              <w:right w:val="single" w:sz="8" w:color="auto"/>
            </w:tcBorders>
            <w:vMerge w:val="restart"/>
          </w:tcPr>
          <w:p>
            <w:pPr>
              <w:jc w:val="center"/>
              <w:ind w:right="16"/>
              <w:spacing w:after="0"/>
              <w:rPr>
                <w:sz w:val="20"/>
                <w:szCs w:val="20"/>
                <w:color w:val="auto"/>
              </w:rPr>
            </w:pPr>
            <w:r>
              <w:rPr>
                <w:rFonts w:ascii="Arial" w:cs="Arial" w:eastAsia="Arial" w:hAnsi="Arial"/>
                <w:sz w:val="13"/>
                <w:szCs w:val="13"/>
                <w:color w:val="auto"/>
                <w:w w:val="88"/>
              </w:rPr>
              <w:t>South</w:t>
            </w:r>
          </w:p>
        </w:tc>
        <w:tc>
          <w:tcPr>
            <w:tcW w:w="0" w:type="dxa"/>
            <w:vAlign w:val="bottom"/>
          </w:tcPr>
          <w:p>
            <w:pPr>
              <w:spacing w:after="0"/>
              <w:rPr>
                <w:sz w:val="1"/>
                <w:szCs w:val="1"/>
                <w:color w:val="auto"/>
              </w:rPr>
            </w:pPr>
          </w:p>
        </w:tc>
      </w:tr>
      <w:tr>
        <w:trPr>
          <w:trHeight w:val="164"/>
        </w:trPr>
        <w:tc>
          <w:tcPr>
            <w:tcW w:w="26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3"/>
                <w:szCs w:val="13"/>
                <w:color w:val="auto"/>
                <w:w w:val="91"/>
              </w:rPr>
              <w:t>Robbins Manufacturing Co. ("Robbins")</w:t>
            </w:r>
          </w:p>
        </w:tc>
        <w:tc>
          <w:tcPr>
            <w:tcW w:w="1500" w:type="dxa"/>
            <w:vAlign w:val="bottom"/>
            <w:tcBorders>
              <w:bottom w:val="single" w:sz="8" w:color="auto"/>
              <w:right w:val="single" w:sz="8" w:color="auto"/>
            </w:tcBorders>
            <w:vMerge w:val="continue"/>
          </w:tcPr>
          <w:p>
            <w:pPr>
              <w:spacing w:after="0"/>
              <w:rPr>
                <w:sz w:val="14"/>
                <w:szCs w:val="14"/>
                <w:color w:val="auto"/>
              </w:rPr>
            </w:pP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5"/>
              </w:rPr>
              <w:t>cash paid for 100% asset purchase</w:t>
            </w:r>
          </w:p>
        </w:tc>
        <w:tc>
          <w:tcPr>
            <w:tcW w:w="200" w:type="dxa"/>
            <w:vAlign w:val="bottom"/>
            <w:tcBorders>
              <w:bottom w:val="single" w:sz="8" w:color="auto"/>
            </w:tcBorders>
            <w:vMerge w:val="continue"/>
          </w:tcPr>
          <w:p>
            <w:pPr>
              <w:spacing w:after="0"/>
              <w:rPr>
                <w:sz w:val="14"/>
                <w:szCs w:val="14"/>
                <w:color w:val="auto"/>
              </w:rPr>
            </w:pPr>
          </w:p>
        </w:tc>
        <w:tc>
          <w:tcPr>
            <w:tcW w:w="960" w:type="dxa"/>
            <w:vAlign w:val="bottom"/>
            <w:tcBorders>
              <w:bottom w:val="single" w:sz="8" w:color="auto"/>
              <w:right w:val="single" w:sz="8" w:color="auto"/>
            </w:tcBorders>
            <w:vMerge w:val="continue"/>
          </w:tcPr>
          <w:p>
            <w:pPr>
              <w:spacing w:after="0"/>
              <w:rPr>
                <w:sz w:val="14"/>
                <w:szCs w:val="14"/>
                <w:color w:val="auto"/>
              </w:rPr>
            </w:pPr>
          </w:p>
        </w:tc>
        <w:tc>
          <w:tcPr>
            <w:tcW w:w="180" w:type="dxa"/>
            <w:vAlign w:val="bottom"/>
            <w:tcBorders>
              <w:bottom w:val="single" w:sz="8" w:color="auto"/>
            </w:tcBorders>
            <w:vMerge w:val="continue"/>
          </w:tcPr>
          <w:p>
            <w:pPr>
              <w:spacing w:after="0"/>
              <w:rPr>
                <w:sz w:val="14"/>
                <w:szCs w:val="14"/>
                <w:color w:val="auto"/>
              </w:rPr>
            </w:pPr>
          </w:p>
        </w:tc>
        <w:tc>
          <w:tcPr>
            <w:tcW w:w="1000" w:type="dxa"/>
            <w:vAlign w:val="bottom"/>
            <w:tcBorders>
              <w:bottom w:val="single" w:sz="8" w:color="auto"/>
              <w:right w:val="single" w:sz="8" w:color="auto"/>
            </w:tcBorders>
            <w:vMerge w:val="continue"/>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70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2680" w:type="dxa"/>
            <w:vAlign w:val="bottom"/>
            <w:tcBorders>
              <w:left w:val="single" w:sz="8" w:color="auto"/>
              <w:right w:val="single" w:sz="8" w:color="auto"/>
            </w:tcBorders>
            <w:vMerge w:val="continue"/>
          </w:tcPr>
          <w:p>
            <w:pPr>
              <w:spacing w:after="0"/>
              <w:rPr>
                <w:sz w:val="12"/>
                <w:szCs w:val="12"/>
                <w:color w:val="auto"/>
              </w:rPr>
            </w:pPr>
          </w:p>
        </w:tc>
        <w:tc>
          <w:tcPr>
            <w:tcW w:w="6440" w:type="dxa"/>
            <w:vAlign w:val="bottom"/>
            <w:tcBorders>
              <w:right w:val="single" w:sz="8" w:color="auto"/>
            </w:tcBorders>
            <w:gridSpan w:val="8"/>
          </w:tcPr>
          <w:p>
            <w:pPr>
              <w:spacing w:after="0" w:line="146" w:lineRule="exact"/>
              <w:rPr>
                <w:sz w:val="20"/>
                <w:szCs w:val="20"/>
                <w:color w:val="auto"/>
              </w:rPr>
            </w:pPr>
            <w:r>
              <w:rPr>
                <w:rFonts w:ascii="Arial" w:cs="Arial" w:eastAsia="Arial" w:hAnsi="Arial"/>
                <w:sz w:val="13"/>
                <w:szCs w:val="13"/>
                <w:color w:val="auto"/>
                <w:w w:val="90"/>
              </w:rPr>
              <w:t>A manufacturer of treated wood products with facilities in Florida, Georgia, and North Carolina. Robbins has annual sales of</w:t>
            </w:r>
          </w:p>
        </w:tc>
        <w:tc>
          <w:tcPr>
            <w:tcW w:w="0" w:type="dxa"/>
            <w:vAlign w:val="bottom"/>
          </w:tcPr>
          <w:p>
            <w:pPr>
              <w:spacing w:after="0"/>
              <w:rPr>
                <w:sz w:val="1"/>
                <w:szCs w:val="1"/>
                <w:color w:val="auto"/>
              </w:rPr>
            </w:pPr>
          </w:p>
        </w:tc>
      </w:tr>
      <w:tr>
        <w:trPr>
          <w:trHeight w:val="159"/>
        </w:trPr>
        <w:tc>
          <w:tcPr>
            <w:tcW w:w="2680" w:type="dxa"/>
            <w:vAlign w:val="bottom"/>
            <w:tcBorders>
              <w:left w:val="single" w:sz="8" w:color="auto"/>
              <w:right w:val="single" w:sz="8" w:color="auto"/>
            </w:tcBorders>
          </w:tcPr>
          <w:p>
            <w:pPr>
              <w:spacing w:after="0"/>
              <w:rPr>
                <w:sz w:val="13"/>
                <w:szCs w:val="13"/>
                <w:color w:val="auto"/>
              </w:rPr>
            </w:pPr>
          </w:p>
        </w:tc>
        <w:tc>
          <w:tcPr>
            <w:tcW w:w="6440" w:type="dxa"/>
            <w:vAlign w:val="bottom"/>
            <w:tcBorders>
              <w:right w:val="single" w:sz="8" w:color="auto"/>
            </w:tcBorders>
            <w:gridSpan w:val="8"/>
          </w:tcPr>
          <w:p>
            <w:pPr>
              <w:spacing w:after="0"/>
              <w:rPr>
                <w:sz w:val="20"/>
                <w:szCs w:val="20"/>
                <w:color w:val="auto"/>
              </w:rPr>
            </w:pPr>
            <w:r>
              <w:rPr>
                <w:rFonts w:ascii="Arial" w:cs="Arial" w:eastAsia="Arial" w:hAnsi="Arial"/>
                <w:sz w:val="13"/>
                <w:szCs w:val="13"/>
                <w:color w:val="auto"/>
                <w:w w:val="89"/>
              </w:rPr>
              <w:t>approximately $86 million. The acquisition of Robbins allowed us to expand our presence in this region and serve customers</w:t>
            </w:r>
          </w:p>
        </w:tc>
        <w:tc>
          <w:tcPr>
            <w:tcW w:w="0" w:type="dxa"/>
            <w:vAlign w:val="bottom"/>
          </w:tcPr>
          <w:p>
            <w:pPr>
              <w:spacing w:after="0"/>
              <w:rPr>
                <w:sz w:val="1"/>
                <w:szCs w:val="1"/>
                <w:color w:val="auto"/>
              </w:rPr>
            </w:pPr>
          </w:p>
        </w:tc>
      </w:tr>
      <w:tr>
        <w:trPr>
          <w:trHeight w:val="167"/>
        </w:trPr>
        <w:tc>
          <w:tcPr>
            <w:tcW w:w="2680" w:type="dxa"/>
            <w:vAlign w:val="bottom"/>
            <w:tcBorders>
              <w:left w:val="single" w:sz="8" w:color="auto"/>
              <w:bottom w:val="single" w:sz="8" w:color="auto"/>
              <w:right w:val="single" w:sz="8" w:color="auto"/>
            </w:tcBorders>
          </w:tcPr>
          <w:p>
            <w:pPr>
              <w:spacing w:after="0"/>
              <w:rPr>
                <w:sz w:val="14"/>
                <w:szCs w:val="14"/>
                <w:color w:val="auto"/>
              </w:rPr>
            </w:pPr>
          </w:p>
        </w:tc>
        <w:tc>
          <w:tcPr>
            <w:tcW w:w="15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more cost effectively.</w:t>
            </w:r>
          </w:p>
        </w:tc>
        <w:tc>
          <w:tcPr>
            <w:tcW w:w="18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680" w:type="dxa"/>
            <w:vAlign w:val="bottom"/>
            <w:tcBorders>
              <w:left w:val="single" w:sz="8" w:color="auto"/>
              <w:right w:val="single" w:sz="8" w:color="auto"/>
            </w:tcBorders>
            <w:shd w:val="clear" w:color="auto" w:fill="CCEEFF"/>
          </w:tcPr>
          <w:p>
            <w:pPr>
              <w:spacing w:after="0"/>
              <w:rPr>
                <w:sz w:val="13"/>
                <w:szCs w:val="13"/>
                <w:color w:val="auto"/>
              </w:rPr>
            </w:pPr>
          </w:p>
        </w:tc>
        <w:tc>
          <w:tcPr>
            <w:tcW w:w="150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3"/>
                <w:szCs w:val="13"/>
                <w:color w:val="auto"/>
                <w:w w:val="91"/>
              </w:rPr>
              <w:t>March 6, 2017</w:t>
            </w:r>
          </w:p>
        </w:tc>
        <w:tc>
          <w:tcPr>
            <w:tcW w:w="186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89"/>
              </w:rPr>
              <w:t>$22,789</w:t>
            </w:r>
          </w:p>
        </w:tc>
        <w:tc>
          <w:tcPr>
            <w:tcW w:w="200" w:type="dxa"/>
            <w:vAlign w:val="bottom"/>
            <w:vMerge w:val="restart"/>
            <w:shd w:val="clear" w:color="auto" w:fill="CCEEFF"/>
          </w:tcPr>
          <w:p>
            <w:pPr>
              <w:jc w:val="right"/>
              <w:ind w:right="133"/>
              <w:spacing w:after="0"/>
              <w:rPr>
                <w:sz w:val="20"/>
                <w:szCs w:val="20"/>
                <w:color w:val="auto"/>
              </w:rPr>
            </w:pPr>
            <w:r>
              <w:rPr>
                <w:rFonts w:ascii="Arial" w:cs="Arial" w:eastAsia="Arial" w:hAnsi="Arial"/>
                <w:sz w:val="5"/>
                <w:szCs w:val="5"/>
                <w:color w:val="auto"/>
                <w:w w:val="70"/>
              </w:rPr>
              <w:t>$</w:t>
            </w:r>
          </w:p>
        </w:tc>
        <w:tc>
          <w:tcPr>
            <w:tcW w:w="96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14,341</w:t>
            </w:r>
          </w:p>
        </w:tc>
        <w:tc>
          <w:tcPr>
            <w:tcW w:w="180" w:type="dxa"/>
            <w:vAlign w:val="bottom"/>
            <w:vMerge w:val="restart"/>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1000" w:type="dxa"/>
            <w:vAlign w:val="bottom"/>
            <w:tcBorders>
              <w:right w:val="single" w:sz="8" w:color="auto"/>
            </w:tcBorders>
            <w:vMerge w:val="restart"/>
            <w:shd w:val="clear" w:color="auto" w:fill="CCEEFF"/>
          </w:tcPr>
          <w:p>
            <w:pPr>
              <w:jc w:val="right"/>
              <w:ind w:right="16"/>
              <w:spacing w:after="0"/>
              <w:rPr>
                <w:sz w:val="20"/>
                <w:szCs w:val="20"/>
                <w:color w:val="auto"/>
              </w:rPr>
            </w:pPr>
            <w:r>
              <w:rPr>
                <w:rFonts w:ascii="Arial" w:cs="Arial" w:eastAsia="Arial" w:hAnsi="Arial"/>
                <w:sz w:val="13"/>
                <w:szCs w:val="13"/>
                <w:color w:val="auto"/>
              </w:rPr>
              <w:t>8,448</w:t>
            </w:r>
          </w:p>
        </w:tc>
        <w:tc>
          <w:tcPr>
            <w:tcW w:w="40" w:type="dxa"/>
            <w:vAlign w:val="bottom"/>
            <w:shd w:val="clear" w:color="auto" w:fill="CCEEFF"/>
          </w:tcPr>
          <w:p>
            <w:pPr>
              <w:spacing w:after="0"/>
              <w:rPr>
                <w:sz w:val="13"/>
                <w:szCs w:val="13"/>
                <w:color w:val="auto"/>
              </w:rPr>
            </w:pPr>
          </w:p>
        </w:tc>
        <w:tc>
          <w:tcPr>
            <w:tcW w:w="700" w:type="dxa"/>
            <w:vAlign w:val="bottom"/>
            <w:tcBorders>
              <w:right w:val="single" w:sz="8" w:color="auto"/>
            </w:tcBorders>
            <w:vMerge w:val="restart"/>
            <w:shd w:val="clear" w:color="auto" w:fill="CCEEFF"/>
          </w:tcPr>
          <w:p>
            <w:pPr>
              <w:jc w:val="center"/>
              <w:ind w:right="16"/>
              <w:spacing w:after="0"/>
              <w:rPr>
                <w:sz w:val="20"/>
                <w:szCs w:val="20"/>
                <w:color w:val="auto"/>
              </w:rPr>
            </w:pPr>
            <w:r>
              <w:rPr>
                <w:rFonts w:ascii="Arial" w:cs="Arial" w:eastAsia="Arial" w:hAnsi="Arial"/>
                <w:sz w:val="13"/>
                <w:szCs w:val="13"/>
                <w:color w:val="auto"/>
                <w:w w:val="94"/>
              </w:rPr>
              <w:t>North</w:t>
            </w:r>
          </w:p>
        </w:tc>
        <w:tc>
          <w:tcPr>
            <w:tcW w:w="0" w:type="dxa"/>
            <w:vAlign w:val="bottom"/>
          </w:tcPr>
          <w:p>
            <w:pPr>
              <w:spacing w:after="0"/>
              <w:rPr>
                <w:sz w:val="1"/>
                <w:szCs w:val="1"/>
                <w:color w:val="auto"/>
              </w:rPr>
            </w:pPr>
          </w:p>
        </w:tc>
      </w:tr>
      <w:tr>
        <w:trPr>
          <w:trHeight w:val="164"/>
        </w:trPr>
        <w:tc>
          <w:tcPr>
            <w:tcW w:w="2680" w:type="dxa"/>
            <w:vAlign w:val="bottom"/>
            <w:tcBorders>
              <w:left w:val="single" w:sz="8" w:color="auto"/>
              <w:bottom w:val="single" w:sz="8" w:color="CCEEFF"/>
              <w:right w:val="single" w:sz="8" w:color="auto"/>
            </w:tcBorders>
            <w:vMerge w:val="restart"/>
            <w:shd w:val="clear" w:color="auto" w:fill="CCEEFF"/>
          </w:tcPr>
          <w:p>
            <w:pPr>
              <w:jc w:val="center"/>
              <w:spacing w:after="0"/>
              <w:rPr>
                <w:sz w:val="20"/>
                <w:szCs w:val="20"/>
                <w:color w:val="auto"/>
              </w:rPr>
            </w:pPr>
            <w:r>
              <w:rPr>
                <w:rFonts w:ascii="Arial" w:cs="Arial" w:eastAsia="Arial" w:hAnsi="Arial"/>
                <w:sz w:val="13"/>
                <w:szCs w:val="13"/>
                <w:color w:val="auto"/>
                <w:w w:val="92"/>
              </w:rPr>
              <w:t>Quality Hardwood Sales, LLC ("Quality")</w:t>
            </w:r>
          </w:p>
        </w:tc>
        <w:tc>
          <w:tcPr>
            <w:tcW w:w="1500" w:type="dxa"/>
            <w:vAlign w:val="bottom"/>
            <w:tcBorders>
              <w:bottom w:val="single" w:sz="8" w:color="auto"/>
              <w:right w:val="single" w:sz="8" w:color="auto"/>
            </w:tcBorders>
            <w:vMerge w:val="continue"/>
            <w:shd w:val="clear" w:color="auto" w:fill="CCEEFF"/>
          </w:tcPr>
          <w:p>
            <w:pPr>
              <w:spacing w:after="0"/>
              <w:rPr>
                <w:sz w:val="14"/>
                <w:szCs w:val="14"/>
                <w:color w:val="auto"/>
              </w:rPr>
            </w:pPr>
          </w:p>
        </w:tc>
        <w:tc>
          <w:tcPr>
            <w:tcW w:w="18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85"/>
              </w:rPr>
              <w:t>cash paid for 100% asset purchase</w:t>
            </w:r>
          </w:p>
        </w:tc>
        <w:tc>
          <w:tcPr>
            <w:tcW w:w="200" w:type="dxa"/>
            <w:vAlign w:val="bottom"/>
            <w:tcBorders>
              <w:bottom w:val="single" w:sz="8" w:color="auto"/>
            </w:tcBorders>
            <w:vMerge w:val="continue"/>
            <w:shd w:val="clear" w:color="auto" w:fill="CCEEFF"/>
          </w:tcPr>
          <w:p>
            <w:pPr>
              <w:spacing w:after="0"/>
              <w:rPr>
                <w:sz w:val="14"/>
                <w:szCs w:val="14"/>
                <w:color w:val="auto"/>
              </w:rPr>
            </w:pPr>
          </w:p>
        </w:tc>
        <w:tc>
          <w:tcPr>
            <w:tcW w:w="960" w:type="dxa"/>
            <w:vAlign w:val="bottom"/>
            <w:tcBorders>
              <w:bottom w:val="single" w:sz="8" w:color="auto"/>
              <w:right w:val="single" w:sz="8" w:color="auto"/>
            </w:tcBorders>
            <w:vMerge w:val="continue"/>
            <w:shd w:val="clear" w:color="auto" w:fill="CCEEFF"/>
          </w:tcPr>
          <w:p>
            <w:pPr>
              <w:spacing w:after="0"/>
              <w:rPr>
                <w:sz w:val="14"/>
                <w:szCs w:val="14"/>
                <w:color w:val="auto"/>
              </w:rPr>
            </w:pPr>
          </w:p>
        </w:tc>
        <w:tc>
          <w:tcPr>
            <w:tcW w:w="180" w:type="dxa"/>
            <w:vAlign w:val="bottom"/>
            <w:tcBorders>
              <w:bottom w:val="single" w:sz="8" w:color="auto"/>
            </w:tcBorders>
            <w:vMerge w:val="continue"/>
            <w:shd w:val="clear" w:color="auto" w:fill="CCEEFF"/>
          </w:tcPr>
          <w:p>
            <w:pPr>
              <w:spacing w:after="0"/>
              <w:rPr>
                <w:sz w:val="14"/>
                <w:szCs w:val="14"/>
                <w:color w:val="auto"/>
              </w:rPr>
            </w:pPr>
          </w:p>
        </w:tc>
        <w:tc>
          <w:tcPr>
            <w:tcW w:w="1000" w:type="dxa"/>
            <w:vAlign w:val="bottom"/>
            <w:tcBorders>
              <w:bottom w:val="single" w:sz="8" w:color="auto"/>
              <w:right w:val="single" w:sz="8" w:color="auto"/>
            </w:tcBorders>
            <w:vMerge w:val="continue"/>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right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2680" w:type="dxa"/>
            <w:vAlign w:val="bottom"/>
            <w:tcBorders>
              <w:left w:val="single" w:sz="8" w:color="auto"/>
              <w:right w:val="single" w:sz="8" w:color="auto"/>
            </w:tcBorders>
            <w:vMerge w:val="continue"/>
            <w:shd w:val="clear" w:color="auto" w:fill="CCEEFF"/>
          </w:tcPr>
          <w:p>
            <w:pPr>
              <w:spacing w:after="0"/>
              <w:rPr>
                <w:sz w:val="12"/>
                <w:szCs w:val="12"/>
                <w:color w:val="auto"/>
              </w:rPr>
            </w:pPr>
          </w:p>
        </w:tc>
        <w:tc>
          <w:tcPr>
            <w:tcW w:w="6440" w:type="dxa"/>
            <w:vAlign w:val="bottom"/>
            <w:tcBorders>
              <w:right w:val="single" w:sz="8" w:color="auto"/>
            </w:tcBorders>
            <w:gridSpan w:val="8"/>
            <w:shd w:val="clear" w:color="auto" w:fill="CCEEFF"/>
          </w:tcPr>
          <w:p>
            <w:pPr>
              <w:spacing w:after="0" w:line="146" w:lineRule="exact"/>
              <w:rPr>
                <w:sz w:val="20"/>
                <w:szCs w:val="20"/>
                <w:color w:val="auto"/>
              </w:rPr>
            </w:pPr>
            <w:r>
              <w:rPr>
                <w:rFonts w:ascii="Arial" w:cs="Arial" w:eastAsia="Arial" w:hAnsi="Arial"/>
                <w:sz w:val="13"/>
                <w:szCs w:val="13"/>
                <w:color w:val="auto"/>
                <w:w w:val="94"/>
              </w:rPr>
              <w:t>A manufacturer and supplier of hardwood products, including components of cabinets used in homes and recreational</w:t>
            </w:r>
          </w:p>
        </w:tc>
        <w:tc>
          <w:tcPr>
            <w:tcW w:w="0" w:type="dxa"/>
            <w:vAlign w:val="bottom"/>
          </w:tcPr>
          <w:p>
            <w:pPr>
              <w:spacing w:after="0"/>
              <w:rPr>
                <w:sz w:val="1"/>
                <w:szCs w:val="1"/>
                <w:color w:val="auto"/>
              </w:rPr>
            </w:pPr>
          </w:p>
        </w:tc>
      </w:tr>
      <w:tr>
        <w:trPr>
          <w:trHeight w:val="159"/>
        </w:trPr>
        <w:tc>
          <w:tcPr>
            <w:tcW w:w="2680" w:type="dxa"/>
            <w:vAlign w:val="bottom"/>
            <w:tcBorders>
              <w:left w:val="single" w:sz="8" w:color="auto"/>
              <w:right w:val="single" w:sz="8" w:color="auto"/>
            </w:tcBorders>
            <w:shd w:val="clear" w:color="auto" w:fill="CCEEFF"/>
          </w:tcPr>
          <w:p>
            <w:pPr>
              <w:spacing w:after="0"/>
              <w:rPr>
                <w:sz w:val="13"/>
                <w:szCs w:val="13"/>
                <w:color w:val="auto"/>
              </w:rPr>
            </w:pPr>
          </w:p>
        </w:tc>
        <w:tc>
          <w:tcPr>
            <w:tcW w:w="6440" w:type="dxa"/>
            <w:vAlign w:val="bottom"/>
            <w:tcBorders>
              <w:right w:val="single" w:sz="8" w:color="auto"/>
            </w:tcBorders>
            <w:gridSpan w:val="8"/>
            <w:shd w:val="clear" w:color="auto" w:fill="CCEEFF"/>
          </w:tcPr>
          <w:p>
            <w:pPr>
              <w:spacing w:after="0"/>
              <w:rPr>
                <w:sz w:val="20"/>
                <w:szCs w:val="20"/>
                <w:color w:val="auto"/>
              </w:rPr>
            </w:pPr>
            <w:r>
              <w:rPr>
                <w:rFonts w:ascii="Arial" w:cs="Arial" w:eastAsia="Arial" w:hAnsi="Arial"/>
                <w:sz w:val="13"/>
                <w:szCs w:val="13"/>
                <w:color w:val="auto"/>
                <w:w w:val="96"/>
              </w:rPr>
              <w:t>vehicles. Quality has annual sales of approximately $30 million. The acquisition of Quality enabled us to expand our</w:t>
            </w:r>
          </w:p>
        </w:tc>
        <w:tc>
          <w:tcPr>
            <w:tcW w:w="0" w:type="dxa"/>
            <w:vAlign w:val="bottom"/>
          </w:tcPr>
          <w:p>
            <w:pPr>
              <w:spacing w:after="0"/>
              <w:rPr>
                <w:sz w:val="1"/>
                <w:szCs w:val="1"/>
                <w:color w:val="auto"/>
              </w:rPr>
            </w:pPr>
          </w:p>
        </w:tc>
      </w:tr>
      <w:tr>
        <w:trPr>
          <w:trHeight w:val="167"/>
        </w:trPr>
        <w:tc>
          <w:tcPr>
            <w:tcW w:w="268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3560" w:type="dxa"/>
            <w:vAlign w:val="bottom"/>
            <w:tcBorders>
              <w:bottom w:val="single" w:sz="8" w:color="auto"/>
            </w:tcBorders>
            <w:gridSpan w:val="3"/>
            <w:shd w:val="clear" w:color="auto" w:fill="CCEEFF"/>
          </w:tcPr>
          <w:p>
            <w:pPr>
              <w:spacing w:after="0"/>
              <w:rPr>
                <w:sz w:val="20"/>
                <w:szCs w:val="20"/>
                <w:color w:val="auto"/>
              </w:rPr>
            </w:pPr>
            <w:r>
              <w:rPr>
                <w:rFonts w:ascii="Arial" w:cs="Arial" w:eastAsia="Arial" w:hAnsi="Arial"/>
                <w:sz w:val="13"/>
                <w:szCs w:val="13"/>
                <w:color w:val="auto"/>
              </w:rPr>
              <w:t>product offering to include hardwood-based products.</w:t>
            </w:r>
          </w:p>
        </w:tc>
        <w:tc>
          <w:tcPr>
            <w:tcW w:w="960" w:type="dxa"/>
            <w:vAlign w:val="bottom"/>
            <w:tcBorders>
              <w:bottom w:val="single" w:sz="8" w:color="auto"/>
              <w:right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right w:val="single" w:sz="8" w:color="CCEEFF"/>
            </w:tcBorders>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right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66675</wp:posOffset>
            </wp:positionV>
            <wp:extent cx="5779135" cy="2032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7">
                      <a:extLst>
                        <a:ext uri="{28A0092B-C50C-407E-A947-70E740481C1C}"/>
                      </a:extLst>
                    </a:blip>
                    <a:srcRect/>
                    <a:stretch>
                      <a:fillRect/>
                    </a:stretch>
                  </pic:blipFill>
                  <pic:spPr bwMode="auto">
                    <a:xfrm>
                      <a:off x="0" y="0"/>
                      <a:ext cx="5779135" cy="20320"/>
                    </a:xfrm>
                    <a:prstGeom prst="rect">
                      <a:avLst/>
                    </a:prstGeom>
                    <a:noFill/>
                  </pic:spPr>
                </pic:pic>
              </a:graphicData>
            </a:graphic>
          </wp:anchor>
        </w:drawing>
      </w:r>
    </w:p>
    <w:p>
      <w:pPr>
        <w:sectPr>
          <w:pgSz w:w="11900" w:h="16838" w:orient="portrait"/>
          <w:cols w:equalWidth="0" w:num="1">
            <w:col w:w="9100"/>
          </w:cols>
          <w:pgMar w:left="1400" w:top="129" w:right="1399" w:bottom="1440" w:gutter="0" w:footer="0" w:header="0"/>
        </w:sectPr>
      </w:pPr>
    </w:p>
    <w:bookmarkStart w:id="83" w:name="page84"/>
    <w:bookmarkEnd w:id="83"/>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94" w:lineRule="exact"/>
        <w:rPr>
          <w:sz w:val="20"/>
          <w:szCs w:val="20"/>
          <w:color w:val="auto"/>
        </w:rPr>
      </w:pPr>
    </w:p>
    <w:p>
      <w:pPr>
        <w:jc w:val="both"/>
        <w:ind w:right="80" w:firstLine="510"/>
        <w:spacing w:after="0" w:line="267" w:lineRule="auto"/>
        <w:rPr>
          <w:sz w:val="20"/>
          <w:szCs w:val="20"/>
          <w:color w:val="auto"/>
        </w:rPr>
      </w:pPr>
      <w:r>
        <w:rPr>
          <w:rFonts w:ascii="Arial" w:cs="Arial" w:eastAsia="Arial" w:hAnsi="Arial"/>
          <w:sz w:val="14"/>
          <w:szCs w:val="14"/>
          <w:color w:val="auto"/>
        </w:rPr>
        <w:t>The intangible assets for each acquisition were finalized and allocated to their respective identifiable intangible asset and goodwill accounts during 2018, except for our NACC and Pak-Rite acquisitions. In aggregate, acquisitions not consolidated with other operations contributed approximately $110.1 million in revenue and a $1.1 million in operating profit during 2018.</w:t>
      </w:r>
    </w:p>
    <w:p>
      <w:pPr>
        <w:spacing w:after="0" w:line="142" w:lineRule="exact"/>
        <w:rPr>
          <w:sz w:val="20"/>
          <w:szCs w:val="20"/>
          <w:color w:val="auto"/>
        </w:rPr>
      </w:pPr>
    </w:p>
    <w:p>
      <w:pPr>
        <w:ind w:left="520"/>
        <w:spacing w:after="0"/>
        <w:rPr>
          <w:sz w:val="20"/>
          <w:szCs w:val="20"/>
          <w:color w:val="auto"/>
        </w:rPr>
      </w:pPr>
      <w:r>
        <w:rPr>
          <w:rFonts w:ascii="Arial" w:cs="Arial" w:eastAsia="Arial" w:hAnsi="Arial"/>
          <w:sz w:val="12"/>
          <w:szCs w:val="12"/>
          <w:color w:val="auto"/>
        </w:rPr>
        <w:t>At December 29, 2018, the amounts assigned to major intangible classes for the business combinations mentioned above are as follows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50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5"/>
              </w:rPr>
              <w:t>Non-</w:t>
            </w:r>
          </w:p>
        </w:tc>
        <w:tc>
          <w:tcPr>
            <w:tcW w:w="100" w:type="dxa"/>
            <w:vAlign w:val="bottom"/>
          </w:tcPr>
          <w:p>
            <w:pPr>
              <w:spacing w:after="0"/>
              <w:rPr>
                <w:sz w:val="10"/>
                <w:szCs w:val="10"/>
                <w:color w:val="auto"/>
              </w:rPr>
            </w:pPr>
          </w:p>
        </w:tc>
        <w:tc>
          <w:tcPr>
            <w:tcW w:w="760" w:type="dxa"/>
            <w:vAlign w:val="bottom"/>
            <w:vMerge w:val="restart"/>
          </w:tcPr>
          <w:p>
            <w:pPr>
              <w:jc w:val="right"/>
              <w:ind w:right="111"/>
              <w:spacing w:after="0"/>
              <w:rPr>
                <w:sz w:val="20"/>
                <w:szCs w:val="20"/>
                <w:color w:val="auto"/>
              </w:rPr>
            </w:pPr>
            <w:r>
              <w:rPr>
                <w:rFonts w:ascii="Arial" w:cs="Arial" w:eastAsia="Arial" w:hAnsi="Arial"/>
                <w:sz w:val="11"/>
                <w:szCs w:val="11"/>
                <w:b w:val="1"/>
                <w:bCs w:val="1"/>
                <w:color w:val="auto"/>
              </w:rPr>
              <w:t>Customer</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jc w:val="center"/>
              <w:ind w:right="12"/>
              <w:spacing w:after="0"/>
              <w:rPr>
                <w:sz w:val="20"/>
                <w:szCs w:val="20"/>
                <w:color w:val="auto"/>
              </w:rPr>
            </w:pPr>
            <w:r>
              <w:rPr>
                <w:rFonts w:ascii="Arial" w:cs="Arial" w:eastAsia="Arial" w:hAnsi="Arial"/>
                <w:sz w:val="11"/>
                <w:szCs w:val="11"/>
                <w:b w:val="1"/>
                <w:bCs w:val="1"/>
                <w:color w:val="auto"/>
                <w:w w:val="97"/>
              </w:rPr>
              <w:t>Goodwill -</w:t>
            </w:r>
          </w:p>
        </w:tc>
        <w:tc>
          <w:tcPr>
            <w:tcW w:w="0" w:type="dxa"/>
            <w:vAlign w:val="bottom"/>
          </w:tcPr>
          <w:p>
            <w:pPr>
              <w:spacing w:after="0"/>
              <w:rPr>
                <w:sz w:val="1"/>
                <w:szCs w:val="1"/>
                <w:color w:val="auto"/>
              </w:rPr>
            </w:pPr>
          </w:p>
        </w:tc>
      </w:tr>
      <w:tr>
        <w:trPr>
          <w:trHeight w:val="117"/>
        </w:trPr>
        <w:tc>
          <w:tcPr>
            <w:tcW w:w="50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tcPr>
          <w:p>
            <w:pPr>
              <w:jc w:val="center"/>
              <w:ind w:right="220"/>
              <w:spacing w:after="0" w:line="117" w:lineRule="exact"/>
              <w:rPr>
                <w:sz w:val="20"/>
                <w:szCs w:val="20"/>
                <w:color w:val="auto"/>
              </w:rPr>
            </w:pPr>
            <w:r>
              <w:rPr>
                <w:rFonts w:ascii="Arial" w:cs="Arial" w:eastAsia="Arial" w:hAnsi="Arial"/>
                <w:sz w:val="11"/>
                <w:szCs w:val="11"/>
                <w:b w:val="1"/>
                <w:bCs w:val="1"/>
                <w:color w:val="auto"/>
                <w:w w:val="93"/>
              </w:rPr>
              <w:t>Compete</w:t>
            </w:r>
          </w:p>
        </w:tc>
        <w:tc>
          <w:tcPr>
            <w:tcW w:w="10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3"/>
            <w:vMerge w:val="restart"/>
          </w:tcPr>
          <w:p>
            <w:pPr>
              <w:jc w:val="right"/>
              <w:ind w:right="149"/>
              <w:spacing w:after="0"/>
              <w:rPr>
                <w:sz w:val="20"/>
                <w:szCs w:val="20"/>
                <w:color w:val="auto"/>
              </w:rPr>
            </w:pPr>
            <w:r>
              <w:rPr>
                <w:rFonts w:ascii="Arial" w:cs="Arial" w:eastAsia="Arial" w:hAnsi="Arial"/>
                <w:sz w:val="11"/>
                <w:szCs w:val="11"/>
                <w:b w:val="1"/>
                <w:bCs w:val="1"/>
                <w:color w:val="auto"/>
                <w:w w:val="91"/>
              </w:rPr>
              <w:t>Tradename</w:t>
            </w:r>
          </w:p>
        </w:tc>
        <w:tc>
          <w:tcPr>
            <w:tcW w:w="520" w:type="dxa"/>
            <w:vAlign w:val="bottom"/>
            <w:vMerge w:val="restart"/>
          </w:tcPr>
          <w:p>
            <w:pPr>
              <w:jc w:val="right"/>
              <w:ind w:right="10"/>
              <w:spacing w:after="0"/>
              <w:rPr>
                <w:sz w:val="20"/>
                <w:szCs w:val="20"/>
                <w:color w:val="auto"/>
              </w:rPr>
            </w:pPr>
            <w:r>
              <w:rPr>
                <w:rFonts w:ascii="Arial" w:cs="Arial" w:eastAsia="Arial" w:hAnsi="Arial"/>
                <w:sz w:val="11"/>
                <w:szCs w:val="11"/>
                <w:b w:val="1"/>
                <w:bCs w:val="1"/>
                <w:color w:val="auto"/>
                <w:w w:val="90"/>
              </w:rPr>
              <w:t>Goodwill</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jc w:val="center"/>
              <w:ind w:right="32"/>
              <w:spacing w:after="0" w:line="117" w:lineRule="exact"/>
              <w:rPr>
                <w:sz w:val="20"/>
                <w:szCs w:val="20"/>
                <w:color w:val="auto"/>
              </w:rPr>
            </w:pPr>
            <w:r>
              <w:rPr>
                <w:rFonts w:ascii="Arial" w:cs="Arial" w:eastAsia="Arial" w:hAnsi="Arial"/>
                <w:sz w:val="11"/>
                <w:szCs w:val="11"/>
                <w:b w:val="1"/>
                <w:bCs w:val="1"/>
                <w:color w:val="auto"/>
                <w:w w:val="94"/>
              </w:rPr>
              <w:t>Tax</w:t>
            </w:r>
          </w:p>
        </w:tc>
        <w:tc>
          <w:tcPr>
            <w:tcW w:w="0" w:type="dxa"/>
            <w:vAlign w:val="bottom"/>
          </w:tcPr>
          <w:p>
            <w:pPr>
              <w:spacing w:after="0"/>
              <w:rPr>
                <w:sz w:val="1"/>
                <w:szCs w:val="1"/>
                <w:color w:val="auto"/>
              </w:rPr>
            </w:pPr>
          </w:p>
        </w:tc>
      </w:tr>
      <w:tr>
        <w:trPr>
          <w:trHeight w:val="135"/>
        </w:trPr>
        <w:tc>
          <w:tcPr>
            <w:tcW w:w="5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8"/>
              </w:rPr>
              <w:t>Agreements</w:t>
            </w:r>
          </w:p>
        </w:tc>
        <w:tc>
          <w:tcPr>
            <w:tcW w:w="100" w:type="dxa"/>
            <w:vAlign w:val="bottom"/>
          </w:tcPr>
          <w:p>
            <w:pPr>
              <w:spacing w:after="0"/>
              <w:rPr>
                <w:sz w:val="11"/>
                <w:szCs w:val="11"/>
                <w:color w:val="auto"/>
              </w:rPr>
            </w:pPr>
          </w:p>
        </w:tc>
        <w:tc>
          <w:tcPr>
            <w:tcW w:w="760" w:type="dxa"/>
            <w:vAlign w:val="bottom"/>
          </w:tcPr>
          <w:p>
            <w:pPr>
              <w:jc w:val="right"/>
              <w:ind w:right="31"/>
              <w:spacing w:after="0"/>
              <w:rPr>
                <w:sz w:val="20"/>
                <w:szCs w:val="20"/>
                <w:color w:val="auto"/>
              </w:rPr>
            </w:pPr>
            <w:r>
              <w:rPr>
                <w:rFonts w:ascii="Arial" w:cs="Arial" w:eastAsia="Arial" w:hAnsi="Arial"/>
                <w:sz w:val="11"/>
                <w:szCs w:val="11"/>
                <w:b w:val="1"/>
                <w:bCs w:val="1"/>
                <w:color w:val="auto"/>
                <w:w w:val="88"/>
              </w:rPr>
              <w:t>Relationships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3"/>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center"/>
              <w:ind w:right="12"/>
              <w:spacing w:after="0"/>
              <w:rPr>
                <w:sz w:val="20"/>
                <w:szCs w:val="20"/>
                <w:color w:val="auto"/>
              </w:rPr>
            </w:pPr>
            <w:r>
              <w:rPr>
                <w:rFonts w:ascii="Arial" w:cs="Arial" w:eastAsia="Arial" w:hAnsi="Arial"/>
                <w:sz w:val="11"/>
                <w:szCs w:val="11"/>
                <w:b w:val="1"/>
                <w:bCs w:val="1"/>
                <w:color w:val="auto"/>
                <w:w w:val="92"/>
              </w:rPr>
              <w:t>Deductible</w:t>
            </w:r>
          </w:p>
        </w:tc>
        <w:tc>
          <w:tcPr>
            <w:tcW w:w="0" w:type="dxa"/>
            <w:vAlign w:val="bottom"/>
          </w:tcPr>
          <w:p>
            <w:pPr>
              <w:spacing w:after="0"/>
              <w:rPr>
                <w:sz w:val="1"/>
                <w:szCs w:val="1"/>
                <w:color w:val="auto"/>
              </w:rPr>
            </w:pPr>
          </w:p>
        </w:tc>
      </w:tr>
      <w:tr>
        <w:trPr>
          <w:trHeight w:val="170"/>
        </w:trPr>
        <w:tc>
          <w:tcPr>
            <w:tcW w:w="5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color w:val="auto"/>
              </w:rPr>
              <w:t>Pak-Rite</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4,300</w:t>
            </w:r>
          </w:p>
        </w:tc>
        <w:tc>
          <w:tcPr>
            <w:tcW w:w="140" w:type="dxa"/>
            <w:vAlign w:val="bottom"/>
            <w:tcBorders>
              <w:top w:val="single" w:sz="8" w:color="CCEEFF"/>
            </w:tcBorders>
            <w:shd w:val="clear" w:color="auto" w:fill="CCEEFF"/>
          </w:tcPr>
          <w:p>
            <w:pPr>
              <w:jc w:val="right"/>
              <w:ind w:right="23"/>
              <w:spacing w:after="0"/>
              <w:rPr>
                <w:sz w:val="20"/>
                <w:szCs w:val="20"/>
                <w:color w:val="auto"/>
              </w:rPr>
            </w:pPr>
            <w:r>
              <w:rPr>
                <w:rFonts w:ascii="Arial" w:cs="Arial" w:eastAsia="Arial" w:hAnsi="Arial"/>
                <w:sz w:val="11"/>
                <w:szCs w:val="11"/>
                <w:color w:val="auto"/>
                <w:w w:val="92"/>
              </w:rPr>
              <w:t>*</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4,292</w:t>
            </w:r>
          </w:p>
        </w:tc>
        <w:tc>
          <w:tcPr>
            <w:tcW w:w="160" w:type="dxa"/>
            <w:vAlign w:val="bottom"/>
            <w:tcBorders>
              <w:top w:val="single" w:sz="8" w:color="CCEEFF"/>
            </w:tcBorders>
            <w:shd w:val="clear" w:color="auto" w:fill="CCEEFF"/>
          </w:tcPr>
          <w:p>
            <w:pPr>
              <w:jc w:val="right"/>
              <w:ind w:right="43"/>
              <w:spacing w:after="0"/>
              <w:rPr>
                <w:sz w:val="20"/>
                <w:szCs w:val="20"/>
                <w:color w:val="auto"/>
              </w:rPr>
            </w:pPr>
            <w:r>
              <w:rPr>
                <w:rFonts w:ascii="Arial" w:cs="Arial" w:eastAsia="Arial" w:hAnsi="Arial"/>
                <w:sz w:val="11"/>
                <w:szCs w:val="11"/>
                <w:color w:val="auto"/>
                <w:w w:val="92"/>
              </w:rPr>
              <w:t>*</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8,592</w:t>
            </w:r>
          </w:p>
        </w:tc>
        <w:tc>
          <w:tcPr>
            <w:tcW w:w="0" w:type="dxa"/>
            <w:vAlign w:val="bottom"/>
          </w:tcPr>
          <w:p>
            <w:pPr>
              <w:spacing w:after="0"/>
              <w:rPr>
                <w:sz w:val="1"/>
                <w:szCs w:val="1"/>
                <w:color w:val="auto"/>
              </w:rPr>
            </w:pPr>
          </w:p>
        </w:tc>
      </w:tr>
      <w:tr>
        <w:trPr>
          <w:trHeight w:val="170"/>
        </w:trPr>
        <w:tc>
          <w:tcPr>
            <w:tcW w:w="5020" w:type="dxa"/>
            <w:vAlign w:val="bottom"/>
          </w:tcPr>
          <w:p>
            <w:pPr>
              <w:spacing w:after="0"/>
              <w:rPr>
                <w:sz w:val="20"/>
                <w:szCs w:val="20"/>
                <w:color w:val="auto"/>
              </w:rPr>
            </w:pPr>
            <w:r>
              <w:rPr>
                <w:rFonts w:ascii="Arial" w:cs="Arial" w:eastAsia="Arial" w:hAnsi="Arial"/>
                <w:sz w:val="14"/>
                <w:szCs w:val="14"/>
                <w:color w:val="auto"/>
              </w:rPr>
              <w:t>Pallet Place</w:t>
            </w:r>
          </w:p>
        </w:tc>
        <w:tc>
          <w:tcPr>
            <w:tcW w:w="80" w:type="dxa"/>
            <w:vAlign w:val="bottom"/>
          </w:tcPr>
          <w:p>
            <w:pPr>
              <w:spacing w:after="0"/>
              <w:rPr>
                <w:sz w:val="14"/>
                <w:szCs w:val="14"/>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250</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3"/>
          </w:tcPr>
          <w:p>
            <w:pPr>
              <w:jc w:val="right"/>
              <w:ind w:right="89"/>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250</w:t>
            </w:r>
          </w:p>
        </w:tc>
        <w:tc>
          <w:tcPr>
            <w:tcW w:w="0" w:type="dxa"/>
            <w:vAlign w:val="bottom"/>
          </w:tcPr>
          <w:p>
            <w:pPr>
              <w:spacing w:after="0"/>
              <w:rPr>
                <w:sz w:val="1"/>
                <w:szCs w:val="1"/>
                <w:color w:val="auto"/>
              </w:rPr>
            </w:pPr>
          </w:p>
        </w:tc>
      </w:tr>
      <w:tr>
        <w:trPr>
          <w:trHeight w:val="170"/>
        </w:trPr>
        <w:tc>
          <w:tcPr>
            <w:tcW w:w="5020" w:type="dxa"/>
            <w:vAlign w:val="bottom"/>
            <w:shd w:val="clear" w:color="auto" w:fill="CCEEFF"/>
          </w:tcPr>
          <w:p>
            <w:pPr>
              <w:spacing w:after="0"/>
              <w:rPr>
                <w:sz w:val="20"/>
                <w:szCs w:val="20"/>
                <w:color w:val="auto"/>
              </w:rPr>
            </w:pPr>
            <w:r>
              <w:rPr>
                <w:rFonts w:ascii="Arial" w:cs="Arial" w:eastAsia="Arial" w:hAnsi="Arial"/>
                <w:sz w:val="14"/>
                <w:szCs w:val="14"/>
                <w:color w:val="auto"/>
              </w:rPr>
              <w:t>NACC</w:t>
            </w: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3,500</w:t>
            </w:r>
          </w:p>
        </w:tc>
        <w:tc>
          <w:tcPr>
            <w:tcW w:w="14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w w:val="92"/>
              </w:rPr>
              <w:t>*</w:t>
            </w:r>
          </w:p>
        </w:tc>
        <w:tc>
          <w:tcPr>
            <w:tcW w:w="80" w:type="dxa"/>
            <w:vAlign w:val="bottom"/>
            <w:shd w:val="clear" w:color="auto" w:fill="CCEEFF"/>
          </w:tcPr>
          <w:p>
            <w:pPr>
              <w:spacing w:after="0"/>
              <w:rPr>
                <w:sz w:val="14"/>
                <w:szCs w:val="14"/>
                <w:color w:val="auto"/>
              </w:rPr>
            </w:pPr>
          </w:p>
        </w:tc>
        <w:tc>
          <w:tcPr>
            <w:tcW w:w="780" w:type="dxa"/>
            <w:vAlign w:val="bottom"/>
            <w:gridSpan w:val="3"/>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8,997</w:t>
            </w:r>
          </w:p>
        </w:tc>
        <w:tc>
          <w:tcPr>
            <w:tcW w:w="16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w w:val="92"/>
              </w:rPr>
              <w:t>*</w:t>
            </w: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12,497</w:t>
            </w:r>
          </w:p>
        </w:tc>
        <w:tc>
          <w:tcPr>
            <w:tcW w:w="0" w:type="dxa"/>
            <w:vAlign w:val="bottom"/>
          </w:tcPr>
          <w:p>
            <w:pPr>
              <w:spacing w:after="0"/>
              <w:rPr>
                <w:sz w:val="1"/>
                <w:szCs w:val="1"/>
                <w:color w:val="auto"/>
              </w:rPr>
            </w:pPr>
          </w:p>
        </w:tc>
      </w:tr>
      <w:tr>
        <w:trPr>
          <w:trHeight w:val="170"/>
        </w:trPr>
        <w:tc>
          <w:tcPr>
            <w:tcW w:w="5020" w:type="dxa"/>
            <w:vAlign w:val="bottom"/>
          </w:tcPr>
          <w:p>
            <w:pPr>
              <w:spacing w:after="0"/>
              <w:rPr>
                <w:sz w:val="20"/>
                <w:szCs w:val="20"/>
                <w:color w:val="auto"/>
              </w:rPr>
            </w:pPr>
            <w:r>
              <w:rPr>
                <w:rFonts w:ascii="Arial" w:cs="Arial" w:eastAsia="Arial" w:hAnsi="Arial"/>
                <w:sz w:val="14"/>
                <w:szCs w:val="14"/>
                <w:color w:val="auto"/>
              </w:rPr>
              <w:t>Fontana</w:t>
            </w:r>
          </w:p>
        </w:tc>
        <w:tc>
          <w:tcPr>
            <w:tcW w:w="80" w:type="dxa"/>
            <w:vAlign w:val="bottom"/>
          </w:tcPr>
          <w:p>
            <w:pPr>
              <w:spacing w:after="0"/>
              <w:rPr>
                <w:sz w:val="14"/>
                <w:szCs w:val="14"/>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2,235</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3"/>
          </w:tcPr>
          <w:p>
            <w:pPr>
              <w:jc w:val="right"/>
              <w:ind w:right="89"/>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2,235</w:t>
            </w:r>
          </w:p>
        </w:tc>
        <w:tc>
          <w:tcPr>
            <w:tcW w:w="0" w:type="dxa"/>
            <w:vAlign w:val="bottom"/>
          </w:tcPr>
          <w:p>
            <w:pPr>
              <w:spacing w:after="0"/>
              <w:rPr>
                <w:sz w:val="1"/>
                <w:szCs w:val="1"/>
                <w:color w:val="auto"/>
              </w:rPr>
            </w:pPr>
          </w:p>
        </w:tc>
      </w:tr>
      <w:tr>
        <w:trPr>
          <w:trHeight w:val="170"/>
        </w:trPr>
        <w:tc>
          <w:tcPr>
            <w:tcW w:w="5020" w:type="dxa"/>
            <w:vAlign w:val="bottom"/>
            <w:shd w:val="clear" w:color="auto" w:fill="CCEEFF"/>
          </w:tcPr>
          <w:p>
            <w:pPr>
              <w:spacing w:after="0"/>
              <w:rPr>
                <w:sz w:val="20"/>
                <w:szCs w:val="20"/>
                <w:color w:val="auto"/>
              </w:rPr>
            </w:pPr>
            <w:r>
              <w:rPr>
                <w:rFonts w:ascii="Arial" w:cs="Arial" w:eastAsia="Arial" w:hAnsi="Arial"/>
                <w:sz w:val="14"/>
                <w:szCs w:val="14"/>
                <w:color w:val="auto"/>
              </w:rPr>
              <w:t>Expert Packaging</w:t>
            </w: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221</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809</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257</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0"/>
        </w:trPr>
        <w:tc>
          <w:tcPr>
            <w:tcW w:w="5020" w:type="dxa"/>
            <w:vAlign w:val="bottom"/>
          </w:tcPr>
          <w:p>
            <w:pPr>
              <w:spacing w:after="0"/>
              <w:rPr>
                <w:sz w:val="20"/>
                <w:szCs w:val="20"/>
                <w:color w:val="auto"/>
              </w:rPr>
            </w:pPr>
            <w:r>
              <w:rPr>
                <w:rFonts w:ascii="Arial" w:cs="Arial" w:eastAsia="Arial" w:hAnsi="Arial"/>
                <w:sz w:val="14"/>
                <w:szCs w:val="14"/>
                <w:color w:val="auto"/>
              </w:rPr>
              <w:t>Spinner</w:t>
            </w: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850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3"/>
          </w:tcPr>
          <w:p>
            <w:pPr>
              <w:jc w:val="right"/>
              <w:ind w:right="89"/>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850</w:t>
            </w:r>
          </w:p>
        </w:tc>
        <w:tc>
          <w:tcPr>
            <w:tcW w:w="0" w:type="dxa"/>
            <w:vAlign w:val="bottom"/>
          </w:tcPr>
          <w:p>
            <w:pPr>
              <w:spacing w:after="0"/>
              <w:rPr>
                <w:sz w:val="1"/>
                <w:szCs w:val="1"/>
                <w:color w:val="auto"/>
              </w:rPr>
            </w:pPr>
          </w:p>
        </w:tc>
      </w:tr>
      <w:tr>
        <w:trPr>
          <w:trHeight w:val="170"/>
        </w:trPr>
        <w:tc>
          <w:tcPr>
            <w:tcW w:w="5020" w:type="dxa"/>
            <w:vAlign w:val="bottom"/>
            <w:shd w:val="clear" w:color="auto" w:fill="CCEEFF"/>
          </w:tcPr>
          <w:p>
            <w:pPr>
              <w:spacing w:after="0"/>
              <w:rPr>
                <w:sz w:val="20"/>
                <w:szCs w:val="20"/>
                <w:color w:val="auto"/>
              </w:rPr>
            </w:pPr>
            <w:r>
              <w:rPr>
                <w:rFonts w:ascii="Arial" w:cs="Arial" w:eastAsia="Arial" w:hAnsi="Arial"/>
                <w:sz w:val="14"/>
                <w:szCs w:val="14"/>
                <w:color w:val="auto"/>
              </w:rPr>
              <w:t>Great Northern Lumber</w:t>
            </w: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3"/>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170"/>
        </w:trPr>
        <w:tc>
          <w:tcPr>
            <w:tcW w:w="5020" w:type="dxa"/>
            <w:vAlign w:val="bottom"/>
          </w:tcPr>
          <w:p>
            <w:pPr>
              <w:spacing w:after="0"/>
              <w:rPr>
                <w:sz w:val="20"/>
                <w:szCs w:val="20"/>
                <w:color w:val="auto"/>
              </w:rPr>
            </w:pPr>
            <w:r>
              <w:rPr>
                <w:rFonts w:ascii="Arial" w:cs="Arial" w:eastAsia="Arial" w:hAnsi="Arial"/>
                <w:sz w:val="14"/>
                <w:szCs w:val="14"/>
                <w:color w:val="auto"/>
              </w:rPr>
              <w:t>Silverwater Box</w:t>
            </w:r>
          </w:p>
        </w:tc>
        <w:tc>
          <w:tcPr>
            <w:tcW w:w="80" w:type="dxa"/>
            <w:vAlign w:val="bottom"/>
          </w:tcPr>
          <w:p>
            <w:pPr>
              <w:spacing w:after="0"/>
              <w:rPr>
                <w:sz w:val="14"/>
                <w:szCs w:val="14"/>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3"/>
          </w:tcPr>
          <w:p>
            <w:pPr>
              <w:jc w:val="right"/>
              <w:ind w:right="89"/>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909</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0"/>
        </w:trPr>
        <w:tc>
          <w:tcPr>
            <w:tcW w:w="5020" w:type="dxa"/>
            <w:vAlign w:val="bottom"/>
            <w:shd w:val="clear" w:color="auto" w:fill="CCEEFF"/>
          </w:tcPr>
          <w:p>
            <w:pPr>
              <w:spacing w:after="0"/>
              <w:rPr>
                <w:sz w:val="20"/>
                <w:szCs w:val="20"/>
                <w:color w:val="auto"/>
              </w:rPr>
            </w:pPr>
            <w:r>
              <w:rPr>
                <w:rFonts w:ascii="Arial" w:cs="Arial" w:eastAsia="Arial" w:hAnsi="Arial"/>
                <w:sz w:val="14"/>
                <w:szCs w:val="14"/>
                <w:color w:val="auto"/>
              </w:rPr>
              <w:t>Go Boy</w:t>
            </w: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225</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4,655</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3"/>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4,880</w:t>
            </w:r>
          </w:p>
        </w:tc>
        <w:tc>
          <w:tcPr>
            <w:tcW w:w="0" w:type="dxa"/>
            <w:vAlign w:val="bottom"/>
          </w:tcPr>
          <w:p>
            <w:pPr>
              <w:spacing w:after="0"/>
              <w:rPr>
                <w:sz w:val="1"/>
                <w:szCs w:val="1"/>
                <w:color w:val="auto"/>
              </w:rPr>
            </w:pPr>
          </w:p>
        </w:tc>
      </w:tr>
      <w:tr>
        <w:trPr>
          <w:trHeight w:val="170"/>
        </w:trPr>
        <w:tc>
          <w:tcPr>
            <w:tcW w:w="5020" w:type="dxa"/>
            <w:vAlign w:val="bottom"/>
          </w:tcPr>
          <w:p>
            <w:pPr>
              <w:spacing w:after="0"/>
              <w:rPr>
                <w:sz w:val="20"/>
                <w:szCs w:val="20"/>
                <w:color w:val="auto"/>
              </w:rPr>
            </w:pPr>
            <w:r>
              <w:rPr>
                <w:rFonts w:ascii="Arial" w:cs="Arial" w:eastAsia="Arial" w:hAnsi="Arial"/>
                <w:sz w:val="14"/>
                <w:szCs w:val="14"/>
                <w:color w:val="auto"/>
              </w:rPr>
              <w:t>Robbins</w:t>
            </w: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560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3,530</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450</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3,113</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7,653</w:t>
            </w:r>
          </w:p>
        </w:tc>
        <w:tc>
          <w:tcPr>
            <w:tcW w:w="0" w:type="dxa"/>
            <w:vAlign w:val="bottom"/>
          </w:tcPr>
          <w:p>
            <w:pPr>
              <w:spacing w:after="0"/>
              <w:rPr>
                <w:sz w:val="1"/>
                <w:szCs w:val="1"/>
                <w:color w:val="auto"/>
              </w:rPr>
            </w:pPr>
          </w:p>
        </w:tc>
      </w:tr>
      <w:tr>
        <w:trPr>
          <w:trHeight w:val="170"/>
        </w:trPr>
        <w:tc>
          <w:tcPr>
            <w:tcW w:w="5020" w:type="dxa"/>
            <w:vAlign w:val="bottom"/>
            <w:shd w:val="clear" w:color="auto" w:fill="CCEEFF"/>
          </w:tcPr>
          <w:p>
            <w:pPr>
              <w:spacing w:after="0"/>
              <w:rPr>
                <w:sz w:val="20"/>
                <w:szCs w:val="20"/>
                <w:color w:val="auto"/>
              </w:rPr>
            </w:pPr>
            <w:r>
              <w:rPr>
                <w:rFonts w:ascii="Arial" w:cs="Arial" w:eastAsia="Arial" w:hAnsi="Arial"/>
                <w:sz w:val="14"/>
                <w:szCs w:val="14"/>
                <w:color w:val="auto"/>
              </w:rPr>
              <w:t>Quality</w:t>
            </w: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830</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5,720</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7,391</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14,341</w:t>
            </w:r>
          </w:p>
        </w:tc>
        <w:tc>
          <w:tcPr>
            <w:tcW w:w="0" w:type="dxa"/>
            <w:vAlign w:val="bottom"/>
          </w:tcPr>
          <w:p>
            <w:pPr>
              <w:spacing w:after="0"/>
              <w:rPr>
                <w:sz w:val="1"/>
                <w:szCs w:val="1"/>
                <w:color w:val="auto"/>
              </w:rPr>
            </w:pPr>
          </w:p>
        </w:tc>
      </w:tr>
      <w:tr>
        <w:trPr>
          <w:trHeight w:val="180"/>
        </w:trPr>
        <w:tc>
          <w:tcPr>
            <w:tcW w:w="5020" w:type="dxa"/>
            <w:vAlign w:val="bottom"/>
          </w:tcPr>
          <w:p>
            <w:pPr>
              <w:spacing w:after="0"/>
              <w:rPr>
                <w:sz w:val="20"/>
                <w:szCs w:val="20"/>
                <w:color w:val="auto"/>
              </w:rPr>
            </w:pPr>
            <w:r>
              <w:rPr>
                <w:rFonts w:ascii="Arial" w:cs="Arial" w:eastAsia="Arial" w:hAnsi="Arial"/>
                <w:sz w:val="14"/>
                <w:szCs w:val="14"/>
                <w:color w:val="auto"/>
              </w:rPr>
              <w:t>*(estimate)</w:t>
            </w: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49" w:lineRule="exact"/>
        <w:rPr>
          <w:sz w:val="20"/>
          <w:szCs w:val="20"/>
          <w:color w:val="auto"/>
        </w:rPr>
      </w:pPr>
    </w:p>
    <w:p>
      <w:pPr>
        <w:ind w:right="80" w:firstLine="510"/>
        <w:spacing w:after="0" w:line="281" w:lineRule="auto"/>
        <w:rPr>
          <w:sz w:val="20"/>
          <w:szCs w:val="20"/>
          <w:color w:val="auto"/>
        </w:rPr>
      </w:pPr>
      <w:r>
        <w:rPr>
          <w:rFonts w:ascii="Arial" w:cs="Arial" w:eastAsia="Arial" w:hAnsi="Arial"/>
          <w:sz w:val="14"/>
          <w:szCs w:val="14"/>
          <w:color w:val="auto"/>
        </w:rPr>
        <w:t>The business combinations mentioned above were not significant to our operating results individually or in aggregate, and thus pro forma results for 2018 and 2017 are not presented.</w:t>
      </w:r>
    </w:p>
    <w:p>
      <w:pPr>
        <w:spacing w:after="0" w:line="129" w:lineRule="exact"/>
        <w:rPr>
          <w:sz w:val="20"/>
          <w:szCs w:val="20"/>
          <w:color w:val="auto"/>
        </w:rPr>
      </w:pPr>
    </w:p>
    <w:p>
      <w:pPr>
        <w:spacing w:after="0"/>
        <w:tabs>
          <w:tab w:leader="none" w:pos="640" w:val="left"/>
        </w:tabs>
        <w:rPr>
          <w:sz w:val="20"/>
          <w:szCs w:val="20"/>
          <w:color w:val="auto"/>
        </w:rPr>
      </w:pPr>
      <w:r>
        <w:rPr>
          <w:rFonts w:ascii="Arial" w:cs="Arial" w:eastAsia="Arial" w:hAnsi="Arial"/>
          <w:sz w:val="14"/>
          <w:szCs w:val="14"/>
          <w:color w:val="auto"/>
        </w:rPr>
        <w:t>D</w:t>
      </w:r>
      <w:r>
        <w:rPr>
          <w:rFonts w:ascii="Arial" w:cs="Arial" w:eastAsia="Arial" w:hAnsi="Arial"/>
          <w:sz w:val="14"/>
          <w:szCs w:val="14"/>
          <w:b w:val="1"/>
          <w:bCs w:val="1"/>
          <w:color w:val="auto"/>
        </w:rPr>
        <w:t>.</w:t>
      </w:r>
      <w:r>
        <w:rPr>
          <w:sz w:val="20"/>
          <w:szCs w:val="20"/>
          <w:color w:val="auto"/>
        </w:rPr>
        <w:tab/>
      </w:r>
      <w:r>
        <w:rPr>
          <w:rFonts w:ascii="Arial" w:cs="Arial" w:eastAsia="Arial" w:hAnsi="Arial"/>
          <w:sz w:val="14"/>
          <w:szCs w:val="14"/>
          <w:b w:val="1"/>
          <w:bCs w:val="1"/>
          <w:u w:val="single" w:color="auto"/>
          <w:color w:val="auto"/>
        </w:rPr>
        <w:t>GOODWILL AND OTHER INTANGIBLE ASSETS</w:t>
      </w:r>
    </w:p>
    <w:p>
      <w:pPr>
        <w:spacing w:after="0" w:line="183" w:lineRule="exact"/>
        <w:rPr>
          <w:sz w:val="20"/>
          <w:szCs w:val="20"/>
          <w:color w:val="auto"/>
        </w:rPr>
      </w:pPr>
    </w:p>
    <w:p>
      <w:pPr>
        <w:ind w:right="80" w:firstLine="510"/>
        <w:spacing w:after="0" w:line="281" w:lineRule="auto"/>
        <w:rPr>
          <w:sz w:val="20"/>
          <w:szCs w:val="20"/>
          <w:color w:val="auto"/>
        </w:rPr>
      </w:pPr>
      <w:r>
        <w:rPr>
          <w:rFonts w:ascii="Arial" w:cs="Arial" w:eastAsia="Arial" w:hAnsi="Arial"/>
          <w:sz w:val="14"/>
          <w:szCs w:val="14"/>
          <w:color w:val="auto"/>
        </w:rPr>
        <w:t>The changes in the net carrying amount of goodwill by reporting segment for the years ended December 29, 2018 and December 30, 2017, are as follows (in thousands):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20" w:type="dxa"/>
            <w:vAlign w:val="bottom"/>
          </w:tcPr>
          <w:p>
            <w:pPr>
              <w:spacing w:after="0"/>
              <w:rPr>
                <w:sz w:val="11"/>
                <w:szCs w:val="11"/>
                <w:color w:val="auto"/>
              </w:rPr>
            </w:pPr>
          </w:p>
        </w:tc>
        <w:tc>
          <w:tcPr>
            <w:tcW w:w="3340" w:type="dxa"/>
            <w:vAlign w:val="bottom"/>
            <w:tcBorders>
              <w:bottom w:val="single" w:sz="8" w:color="CCEEFF"/>
            </w:tcBorders>
          </w:tcPr>
          <w:p>
            <w:pPr>
              <w:spacing w:after="0"/>
              <w:rPr>
                <w:sz w:val="11"/>
                <w:szCs w:val="11"/>
                <w:color w:val="auto"/>
              </w:rPr>
            </w:pPr>
          </w:p>
        </w:tc>
        <w:tc>
          <w:tcPr>
            <w:tcW w:w="1460" w:type="dxa"/>
            <w:vAlign w:val="bottom"/>
            <w:tcBorders>
              <w:bottom w:val="single" w:sz="8" w:color="CCEEFF"/>
            </w:tcBorders>
          </w:tcPr>
          <w:p>
            <w:pPr>
              <w:spacing w:after="0"/>
              <w:rPr>
                <w:sz w:val="11"/>
                <w:szCs w:val="11"/>
                <w:color w:val="auto"/>
              </w:rPr>
            </w:pPr>
          </w:p>
        </w:tc>
        <w:tc>
          <w:tcPr>
            <w:tcW w:w="720" w:type="dxa"/>
            <w:vAlign w:val="bottom"/>
            <w:tcBorders>
              <w:bottom w:val="single" w:sz="8" w:color="auto"/>
            </w:tcBorders>
          </w:tcPr>
          <w:p>
            <w:pPr>
              <w:jc w:val="right"/>
              <w:ind w:right="153"/>
              <w:spacing w:after="0"/>
              <w:rPr>
                <w:sz w:val="20"/>
                <w:szCs w:val="20"/>
                <w:color w:val="auto"/>
              </w:rPr>
            </w:pPr>
            <w:r>
              <w:rPr>
                <w:rFonts w:ascii="Arial" w:cs="Arial" w:eastAsia="Arial" w:hAnsi="Arial"/>
                <w:sz w:val="11"/>
                <w:szCs w:val="11"/>
                <w:b w:val="1"/>
                <w:bCs w:val="1"/>
                <w:color w:val="auto"/>
              </w:rPr>
              <w:t>North</w:t>
            </w:r>
          </w:p>
        </w:tc>
        <w:tc>
          <w:tcPr>
            <w:tcW w:w="14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151"/>
              <w:spacing w:after="0"/>
              <w:rPr>
                <w:sz w:val="20"/>
                <w:szCs w:val="20"/>
                <w:color w:val="auto"/>
              </w:rPr>
            </w:pPr>
            <w:r>
              <w:rPr>
                <w:rFonts w:ascii="Arial" w:cs="Arial" w:eastAsia="Arial" w:hAnsi="Arial"/>
                <w:sz w:val="11"/>
                <w:szCs w:val="11"/>
                <w:b w:val="1"/>
                <w:bCs w:val="1"/>
                <w:color w:val="auto"/>
              </w:rPr>
              <w:t>South</w:t>
            </w:r>
          </w:p>
        </w:tc>
        <w:tc>
          <w:tcPr>
            <w:tcW w:w="14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ind w:right="171"/>
              <w:spacing w:after="0"/>
              <w:rPr>
                <w:sz w:val="20"/>
                <w:szCs w:val="20"/>
                <w:color w:val="auto"/>
              </w:rPr>
            </w:pPr>
            <w:r>
              <w:rPr>
                <w:rFonts w:ascii="Arial" w:cs="Arial" w:eastAsia="Arial" w:hAnsi="Arial"/>
                <w:sz w:val="11"/>
                <w:szCs w:val="11"/>
                <w:b w:val="1"/>
                <w:bCs w:val="1"/>
                <w:color w:val="auto"/>
              </w:rPr>
              <w:t>West</w:t>
            </w:r>
          </w:p>
        </w:tc>
        <w:tc>
          <w:tcPr>
            <w:tcW w:w="16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71"/>
              <w:spacing w:after="0"/>
              <w:rPr>
                <w:sz w:val="20"/>
                <w:szCs w:val="20"/>
                <w:color w:val="auto"/>
              </w:rPr>
            </w:pPr>
            <w:r>
              <w:rPr>
                <w:rFonts w:ascii="Arial" w:cs="Arial" w:eastAsia="Arial" w:hAnsi="Arial"/>
                <w:sz w:val="11"/>
                <w:szCs w:val="11"/>
                <w:b w:val="1"/>
                <w:bCs w:val="1"/>
                <w:color w:val="auto"/>
                <w:w w:val="98"/>
              </w:rPr>
              <w:t>All Other</w:t>
            </w:r>
          </w:p>
        </w:tc>
        <w:tc>
          <w:tcPr>
            <w:tcW w:w="14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ind w:right="211"/>
              <w:spacing w:after="0"/>
              <w:rPr>
                <w:sz w:val="20"/>
                <w:szCs w:val="20"/>
                <w:color w:val="auto"/>
              </w:rPr>
            </w:pPr>
            <w:r>
              <w:rPr>
                <w:rFonts w:ascii="Arial" w:cs="Arial" w:eastAsia="Arial" w:hAnsi="Arial"/>
                <w:sz w:val="11"/>
                <w:szCs w:val="11"/>
                <w:b w:val="1"/>
                <w:bCs w:val="1"/>
                <w:color w:val="auto"/>
              </w:rPr>
              <w:t>Total</w:t>
            </w:r>
          </w:p>
        </w:tc>
      </w:tr>
      <w:tr>
        <w:trPr>
          <w:trHeight w:val="170"/>
        </w:trPr>
        <w:tc>
          <w:tcPr>
            <w:tcW w:w="20" w:type="dxa"/>
            <w:vAlign w:val="bottom"/>
          </w:tcPr>
          <w:p>
            <w:pPr>
              <w:spacing w:after="0"/>
              <w:rPr>
                <w:sz w:val="14"/>
                <w:szCs w:val="14"/>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4"/>
                <w:szCs w:val="14"/>
                <w:color w:val="auto"/>
              </w:rPr>
              <w:t>Balance as of December 31, 2016</w:t>
            </w:r>
          </w:p>
        </w:tc>
        <w:tc>
          <w:tcPr>
            <w:tcW w:w="14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43,386</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43,625</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87,730</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23,794</w:t>
            </w: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198,535</w:t>
            </w:r>
          </w:p>
        </w:tc>
      </w:tr>
      <w:tr>
        <w:trPr>
          <w:trHeight w:val="170"/>
        </w:trPr>
        <w:tc>
          <w:tcPr>
            <w:tcW w:w="20" w:type="dxa"/>
            <w:vAlign w:val="bottom"/>
          </w:tcPr>
          <w:p>
            <w:pPr>
              <w:spacing w:after="0"/>
              <w:rPr>
                <w:sz w:val="14"/>
                <w:szCs w:val="14"/>
                <w:color w:val="auto"/>
              </w:rPr>
            </w:pPr>
          </w:p>
        </w:tc>
        <w:tc>
          <w:tcPr>
            <w:tcW w:w="3340" w:type="dxa"/>
            <w:vAlign w:val="bottom"/>
          </w:tcPr>
          <w:p>
            <w:pPr>
              <w:spacing w:after="0"/>
              <w:rPr>
                <w:sz w:val="20"/>
                <w:szCs w:val="20"/>
                <w:color w:val="auto"/>
              </w:rPr>
            </w:pPr>
            <w:r>
              <w:rPr>
                <w:rFonts w:ascii="Arial" w:cs="Arial" w:eastAsia="Arial" w:hAnsi="Arial"/>
                <w:sz w:val="14"/>
                <w:szCs w:val="14"/>
                <w:color w:val="auto"/>
              </w:rPr>
              <w:t>2017 Acquisitions</w:t>
            </w:r>
          </w:p>
        </w:tc>
        <w:tc>
          <w:tcPr>
            <w:tcW w:w="2180" w:type="dxa"/>
            <w:vAlign w:val="bottom"/>
            <w:gridSpan w:val="2"/>
          </w:tcPr>
          <w:p>
            <w:pPr>
              <w:jc w:val="right"/>
              <w:spacing w:after="0"/>
              <w:rPr>
                <w:sz w:val="20"/>
                <w:szCs w:val="20"/>
                <w:color w:val="auto"/>
              </w:rPr>
            </w:pPr>
            <w:r>
              <w:rPr>
                <w:rFonts w:ascii="Arial" w:cs="Arial" w:eastAsia="Arial" w:hAnsi="Arial"/>
                <w:sz w:val="14"/>
                <w:szCs w:val="14"/>
                <w:color w:val="auto"/>
              </w:rPr>
              <w:t>7,391</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3,113</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909</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11,413</w:t>
            </w:r>
          </w:p>
        </w:tc>
      </w:tr>
      <w:tr>
        <w:trPr>
          <w:trHeight w:val="190"/>
        </w:trPr>
        <w:tc>
          <w:tcPr>
            <w:tcW w:w="20" w:type="dxa"/>
            <w:vAlign w:val="bottom"/>
          </w:tcPr>
          <w:p>
            <w:pPr>
              <w:spacing w:after="0"/>
              <w:rPr>
                <w:sz w:val="16"/>
                <w:szCs w:val="16"/>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4"/>
                <w:szCs w:val="14"/>
                <w:color w:val="auto"/>
              </w:rPr>
              <w:t>Foreign Exchange, Net</w:t>
            </w:r>
          </w:p>
        </w:tc>
        <w:tc>
          <w:tcPr>
            <w:tcW w:w="2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350</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2,346</w:t>
            </w: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2,696</w:t>
            </w:r>
          </w:p>
        </w:tc>
      </w:tr>
      <w:tr>
        <w:trPr>
          <w:trHeight w:val="151"/>
        </w:trPr>
        <w:tc>
          <w:tcPr>
            <w:tcW w:w="20" w:type="dxa"/>
            <w:vAlign w:val="bottom"/>
          </w:tcPr>
          <w:p>
            <w:pPr>
              <w:spacing w:after="0"/>
              <w:rPr>
                <w:sz w:val="13"/>
                <w:szCs w:val="13"/>
                <w:color w:val="auto"/>
              </w:rPr>
            </w:pPr>
          </w:p>
        </w:tc>
        <w:tc>
          <w:tcPr>
            <w:tcW w:w="3340" w:type="dxa"/>
            <w:vAlign w:val="bottom"/>
            <w:tcBorders>
              <w:top w:val="single" w:sz="8" w:color="CCEEFF"/>
            </w:tcBorders>
          </w:tcPr>
          <w:p>
            <w:pPr>
              <w:spacing w:after="0" w:line="151" w:lineRule="exact"/>
              <w:rPr>
                <w:sz w:val="20"/>
                <w:szCs w:val="20"/>
                <w:color w:val="auto"/>
              </w:rPr>
            </w:pPr>
            <w:r>
              <w:rPr>
                <w:rFonts w:ascii="Arial" w:cs="Arial" w:eastAsia="Arial" w:hAnsi="Arial"/>
                <w:sz w:val="14"/>
                <w:szCs w:val="14"/>
                <w:color w:val="auto"/>
              </w:rPr>
              <w:t>Balance as of December 30, 2017</w:t>
            </w:r>
          </w:p>
        </w:tc>
        <w:tc>
          <w:tcPr>
            <w:tcW w:w="1460" w:type="dxa"/>
            <w:vAlign w:val="bottom"/>
            <w:tcBorders>
              <w:top w:val="single" w:sz="8" w:color="CCEEFF"/>
            </w:tcBorders>
          </w:tcPr>
          <w:p>
            <w:pPr>
              <w:spacing w:after="0"/>
              <w:rPr>
                <w:sz w:val="13"/>
                <w:szCs w:val="13"/>
                <w:color w:val="auto"/>
              </w:rPr>
            </w:pPr>
          </w:p>
        </w:tc>
        <w:tc>
          <w:tcPr>
            <w:tcW w:w="720" w:type="dxa"/>
            <w:vAlign w:val="bottom"/>
            <w:tcBorders>
              <w:top w:val="single" w:sz="8" w:color="auto"/>
            </w:tcBorders>
          </w:tcPr>
          <w:p>
            <w:pPr>
              <w:jc w:val="right"/>
              <w:spacing w:after="0" w:line="151" w:lineRule="exact"/>
              <w:rPr>
                <w:sz w:val="20"/>
                <w:szCs w:val="20"/>
                <w:color w:val="auto"/>
              </w:rPr>
            </w:pPr>
            <w:r>
              <w:rPr>
                <w:rFonts w:ascii="Arial" w:cs="Arial" w:eastAsia="Arial" w:hAnsi="Arial"/>
                <w:sz w:val="14"/>
                <w:szCs w:val="14"/>
                <w:color w:val="auto"/>
              </w:rPr>
              <w:t>51,127</w:t>
            </w:r>
          </w:p>
        </w:tc>
        <w:tc>
          <w:tcPr>
            <w:tcW w:w="140" w:type="dxa"/>
            <w:vAlign w:val="bottom"/>
            <w:tcBorders>
              <w:top w:val="single" w:sz="8" w:color="CCEEFF"/>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spacing w:after="0" w:line="151" w:lineRule="exact"/>
              <w:rPr>
                <w:sz w:val="20"/>
                <w:szCs w:val="20"/>
                <w:color w:val="auto"/>
              </w:rPr>
            </w:pPr>
            <w:r>
              <w:rPr>
                <w:rFonts w:ascii="Arial" w:cs="Arial" w:eastAsia="Arial" w:hAnsi="Arial"/>
                <w:sz w:val="14"/>
                <w:szCs w:val="14"/>
                <w:color w:val="auto"/>
              </w:rPr>
              <w:t>46,738</w:t>
            </w:r>
          </w:p>
        </w:tc>
        <w:tc>
          <w:tcPr>
            <w:tcW w:w="140" w:type="dxa"/>
            <w:vAlign w:val="bottom"/>
            <w:tcBorders>
              <w:top w:val="single" w:sz="8" w:color="CCEEFF"/>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jc w:val="right"/>
              <w:spacing w:after="0" w:line="151" w:lineRule="exact"/>
              <w:rPr>
                <w:sz w:val="20"/>
                <w:szCs w:val="20"/>
                <w:color w:val="auto"/>
              </w:rPr>
            </w:pPr>
            <w:r>
              <w:rPr>
                <w:rFonts w:ascii="Arial" w:cs="Arial" w:eastAsia="Arial" w:hAnsi="Arial"/>
                <w:sz w:val="14"/>
                <w:szCs w:val="14"/>
                <w:color w:val="auto"/>
              </w:rPr>
              <w:t>87,730</w:t>
            </w:r>
          </w:p>
        </w:tc>
        <w:tc>
          <w:tcPr>
            <w:tcW w:w="160" w:type="dxa"/>
            <w:vAlign w:val="bottom"/>
            <w:tcBorders>
              <w:top w:val="single" w:sz="8" w:color="CCEEFF"/>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jc w:val="right"/>
              <w:spacing w:after="0" w:line="151" w:lineRule="exact"/>
              <w:rPr>
                <w:sz w:val="20"/>
                <w:szCs w:val="20"/>
                <w:color w:val="auto"/>
              </w:rPr>
            </w:pPr>
            <w:r>
              <w:rPr>
                <w:rFonts w:ascii="Arial" w:cs="Arial" w:eastAsia="Arial" w:hAnsi="Arial"/>
                <w:sz w:val="14"/>
                <w:szCs w:val="14"/>
                <w:color w:val="auto"/>
              </w:rPr>
              <w:t>27,049</w:t>
            </w:r>
          </w:p>
        </w:tc>
        <w:tc>
          <w:tcPr>
            <w:tcW w:w="140" w:type="dxa"/>
            <w:vAlign w:val="bottom"/>
            <w:tcBorders>
              <w:top w:val="single" w:sz="8" w:color="CCEEFF"/>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spacing w:after="0" w:line="151" w:lineRule="exact"/>
              <w:rPr>
                <w:sz w:val="20"/>
                <w:szCs w:val="20"/>
                <w:color w:val="auto"/>
              </w:rPr>
            </w:pPr>
            <w:r>
              <w:rPr>
                <w:rFonts w:ascii="Arial" w:cs="Arial" w:eastAsia="Arial" w:hAnsi="Arial"/>
                <w:sz w:val="14"/>
                <w:szCs w:val="14"/>
                <w:color w:val="auto"/>
              </w:rPr>
              <w:t>212,644</w:t>
            </w:r>
          </w:p>
        </w:tc>
      </w:tr>
      <w:tr>
        <w:trPr>
          <w:trHeight w:val="170"/>
        </w:trPr>
        <w:tc>
          <w:tcPr>
            <w:tcW w:w="20" w:type="dxa"/>
            <w:vAlign w:val="bottom"/>
          </w:tcPr>
          <w:p>
            <w:pPr>
              <w:spacing w:after="0"/>
              <w:rPr>
                <w:sz w:val="14"/>
                <w:szCs w:val="14"/>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4"/>
                <w:szCs w:val="14"/>
                <w:color w:val="auto"/>
              </w:rPr>
              <w:t>2018 Acquisitions</w:t>
            </w:r>
          </w:p>
        </w:tc>
        <w:tc>
          <w:tcPr>
            <w:tcW w:w="2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4,292</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8,996</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13,288</w:t>
            </w:r>
          </w:p>
        </w:tc>
      </w:tr>
      <w:tr>
        <w:trPr>
          <w:trHeight w:val="171"/>
        </w:trPr>
        <w:tc>
          <w:tcPr>
            <w:tcW w:w="20" w:type="dxa"/>
            <w:vAlign w:val="bottom"/>
          </w:tcPr>
          <w:p>
            <w:pPr>
              <w:spacing w:after="0"/>
              <w:rPr>
                <w:sz w:val="14"/>
                <w:szCs w:val="14"/>
                <w:color w:val="auto"/>
              </w:rPr>
            </w:pPr>
          </w:p>
        </w:tc>
        <w:tc>
          <w:tcPr>
            <w:tcW w:w="3340" w:type="dxa"/>
            <w:vAlign w:val="bottom"/>
          </w:tcPr>
          <w:p>
            <w:pPr>
              <w:spacing w:after="0"/>
              <w:rPr>
                <w:sz w:val="20"/>
                <w:szCs w:val="20"/>
                <w:color w:val="auto"/>
              </w:rPr>
            </w:pPr>
            <w:r>
              <w:rPr>
                <w:rFonts w:ascii="Arial" w:cs="Arial" w:eastAsia="Arial" w:hAnsi="Arial"/>
                <w:sz w:val="14"/>
                <w:szCs w:val="14"/>
                <w:color w:val="auto"/>
              </w:rPr>
              <w:t>Foreign Exchange, Net</w:t>
            </w:r>
          </w:p>
        </w:tc>
        <w:tc>
          <w:tcPr>
            <w:tcW w:w="2180" w:type="dxa"/>
            <w:vAlign w:val="bottom"/>
            <w:gridSpan w:val="2"/>
          </w:tcPr>
          <w:p>
            <w:pPr>
              <w:jc w:val="right"/>
              <w:spacing w:after="0"/>
              <w:rPr>
                <w:sz w:val="20"/>
                <w:szCs w:val="20"/>
                <w:color w:val="auto"/>
              </w:rPr>
            </w:pPr>
            <w:r>
              <w:rPr>
                <w:rFonts w:ascii="Arial" w:cs="Arial" w:eastAsia="Arial" w:hAnsi="Arial"/>
                <w:sz w:val="14"/>
                <w:szCs w:val="14"/>
                <w:color w:val="auto"/>
              </w:rPr>
              <w:t>(365)</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(1,450)</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(1,815)</w:t>
            </w:r>
          </w:p>
        </w:tc>
      </w:tr>
      <w:tr>
        <w:trPr>
          <w:trHeight w:val="171"/>
        </w:trPr>
        <w:tc>
          <w:tcPr>
            <w:tcW w:w="20" w:type="dxa"/>
            <w:vAlign w:val="bottom"/>
          </w:tcPr>
          <w:p>
            <w:pPr>
              <w:spacing w:after="0"/>
              <w:rPr>
                <w:sz w:val="14"/>
                <w:szCs w:val="14"/>
                <w:color w:val="auto"/>
              </w:rPr>
            </w:pPr>
          </w:p>
        </w:tc>
        <w:tc>
          <w:tcPr>
            <w:tcW w:w="33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Balance as of December 29, 2018</w:t>
            </w:r>
          </w:p>
        </w:tc>
        <w:tc>
          <w:tcPr>
            <w:tcW w:w="1460" w:type="dxa"/>
            <w:vAlign w:val="bottom"/>
            <w:tcBorders>
              <w:top w:val="single" w:sz="8" w:color="CCEEFF"/>
              <w:bottom w:val="single" w:sz="8" w:color="CCEEFF"/>
            </w:tcBorders>
            <w:shd w:val="clear" w:color="auto" w:fill="CCEEFF"/>
          </w:tcPr>
          <w:p>
            <w:pPr>
              <w:spacing w:after="0"/>
              <w:rPr>
                <w:sz w:val="14"/>
                <w:szCs w:val="14"/>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   55,054</w:t>
            </w: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55,734</w:t>
            </w: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87,730</w:t>
            </w: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25,599</w:t>
            </w: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224,117</w:t>
            </w:r>
          </w:p>
        </w:tc>
      </w:tr>
    </w:tbl>
    <w:p>
      <w:pPr>
        <w:spacing w:after="0" w:line="159" w:lineRule="exact"/>
        <w:rPr>
          <w:sz w:val="20"/>
          <w:szCs w:val="20"/>
          <w:color w:val="auto"/>
        </w:rPr>
      </w:pPr>
    </w:p>
    <w:p>
      <w:pPr>
        <w:jc w:val="both"/>
        <w:ind w:right="80" w:firstLine="510"/>
        <w:spacing w:after="0" w:line="281" w:lineRule="auto"/>
        <w:rPr>
          <w:sz w:val="20"/>
          <w:szCs w:val="20"/>
          <w:color w:val="auto"/>
        </w:rPr>
      </w:pPr>
      <w:r>
        <w:rPr>
          <w:rFonts w:ascii="Arial" w:cs="Arial" w:eastAsia="Arial" w:hAnsi="Arial"/>
          <w:sz w:val="14"/>
          <w:szCs w:val="14"/>
          <w:color w:val="auto"/>
        </w:rPr>
        <w:t>Indefinite-lived intangible assets totaled $7.4 million as of December 29, 2018 and December 30, 2017 related to the idX, International, and Consumer Products reporting units which is included in the All Other reportable segment.</w:t>
      </w:r>
    </w:p>
    <w:p>
      <w:pPr>
        <w:spacing w:after="0" w:line="303" w:lineRule="exact"/>
        <w:rPr>
          <w:sz w:val="20"/>
          <w:szCs w:val="20"/>
          <w:color w:val="auto"/>
        </w:rPr>
      </w:pPr>
    </w:p>
    <w:p>
      <w:pPr>
        <w:jc w:val="center"/>
        <w:ind w:right="80"/>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66675</wp:posOffset>
            </wp:positionV>
            <wp:extent cx="5779135" cy="2032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8">
                      <a:extLst>
                        <a:ext uri="{28A0092B-C50C-407E-A947-70E740481C1C}"/>
                      </a:extLst>
                    </a:blip>
                    <a:srcRect/>
                    <a:stretch>
                      <a:fillRect/>
                    </a:stretch>
                  </pic:blipFill>
                  <pic:spPr bwMode="auto">
                    <a:xfrm>
                      <a:off x="0" y="0"/>
                      <a:ext cx="5779135" cy="20320"/>
                    </a:xfrm>
                    <a:prstGeom prst="rect">
                      <a:avLst/>
                    </a:prstGeom>
                    <a:noFill/>
                  </pic:spPr>
                </pic:pic>
              </a:graphicData>
            </a:graphic>
          </wp:anchor>
        </w:drawing>
      </w:r>
    </w:p>
    <w:p>
      <w:pPr>
        <w:sectPr>
          <w:pgSz w:w="11900" w:h="16838" w:orient="portrait"/>
          <w:cols w:equalWidth="0" w:num="1">
            <w:col w:w="9180"/>
          </w:cols>
          <w:pgMar w:left="1400" w:top="129" w:right="1319" w:bottom="1440" w:gutter="0" w:footer="0" w:header="0"/>
        </w:sectPr>
      </w:pPr>
    </w:p>
    <w:bookmarkStart w:id="84" w:name="page85"/>
    <w:bookmarkEnd w:id="84"/>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94" w:lineRule="exact"/>
        <w:rPr>
          <w:sz w:val="20"/>
          <w:szCs w:val="20"/>
          <w:color w:val="auto"/>
        </w:rPr>
      </w:pPr>
    </w:p>
    <w:p>
      <w:pPr>
        <w:ind w:left="520"/>
        <w:spacing w:after="0"/>
        <w:rPr>
          <w:sz w:val="20"/>
          <w:szCs w:val="20"/>
          <w:color w:val="auto"/>
        </w:rPr>
      </w:pPr>
      <w:r>
        <w:rPr>
          <w:rFonts w:ascii="Arial" w:cs="Arial" w:eastAsia="Arial" w:hAnsi="Arial"/>
          <w:sz w:val="13"/>
          <w:szCs w:val="13"/>
          <w:color w:val="auto"/>
        </w:rPr>
        <w:t>The following amounts were included in other amortizable intangible assets, net as of December 29, 2018 and December 30, 2017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20" w:type="dxa"/>
            <w:vAlign w:val="bottom"/>
          </w:tcPr>
          <w:p>
            <w:pPr>
              <w:spacing w:after="0"/>
              <w:rPr>
                <w:sz w:val="11"/>
                <w:szCs w:val="11"/>
                <w:color w:val="auto"/>
              </w:rPr>
            </w:pPr>
          </w:p>
        </w:tc>
        <w:tc>
          <w:tcPr>
            <w:tcW w:w="54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b w:val="1"/>
                <w:bCs w:val="1"/>
                <w:color w:val="auto"/>
                <w:w w:val="89"/>
              </w:rPr>
              <w:t>2018</w:t>
            </w:r>
          </w:p>
        </w:tc>
        <w:tc>
          <w:tcPr>
            <w:tcW w:w="76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gridSpan w:val="4"/>
          </w:tcPr>
          <w:p>
            <w:pPr>
              <w:jc w:val="right"/>
              <w:ind w:right="673"/>
              <w:spacing w:after="0"/>
              <w:rPr>
                <w:sz w:val="20"/>
                <w:szCs w:val="20"/>
                <w:color w:val="auto"/>
              </w:rPr>
            </w:pPr>
            <w:r>
              <w:rPr>
                <w:rFonts w:ascii="Arial" w:cs="Arial" w:eastAsia="Arial" w:hAnsi="Arial"/>
                <w:sz w:val="11"/>
                <w:szCs w:val="11"/>
                <w:b w:val="1"/>
                <w:bCs w:val="1"/>
                <w:color w:val="auto"/>
                <w:w w:val="89"/>
              </w:rPr>
              <w:t>2017</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5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vMerge w:val="restart"/>
          </w:tcPr>
          <w:p>
            <w:pPr>
              <w:jc w:val="right"/>
              <w:ind w:right="151"/>
              <w:spacing w:after="0"/>
              <w:rPr>
                <w:sz w:val="20"/>
                <w:szCs w:val="20"/>
                <w:color w:val="auto"/>
              </w:rPr>
            </w:pPr>
            <w:r>
              <w:rPr>
                <w:rFonts w:ascii="Arial" w:cs="Arial" w:eastAsia="Arial" w:hAnsi="Arial"/>
                <w:sz w:val="11"/>
                <w:szCs w:val="11"/>
                <w:b w:val="1"/>
                <w:bCs w:val="1"/>
                <w:color w:val="auto"/>
                <w:w w:val="99"/>
              </w:rPr>
              <w:t>Assets</w:t>
            </w: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jc w:val="right"/>
              <w:ind w:right="53"/>
              <w:spacing w:after="0" w:line="100" w:lineRule="exact"/>
              <w:rPr>
                <w:sz w:val="20"/>
                <w:szCs w:val="20"/>
                <w:color w:val="auto"/>
              </w:rPr>
            </w:pPr>
            <w:r>
              <w:rPr>
                <w:rFonts w:ascii="Arial" w:cs="Arial" w:eastAsia="Arial" w:hAnsi="Arial"/>
                <w:sz w:val="11"/>
                <w:szCs w:val="11"/>
                <w:b w:val="1"/>
                <w:bCs w:val="1"/>
                <w:color w:val="auto"/>
                <w:w w:val="89"/>
              </w:rPr>
              <w:t>Accumulated</w:t>
            </w: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vMerge w:val="restart"/>
          </w:tcPr>
          <w:p>
            <w:pPr>
              <w:jc w:val="right"/>
              <w:ind w:right="151"/>
              <w:spacing w:after="0"/>
              <w:rPr>
                <w:sz w:val="20"/>
                <w:szCs w:val="20"/>
                <w:color w:val="auto"/>
              </w:rPr>
            </w:pPr>
            <w:r>
              <w:rPr>
                <w:rFonts w:ascii="Arial" w:cs="Arial" w:eastAsia="Arial" w:hAnsi="Arial"/>
                <w:sz w:val="11"/>
                <w:szCs w:val="11"/>
                <w:b w:val="1"/>
                <w:bCs w:val="1"/>
                <w:color w:val="auto"/>
                <w:w w:val="94"/>
              </w:rPr>
              <w:t>Assets</w:t>
            </w: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jc w:val="right"/>
              <w:ind w:right="33"/>
              <w:spacing w:after="0" w:line="100" w:lineRule="exact"/>
              <w:rPr>
                <w:sz w:val="20"/>
                <w:szCs w:val="20"/>
                <w:color w:val="auto"/>
              </w:rPr>
            </w:pPr>
            <w:r>
              <w:rPr>
                <w:rFonts w:ascii="Arial" w:cs="Arial" w:eastAsia="Arial" w:hAnsi="Arial"/>
                <w:sz w:val="11"/>
                <w:szCs w:val="11"/>
                <w:b w:val="1"/>
                <w:bCs w:val="1"/>
                <w:color w:val="auto"/>
                <w:w w:val="92"/>
              </w:rPr>
              <w:t>Accumulated</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48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vMerge w:val="continue"/>
          </w:tcPr>
          <w:p>
            <w:pPr>
              <w:spacing w:after="0"/>
              <w:rPr>
                <w:sz w:val="11"/>
                <w:szCs w:val="11"/>
                <w:color w:val="auto"/>
              </w:rPr>
            </w:pPr>
          </w:p>
        </w:tc>
        <w:tc>
          <w:tcPr>
            <w:tcW w:w="16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ind w:right="53"/>
              <w:spacing w:after="0"/>
              <w:rPr>
                <w:sz w:val="20"/>
                <w:szCs w:val="20"/>
                <w:color w:val="auto"/>
              </w:rPr>
            </w:pPr>
            <w:r>
              <w:rPr>
                <w:rFonts w:ascii="Arial" w:cs="Arial" w:eastAsia="Arial" w:hAnsi="Arial"/>
                <w:sz w:val="11"/>
                <w:szCs w:val="11"/>
                <w:b w:val="1"/>
                <w:bCs w:val="1"/>
                <w:color w:val="auto"/>
                <w:w w:val="92"/>
              </w:rPr>
              <w:t>Amortization</w:t>
            </w:r>
          </w:p>
        </w:tc>
        <w:tc>
          <w:tcPr>
            <w:tcW w:w="14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vMerge w:val="continue"/>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ind w:right="33"/>
              <w:spacing w:after="0"/>
              <w:rPr>
                <w:sz w:val="20"/>
                <w:szCs w:val="20"/>
                <w:color w:val="auto"/>
              </w:rPr>
            </w:pPr>
            <w:r>
              <w:rPr>
                <w:rFonts w:ascii="Arial" w:cs="Arial" w:eastAsia="Arial" w:hAnsi="Arial"/>
                <w:sz w:val="11"/>
                <w:szCs w:val="11"/>
                <w:b w:val="1"/>
                <w:bCs w:val="1"/>
                <w:color w:val="auto"/>
                <w:w w:val="95"/>
              </w:rPr>
              <w:t>Amortization</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4"/>
                <w:szCs w:val="14"/>
                <w:color w:val="auto"/>
              </w:rPr>
              <w:t>Non-compete agreements</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10,232</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(5,517)</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9,841</w:t>
            </w:r>
          </w:p>
        </w:tc>
        <w:tc>
          <w:tcPr>
            <w:tcW w:w="160" w:type="dxa"/>
            <w:vAlign w:val="bottom"/>
            <w:gridSpan w:val="2"/>
            <w:shd w:val="clear" w:color="auto" w:fill="CCEEFF"/>
          </w:tcPr>
          <w:p>
            <w:pPr>
              <w:spacing w:after="0"/>
              <w:rPr>
                <w:sz w:val="14"/>
                <w:szCs w:val="14"/>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(4,208)</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480" w:type="dxa"/>
            <w:vAlign w:val="bottom"/>
          </w:tcPr>
          <w:p>
            <w:pPr>
              <w:spacing w:after="0"/>
              <w:rPr>
                <w:sz w:val="20"/>
                <w:szCs w:val="20"/>
                <w:color w:val="auto"/>
              </w:rPr>
            </w:pPr>
            <w:r>
              <w:rPr>
                <w:rFonts w:ascii="Arial" w:cs="Arial" w:eastAsia="Arial" w:hAnsi="Arial"/>
                <w:sz w:val="14"/>
                <w:szCs w:val="14"/>
                <w:color w:val="auto"/>
              </w:rPr>
              <w:t>Customer relationships</w:t>
            </w:r>
          </w:p>
        </w:tc>
        <w:tc>
          <w:tcPr>
            <w:tcW w:w="1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40,307</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(6,843)</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31,630</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(5,986)</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4"/>
                <w:szCs w:val="14"/>
                <w:color w:val="auto"/>
              </w:rPr>
              <w:t>Licensing agreements</w:t>
            </w: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4,589</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(3,909)</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4,589</w:t>
            </w: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(3,450)</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480" w:type="dxa"/>
            <w:vAlign w:val="bottom"/>
          </w:tcPr>
          <w:p>
            <w:pPr>
              <w:spacing w:after="0"/>
              <w:rPr>
                <w:sz w:val="20"/>
                <w:szCs w:val="20"/>
                <w:color w:val="auto"/>
              </w:rPr>
            </w:pPr>
            <w:r>
              <w:rPr>
                <w:rFonts w:ascii="Arial" w:cs="Arial" w:eastAsia="Arial" w:hAnsi="Arial"/>
                <w:sz w:val="14"/>
                <w:szCs w:val="14"/>
                <w:color w:val="auto"/>
              </w:rPr>
              <w:t>Patents</w:t>
            </w:r>
          </w:p>
        </w:tc>
        <w:tc>
          <w:tcPr>
            <w:tcW w:w="1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792</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(284)</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792</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(254)</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Tradename</w:t>
            </w:r>
          </w:p>
        </w:tc>
        <w:tc>
          <w:tcPr>
            <w:tcW w:w="14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2,879</w:t>
            </w:r>
          </w:p>
        </w:tc>
        <w:tc>
          <w:tcPr>
            <w:tcW w:w="1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(760)</w:t>
            </w:r>
          </w:p>
        </w:tc>
        <w:tc>
          <w:tcPr>
            <w:tcW w:w="14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2,420</w:t>
            </w:r>
          </w:p>
        </w:tc>
        <w:tc>
          <w:tcPr>
            <w:tcW w:w="14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(464)</w:t>
            </w:r>
          </w:p>
        </w:tc>
        <w:tc>
          <w:tcPr>
            <w:tcW w:w="0" w:type="dxa"/>
            <w:vAlign w:val="bottom"/>
          </w:tcPr>
          <w:p>
            <w:pPr>
              <w:spacing w:after="0"/>
              <w:rPr>
                <w:sz w:val="1"/>
                <w:szCs w:val="1"/>
                <w:color w:val="auto"/>
              </w:rPr>
            </w:pPr>
          </w:p>
        </w:tc>
      </w:tr>
      <w:tr>
        <w:trPr>
          <w:trHeight w:val="152"/>
        </w:trPr>
        <w:tc>
          <w:tcPr>
            <w:tcW w:w="5500" w:type="dxa"/>
            <w:vAlign w:val="bottom"/>
            <w:gridSpan w:val="2"/>
          </w:tcPr>
          <w:p>
            <w:pPr>
              <w:spacing w:after="0" w:line="151" w:lineRule="exact"/>
              <w:rPr>
                <w:sz w:val="20"/>
                <w:szCs w:val="20"/>
                <w:color w:val="auto"/>
              </w:rPr>
            </w:pPr>
            <w:r>
              <w:rPr>
                <w:rFonts w:ascii="Arial" w:cs="Arial" w:eastAsia="Arial" w:hAnsi="Arial"/>
                <w:sz w:val="14"/>
                <w:szCs w:val="14"/>
                <w:color w:val="auto"/>
              </w:rPr>
              <w:t>Total</w:t>
            </w:r>
          </w:p>
        </w:tc>
        <w:tc>
          <w:tcPr>
            <w:tcW w:w="14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58,799</w:t>
            </w:r>
          </w:p>
        </w:tc>
        <w:tc>
          <w:tcPr>
            <w:tcW w:w="160" w:type="dxa"/>
            <w:vAlign w:val="bottom"/>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(17,313)</w:t>
            </w:r>
          </w:p>
        </w:tc>
        <w:tc>
          <w:tcPr>
            <w:tcW w:w="140" w:type="dxa"/>
            <w:vAlign w:val="bottom"/>
          </w:tcPr>
          <w:p>
            <w:pPr>
              <w:spacing w:after="0"/>
              <w:rPr>
                <w:sz w:val="13"/>
                <w:szCs w:val="13"/>
                <w:color w:val="auto"/>
              </w:rPr>
            </w:pPr>
          </w:p>
        </w:tc>
        <w:tc>
          <w:tcPr>
            <w:tcW w:w="14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49,272</w:t>
            </w:r>
          </w:p>
        </w:tc>
        <w:tc>
          <w:tcPr>
            <w:tcW w:w="14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(14,362)</w:t>
            </w:r>
          </w:p>
        </w:tc>
        <w:tc>
          <w:tcPr>
            <w:tcW w:w="0" w:type="dxa"/>
            <w:vAlign w:val="bottom"/>
          </w:tcPr>
          <w:p>
            <w:pPr>
              <w:spacing w:after="0"/>
              <w:rPr>
                <w:sz w:val="1"/>
                <w:szCs w:val="1"/>
                <w:color w:val="auto"/>
              </w:rPr>
            </w:pPr>
          </w:p>
        </w:tc>
      </w:tr>
    </w:tbl>
    <w:p>
      <w:pPr>
        <w:spacing w:after="0" w:line="159" w:lineRule="exact"/>
        <w:rPr>
          <w:sz w:val="20"/>
          <w:szCs w:val="20"/>
          <w:color w:val="auto"/>
        </w:rPr>
      </w:pPr>
    </w:p>
    <w:p>
      <w:pPr>
        <w:ind w:left="520"/>
        <w:spacing w:after="0"/>
        <w:rPr>
          <w:sz w:val="20"/>
          <w:szCs w:val="20"/>
          <w:color w:val="auto"/>
        </w:rPr>
      </w:pPr>
      <w:r>
        <w:rPr>
          <w:rFonts w:ascii="Arial" w:cs="Arial" w:eastAsia="Arial" w:hAnsi="Arial"/>
          <w:sz w:val="14"/>
          <w:szCs w:val="14"/>
          <w:color w:val="auto"/>
        </w:rPr>
        <w:t>Amortization is computed principally by the straight-line method over the estimated useful lives of the intangible assets as follows:</w:t>
      </w:r>
    </w:p>
    <w:p>
      <w:pPr>
        <w:spacing w:after="0" w:line="173" w:lineRule="exact"/>
        <w:rPr>
          <w:sz w:val="20"/>
          <w:szCs w:val="20"/>
          <w:color w:val="auto"/>
        </w:rPr>
      </w:pPr>
    </w:p>
    <w:tbl>
      <w:tblPr>
        <w:tblLayout w:type="fixed"/>
        <w:tblInd w:w="920" w:type="dxa"/>
        <w:tblCellMar>
          <w:top w:w="0" w:type="dxa"/>
          <w:left w:w="0" w:type="dxa"/>
          <w:bottom w:w="0" w:type="dxa"/>
          <w:right w:w="0" w:type="dxa"/>
        </w:tblCellMar>
      </w:tblPr>
      <w:tr>
        <w:trPr>
          <w:trHeight w:val="126"/>
        </w:trPr>
        <w:tc>
          <w:tcPr>
            <w:tcW w:w="442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Intangible Asset Type</w:t>
            </w:r>
          </w:p>
        </w:tc>
        <w:tc>
          <w:tcPr>
            <w:tcW w:w="152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Estimated Useful Life</w:t>
            </w:r>
          </w:p>
        </w:tc>
        <w:tc>
          <w:tcPr>
            <w:tcW w:w="1340" w:type="dxa"/>
            <w:vAlign w:val="bottom"/>
          </w:tcPr>
          <w:p>
            <w:pPr>
              <w:jc w:val="right"/>
              <w:ind w:right="174"/>
              <w:spacing w:after="0"/>
              <w:rPr>
                <w:sz w:val="20"/>
                <w:szCs w:val="20"/>
                <w:color w:val="auto"/>
              </w:rPr>
            </w:pPr>
            <w:r>
              <w:rPr>
                <w:rFonts w:ascii="Arial" w:cs="Arial" w:eastAsia="Arial" w:hAnsi="Arial"/>
                <w:sz w:val="11"/>
                <w:szCs w:val="11"/>
                <w:b w:val="1"/>
                <w:bCs w:val="1"/>
                <w:color w:val="auto"/>
              </w:rPr>
              <w:t>Weighted Average</w:t>
            </w:r>
          </w:p>
        </w:tc>
        <w:tc>
          <w:tcPr>
            <w:tcW w:w="0" w:type="dxa"/>
            <w:vAlign w:val="bottom"/>
          </w:tcPr>
          <w:p>
            <w:pPr>
              <w:spacing w:after="0"/>
              <w:rPr>
                <w:sz w:val="1"/>
                <w:szCs w:val="1"/>
                <w:color w:val="auto"/>
              </w:rPr>
            </w:pPr>
          </w:p>
        </w:tc>
      </w:tr>
      <w:tr>
        <w:trPr>
          <w:trHeight w:val="135"/>
        </w:trPr>
        <w:tc>
          <w:tcPr>
            <w:tcW w:w="4420" w:type="dxa"/>
            <w:vAlign w:val="bottom"/>
            <w:gridSpan w:val="2"/>
            <w:vMerge w:val="continue"/>
          </w:tcPr>
          <w:p>
            <w:pPr>
              <w:spacing w:after="0"/>
              <w:rPr>
                <w:sz w:val="11"/>
                <w:szCs w:val="11"/>
                <w:color w:val="auto"/>
              </w:rPr>
            </w:pPr>
          </w:p>
        </w:tc>
        <w:tc>
          <w:tcPr>
            <w:tcW w:w="1520" w:type="dxa"/>
            <w:vAlign w:val="bottom"/>
            <w:gridSpan w:val="2"/>
            <w:vMerge w:val="continue"/>
          </w:tcPr>
          <w:p>
            <w:pPr>
              <w:spacing w:after="0"/>
              <w:rPr>
                <w:sz w:val="11"/>
                <w:szCs w:val="11"/>
                <w:color w:val="auto"/>
              </w:rPr>
            </w:pPr>
          </w:p>
        </w:tc>
        <w:tc>
          <w:tcPr>
            <w:tcW w:w="1340" w:type="dxa"/>
            <w:vAlign w:val="bottom"/>
          </w:tcPr>
          <w:p>
            <w:pPr>
              <w:jc w:val="right"/>
              <w:ind w:right="114"/>
              <w:spacing w:after="0"/>
              <w:rPr>
                <w:sz w:val="20"/>
                <w:szCs w:val="20"/>
                <w:color w:val="auto"/>
              </w:rPr>
            </w:pPr>
            <w:r>
              <w:rPr>
                <w:rFonts w:ascii="Arial" w:cs="Arial" w:eastAsia="Arial" w:hAnsi="Arial"/>
                <w:sz w:val="11"/>
                <w:szCs w:val="11"/>
                <w:b w:val="1"/>
                <w:bCs w:val="1"/>
                <w:color w:val="auto"/>
              </w:rPr>
              <w:t>Amortization Period</w:t>
            </w:r>
          </w:p>
        </w:tc>
        <w:tc>
          <w:tcPr>
            <w:tcW w:w="0" w:type="dxa"/>
            <w:vAlign w:val="bottom"/>
          </w:tcPr>
          <w:p>
            <w:pPr>
              <w:spacing w:after="0"/>
              <w:rPr>
                <w:sz w:val="1"/>
                <w:szCs w:val="1"/>
                <w:color w:val="auto"/>
              </w:rPr>
            </w:pPr>
          </w:p>
        </w:tc>
      </w:tr>
      <w:tr>
        <w:trPr>
          <w:trHeight w:val="170"/>
        </w:trPr>
        <w:tc>
          <w:tcPr>
            <w:tcW w:w="4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Non-compete agreements</w:t>
            </w:r>
          </w:p>
        </w:tc>
        <w:tc>
          <w:tcPr>
            <w:tcW w:w="160" w:type="dxa"/>
            <w:vAlign w:val="bottom"/>
            <w:tcBorders>
              <w:top w:val="single" w:sz="8" w:color="CCEEFF"/>
            </w:tcBorders>
            <w:shd w:val="clear" w:color="auto" w:fill="CCEEFF"/>
          </w:tcPr>
          <w:p>
            <w:pPr>
              <w:spacing w:after="0"/>
              <w:rPr>
                <w:sz w:val="14"/>
                <w:szCs w:val="14"/>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 to 15 years</w:t>
            </w:r>
          </w:p>
        </w:tc>
        <w:tc>
          <w:tcPr>
            <w:tcW w:w="140" w:type="dxa"/>
            <w:vAlign w:val="bottom"/>
            <w:tcBorders>
              <w:top w:val="single" w:sz="8" w:color="CCEEFF"/>
            </w:tcBorders>
            <w:shd w:val="clear" w:color="auto" w:fill="CCEEFF"/>
          </w:tcPr>
          <w:p>
            <w:pPr>
              <w:spacing w:after="0"/>
              <w:rPr>
                <w:sz w:val="14"/>
                <w:szCs w:val="14"/>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 years</w:t>
            </w:r>
          </w:p>
        </w:tc>
        <w:tc>
          <w:tcPr>
            <w:tcW w:w="0" w:type="dxa"/>
            <w:vAlign w:val="bottom"/>
          </w:tcPr>
          <w:p>
            <w:pPr>
              <w:spacing w:after="0"/>
              <w:rPr>
                <w:sz w:val="1"/>
                <w:szCs w:val="1"/>
                <w:color w:val="auto"/>
              </w:rPr>
            </w:pPr>
          </w:p>
        </w:tc>
      </w:tr>
      <w:tr>
        <w:trPr>
          <w:trHeight w:val="170"/>
        </w:trPr>
        <w:tc>
          <w:tcPr>
            <w:tcW w:w="4420" w:type="dxa"/>
            <w:vAlign w:val="bottom"/>
            <w:gridSpan w:val="2"/>
          </w:tcPr>
          <w:p>
            <w:pPr>
              <w:spacing w:after="0"/>
              <w:rPr>
                <w:sz w:val="20"/>
                <w:szCs w:val="20"/>
                <w:color w:val="auto"/>
              </w:rPr>
            </w:pPr>
            <w:r>
              <w:rPr>
                <w:rFonts w:ascii="Arial" w:cs="Arial" w:eastAsia="Arial" w:hAnsi="Arial"/>
                <w:sz w:val="14"/>
                <w:szCs w:val="14"/>
                <w:color w:val="auto"/>
              </w:rPr>
              <w:t>Customer relationship</w:t>
            </w:r>
          </w:p>
        </w:tc>
        <w:tc>
          <w:tcPr>
            <w:tcW w:w="1520" w:type="dxa"/>
            <w:vAlign w:val="bottom"/>
            <w:gridSpan w:val="2"/>
          </w:tcPr>
          <w:p>
            <w:pPr>
              <w:jc w:val="right"/>
              <w:ind w:right="180"/>
              <w:spacing w:after="0"/>
              <w:rPr>
                <w:sz w:val="20"/>
                <w:szCs w:val="20"/>
                <w:color w:val="auto"/>
              </w:rPr>
            </w:pPr>
            <w:r>
              <w:rPr>
                <w:rFonts w:ascii="Arial" w:cs="Arial" w:eastAsia="Arial" w:hAnsi="Arial"/>
                <w:sz w:val="14"/>
                <w:szCs w:val="14"/>
                <w:color w:val="auto"/>
              </w:rPr>
              <w:t>5 to 15 years</w:t>
            </w:r>
          </w:p>
        </w:tc>
        <w:tc>
          <w:tcPr>
            <w:tcW w:w="1340" w:type="dxa"/>
            <w:vAlign w:val="bottom"/>
          </w:tcPr>
          <w:p>
            <w:pPr>
              <w:jc w:val="right"/>
              <w:spacing w:after="0"/>
              <w:rPr>
                <w:sz w:val="20"/>
                <w:szCs w:val="20"/>
                <w:color w:val="auto"/>
              </w:rPr>
            </w:pPr>
            <w:r>
              <w:rPr>
                <w:rFonts w:ascii="Arial" w:cs="Arial" w:eastAsia="Arial" w:hAnsi="Arial"/>
                <w:sz w:val="14"/>
                <w:szCs w:val="14"/>
                <w:color w:val="auto"/>
              </w:rPr>
              <w:t>11.4 years</w:t>
            </w:r>
          </w:p>
        </w:tc>
        <w:tc>
          <w:tcPr>
            <w:tcW w:w="0" w:type="dxa"/>
            <w:vAlign w:val="bottom"/>
          </w:tcPr>
          <w:p>
            <w:pPr>
              <w:spacing w:after="0"/>
              <w:rPr>
                <w:sz w:val="1"/>
                <w:szCs w:val="1"/>
                <w:color w:val="auto"/>
              </w:rPr>
            </w:pPr>
          </w:p>
        </w:tc>
      </w:tr>
      <w:tr>
        <w:trPr>
          <w:trHeight w:val="170"/>
        </w:trPr>
        <w:tc>
          <w:tcPr>
            <w:tcW w:w="44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Licensing agreements</w:t>
            </w: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10 years</w:t>
            </w: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 years</w:t>
            </w:r>
          </w:p>
        </w:tc>
        <w:tc>
          <w:tcPr>
            <w:tcW w:w="0" w:type="dxa"/>
            <w:vAlign w:val="bottom"/>
          </w:tcPr>
          <w:p>
            <w:pPr>
              <w:spacing w:after="0"/>
              <w:rPr>
                <w:sz w:val="1"/>
                <w:szCs w:val="1"/>
                <w:color w:val="auto"/>
              </w:rPr>
            </w:pPr>
          </w:p>
        </w:tc>
      </w:tr>
      <w:tr>
        <w:trPr>
          <w:trHeight w:val="180"/>
        </w:trPr>
        <w:tc>
          <w:tcPr>
            <w:tcW w:w="4420" w:type="dxa"/>
            <w:vAlign w:val="bottom"/>
            <w:gridSpan w:val="2"/>
          </w:tcPr>
          <w:p>
            <w:pPr>
              <w:spacing w:after="0"/>
              <w:rPr>
                <w:sz w:val="20"/>
                <w:szCs w:val="20"/>
                <w:color w:val="auto"/>
              </w:rPr>
            </w:pPr>
            <w:r>
              <w:rPr>
                <w:rFonts w:ascii="Arial" w:cs="Arial" w:eastAsia="Arial" w:hAnsi="Arial"/>
                <w:sz w:val="14"/>
                <w:szCs w:val="14"/>
                <w:color w:val="auto"/>
              </w:rPr>
              <w:t>Tradename (amortizable)</w:t>
            </w:r>
          </w:p>
        </w:tc>
        <w:tc>
          <w:tcPr>
            <w:tcW w:w="1520" w:type="dxa"/>
            <w:vAlign w:val="bottom"/>
            <w:gridSpan w:val="2"/>
          </w:tcPr>
          <w:p>
            <w:pPr>
              <w:jc w:val="right"/>
              <w:ind w:right="180"/>
              <w:spacing w:after="0"/>
              <w:rPr>
                <w:sz w:val="20"/>
                <w:szCs w:val="20"/>
                <w:color w:val="auto"/>
              </w:rPr>
            </w:pPr>
            <w:r>
              <w:rPr>
                <w:rFonts w:ascii="Arial" w:cs="Arial" w:eastAsia="Arial" w:hAnsi="Arial"/>
                <w:sz w:val="14"/>
                <w:szCs w:val="14"/>
                <w:color w:val="auto"/>
              </w:rPr>
              <w:t>5 to 15 years</w:t>
            </w:r>
          </w:p>
        </w:tc>
        <w:tc>
          <w:tcPr>
            <w:tcW w:w="1340" w:type="dxa"/>
            <w:vAlign w:val="bottom"/>
          </w:tcPr>
          <w:p>
            <w:pPr>
              <w:jc w:val="right"/>
              <w:spacing w:after="0"/>
              <w:rPr>
                <w:sz w:val="20"/>
                <w:szCs w:val="20"/>
                <w:color w:val="auto"/>
              </w:rPr>
            </w:pPr>
            <w:r>
              <w:rPr>
                <w:rFonts w:ascii="Arial" w:cs="Arial" w:eastAsia="Arial" w:hAnsi="Arial"/>
                <w:sz w:val="14"/>
                <w:szCs w:val="14"/>
                <w:color w:val="auto"/>
              </w:rPr>
              <w:t>11.7 years</w:t>
            </w:r>
          </w:p>
        </w:tc>
        <w:tc>
          <w:tcPr>
            <w:tcW w:w="0" w:type="dxa"/>
            <w:vAlign w:val="bottom"/>
          </w:tcPr>
          <w:p>
            <w:pPr>
              <w:spacing w:after="0"/>
              <w:rPr>
                <w:sz w:val="1"/>
                <w:szCs w:val="1"/>
                <w:color w:val="auto"/>
              </w:rPr>
            </w:pPr>
          </w:p>
        </w:tc>
      </w:tr>
    </w:tbl>
    <w:p>
      <w:pPr>
        <w:spacing w:after="0" w:line="149" w:lineRule="exact"/>
        <w:rPr>
          <w:sz w:val="20"/>
          <w:szCs w:val="20"/>
          <w:color w:val="auto"/>
        </w:rPr>
      </w:pPr>
    </w:p>
    <w:p>
      <w:pPr>
        <w:ind w:firstLine="510"/>
        <w:spacing w:after="0" w:line="281" w:lineRule="auto"/>
        <w:rPr>
          <w:sz w:val="20"/>
          <w:szCs w:val="20"/>
          <w:color w:val="auto"/>
        </w:rPr>
      </w:pPr>
      <w:r>
        <w:rPr>
          <w:rFonts w:ascii="Arial" w:cs="Arial" w:eastAsia="Arial" w:hAnsi="Arial"/>
          <w:sz w:val="14"/>
          <w:szCs w:val="14"/>
          <w:color w:val="auto"/>
        </w:rPr>
        <w:t>Amortization expense of intangibles totaled $6.4 million, $4.9 million and $2.8 million in 2018, 2017 and 2016, respectively. The estimated amortization expense for intangibles for each of the five succeeding fiscal years is as follows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4"/>
                <w:szCs w:val="14"/>
                <w:color w:val="auto"/>
              </w:rPr>
              <w:t>2019</w:t>
            </w:r>
          </w:p>
        </w:tc>
        <w:tc>
          <w:tcPr>
            <w:tcW w:w="4060" w:type="dxa"/>
            <w:vAlign w:val="bottom"/>
            <w:gridSpan w:val="2"/>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6,908</w:t>
            </w:r>
          </w:p>
        </w:tc>
      </w:tr>
      <w:tr>
        <w:trPr>
          <w:trHeight w:val="170"/>
        </w:trPr>
        <w:tc>
          <w:tcPr>
            <w:tcW w:w="20" w:type="dxa"/>
            <w:vAlign w:val="bottom"/>
          </w:tcPr>
          <w:p>
            <w:pPr>
              <w:spacing w:after="0"/>
              <w:rPr>
                <w:sz w:val="14"/>
                <w:szCs w:val="14"/>
                <w:color w:val="auto"/>
              </w:rPr>
            </w:pPr>
          </w:p>
        </w:tc>
        <w:tc>
          <w:tcPr>
            <w:tcW w:w="4360" w:type="dxa"/>
            <w:vAlign w:val="bottom"/>
          </w:tcPr>
          <w:p>
            <w:pPr>
              <w:spacing w:after="0"/>
              <w:rPr>
                <w:sz w:val="20"/>
                <w:szCs w:val="20"/>
                <w:color w:val="auto"/>
              </w:rPr>
            </w:pPr>
            <w:r>
              <w:rPr>
                <w:rFonts w:ascii="Arial" w:cs="Arial" w:eastAsia="Arial" w:hAnsi="Arial"/>
                <w:sz w:val="14"/>
                <w:szCs w:val="14"/>
                <w:color w:val="auto"/>
              </w:rPr>
              <w:t>2020</w:t>
            </w:r>
          </w:p>
        </w:tc>
        <w:tc>
          <w:tcPr>
            <w:tcW w:w="3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5,802</w:t>
            </w:r>
          </w:p>
        </w:tc>
      </w:tr>
      <w:tr>
        <w:trPr>
          <w:trHeight w:val="170"/>
        </w:trPr>
        <w:tc>
          <w:tcPr>
            <w:tcW w:w="20" w:type="dxa"/>
            <w:vAlign w:val="bottom"/>
          </w:tcPr>
          <w:p>
            <w:pPr>
              <w:spacing w:after="0"/>
              <w:rPr>
                <w:sz w:val="14"/>
                <w:szCs w:val="14"/>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4"/>
                <w:szCs w:val="14"/>
                <w:color w:val="auto"/>
              </w:rPr>
              <w:t>2021</w:t>
            </w:r>
          </w:p>
        </w:tc>
        <w:tc>
          <w:tcPr>
            <w:tcW w:w="37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5,503</w:t>
            </w:r>
          </w:p>
        </w:tc>
      </w:tr>
      <w:tr>
        <w:trPr>
          <w:trHeight w:val="170"/>
        </w:trPr>
        <w:tc>
          <w:tcPr>
            <w:tcW w:w="20" w:type="dxa"/>
            <w:vAlign w:val="bottom"/>
          </w:tcPr>
          <w:p>
            <w:pPr>
              <w:spacing w:after="0"/>
              <w:rPr>
                <w:sz w:val="14"/>
                <w:szCs w:val="14"/>
                <w:color w:val="auto"/>
              </w:rPr>
            </w:pPr>
          </w:p>
        </w:tc>
        <w:tc>
          <w:tcPr>
            <w:tcW w:w="4360" w:type="dxa"/>
            <w:vAlign w:val="bottom"/>
          </w:tcPr>
          <w:p>
            <w:pPr>
              <w:spacing w:after="0"/>
              <w:rPr>
                <w:sz w:val="20"/>
                <w:szCs w:val="20"/>
                <w:color w:val="auto"/>
              </w:rPr>
            </w:pPr>
            <w:r>
              <w:rPr>
                <w:rFonts w:ascii="Arial" w:cs="Arial" w:eastAsia="Arial" w:hAnsi="Arial"/>
                <w:sz w:val="14"/>
                <w:szCs w:val="14"/>
                <w:color w:val="auto"/>
              </w:rPr>
              <w:t>2022</w:t>
            </w:r>
          </w:p>
        </w:tc>
        <w:tc>
          <w:tcPr>
            <w:tcW w:w="3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5,119</w:t>
            </w:r>
          </w:p>
        </w:tc>
      </w:tr>
      <w:tr>
        <w:trPr>
          <w:trHeight w:val="170"/>
        </w:trPr>
        <w:tc>
          <w:tcPr>
            <w:tcW w:w="20" w:type="dxa"/>
            <w:vAlign w:val="bottom"/>
          </w:tcPr>
          <w:p>
            <w:pPr>
              <w:spacing w:after="0"/>
              <w:rPr>
                <w:sz w:val="14"/>
                <w:szCs w:val="14"/>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4"/>
                <w:szCs w:val="14"/>
                <w:color w:val="auto"/>
              </w:rPr>
              <w:t>2023</w:t>
            </w:r>
          </w:p>
        </w:tc>
        <w:tc>
          <w:tcPr>
            <w:tcW w:w="37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3,800</w:t>
            </w:r>
          </w:p>
        </w:tc>
      </w:tr>
      <w:tr>
        <w:trPr>
          <w:trHeight w:val="170"/>
        </w:trPr>
        <w:tc>
          <w:tcPr>
            <w:tcW w:w="20" w:type="dxa"/>
            <w:vAlign w:val="bottom"/>
          </w:tcPr>
          <w:p>
            <w:pPr>
              <w:spacing w:after="0"/>
              <w:rPr>
                <w:sz w:val="14"/>
                <w:szCs w:val="14"/>
                <w:color w:val="auto"/>
              </w:rPr>
            </w:pPr>
          </w:p>
        </w:tc>
        <w:tc>
          <w:tcPr>
            <w:tcW w:w="436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Thereafter</w:t>
            </w:r>
          </w:p>
        </w:tc>
        <w:tc>
          <w:tcPr>
            <w:tcW w:w="376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14,354</w:t>
            </w:r>
          </w:p>
        </w:tc>
      </w:tr>
      <w:tr>
        <w:trPr>
          <w:trHeight w:val="162"/>
        </w:trPr>
        <w:tc>
          <w:tcPr>
            <w:tcW w:w="20" w:type="dxa"/>
            <w:vAlign w:val="bottom"/>
          </w:tcPr>
          <w:p>
            <w:pPr>
              <w:spacing w:after="0"/>
              <w:rPr>
                <w:sz w:val="14"/>
                <w:szCs w:val="14"/>
                <w:color w:val="auto"/>
              </w:rPr>
            </w:pPr>
          </w:p>
        </w:tc>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Total</w:t>
            </w:r>
          </w:p>
        </w:tc>
        <w:tc>
          <w:tcPr>
            <w:tcW w:w="376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41,486</w:t>
            </w:r>
          </w:p>
        </w:tc>
      </w:tr>
    </w:tbl>
    <w:p>
      <w:pPr>
        <w:spacing w:after="0" w:line="166" w:lineRule="exact"/>
        <w:rPr>
          <w:sz w:val="20"/>
          <w:szCs w:val="20"/>
          <w:color w:val="auto"/>
        </w:rPr>
      </w:pPr>
    </w:p>
    <w:p>
      <w:pPr>
        <w:ind w:left="640" w:hanging="636"/>
        <w:spacing w:after="0"/>
        <w:tabs>
          <w:tab w:leader="none" w:pos="640" w:val="left"/>
        </w:tabs>
        <w:numPr>
          <w:ilvl w:val="0"/>
          <w:numId w:val="50"/>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DEBT</w:t>
      </w:r>
    </w:p>
    <w:p>
      <w:pPr>
        <w:spacing w:after="0" w:line="183" w:lineRule="exact"/>
        <w:rPr>
          <w:sz w:val="20"/>
          <w:szCs w:val="20"/>
          <w:color w:val="auto"/>
        </w:rPr>
      </w:pPr>
    </w:p>
    <w:p>
      <w:pPr>
        <w:jc w:val="both"/>
        <w:ind w:firstLine="510"/>
        <w:spacing w:after="0" w:line="262" w:lineRule="auto"/>
        <w:rPr>
          <w:sz w:val="20"/>
          <w:szCs w:val="20"/>
          <w:color w:val="auto"/>
        </w:rPr>
      </w:pPr>
      <w:r>
        <w:rPr>
          <w:rFonts w:ascii="Arial" w:cs="Arial" w:eastAsia="Arial" w:hAnsi="Arial"/>
          <w:sz w:val="14"/>
          <w:szCs w:val="14"/>
          <w:color w:val="auto"/>
        </w:rPr>
        <w:t>On June 14, 2018, we entered into an unsecured Note Purchase Agreement (the "Agreement") under which we issued our 4.20% Series 2018 C Senior Notes, due June 14, 2028, in the aggregate principal amount of $40 million and our 4.27% Series 2018 D Senior Notes, due June 14, 2030, in the aggregate principal amount of $35 million. Proceeds from the sale of the Series C Senior Notes and Series D Senior Notes were used to pay down our revolving credit facility.</w:t>
      </w:r>
    </w:p>
    <w:p>
      <w:pPr>
        <w:spacing w:after="0" w:line="147" w:lineRule="exact"/>
        <w:rPr>
          <w:sz w:val="20"/>
          <w:szCs w:val="20"/>
          <w:color w:val="auto"/>
        </w:rPr>
      </w:pPr>
    </w:p>
    <w:p>
      <w:pPr>
        <w:jc w:val="both"/>
        <w:ind w:firstLine="510"/>
        <w:spacing w:after="0" w:line="172" w:lineRule="exact"/>
        <w:rPr>
          <w:sz w:val="20"/>
          <w:szCs w:val="20"/>
          <w:color w:val="auto"/>
        </w:rPr>
      </w:pPr>
      <w:r>
        <w:rPr>
          <w:rFonts w:ascii="Arial" w:cs="Arial" w:eastAsia="Arial" w:hAnsi="Arial"/>
          <w:sz w:val="13"/>
          <w:szCs w:val="13"/>
          <w:color w:val="auto"/>
        </w:rPr>
        <w:t>On December 17, 2012, we entered into an unsecured Note Purchase Agreement (the "Agreement") under which we issued our 3.89% Series 2012 A Senior Notes, due December 17, 2022, in the aggregate principal amount of $35 million and our 3.98% Series 2012 B Senior Notes, due December 17, 2024, in the aggregate principal amount of $40 million. Proceeds from the sale of the Series A Senior Notes and Series B Senior Notes were used to repay amounts due on our existing Series 2002</w:t>
      </w:r>
      <w:r>
        <w:rPr>
          <w:rFonts w:ascii="MS PGothic" w:cs="MS PGothic" w:eastAsia="MS PGothic" w:hAnsi="MS PGothic"/>
          <w:sz w:val="13"/>
          <w:szCs w:val="13"/>
          <w:color w:val="auto"/>
        </w:rPr>
        <w:t>‑</w:t>
      </w:r>
      <w:r>
        <w:rPr>
          <w:rFonts w:ascii="Arial" w:cs="Arial" w:eastAsia="Arial" w:hAnsi="Arial"/>
          <w:sz w:val="13"/>
          <w:szCs w:val="13"/>
          <w:color w:val="auto"/>
        </w:rPr>
        <w:t>A Senior Notes, Tranche B totaling $40 million and our revolving credit facility.</w:t>
      </w:r>
    </w:p>
    <w:p>
      <w:pPr>
        <w:spacing w:after="0" w:line="162" w:lineRule="exact"/>
        <w:rPr>
          <w:sz w:val="20"/>
          <w:szCs w:val="20"/>
          <w:color w:val="auto"/>
        </w:rPr>
      </w:pPr>
    </w:p>
    <w:p>
      <w:pPr>
        <w:jc w:val="both"/>
        <w:ind w:firstLine="510"/>
        <w:spacing w:after="0" w:line="260" w:lineRule="auto"/>
        <w:rPr>
          <w:sz w:val="20"/>
          <w:szCs w:val="20"/>
          <w:color w:val="auto"/>
        </w:rPr>
      </w:pPr>
      <w:r>
        <w:rPr>
          <w:rFonts w:ascii="Arial" w:cs="Arial" w:eastAsia="Arial" w:hAnsi="Arial"/>
          <w:sz w:val="14"/>
          <w:szCs w:val="14"/>
          <w:color w:val="auto"/>
        </w:rPr>
        <w:t>On November 1, 2018, we entered into a five-year, $375 million unsecured revolving credit facility with a syndicate of U.S. banks led by JPMorgan Chase Bank, N.A., as administrative agent and Wells Fargo Bank, N.A., as syndication agent. The facilities include up to $40 million which may be advanced in the form of letters of credit, and up to $100 million (U.S. dollar equivalent) which may be advanced in Canadian dollars, Australian dollars, pounds Sterling, Euros and such other foreign currencies as may subsequently be agreed upon among the parties. This facility replaced our $295 million unsecured revolving credit facility. Cash borrowings are charged interest based upon an index selected by</w:t>
      </w: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66675</wp:posOffset>
            </wp:positionV>
            <wp:extent cx="5779135" cy="2032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9">
                      <a:extLst>
                        <a:ext uri="{28A0092B-C50C-407E-A947-70E740481C1C}"/>
                      </a:extLst>
                    </a:blip>
                    <a:srcRect/>
                    <a:stretch>
                      <a:fillRect/>
                    </a:stretch>
                  </pic:blipFill>
                  <pic:spPr bwMode="auto">
                    <a:xfrm>
                      <a:off x="0" y="0"/>
                      <a:ext cx="5779135" cy="20320"/>
                    </a:xfrm>
                    <a:prstGeom prst="rect">
                      <a:avLst/>
                    </a:prstGeom>
                    <a:noFill/>
                  </pic:spPr>
                </pic:pic>
              </a:graphicData>
            </a:graphic>
          </wp:anchor>
        </w:drawing>
      </w:r>
    </w:p>
    <w:p>
      <w:pPr>
        <w:sectPr>
          <w:pgSz w:w="11900" w:h="16838" w:orient="portrait"/>
          <w:cols w:equalWidth="0" w:num="1">
            <w:col w:w="9100"/>
          </w:cols>
          <w:pgMar w:left="1400" w:top="129" w:right="1399" w:bottom="1440" w:gutter="0" w:footer="0" w:header="0"/>
        </w:sectPr>
      </w:pPr>
    </w:p>
    <w:bookmarkStart w:id="85" w:name="page86"/>
    <w:bookmarkEnd w:id="85"/>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94"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the Company, plus a margin that is determined based upon the index selected and upon the financial performance of the Company and certain of its subsidiaries. The Company is charged a facility fee on the entire amount of the lending commitment, at a per annum rate ranging from 12.5 to 30.0 basis points, also determined based upon the Company’s performance. The facility fee is payable quarterly in arrears.</w:t>
      </w:r>
    </w:p>
    <w:p>
      <w:pPr>
        <w:spacing w:after="0" w:line="142" w:lineRule="exact"/>
        <w:rPr>
          <w:sz w:val="20"/>
          <w:szCs w:val="20"/>
          <w:color w:val="auto"/>
        </w:rPr>
      </w:pPr>
    </w:p>
    <w:p>
      <w:pPr>
        <w:jc w:val="both"/>
        <w:ind w:firstLine="510"/>
        <w:spacing w:after="0" w:line="280" w:lineRule="auto"/>
        <w:rPr>
          <w:sz w:val="20"/>
          <w:szCs w:val="20"/>
          <w:color w:val="auto"/>
        </w:rPr>
      </w:pPr>
      <w:r>
        <w:rPr>
          <w:rFonts w:ascii="Arial" w:cs="Arial" w:eastAsia="Arial" w:hAnsi="Arial"/>
          <w:sz w:val="13"/>
          <w:szCs w:val="13"/>
          <w:color w:val="auto"/>
        </w:rPr>
        <w:t>Outstanding letters of credit extended on our behalf on December 29, 2018 and December 30, 2017 aggregated $30.3 million and $26.5 million; respectively, which includes approximately $9.8 million related to industrial development revenue bonds. The Company had an outstanding balance of $42.5 million and $59.4 million on its revolver at December 29, 2018, and December 30, 2017, respectively. After considering letters of credit, the Company had $322.7 million and $225.7 million in remaining availability on its revolver on December 29, 2018, and December 30, 2017, respectively. Additionally, we have $150 million in availability under a "shelf agreement" for long term debt with a current lender. Letters of credit have one year terms and include an automatic renewal clause. The letters of credit related to industrial development revenue bonds are charged an annual interest rate of 112.5 basis points, based upon our financial performance. The letters of credit related to workers’ compensation are charged an annual interest rate of 75 basis points.</w:t>
      </w:r>
    </w:p>
    <w:p>
      <w:pPr>
        <w:spacing w:after="0" w:line="138" w:lineRule="exact"/>
        <w:rPr>
          <w:sz w:val="20"/>
          <w:szCs w:val="20"/>
          <w:color w:val="auto"/>
        </w:rPr>
      </w:pPr>
    </w:p>
    <w:p>
      <w:pPr>
        <w:ind w:left="520"/>
        <w:spacing w:after="0"/>
        <w:rPr>
          <w:sz w:val="20"/>
          <w:szCs w:val="20"/>
          <w:color w:val="auto"/>
        </w:rPr>
      </w:pPr>
      <w:r>
        <w:rPr>
          <w:rFonts w:ascii="Arial" w:cs="Arial" w:eastAsia="Arial" w:hAnsi="Arial"/>
          <w:sz w:val="14"/>
          <w:szCs w:val="14"/>
          <w:color w:val="auto"/>
        </w:rPr>
        <w:t>Long-term debt obligations are summarized as follows on December 29, 2018 and December 31, 2017 (amounts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20" w:type="dxa"/>
            <w:vAlign w:val="bottom"/>
          </w:tcPr>
          <w:p>
            <w:pPr>
              <w:spacing w:after="0"/>
              <w:rPr>
                <w:sz w:val="11"/>
                <w:szCs w:val="11"/>
                <w:color w:val="auto"/>
              </w:rPr>
            </w:pPr>
          </w:p>
        </w:tc>
        <w:tc>
          <w:tcPr>
            <w:tcW w:w="720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250"/>
              <w:spacing w:after="0"/>
              <w:rPr>
                <w:sz w:val="20"/>
                <w:szCs w:val="20"/>
                <w:color w:val="auto"/>
              </w:rPr>
            </w:pPr>
            <w:r>
              <w:rPr>
                <w:rFonts w:ascii="Arial" w:cs="Arial" w:eastAsia="Arial" w:hAnsi="Arial"/>
                <w:sz w:val="11"/>
                <w:szCs w:val="11"/>
                <w:b w:val="1"/>
                <w:bCs w:val="1"/>
                <w:color w:val="auto"/>
              </w:rPr>
              <w:t>2018</w:t>
            </w:r>
          </w:p>
        </w:tc>
        <w:tc>
          <w:tcPr>
            <w:tcW w:w="22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ind w:right="230"/>
              <w:spacing w:after="0"/>
              <w:rPr>
                <w:sz w:val="20"/>
                <w:szCs w:val="20"/>
                <w:color w:val="auto"/>
              </w:rPr>
            </w:pPr>
            <w:r>
              <w:rPr>
                <w:rFonts w:ascii="Arial" w:cs="Arial" w:eastAsia="Arial" w:hAnsi="Arial"/>
                <w:sz w:val="11"/>
                <w:szCs w:val="11"/>
                <w:b w:val="1"/>
                <w:bCs w:val="1"/>
                <w:color w:val="auto"/>
              </w:rPr>
              <w:t>2017</w:t>
            </w:r>
          </w:p>
        </w:tc>
      </w:tr>
      <w:tr>
        <w:trPr>
          <w:trHeight w:val="170"/>
        </w:trPr>
        <w:tc>
          <w:tcPr>
            <w:tcW w:w="20" w:type="dxa"/>
            <w:vAlign w:val="bottom"/>
          </w:tcPr>
          <w:p>
            <w:pPr>
              <w:spacing w:after="0"/>
              <w:rPr>
                <w:sz w:val="14"/>
                <w:szCs w:val="14"/>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4"/>
                <w:szCs w:val="14"/>
                <w:color w:val="auto"/>
              </w:rPr>
              <w:t>Series 2018 Senior Notes C, due on June 14, 2028, interest payable semi-annually at 4.20%</w:t>
            </w: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40,000</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70"/>
        </w:trPr>
        <w:tc>
          <w:tcPr>
            <w:tcW w:w="20" w:type="dxa"/>
            <w:vAlign w:val="bottom"/>
          </w:tcPr>
          <w:p>
            <w:pPr>
              <w:spacing w:after="0"/>
              <w:rPr>
                <w:sz w:val="14"/>
                <w:szCs w:val="14"/>
                <w:color w:val="auto"/>
              </w:rPr>
            </w:pPr>
          </w:p>
        </w:tc>
        <w:tc>
          <w:tcPr>
            <w:tcW w:w="7200" w:type="dxa"/>
            <w:vAlign w:val="bottom"/>
          </w:tcPr>
          <w:p>
            <w:pPr>
              <w:spacing w:after="0"/>
              <w:rPr>
                <w:sz w:val="20"/>
                <w:szCs w:val="20"/>
                <w:color w:val="auto"/>
              </w:rPr>
            </w:pPr>
            <w:r>
              <w:rPr>
                <w:rFonts w:ascii="Arial" w:cs="Arial" w:eastAsia="Arial" w:hAnsi="Arial"/>
                <w:sz w:val="14"/>
                <w:szCs w:val="14"/>
                <w:color w:val="auto"/>
              </w:rPr>
              <w:t>Series 2018 Senior Notes D, due on June 14, 2030, interest payable semi-annually at 4.27%</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35,000</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70"/>
        </w:trPr>
        <w:tc>
          <w:tcPr>
            <w:tcW w:w="20" w:type="dxa"/>
            <w:vAlign w:val="bottom"/>
          </w:tcPr>
          <w:p>
            <w:pPr>
              <w:spacing w:after="0"/>
              <w:rPr>
                <w:sz w:val="14"/>
                <w:szCs w:val="14"/>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4"/>
                <w:szCs w:val="14"/>
                <w:color w:val="auto"/>
              </w:rPr>
              <w:t>Series 2012 Senior Notes Tranche A, due on December 17, 2022, interest payable semi-annually at 3.89%</w:t>
            </w: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35,000</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35,000</w:t>
            </w:r>
          </w:p>
        </w:tc>
      </w:tr>
      <w:tr>
        <w:trPr>
          <w:trHeight w:val="170"/>
        </w:trPr>
        <w:tc>
          <w:tcPr>
            <w:tcW w:w="20" w:type="dxa"/>
            <w:vAlign w:val="bottom"/>
          </w:tcPr>
          <w:p>
            <w:pPr>
              <w:spacing w:after="0"/>
              <w:rPr>
                <w:sz w:val="14"/>
                <w:szCs w:val="14"/>
                <w:color w:val="auto"/>
              </w:rPr>
            </w:pPr>
          </w:p>
        </w:tc>
        <w:tc>
          <w:tcPr>
            <w:tcW w:w="7200" w:type="dxa"/>
            <w:vAlign w:val="bottom"/>
          </w:tcPr>
          <w:p>
            <w:pPr>
              <w:spacing w:after="0"/>
              <w:rPr>
                <w:sz w:val="20"/>
                <w:szCs w:val="20"/>
                <w:color w:val="auto"/>
              </w:rPr>
            </w:pPr>
            <w:r>
              <w:rPr>
                <w:rFonts w:ascii="Arial" w:cs="Arial" w:eastAsia="Arial" w:hAnsi="Arial"/>
                <w:sz w:val="14"/>
                <w:szCs w:val="14"/>
                <w:color w:val="auto"/>
              </w:rPr>
              <w:t>Series 2012 Senior Notes Tranche B, due on December 17, 2024, interest payable semi-annually at 3.98%</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40,000</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40,000</w:t>
            </w:r>
          </w:p>
        </w:tc>
      </w:tr>
      <w:tr>
        <w:trPr>
          <w:trHeight w:val="159"/>
        </w:trPr>
        <w:tc>
          <w:tcPr>
            <w:tcW w:w="20" w:type="dxa"/>
            <w:vAlign w:val="bottom"/>
          </w:tcPr>
          <w:p>
            <w:pPr>
              <w:spacing w:after="0"/>
              <w:rPr>
                <w:sz w:val="13"/>
                <w:szCs w:val="13"/>
                <w:color w:val="auto"/>
              </w:rPr>
            </w:pPr>
          </w:p>
        </w:tc>
        <w:tc>
          <w:tcPr>
            <w:tcW w:w="720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Revolving credit facility totaling $375 million due on November 1, 2023, interest payable monthly at a floating rate</w:t>
            </w: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r>
      <w:tr>
        <w:trPr>
          <w:trHeight w:val="181"/>
        </w:trPr>
        <w:tc>
          <w:tcPr>
            <w:tcW w:w="20" w:type="dxa"/>
            <w:vAlign w:val="bottom"/>
          </w:tcPr>
          <w:p>
            <w:pPr>
              <w:spacing w:after="0"/>
              <w:rPr>
                <w:sz w:val="15"/>
                <w:szCs w:val="15"/>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4"/>
                <w:szCs w:val="14"/>
                <w:color w:val="auto"/>
              </w:rPr>
              <w:t>(3.39% on December 29, 2018 and 2.41% on December 30, 2017)</w:t>
            </w: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42,490</w:t>
            </w: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59,422</w:t>
            </w:r>
          </w:p>
        </w:tc>
      </w:tr>
      <w:tr>
        <w:trPr>
          <w:trHeight w:val="159"/>
        </w:trPr>
        <w:tc>
          <w:tcPr>
            <w:tcW w:w="20" w:type="dxa"/>
            <w:vAlign w:val="bottom"/>
          </w:tcPr>
          <w:p>
            <w:pPr>
              <w:spacing w:after="0"/>
              <w:rPr>
                <w:sz w:val="13"/>
                <w:szCs w:val="13"/>
                <w:color w:val="auto"/>
              </w:rPr>
            </w:pPr>
          </w:p>
        </w:tc>
        <w:tc>
          <w:tcPr>
            <w:tcW w:w="7200" w:type="dxa"/>
            <w:vAlign w:val="bottom"/>
          </w:tcPr>
          <w:p>
            <w:pPr>
              <w:spacing w:after="0" w:line="159" w:lineRule="exact"/>
              <w:rPr>
                <w:sz w:val="20"/>
                <w:szCs w:val="20"/>
                <w:color w:val="auto"/>
              </w:rPr>
            </w:pPr>
            <w:r>
              <w:rPr>
                <w:rFonts w:ascii="Arial" w:cs="Arial" w:eastAsia="Arial" w:hAnsi="Arial"/>
                <w:sz w:val="14"/>
                <w:szCs w:val="14"/>
                <w:color w:val="auto"/>
                <w:w w:val="97"/>
              </w:rPr>
              <w:t>Series 1999 Industrial Development Revenue Bonds, due on August 1, 2029, interest payable monthly at a floating rate</w:t>
            </w: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r>
      <w:tr>
        <w:trPr>
          <w:trHeight w:val="180"/>
        </w:trPr>
        <w:tc>
          <w:tcPr>
            <w:tcW w:w="7220" w:type="dxa"/>
            <w:vAlign w:val="bottom"/>
            <w:gridSpan w:val="2"/>
          </w:tcPr>
          <w:p>
            <w:pPr>
              <w:spacing w:after="0"/>
              <w:rPr>
                <w:sz w:val="20"/>
                <w:szCs w:val="20"/>
                <w:color w:val="auto"/>
              </w:rPr>
            </w:pPr>
            <w:r>
              <w:rPr>
                <w:rFonts w:ascii="Arial" w:cs="Arial" w:eastAsia="Arial" w:hAnsi="Arial"/>
                <w:sz w:val="14"/>
                <w:szCs w:val="14"/>
                <w:color w:val="auto"/>
              </w:rPr>
              <w:t>(1.94% on December 29, 2018 and 1.08% on December 30, 2017)</w:t>
            </w: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3,300</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3,300</w:t>
            </w:r>
          </w:p>
        </w:tc>
      </w:tr>
      <w:tr>
        <w:trPr>
          <w:trHeight w:val="160"/>
        </w:trPr>
        <w:tc>
          <w:tcPr>
            <w:tcW w:w="20" w:type="dxa"/>
            <w:vAlign w:val="bottom"/>
          </w:tcPr>
          <w:p>
            <w:pPr>
              <w:spacing w:after="0"/>
              <w:rPr>
                <w:sz w:val="13"/>
                <w:szCs w:val="13"/>
                <w:color w:val="auto"/>
              </w:rPr>
            </w:pPr>
          </w:p>
        </w:tc>
        <w:tc>
          <w:tcPr>
            <w:tcW w:w="7200" w:type="dxa"/>
            <w:vAlign w:val="bottom"/>
            <w:shd w:val="clear" w:color="auto" w:fill="CCEEFF"/>
          </w:tcPr>
          <w:p>
            <w:pPr>
              <w:spacing w:after="0" w:line="160" w:lineRule="exact"/>
              <w:rPr>
                <w:sz w:val="20"/>
                <w:szCs w:val="20"/>
                <w:color w:val="auto"/>
              </w:rPr>
            </w:pPr>
            <w:r>
              <w:rPr>
                <w:rFonts w:ascii="Arial" w:cs="Arial" w:eastAsia="Arial" w:hAnsi="Arial"/>
                <w:sz w:val="14"/>
                <w:szCs w:val="14"/>
                <w:color w:val="auto"/>
                <w:w w:val="96"/>
              </w:rPr>
              <w:t>Series 2000 Industrial Development Revenue Bonds, due on October 1, 2020, interest payable monthly at a floating rate</w:t>
            </w: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r>
      <w:tr>
        <w:trPr>
          <w:trHeight w:val="181"/>
        </w:trPr>
        <w:tc>
          <w:tcPr>
            <w:tcW w:w="20" w:type="dxa"/>
            <w:vAlign w:val="bottom"/>
          </w:tcPr>
          <w:p>
            <w:pPr>
              <w:spacing w:after="0"/>
              <w:rPr>
                <w:sz w:val="15"/>
                <w:szCs w:val="15"/>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4"/>
                <w:szCs w:val="14"/>
                <w:color w:val="auto"/>
              </w:rPr>
              <w:t>(2.00% on December 29, 2018 and 1.14% on December 30, 2017)</w:t>
            </w: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2,700</w:t>
            </w: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2,700</w:t>
            </w:r>
          </w:p>
        </w:tc>
      </w:tr>
      <w:tr>
        <w:trPr>
          <w:trHeight w:val="159"/>
        </w:trPr>
        <w:tc>
          <w:tcPr>
            <w:tcW w:w="20" w:type="dxa"/>
            <w:vAlign w:val="bottom"/>
          </w:tcPr>
          <w:p>
            <w:pPr>
              <w:spacing w:after="0"/>
              <w:rPr>
                <w:sz w:val="13"/>
                <w:szCs w:val="13"/>
                <w:color w:val="auto"/>
              </w:rPr>
            </w:pPr>
          </w:p>
        </w:tc>
        <w:tc>
          <w:tcPr>
            <w:tcW w:w="7200" w:type="dxa"/>
            <w:vAlign w:val="bottom"/>
          </w:tcPr>
          <w:p>
            <w:pPr>
              <w:spacing w:after="0" w:line="159" w:lineRule="exact"/>
              <w:rPr>
                <w:sz w:val="20"/>
                <w:szCs w:val="20"/>
                <w:color w:val="auto"/>
              </w:rPr>
            </w:pPr>
            <w:r>
              <w:rPr>
                <w:rFonts w:ascii="Arial" w:cs="Arial" w:eastAsia="Arial" w:hAnsi="Arial"/>
                <w:sz w:val="14"/>
                <w:szCs w:val="14"/>
                <w:color w:val="auto"/>
                <w:w w:val="94"/>
              </w:rPr>
              <w:t>Series 2002 Industrial Development Revenue Bonds, due on December 1, 2022, interest payable monthly at a floating rate</w:t>
            </w: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r>
      <w:tr>
        <w:trPr>
          <w:trHeight w:val="180"/>
        </w:trPr>
        <w:tc>
          <w:tcPr>
            <w:tcW w:w="7220" w:type="dxa"/>
            <w:vAlign w:val="bottom"/>
            <w:gridSpan w:val="2"/>
          </w:tcPr>
          <w:p>
            <w:pPr>
              <w:spacing w:after="0"/>
              <w:rPr>
                <w:sz w:val="20"/>
                <w:szCs w:val="20"/>
                <w:color w:val="auto"/>
              </w:rPr>
            </w:pPr>
            <w:r>
              <w:rPr>
                <w:rFonts w:ascii="Arial" w:cs="Arial" w:eastAsia="Arial" w:hAnsi="Arial"/>
                <w:sz w:val="14"/>
                <w:szCs w:val="14"/>
                <w:color w:val="auto"/>
              </w:rPr>
              <w:t>(1.99% on December 29, 2018 and 1.13% on December 30, 2017)</w:t>
            </w: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3,700</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3,700</w:t>
            </w:r>
          </w:p>
        </w:tc>
      </w:tr>
      <w:tr>
        <w:trPr>
          <w:trHeight w:val="172"/>
        </w:trPr>
        <w:tc>
          <w:tcPr>
            <w:tcW w:w="20" w:type="dxa"/>
            <w:vAlign w:val="bottom"/>
          </w:tcPr>
          <w:p>
            <w:pPr>
              <w:spacing w:after="0"/>
              <w:rPr>
                <w:sz w:val="14"/>
                <w:szCs w:val="14"/>
                <w:color w:val="auto"/>
              </w:rPr>
            </w:pPr>
          </w:p>
        </w:tc>
        <w:tc>
          <w:tcPr>
            <w:tcW w:w="7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Capital leases and foreign affiliate debt</w:t>
            </w:r>
          </w:p>
        </w:tc>
        <w:tc>
          <w:tcPr>
            <w:tcW w:w="18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311</w:t>
            </w:r>
          </w:p>
        </w:tc>
        <w:tc>
          <w:tcPr>
            <w:tcW w:w="22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2,058</w:t>
            </w:r>
          </w:p>
        </w:tc>
      </w:tr>
      <w:tr>
        <w:trPr>
          <w:trHeight w:val="170"/>
        </w:trPr>
        <w:tc>
          <w:tcPr>
            <w:tcW w:w="20" w:type="dxa"/>
            <w:vAlign w:val="bottom"/>
          </w:tcPr>
          <w:p>
            <w:pPr>
              <w:spacing w:after="0"/>
              <w:rPr>
                <w:sz w:val="14"/>
                <w:szCs w:val="14"/>
                <w:color w:val="auto"/>
              </w:rPr>
            </w:pPr>
          </w:p>
        </w:tc>
        <w:tc>
          <w:tcPr>
            <w:tcW w:w="7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202,501</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146,180</w:t>
            </w:r>
          </w:p>
        </w:tc>
      </w:tr>
      <w:tr>
        <w:trPr>
          <w:trHeight w:val="170"/>
        </w:trPr>
        <w:tc>
          <w:tcPr>
            <w:tcW w:w="20" w:type="dxa"/>
            <w:vAlign w:val="bottom"/>
          </w:tcPr>
          <w:p>
            <w:pPr>
              <w:spacing w:after="0"/>
              <w:rPr>
                <w:sz w:val="14"/>
                <w:szCs w:val="14"/>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4"/>
                <w:szCs w:val="14"/>
                <w:color w:val="auto"/>
              </w:rPr>
              <w:t>Less current portion</w:t>
            </w: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(1,329)</w:t>
            </w:r>
          </w:p>
        </w:tc>
      </w:tr>
      <w:tr>
        <w:trPr>
          <w:trHeight w:val="171"/>
        </w:trPr>
        <w:tc>
          <w:tcPr>
            <w:tcW w:w="20" w:type="dxa"/>
            <w:vAlign w:val="bottom"/>
          </w:tcPr>
          <w:p>
            <w:pPr>
              <w:spacing w:after="0"/>
              <w:rPr>
                <w:sz w:val="14"/>
                <w:szCs w:val="14"/>
                <w:color w:val="auto"/>
              </w:rPr>
            </w:pPr>
          </w:p>
        </w:tc>
        <w:tc>
          <w:tcPr>
            <w:tcW w:w="720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Less debt issuance costs</w:t>
            </w: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(223)</w:t>
            </w:r>
          </w:p>
        </w:tc>
        <w:tc>
          <w:tcPr>
            <w:tcW w:w="2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(177)</w:t>
            </w:r>
          </w:p>
        </w:tc>
      </w:tr>
      <w:tr>
        <w:trPr>
          <w:trHeight w:val="171"/>
        </w:trPr>
        <w:tc>
          <w:tcPr>
            <w:tcW w:w="20" w:type="dxa"/>
            <w:vAlign w:val="bottom"/>
          </w:tcPr>
          <w:p>
            <w:pPr>
              <w:spacing w:after="0"/>
              <w:rPr>
                <w:sz w:val="14"/>
                <w:szCs w:val="14"/>
                <w:color w:val="auto"/>
              </w:rPr>
            </w:pPr>
          </w:p>
        </w:tc>
        <w:tc>
          <w:tcPr>
            <w:tcW w:w="7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Long-term portion</w:t>
            </w:r>
          </w:p>
        </w:tc>
        <w:tc>
          <w:tcPr>
            <w:tcW w:w="18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202,130</w:t>
            </w:r>
          </w:p>
        </w:tc>
        <w:tc>
          <w:tcPr>
            <w:tcW w:w="22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144,674</w:t>
            </w:r>
          </w:p>
        </w:tc>
      </w:tr>
    </w:tbl>
    <w:p>
      <w:pPr>
        <w:spacing w:after="0" w:line="159" w:lineRule="exact"/>
        <w:rPr>
          <w:sz w:val="20"/>
          <w:szCs w:val="20"/>
          <w:color w:val="auto"/>
        </w:rPr>
      </w:pPr>
    </w:p>
    <w:p>
      <w:pPr>
        <w:jc w:val="both"/>
        <w:ind w:firstLine="510"/>
        <w:spacing w:after="0" w:line="267" w:lineRule="auto"/>
        <w:rPr>
          <w:sz w:val="20"/>
          <w:szCs w:val="20"/>
          <w:color w:val="auto"/>
        </w:rPr>
      </w:pPr>
      <w:r>
        <w:rPr>
          <w:rFonts w:ascii="Arial" w:cs="Arial" w:eastAsia="Arial" w:hAnsi="Arial"/>
          <w:sz w:val="14"/>
          <w:szCs w:val="14"/>
          <w:color w:val="auto"/>
        </w:rPr>
        <w:t>Financial covenants on the unsecured revolving credit facility and unsecured notes include minimum interest coverage tests and a maximum leverage ratio. The agreements also restrict the amount of additional indebtedness we may incur and the amount of assets which may be sold among other industry standard covenants. We were within all of our lending requirements on December 29, 2018 and December 30, 2017.</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66675</wp:posOffset>
            </wp:positionV>
            <wp:extent cx="5779135" cy="2032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0">
                      <a:extLst>
                        <a:ext uri="{28A0092B-C50C-407E-A947-70E740481C1C}"/>
                      </a:extLst>
                    </a:blip>
                    <a:srcRect/>
                    <a:stretch>
                      <a:fillRect/>
                    </a:stretch>
                  </pic:blipFill>
                  <pic:spPr bwMode="auto">
                    <a:xfrm>
                      <a:off x="0" y="0"/>
                      <a:ext cx="5779135" cy="20320"/>
                    </a:xfrm>
                    <a:prstGeom prst="rect">
                      <a:avLst/>
                    </a:prstGeom>
                    <a:noFill/>
                  </pic:spPr>
                </pic:pic>
              </a:graphicData>
            </a:graphic>
          </wp:anchor>
        </w:drawing>
      </w:r>
    </w:p>
    <w:p>
      <w:pPr>
        <w:sectPr>
          <w:pgSz w:w="11900" w:h="16838" w:orient="portrait"/>
          <w:cols w:equalWidth="0" w:num="1">
            <w:col w:w="9100"/>
          </w:cols>
          <w:pgMar w:left="1400" w:top="129" w:right="1399" w:bottom="1440" w:gutter="0" w:footer="0" w:header="0"/>
        </w:sectPr>
      </w:pPr>
    </w:p>
    <w:bookmarkStart w:id="86" w:name="page87"/>
    <w:bookmarkEnd w:id="86"/>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7840" w:type="dxa"/>
            <w:vAlign w:val="bottom"/>
          </w:tcPr>
          <w:p>
            <w:pPr>
              <w:ind w:left="500"/>
              <w:spacing w:after="0"/>
              <w:rPr>
                <w:sz w:val="20"/>
                <w:szCs w:val="20"/>
                <w:color w:val="auto"/>
              </w:rPr>
            </w:pPr>
            <w:r>
              <w:rPr>
                <w:rFonts w:ascii="Arial" w:cs="Arial" w:eastAsia="Arial" w:hAnsi="Arial"/>
                <w:sz w:val="14"/>
                <w:szCs w:val="14"/>
                <w:color w:val="auto"/>
                <w:w w:val="95"/>
              </w:rPr>
              <w:t>On December 29, 2018, the principal maturities of long-term debt and capital lease obligations are as follows (in thousands):</w:t>
            </w: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vMerge w:val="restart"/>
          </w:tcPr>
          <w:p>
            <w:pPr>
              <w:spacing w:after="0"/>
              <w:rPr>
                <w:sz w:val="15"/>
                <w:szCs w:val="15"/>
                <w:color w:val="auto"/>
              </w:rPr>
            </w:pPr>
          </w:p>
        </w:tc>
        <w:tc>
          <w:tcPr>
            <w:tcW w:w="7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4"/>
                <w:szCs w:val="14"/>
                <w:color w:val="auto"/>
              </w:rPr>
              <w:t>2019</w:t>
            </w:r>
          </w:p>
        </w:tc>
        <w:tc>
          <w:tcPr>
            <w:tcW w:w="540" w:type="dxa"/>
            <w:vAlign w:val="bottom"/>
            <w:gridSpan w:val="2"/>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840" w:type="dxa"/>
            <w:vAlign w:val="bottom"/>
          </w:tcPr>
          <w:p>
            <w:pPr>
              <w:spacing w:after="0"/>
              <w:rPr>
                <w:sz w:val="20"/>
                <w:szCs w:val="20"/>
                <w:color w:val="auto"/>
              </w:rPr>
            </w:pPr>
            <w:r>
              <w:rPr>
                <w:rFonts w:ascii="Arial" w:cs="Arial" w:eastAsia="Arial" w:hAnsi="Arial"/>
                <w:sz w:val="14"/>
                <w:szCs w:val="14"/>
                <w:color w:val="auto"/>
              </w:rPr>
              <w:t>2020</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2,834</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4"/>
                <w:szCs w:val="14"/>
                <w:color w:val="auto"/>
              </w:rPr>
              <w:t>2021</w:t>
            </w:r>
          </w:p>
        </w:tc>
        <w:tc>
          <w:tcPr>
            <w:tcW w:w="2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840" w:type="dxa"/>
            <w:vAlign w:val="bottom"/>
          </w:tcPr>
          <w:p>
            <w:pPr>
              <w:spacing w:after="0"/>
              <w:rPr>
                <w:sz w:val="20"/>
                <w:szCs w:val="20"/>
                <w:color w:val="auto"/>
              </w:rPr>
            </w:pPr>
            <w:r>
              <w:rPr>
                <w:rFonts w:ascii="Arial" w:cs="Arial" w:eastAsia="Arial" w:hAnsi="Arial"/>
                <w:sz w:val="14"/>
                <w:szCs w:val="14"/>
                <w:color w:val="auto"/>
              </w:rPr>
              <w:t>2022</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38,700</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4"/>
                <w:szCs w:val="14"/>
                <w:color w:val="auto"/>
              </w:rPr>
              <w:t>2023</w:t>
            </w:r>
          </w:p>
        </w:tc>
        <w:tc>
          <w:tcPr>
            <w:tcW w:w="2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42,490</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84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Thereafter</w:t>
            </w:r>
          </w:p>
        </w:tc>
        <w:tc>
          <w:tcPr>
            <w:tcW w:w="2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118,300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Total</w:t>
            </w:r>
          </w:p>
        </w:tc>
        <w:tc>
          <w:tcPr>
            <w:tcW w:w="28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202,501</w:t>
            </w:r>
          </w:p>
        </w:tc>
        <w:tc>
          <w:tcPr>
            <w:tcW w:w="0" w:type="dxa"/>
            <w:vAlign w:val="bottom"/>
          </w:tcPr>
          <w:p>
            <w:pPr>
              <w:spacing w:after="0"/>
              <w:rPr>
                <w:sz w:val="1"/>
                <w:szCs w:val="1"/>
                <w:color w:val="auto"/>
              </w:rPr>
            </w:pPr>
          </w:p>
        </w:tc>
      </w:tr>
    </w:tbl>
    <w:p>
      <w:pPr>
        <w:spacing w:after="0" w:line="159" w:lineRule="exact"/>
        <w:rPr>
          <w:sz w:val="20"/>
          <w:szCs w:val="20"/>
          <w:color w:val="auto"/>
        </w:rPr>
      </w:pPr>
    </w:p>
    <w:p>
      <w:pPr>
        <w:jc w:val="both"/>
        <w:ind w:firstLine="510"/>
        <w:spacing w:after="0" w:line="262" w:lineRule="auto"/>
        <w:rPr>
          <w:sz w:val="20"/>
          <w:szCs w:val="20"/>
          <w:color w:val="auto"/>
        </w:rPr>
      </w:pPr>
      <w:r>
        <w:rPr>
          <w:rFonts w:ascii="Arial" w:cs="Arial" w:eastAsia="Arial" w:hAnsi="Arial"/>
          <w:sz w:val="14"/>
          <w:szCs w:val="14"/>
          <w:color w:val="auto"/>
        </w:rPr>
        <w:t>On December 29, 2018, the estimated fair value of our long-term debt, including the current portion, was $203.1 million, which was $0.6 million more than the carrying value. The estimated fair value is based on rates anticipated to be available to us for debt with similar terms and maturities. We consider the valuations of our long-term debt, including the current portion, to be Level 2 liabilities which rely on quoted prices in markets that are not active or observable inputs over the full term of the liability.</w:t>
      </w:r>
    </w:p>
    <w:p>
      <w:pPr>
        <w:spacing w:after="0" w:line="143" w:lineRule="exact"/>
        <w:rPr>
          <w:sz w:val="20"/>
          <w:szCs w:val="20"/>
          <w:color w:val="auto"/>
        </w:rPr>
      </w:pPr>
    </w:p>
    <w:p>
      <w:pPr>
        <w:ind w:left="620" w:hanging="616"/>
        <w:spacing w:after="0"/>
        <w:tabs>
          <w:tab w:leader="none" w:pos="620" w:val="left"/>
        </w:tabs>
        <w:numPr>
          <w:ilvl w:val="0"/>
          <w:numId w:val="51"/>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LEASES</w:t>
      </w:r>
    </w:p>
    <w:p>
      <w:pPr>
        <w:spacing w:after="0" w:line="183" w:lineRule="exact"/>
        <w:rPr>
          <w:sz w:val="20"/>
          <w:szCs w:val="20"/>
          <w:color w:val="auto"/>
        </w:rPr>
      </w:pPr>
    </w:p>
    <w:p>
      <w:pPr>
        <w:jc w:val="both"/>
        <w:ind w:firstLine="510"/>
        <w:spacing w:after="0" w:line="262" w:lineRule="auto"/>
        <w:rPr>
          <w:sz w:val="20"/>
          <w:szCs w:val="20"/>
          <w:color w:val="auto"/>
        </w:rPr>
      </w:pPr>
      <w:r>
        <w:rPr>
          <w:rFonts w:ascii="Arial" w:cs="Arial" w:eastAsia="Arial" w:hAnsi="Arial"/>
          <w:sz w:val="14"/>
          <w:szCs w:val="14"/>
          <w:color w:val="auto"/>
        </w:rPr>
        <w:t>We lease certain real estate under operating lease agreements with original terms ranging from one to ten years. We are required to pay real estate taxes and other occupancy costs under these leases. Certain leases carry renewal options of five to fifteen years. We also lease motor vehicles, equipment, and an aircraft under operating lease agreements for periods of one to ten years. Future minimum payments under non-cancelable operating leases on December 29, 2018 are as follows (in thousands):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8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jc w:val="right"/>
              <w:ind w:right="172"/>
              <w:spacing w:after="0"/>
              <w:rPr>
                <w:sz w:val="20"/>
                <w:szCs w:val="20"/>
                <w:color w:val="auto"/>
              </w:rPr>
            </w:pPr>
            <w:r>
              <w:rPr>
                <w:rFonts w:ascii="Arial" w:cs="Arial" w:eastAsia="Arial" w:hAnsi="Arial"/>
                <w:sz w:val="11"/>
                <w:szCs w:val="11"/>
                <w:b w:val="1"/>
                <w:bCs w:val="1"/>
                <w:color w:val="auto"/>
              </w:rPr>
              <w:t>Operating</w:t>
            </w:r>
          </w:p>
        </w:tc>
      </w:tr>
      <w:tr>
        <w:trPr>
          <w:trHeight w:val="134"/>
        </w:trPr>
        <w:tc>
          <w:tcPr>
            <w:tcW w:w="20" w:type="dxa"/>
            <w:vAlign w:val="bottom"/>
          </w:tcPr>
          <w:p>
            <w:pPr>
              <w:spacing w:after="0"/>
              <w:rPr>
                <w:sz w:val="11"/>
                <w:szCs w:val="11"/>
                <w:color w:val="auto"/>
              </w:rPr>
            </w:pPr>
          </w:p>
        </w:tc>
        <w:tc>
          <w:tcPr>
            <w:tcW w:w="812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252"/>
              <w:spacing w:after="0"/>
              <w:rPr>
                <w:sz w:val="20"/>
                <w:szCs w:val="20"/>
                <w:color w:val="auto"/>
              </w:rPr>
            </w:pPr>
            <w:r>
              <w:rPr>
                <w:rFonts w:ascii="Arial" w:cs="Arial" w:eastAsia="Arial" w:hAnsi="Arial"/>
                <w:sz w:val="11"/>
                <w:szCs w:val="11"/>
                <w:b w:val="1"/>
                <w:bCs w:val="1"/>
                <w:color w:val="auto"/>
              </w:rPr>
              <w:t>Leases</w:t>
            </w:r>
          </w:p>
        </w:tc>
      </w:tr>
      <w:tr>
        <w:trPr>
          <w:trHeight w:val="161"/>
        </w:trPr>
        <w:tc>
          <w:tcPr>
            <w:tcW w:w="20" w:type="dxa"/>
            <w:vAlign w:val="bottom"/>
          </w:tcPr>
          <w:p>
            <w:pPr>
              <w:spacing w:after="0"/>
              <w:rPr>
                <w:sz w:val="13"/>
                <w:szCs w:val="13"/>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4"/>
                <w:szCs w:val="14"/>
                <w:color w:val="auto"/>
              </w:rPr>
              <w:t>2019</w:t>
            </w: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17,242</w:t>
            </w:r>
          </w:p>
        </w:tc>
      </w:tr>
      <w:tr>
        <w:trPr>
          <w:trHeight w:val="170"/>
        </w:trPr>
        <w:tc>
          <w:tcPr>
            <w:tcW w:w="20" w:type="dxa"/>
            <w:vAlign w:val="bottom"/>
          </w:tcPr>
          <w:p>
            <w:pPr>
              <w:spacing w:after="0"/>
              <w:rPr>
                <w:sz w:val="14"/>
                <w:szCs w:val="14"/>
                <w:color w:val="auto"/>
              </w:rPr>
            </w:pPr>
          </w:p>
        </w:tc>
        <w:tc>
          <w:tcPr>
            <w:tcW w:w="8120" w:type="dxa"/>
            <w:vAlign w:val="bottom"/>
          </w:tcPr>
          <w:p>
            <w:pPr>
              <w:spacing w:after="0"/>
              <w:rPr>
                <w:sz w:val="20"/>
                <w:szCs w:val="20"/>
                <w:color w:val="auto"/>
              </w:rPr>
            </w:pPr>
            <w:r>
              <w:rPr>
                <w:rFonts w:ascii="Arial" w:cs="Arial" w:eastAsia="Arial" w:hAnsi="Arial"/>
                <w:sz w:val="14"/>
                <w:szCs w:val="14"/>
                <w:color w:val="auto"/>
              </w:rPr>
              <w:t>2020</w:t>
            </w: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11,969</w:t>
            </w:r>
          </w:p>
        </w:tc>
      </w:tr>
      <w:tr>
        <w:trPr>
          <w:trHeight w:val="170"/>
        </w:trPr>
        <w:tc>
          <w:tcPr>
            <w:tcW w:w="20" w:type="dxa"/>
            <w:vAlign w:val="bottom"/>
          </w:tcPr>
          <w:p>
            <w:pPr>
              <w:spacing w:after="0"/>
              <w:rPr>
                <w:sz w:val="14"/>
                <w:szCs w:val="14"/>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4"/>
                <w:szCs w:val="14"/>
                <w:color w:val="auto"/>
              </w:rPr>
              <w:t>2021</w:t>
            </w: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9,784</w:t>
            </w:r>
          </w:p>
        </w:tc>
      </w:tr>
      <w:tr>
        <w:trPr>
          <w:trHeight w:val="170"/>
        </w:trPr>
        <w:tc>
          <w:tcPr>
            <w:tcW w:w="20" w:type="dxa"/>
            <w:vAlign w:val="bottom"/>
          </w:tcPr>
          <w:p>
            <w:pPr>
              <w:spacing w:after="0"/>
              <w:rPr>
                <w:sz w:val="14"/>
                <w:szCs w:val="14"/>
                <w:color w:val="auto"/>
              </w:rPr>
            </w:pPr>
          </w:p>
        </w:tc>
        <w:tc>
          <w:tcPr>
            <w:tcW w:w="8120" w:type="dxa"/>
            <w:vAlign w:val="bottom"/>
          </w:tcPr>
          <w:p>
            <w:pPr>
              <w:spacing w:after="0"/>
              <w:rPr>
                <w:sz w:val="20"/>
                <w:szCs w:val="20"/>
                <w:color w:val="auto"/>
              </w:rPr>
            </w:pPr>
            <w:r>
              <w:rPr>
                <w:rFonts w:ascii="Arial" w:cs="Arial" w:eastAsia="Arial" w:hAnsi="Arial"/>
                <w:sz w:val="14"/>
                <w:szCs w:val="14"/>
                <w:color w:val="auto"/>
              </w:rPr>
              <w:t>2022</w:t>
            </w: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8,346</w:t>
            </w:r>
          </w:p>
        </w:tc>
      </w:tr>
      <w:tr>
        <w:trPr>
          <w:trHeight w:val="170"/>
        </w:trPr>
        <w:tc>
          <w:tcPr>
            <w:tcW w:w="20" w:type="dxa"/>
            <w:vAlign w:val="bottom"/>
          </w:tcPr>
          <w:p>
            <w:pPr>
              <w:spacing w:after="0"/>
              <w:rPr>
                <w:sz w:val="14"/>
                <w:szCs w:val="14"/>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4"/>
                <w:szCs w:val="14"/>
                <w:color w:val="auto"/>
              </w:rPr>
              <w:t>2023</w:t>
            </w: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6,382</w:t>
            </w:r>
          </w:p>
        </w:tc>
      </w:tr>
      <w:tr>
        <w:trPr>
          <w:trHeight w:val="170"/>
        </w:trPr>
        <w:tc>
          <w:tcPr>
            <w:tcW w:w="20" w:type="dxa"/>
            <w:vAlign w:val="bottom"/>
          </w:tcPr>
          <w:p>
            <w:pPr>
              <w:spacing w:after="0"/>
              <w:rPr>
                <w:sz w:val="14"/>
                <w:szCs w:val="14"/>
                <w:color w:val="auto"/>
              </w:rPr>
            </w:pPr>
          </w:p>
        </w:tc>
        <w:tc>
          <w:tcPr>
            <w:tcW w:w="812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Thereafter</w:t>
            </w: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22,498</w:t>
            </w:r>
          </w:p>
        </w:tc>
      </w:tr>
      <w:tr>
        <w:trPr>
          <w:trHeight w:val="162"/>
        </w:trPr>
        <w:tc>
          <w:tcPr>
            <w:tcW w:w="20" w:type="dxa"/>
            <w:vAlign w:val="bottom"/>
          </w:tcPr>
          <w:p>
            <w:pPr>
              <w:spacing w:after="0"/>
              <w:rPr>
                <w:sz w:val="14"/>
                <w:szCs w:val="14"/>
                <w:color w:val="auto"/>
              </w:rPr>
            </w:pPr>
          </w:p>
        </w:tc>
        <w:tc>
          <w:tcPr>
            <w:tcW w:w="8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Total minimum lease payments</w:t>
            </w:r>
          </w:p>
        </w:tc>
        <w:tc>
          <w:tcPr>
            <w:tcW w:w="1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76,221</w:t>
            </w:r>
          </w:p>
        </w:tc>
      </w:tr>
    </w:tbl>
    <w:p>
      <w:pPr>
        <w:spacing w:after="0" w:line="159" w:lineRule="exact"/>
        <w:rPr>
          <w:sz w:val="20"/>
          <w:szCs w:val="20"/>
          <w:color w:val="auto"/>
        </w:rPr>
      </w:pPr>
    </w:p>
    <w:p>
      <w:pPr>
        <w:ind w:left="520"/>
        <w:spacing w:after="0"/>
        <w:rPr>
          <w:sz w:val="20"/>
          <w:szCs w:val="20"/>
          <w:color w:val="auto"/>
        </w:rPr>
      </w:pPr>
      <w:r>
        <w:rPr>
          <w:rFonts w:ascii="Arial" w:cs="Arial" w:eastAsia="Arial" w:hAnsi="Arial"/>
          <w:sz w:val="14"/>
          <w:szCs w:val="14"/>
          <w:color w:val="auto"/>
        </w:rPr>
        <w:t>Rent expense was approximately $25.0 million, $22.3 million, and $10.5 million in 2018, 2017, and 2016, respectively.</w:t>
      </w:r>
    </w:p>
    <w:p>
      <w:pPr>
        <w:spacing w:after="0" w:line="175" w:lineRule="exact"/>
        <w:rPr>
          <w:sz w:val="20"/>
          <w:szCs w:val="20"/>
          <w:color w:val="auto"/>
        </w:rPr>
      </w:pPr>
    </w:p>
    <w:p>
      <w:pPr>
        <w:ind w:left="660" w:hanging="656"/>
        <w:spacing w:after="0"/>
        <w:tabs>
          <w:tab w:leader="none" w:pos="660" w:val="left"/>
        </w:tabs>
        <w:numPr>
          <w:ilvl w:val="0"/>
          <w:numId w:val="52"/>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DEFERRED COMPENSATION</w:t>
      </w:r>
    </w:p>
    <w:p>
      <w:pPr>
        <w:spacing w:after="0" w:line="183" w:lineRule="exact"/>
        <w:rPr>
          <w:sz w:val="20"/>
          <w:szCs w:val="20"/>
          <w:color w:val="auto"/>
        </w:rPr>
      </w:pPr>
    </w:p>
    <w:p>
      <w:pPr>
        <w:jc w:val="both"/>
        <w:ind w:firstLine="510"/>
        <w:spacing w:after="0" w:line="258" w:lineRule="auto"/>
        <w:rPr>
          <w:sz w:val="20"/>
          <w:szCs w:val="20"/>
          <w:color w:val="auto"/>
        </w:rPr>
      </w:pPr>
      <w:r>
        <w:rPr>
          <w:rFonts w:ascii="Arial" w:cs="Arial" w:eastAsia="Arial" w:hAnsi="Arial"/>
          <w:sz w:val="14"/>
          <w:szCs w:val="14"/>
          <w:color w:val="auto"/>
        </w:rPr>
        <w:t>We have a program whereby certain executives irrevocably elected to defer receipt of certain compensation in 1985 through 1988. Deferred compensation payments to these executives will commence upon their retirement. We purchased life insurance on these executives, payable to us in amounts which, if assumptions made as to mortality experience, policy dividends, and other factors are realized, will accumulate cash values adequate to reimburse us for all payments for insurance and deferred compensation obligations. In the event cash values are not sufficient to fund such obligations, the program allows us to reduce benefit payments to such amounts as may be funded by accumulated cash values. The deferred compensation liabilities and related cash surrender value of life insurance policies totaled $2.0 million on December 29, 2018 and December 30, 2017, and are included in "Other Liabilities" and "Other Assets," respectively.</w:t>
      </w:r>
    </w:p>
    <w:p>
      <w:pPr>
        <w:spacing w:after="0" w:line="148" w:lineRule="exact"/>
        <w:rPr>
          <w:sz w:val="20"/>
          <w:szCs w:val="20"/>
          <w:color w:val="auto"/>
        </w:rPr>
      </w:pPr>
    </w:p>
    <w:p>
      <w:pPr>
        <w:jc w:val="both"/>
        <w:ind w:firstLine="510"/>
        <w:spacing w:after="0" w:line="289" w:lineRule="auto"/>
        <w:rPr>
          <w:sz w:val="20"/>
          <w:szCs w:val="20"/>
          <w:color w:val="auto"/>
        </w:rPr>
      </w:pPr>
      <w:r>
        <w:rPr>
          <w:rFonts w:ascii="Arial" w:cs="Arial" w:eastAsia="Arial" w:hAnsi="Arial"/>
          <w:sz w:val="13"/>
          <w:szCs w:val="13"/>
          <w:color w:val="auto"/>
        </w:rPr>
        <w:t>We also maintain a non-qualified deferred compensation plan (the "Plan") for the benefit of senior management employees who may elect to defer a portion of their annual bonus payments and salaries. The Plan provides investment options similar to our 401(k) plan, including our stock. The investment in our stock is funded by the issuance of shares to a Rabbi trust, and may only be distributed in kind. Assets held by the Plan totaled approximately $1.0 million on December 29, 2018 and December 30, 2017, and are included in "Other Assets." Related liabilities totaled $27.8 million</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66675</wp:posOffset>
            </wp:positionV>
            <wp:extent cx="5779135" cy="2032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1">
                      <a:extLst>
                        <a:ext uri="{28A0092B-C50C-407E-A947-70E740481C1C}"/>
                      </a:extLst>
                    </a:blip>
                    <a:srcRect/>
                    <a:stretch>
                      <a:fillRect/>
                    </a:stretch>
                  </pic:blipFill>
                  <pic:spPr bwMode="auto">
                    <a:xfrm>
                      <a:off x="0" y="0"/>
                      <a:ext cx="5779135" cy="20320"/>
                    </a:xfrm>
                    <a:prstGeom prst="rect">
                      <a:avLst/>
                    </a:prstGeom>
                    <a:noFill/>
                  </pic:spPr>
                </pic:pic>
              </a:graphicData>
            </a:graphic>
          </wp:anchor>
        </w:drawing>
      </w:r>
    </w:p>
    <w:p>
      <w:pPr>
        <w:sectPr>
          <w:pgSz w:w="11900" w:h="16838" w:orient="portrait"/>
          <w:cols w:equalWidth="0" w:num="1">
            <w:col w:w="9100"/>
          </w:cols>
          <w:pgMar w:left="1400" w:top="129" w:right="1399" w:bottom="1440" w:gutter="0" w:footer="0" w:header="0"/>
        </w:sectPr>
      </w:pPr>
    </w:p>
    <w:bookmarkStart w:id="87" w:name="page88"/>
    <w:bookmarkEnd w:id="87"/>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94"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and $22.6 million on December 29, 2018 and December 30, 2017, respectively, and are included in "Other Liabilities" and "Shareholders’ Equity." Assets associated with the Plan are recorded at fair market value. The related liabilities are recorded at fair market value, with the exception of obligations associated with investments in our stock which are recorded at the market value on the date of deferral.</w:t>
      </w:r>
    </w:p>
    <w:p>
      <w:pPr>
        <w:spacing w:after="0" w:line="138" w:lineRule="exact"/>
        <w:rPr>
          <w:sz w:val="20"/>
          <w:szCs w:val="20"/>
          <w:color w:val="auto"/>
        </w:rPr>
      </w:pPr>
    </w:p>
    <w:p>
      <w:pPr>
        <w:ind w:left="660" w:hanging="656"/>
        <w:spacing w:after="0"/>
        <w:tabs>
          <w:tab w:leader="none" w:pos="660" w:val="left"/>
        </w:tabs>
        <w:numPr>
          <w:ilvl w:val="0"/>
          <w:numId w:val="53"/>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COMMON STOCK</w:t>
      </w:r>
    </w:p>
    <w:p>
      <w:pPr>
        <w:spacing w:after="0" w:line="183" w:lineRule="exact"/>
        <w:rPr>
          <w:sz w:val="20"/>
          <w:szCs w:val="20"/>
          <w:color w:val="auto"/>
        </w:rPr>
      </w:pPr>
    </w:p>
    <w:p>
      <w:pPr>
        <w:jc w:val="both"/>
        <w:ind w:firstLine="510"/>
        <w:spacing w:after="0" w:line="267" w:lineRule="auto"/>
        <w:rPr>
          <w:sz w:val="20"/>
          <w:szCs w:val="20"/>
          <w:color w:val="auto"/>
        </w:rPr>
      </w:pPr>
      <w:r>
        <w:rPr>
          <w:rFonts w:ascii="Arial" w:cs="Arial" w:eastAsia="Arial" w:hAnsi="Arial"/>
          <w:sz w:val="14"/>
          <w:szCs w:val="14"/>
          <w:color w:val="auto"/>
        </w:rPr>
        <w:t>We maintain and administer our shareholder approved Employee Stock Purchase Plan ("Stock Purchase Plan"). The Stock Purchase Plan allows eligible employees to purchase shares of our stock at a share price equal to 85% of fair market value on the purchase date. We have expensed the fair value of the compensation associated with these awards, which approximates the discount. The amount of expense is nominal.</w:t>
      </w:r>
    </w:p>
    <w:p>
      <w:pPr>
        <w:spacing w:after="0" w:line="142" w:lineRule="exact"/>
        <w:rPr>
          <w:sz w:val="20"/>
          <w:szCs w:val="20"/>
          <w:color w:val="auto"/>
        </w:rPr>
      </w:pPr>
    </w:p>
    <w:p>
      <w:pPr>
        <w:jc w:val="both"/>
        <w:ind w:firstLine="510"/>
        <w:spacing w:after="0" w:line="282" w:lineRule="auto"/>
        <w:rPr>
          <w:sz w:val="20"/>
          <w:szCs w:val="20"/>
          <w:color w:val="auto"/>
        </w:rPr>
      </w:pPr>
      <w:r>
        <w:rPr>
          <w:rFonts w:ascii="Arial" w:cs="Arial" w:eastAsia="Arial" w:hAnsi="Arial"/>
          <w:sz w:val="13"/>
          <w:szCs w:val="13"/>
          <w:color w:val="auto"/>
        </w:rPr>
        <w:t>We maintain and administer our shareholder approved Directors’ Retainer Stock Plan ("Stock Retainer Plan"). The Stock Retainer Plan allows eligible members of the Board of Directors to defer the cash portion of their retainer and committee fees and receive shares of our stock at the time of or following their retirement, disability or death. The number of shares to be received is equal to the amount of the cash portion of their retainer and committee fees deferred multiplied by 110%, divided by the fair market value of a share of our stock at the time of deferral. The number of shares is increased by the amount of dividends paid on the Company’s common stock. We recognized expense for this plan of $1.7 million in 2018, $1.7 million in 2017, and $0.7 million in 2016. Effective January 1, 2017, this plan was amended to allow directors to defer payment of the annual retainer paid in the form of our common stock.</w:t>
      </w:r>
    </w:p>
    <w:p>
      <w:pPr>
        <w:spacing w:after="0" w:line="135" w:lineRule="exact"/>
        <w:rPr>
          <w:sz w:val="20"/>
          <w:szCs w:val="20"/>
          <w:color w:val="auto"/>
        </w:rPr>
      </w:pPr>
    </w:p>
    <w:p>
      <w:pPr>
        <w:jc w:val="both"/>
        <w:ind w:firstLine="510"/>
        <w:spacing w:after="0" w:line="281" w:lineRule="auto"/>
        <w:rPr>
          <w:sz w:val="20"/>
          <w:szCs w:val="20"/>
          <w:color w:val="auto"/>
        </w:rPr>
      </w:pPr>
      <w:r>
        <w:rPr>
          <w:rFonts w:ascii="Arial" w:cs="Arial" w:eastAsia="Arial" w:hAnsi="Arial"/>
          <w:sz w:val="14"/>
          <w:szCs w:val="14"/>
          <w:color w:val="auto"/>
        </w:rPr>
        <w:t>Finally, we maintain and administer our shareholder approved Long Term Stock Incentive Plan (the "LTSIP”). The LTSIP provides for the grant of stock options, stock appreciation rights, restricted stock, performance shares and other stock-based awards.</w:t>
      </w:r>
    </w:p>
    <w:p>
      <w:pPr>
        <w:spacing w:after="0" w:line="133" w:lineRule="exact"/>
        <w:rPr>
          <w:sz w:val="20"/>
          <w:szCs w:val="20"/>
          <w:color w:val="auto"/>
        </w:rPr>
      </w:pPr>
    </w:p>
    <w:p>
      <w:pPr>
        <w:jc w:val="both"/>
        <w:ind w:firstLine="510"/>
        <w:spacing w:after="0" w:line="321" w:lineRule="auto"/>
        <w:rPr>
          <w:sz w:val="20"/>
          <w:szCs w:val="20"/>
          <w:color w:val="auto"/>
        </w:rPr>
      </w:pPr>
      <w:r>
        <w:rPr>
          <w:rFonts w:ascii="Arial" w:cs="Arial" w:eastAsia="Arial" w:hAnsi="Arial"/>
          <w:sz w:val="13"/>
          <w:szCs w:val="13"/>
          <w:color w:val="auto"/>
        </w:rPr>
        <w:t>On October 18, 2017, the Board of Directors approved a three-for-one split of the Company's outstanding shares of common stock effected as a stock dividend. On November 14, 2017, shareholders of record as of October 31, 2017, received two additional shares for each share held on the record date.</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7280" w:type="dxa"/>
            <w:vAlign w:val="bottom"/>
            <w:gridSpan w:val="2"/>
          </w:tcPr>
          <w:p>
            <w:pPr>
              <w:spacing w:after="0"/>
              <w:rPr>
                <w:sz w:val="20"/>
                <w:szCs w:val="20"/>
                <w:color w:val="auto"/>
              </w:rPr>
            </w:pPr>
            <w:r>
              <w:rPr>
                <w:rFonts w:ascii="Arial" w:cs="Arial" w:eastAsia="Arial" w:hAnsi="Arial"/>
                <w:sz w:val="14"/>
                <w:szCs w:val="14"/>
                <w:color w:val="auto"/>
              </w:rPr>
              <w:t>There is no unrecognized compensation expense remaining for stock options in 2018, 2017, and 2016.</w:t>
            </w: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0"/>
        </w:trPr>
        <w:tc>
          <w:tcPr>
            <w:tcW w:w="7280" w:type="dxa"/>
            <w:vAlign w:val="bottom"/>
            <w:gridSpan w:val="2"/>
          </w:tcPr>
          <w:p>
            <w:pPr>
              <w:spacing w:after="0"/>
              <w:rPr>
                <w:sz w:val="20"/>
                <w:szCs w:val="20"/>
                <w:color w:val="auto"/>
              </w:rPr>
            </w:pPr>
            <w:r>
              <w:rPr>
                <w:rFonts w:ascii="Arial" w:cs="Arial" w:eastAsia="Arial" w:hAnsi="Arial"/>
                <w:sz w:val="14"/>
                <w:szCs w:val="14"/>
                <w:color w:val="auto"/>
              </w:rPr>
              <w:t>Below is a summary of common stock issuances for 2018 and 2017:</w:t>
            </w: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1420" w:type="dxa"/>
            <w:vAlign w:val="bottom"/>
          </w:tcPr>
          <w:p>
            <w:pPr>
              <w:spacing w:after="0"/>
              <w:rPr>
                <w:sz w:val="24"/>
                <w:szCs w:val="24"/>
                <w:color w:val="auto"/>
              </w:rPr>
            </w:pPr>
          </w:p>
        </w:tc>
        <w:tc>
          <w:tcPr>
            <w:tcW w:w="5860" w:type="dxa"/>
            <w:vAlign w:val="bottom"/>
          </w:tcPr>
          <w:p>
            <w:pPr>
              <w:spacing w:after="0"/>
              <w:rPr>
                <w:sz w:val="24"/>
                <w:szCs w:val="24"/>
                <w:color w:val="auto"/>
              </w:rPr>
            </w:pPr>
          </w:p>
        </w:tc>
        <w:tc>
          <w:tcPr>
            <w:tcW w:w="1820" w:type="dxa"/>
            <w:vAlign w:val="bottom"/>
            <w:tcBorders>
              <w:bottom w:val="single" w:sz="8" w:color="auto"/>
            </w:tcBorders>
            <w:gridSpan w:val="3"/>
          </w:tcPr>
          <w:p>
            <w:pPr>
              <w:jc w:val="right"/>
              <w:ind w:right="269"/>
              <w:spacing w:after="0"/>
              <w:rPr>
                <w:sz w:val="20"/>
                <w:szCs w:val="20"/>
                <w:color w:val="auto"/>
              </w:rPr>
            </w:pPr>
            <w:r>
              <w:rPr>
                <w:rFonts w:ascii="Arial" w:cs="Arial" w:eastAsia="Arial" w:hAnsi="Arial"/>
                <w:sz w:val="14"/>
                <w:szCs w:val="14"/>
                <w:b w:val="1"/>
                <w:bCs w:val="1"/>
                <w:color w:val="auto"/>
              </w:rPr>
              <w:t>December 29, 2018</w:t>
            </w:r>
          </w:p>
        </w:tc>
        <w:tc>
          <w:tcPr>
            <w:tcW w:w="0" w:type="dxa"/>
            <w:vAlign w:val="bottom"/>
          </w:tcPr>
          <w:p>
            <w:pPr>
              <w:spacing w:after="0"/>
              <w:rPr>
                <w:sz w:val="1"/>
                <w:szCs w:val="1"/>
                <w:color w:val="auto"/>
              </w:rPr>
            </w:pPr>
          </w:p>
        </w:tc>
      </w:tr>
      <w:tr>
        <w:trPr>
          <w:trHeight w:val="146"/>
        </w:trPr>
        <w:tc>
          <w:tcPr>
            <w:tcW w:w="1420" w:type="dxa"/>
            <w:vAlign w:val="bottom"/>
          </w:tcPr>
          <w:p>
            <w:pPr>
              <w:spacing w:after="0"/>
              <w:rPr>
                <w:sz w:val="12"/>
                <w:szCs w:val="12"/>
                <w:color w:val="auto"/>
              </w:rPr>
            </w:pPr>
          </w:p>
        </w:tc>
        <w:tc>
          <w:tcPr>
            <w:tcW w:w="5860" w:type="dxa"/>
            <w:vAlign w:val="bottom"/>
          </w:tcPr>
          <w:p>
            <w:pPr>
              <w:spacing w:after="0"/>
              <w:rPr>
                <w:sz w:val="12"/>
                <w:szCs w:val="12"/>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Common</w:t>
            </w:r>
          </w:p>
        </w:tc>
        <w:tc>
          <w:tcPr>
            <w:tcW w:w="320" w:type="dxa"/>
            <w:vAlign w:val="bottom"/>
          </w:tcPr>
          <w:p>
            <w:pPr>
              <w:spacing w:after="0"/>
              <w:rPr>
                <w:sz w:val="12"/>
                <w:szCs w:val="12"/>
                <w:color w:val="auto"/>
              </w:rPr>
            </w:pPr>
          </w:p>
        </w:tc>
        <w:tc>
          <w:tcPr>
            <w:tcW w:w="700" w:type="dxa"/>
            <w:vAlign w:val="bottom"/>
          </w:tcPr>
          <w:p>
            <w:pPr>
              <w:jc w:val="center"/>
              <w:spacing w:after="0" w:line="146"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85"/>
        </w:trPr>
        <w:tc>
          <w:tcPr>
            <w:tcW w:w="1420" w:type="dxa"/>
            <w:vAlign w:val="bottom"/>
          </w:tcPr>
          <w:p>
            <w:pPr>
              <w:spacing w:after="0"/>
              <w:rPr>
                <w:sz w:val="7"/>
                <w:szCs w:val="7"/>
                <w:color w:val="auto"/>
              </w:rPr>
            </w:pPr>
          </w:p>
        </w:tc>
        <w:tc>
          <w:tcPr>
            <w:tcW w:w="586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7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7"/>
              </w:rPr>
              <w:t>Share</w:t>
            </w:r>
          </w:p>
        </w:tc>
        <w:tc>
          <w:tcPr>
            <w:tcW w:w="0" w:type="dxa"/>
            <w:vAlign w:val="bottom"/>
          </w:tcPr>
          <w:p>
            <w:pPr>
              <w:spacing w:after="0"/>
              <w:rPr>
                <w:sz w:val="1"/>
                <w:szCs w:val="1"/>
                <w:color w:val="auto"/>
              </w:rPr>
            </w:pPr>
          </w:p>
        </w:tc>
      </w:tr>
      <w:tr>
        <w:trPr>
          <w:trHeight w:val="85"/>
        </w:trPr>
        <w:tc>
          <w:tcPr>
            <w:tcW w:w="1420" w:type="dxa"/>
            <w:vAlign w:val="bottom"/>
          </w:tcPr>
          <w:p>
            <w:pPr>
              <w:spacing w:after="0"/>
              <w:rPr>
                <w:sz w:val="7"/>
                <w:szCs w:val="7"/>
                <w:color w:val="auto"/>
              </w:rPr>
            </w:pPr>
          </w:p>
        </w:tc>
        <w:tc>
          <w:tcPr>
            <w:tcW w:w="5860" w:type="dxa"/>
            <w:vAlign w:val="bottom"/>
          </w:tcPr>
          <w:p>
            <w:pPr>
              <w:spacing w:after="0"/>
              <w:rPr>
                <w:sz w:val="7"/>
                <w:szCs w:val="7"/>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Stock</w:t>
            </w:r>
          </w:p>
        </w:tc>
        <w:tc>
          <w:tcPr>
            <w:tcW w:w="3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7280" w:type="dxa"/>
            <w:vAlign w:val="bottom"/>
            <w:gridSpan w:val="2"/>
            <w:vMerge w:val="restart"/>
          </w:tcPr>
          <w:p>
            <w:pPr>
              <w:spacing w:after="0" w:line="153" w:lineRule="exact"/>
              <w:rPr>
                <w:sz w:val="20"/>
                <w:szCs w:val="20"/>
                <w:color w:val="auto"/>
              </w:rPr>
            </w:pPr>
            <w:r>
              <w:rPr>
                <w:rFonts w:ascii="Arial" w:cs="Arial" w:eastAsia="Arial" w:hAnsi="Arial"/>
                <w:sz w:val="14"/>
                <w:szCs w:val="14"/>
                <w:b w:val="1"/>
                <w:bCs w:val="1"/>
                <w:color w:val="auto"/>
              </w:rPr>
              <w:t>Share Issuance Activity</w:t>
            </w:r>
          </w:p>
        </w:tc>
        <w:tc>
          <w:tcPr>
            <w:tcW w:w="80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700" w:type="dxa"/>
            <w:vAlign w:val="bottom"/>
            <w:vMerge w:val="restart"/>
          </w:tcPr>
          <w:p>
            <w:pPr>
              <w:jc w:val="center"/>
              <w:spacing w:after="0" w:line="153" w:lineRule="exact"/>
              <w:rPr>
                <w:sz w:val="20"/>
                <w:szCs w:val="20"/>
                <w:color w:val="auto"/>
              </w:rPr>
            </w:pPr>
            <w:r>
              <w:rPr>
                <w:rFonts w:ascii="Arial" w:cs="Arial" w:eastAsia="Arial" w:hAnsi="Arial"/>
                <w:sz w:val="14"/>
                <w:szCs w:val="14"/>
                <w:b w:val="1"/>
                <w:bCs w:val="1"/>
                <w:color w:val="auto"/>
                <w:w w:val="87"/>
              </w:rPr>
              <w:t>Price</w:t>
            </w:r>
          </w:p>
        </w:tc>
        <w:tc>
          <w:tcPr>
            <w:tcW w:w="0" w:type="dxa"/>
            <w:vAlign w:val="bottom"/>
          </w:tcPr>
          <w:p>
            <w:pPr>
              <w:spacing w:after="0"/>
              <w:rPr>
                <w:sz w:val="1"/>
                <w:szCs w:val="1"/>
                <w:color w:val="auto"/>
              </w:rPr>
            </w:pPr>
          </w:p>
        </w:tc>
      </w:tr>
      <w:tr>
        <w:trPr>
          <w:trHeight w:val="54"/>
        </w:trPr>
        <w:tc>
          <w:tcPr>
            <w:tcW w:w="7280" w:type="dxa"/>
            <w:vAlign w:val="bottom"/>
            <w:gridSpan w:val="2"/>
            <w:vMerge w:val="continue"/>
          </w:tcPr>
          <w:p>
            <w:pPr>
              <w:spacing w:after="0"/>
              <w:rPr>
                <w:sz w:val="4"/>
                <w:szCs w:val="4"/>
                <w:color w:val="auto"/>
              </w:rPr>
            </w:pPr>
          </w:p>
        </w:tc>
        <w:tc>
          <w:tcPr>
            <w:tcW w:w="800" w:type="dxa"/>
            <w:vAlign w:val="bottom"/>
          </w:tcPr>
          <w:p>
            <w:pPr>
              <w:spacing w:after="0"/>
              <w:rPr>
                <w:sz w:val="4"/>
                <w:szCs w:val="4"/>
                <w:color w:val="auto"/>
              </w:rPr>
            </w:pPr>
          </w:p>
        </w:tc>
        <w:tc>
          <w:tcPr>
            <w:tcW w:w="32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1420" w:type="dxa"/>
            <w:vAlign w:val="bottom"/>
            <w:tcBorders>
              <w:top w:val="single" w:sz="8" w:color="auto"/>
              <w:bottom w:val="single" w:sz="8" w:color="CCEEFF"/>
            </w:tcBorders>
          </w:tcPr>
          <w:p>
            <w:pPr>
              <w:spacing w:after="0" w:line="20" w:lineRule="exact"/>
              <w:rPr>
                <w:sz w:val="1"/>
                <w:szCs w:val="1"/>
                <w:color w:val="auto"/>
              </w:rPr>
            </w:pPr>
          </w:p>
        </w:tc>
        <w:tc>
          <w:tcPr>
            <w:tcW w:w="586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7280" w:type="dxa"/>
            <w:vAlign w:val="bottom"/>
            <w:gridSpan w:val="2"/>
            <w:shd w:val="clear" w:color="auto" w:fill="CCEEFF"/>
          </w:tcPr>
          <w:p>
            <w:pPr>
              <w:spacing w:after="0" w:line="153" w:lineRule="exact"/>
              <w:rPr>
                <w:sz w:val="20"/>
                <w:szCs w:val="20"/>
                <w:color w:val="auto"/>
              </w:rPr>
            </w:pPr>
            <w:r>
              <w:rPr>
                <w:rFonts w:ascii="Arial" w:cs="Arial" w:eastAsia="Arial" w:hAnsi="Arial"/>
                <w:sz w:val="14"/>
                <w:szCs w:val="14"/>
                <w:color w:val="auto"/>
              </w:rPr>
              <w:t>Shares issued under the employee stock purchase plan</w:t>
            </w:r>
          </w:p>
        </w:tc>
        <w:tc>
          <w:tcPr>
            <w:tcW w:w="800" w:type="dxa"/>
            <w:vAlign w:val="bottom"/>
            <w:shd w:val="clear" w:color="auto" w:fill="CCEEFF"/>
          </w:tcPr>
          <w:p>
            <w:pPr>
              <w:jc w:val="center"/>
              <w:spacing w:after="0" w:line="153" w:lineRule="exact"/>
              <w:rPr>
                <w:sz w:val="20"/>
                <w:szCs w:val="20"/>
                <w:color w:val="auto"/>
              </w:rPr>
            </w:pPr>
            <w:r>
              <w:rPr>
                <w:rFonts w:ascii="Arial" w:cs="Arial" w:eastAsia="Arial" w:hAnsi="Arial"/>
                <w:sz w:val="14"/>
                <w:szCs w:val="14"/>
                <w:color w:val="auto"/>
                <w:w w:val="89"/>
              </w:rPr>
              <w:t>38</w:t>
            </w:r>
          </w:p>
        </w:tc>
        <w:tc>
          <w:tcPr>
            <w:tcW w:w="320" w:type="dxa"/>
            <w:vAlign w:val="bottom"/>
            <w:shd w:val="clear" w:color="auto" w:fill="CCEEFF"/>
          </w:tcPr>
          <w:p>
            <w:pPr>
              <w:jc w:val="right"/>
              <w:ind w:right="49"/>
              <w:spacing w:after="0" w:line="153"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center"/>
              <w:spacing w:after="0" w:line="153" w:lineRule="exact"/>
              <w:rPr>
                <w:sz w:val="20"/>
                <w:szCs w:val="20"/>
                <w:color w:val="auto"/>
              </w:rPr>
            </w:pPr>
            <w:r>
              <w:rPr>
                <w:rFonts w:ascii="Arial" w:cs="Arial" w:eastAsia="Arial" w:hAnsi="Arial"/>
                <w:sz w:val="14"/>
                <w:szCs w:val="14"/>
                <w:color w:val="auto"/>
                <w:w w:val="85"/>
              </w:rPr>
              <w:t>35.58</w:t>
            </w:r>
          </w:p>
        </w:tc>
        <w:tc>
          <w:tcPr>
            <w:tcW w:w="0" w:type="dxa"/>
            <w:vAlign w:val="bottom"/>
          </w:tcPr>
          <w:p>
            <w:pPr>
              <w:spacing w:after="0"/>
              <w:rPr>
                <w:sz w:val="1"/>
                <w:szCs w:val="1"/>
                <w:color w:val="auto"/>
              </w:rPr>
            </w:pPr>
          </w:p>
        </w:tc>
      </w:tr>
      <w:tr>
        <w:trPr>
          <w:trHeight w:val="170"/>
        </w:trPr>
        <w:tc>
          <w:tcPr>
            <w:tcW w:w="142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2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Shares issued under the employee stock gift program</w:t>
            </w: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3</w:t>
            </w:r>
          </w:p>
        </w:tc>
        <w:tc>
          <w:tcPr>
            <w:tcW w:w="320" w:type="dxa"/>
            <w:vAlign w:val="bottom"/>
            <w:shd w:val="clear" w:color="auto" w:fill="CCEEFF"/>
          </w:tcPr>
          <w:p>
            <w:pPr>
              <w:spacing w:after="0"/>
              <w:rPr>
                <w:sz w:val="14"/>
                <w:szCs w:val="14"/>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5"/>
              </w:rPr>
              <w:t>33.56</w:t>
            </w:r>
          </w:p>
        </w:tc>
        <w:tc>
          <w:tcPr>
            <w:tcW w:w="0" w:type="dxa"/>
            <w:vAlign w:val="bottom"/>
          </w:tcPr>
          <w:p>
            <w:pPr>
              <w:spacing w:after="0"/>
              <w:rPr>
                <w:sz w:val="1"/>
                <w:szCs w:val="1"/>
                <w:color w:val="auto"/>
              </w:rPr>
            </w:pPr>
          </w:p>
        </w:tc>
      </w:tr>
      <w:tr>
        <w:trPr>
          <w:trHeight w:val="170"/>
        </w:trPr>
        <w:tc>
          <w:tcPr>
            <w:tcW w:w="7280" w:type="dxa"/>
            <w:vAlign w:val="bottom"/>
            <w:gridSpan w:val="2"/>
          </w:tcPr>
          <w:p>
            <w:pPr>
              <w:ind w:left="120"/>
              <w:spacing w:after="0"/>
              <w:rPr>
                <w:sz w:val="20"/>
                <w:szCs w:val="20"/>
                <w:color w:val="auto"/>
              </w:rPr>
            </w:pPr>
            <w:r>
              <w:rPr>
                <w:rFonts w:ascii="Arial" w:cs="Arial" w:eastAsia="Arial" w:hAnsi="Arial"/>
                <w:sz w:val="14"/>
                <w:szCs w:val="14"/>
                <w:color w:val="auto"/>
              </w:rPr>
              <w:t>Shares issued under the director retainer stock program</w:t>
            </w:r>
          </w:p>
        </w:tc>
        <w:tc>
          <w:tcPr>
            <w:tcW w:w="800" w:type="dxa"/>
            <w:vAlign w:val="bottom"/>
          </w:tcPr>
          <w:p>
            <w:pPr>
              <w:jc w:val="center"/>
              <w:spacing w:after="0"/>
              <w:rPr>
                <w:sz w:val="20"/>
                <w:szCs w:val="20"/>
                <w:color w:val="auto"/>
              </w:rPr>
            </w:pPr>
            <w:r>
              <w:rPr>
                <w:rFonts w:ascii="Arial" w:cs="Arial" w:eastAsia="Arial" w:hAnsi="Arial"/>
                <w:sz w:val="14"/>
                <w:szCs w:val="14"/>
                <w:color w:val="auto"/>
                <w:w w:val="85"/>
              </w:rPr>
              <w:t>101</w:t>
            </w:r>
          </w:p>
        </w:tc>
        <w:tc>
          <w:tcPr>
            <w:tcW w:w="32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color w:val="auto"/>
                <w:w w:val="85"/>
              </w:rPr>
              <w:t>17.17</w:t>
            </w:r>
          </w:p>
        </w:tc>
        <w:tc>
          <w:tcPr>
            <w:tcW w:w="0" w:type="dxa"/>
            <w:vAlign w:val="bottom"/>
          </w:tcPr>
          <w:p>
            <w:pPr>
              <w:spacing w:after="0"/>
              <w:rPr>
                <w:sz w:val="1"/>
                <w:szCs w:val="1"/>
                <w:color w:val="auto"/>
              </w:rPr>
            </w:pPr>
          </w:p>
        </w:tc>
      </w:tr>
      <w:tr>
        <w:trPr>
          <w:trHeight w:val="170"/>
        </w:trPr>
        <w:tc>
          <w:tcPr>
            <w:tcW w:w="72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Shares issued under the long term stock incentive plan</w:t>
            </w: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5"/>
              </w:rPr>
              <w:t>164</w:t>
            </w:r>
          </w:p>
        </w:tc>
        <w:tc>
          <w:tcPr>
            <w:tcW w:w="320" w:type="dxa"/>
            <w:vAlign w:val="bottom"/>
            <w:shd w:val="clear" w:color="auto" w:fill="CCEEFF"/>
          </w:tcPr>
          <w:p>
            <w:pPr>
              <w:spacing w:after="0"/>
              <w:rPr>
                <w:sz w:val="14"/>
                <w:szCs w:val="14"/>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5"/>
              </w:rPr>
              <w:t>35.16</w:t>
            </w:r>
          </w:p>
        </w:tc>
        <w:tc>
          <w:tcPr>
            <w:tcW w:w="0" w:type="dxa"/>
            <w:vAlign w:val="bottom"/>
          </w:tcPr>
          <w:p>
            <w:pPr>
              <w:spacing w:after="0"/>
              <w:rPr>
                <w:sz w:val="1"/>
                <w:szCs w:val="1"/>
                <w:color w:val="auto"/>
              </w:rPr>
            </w:pPr>
          </w:p>
        </w:tc>
      </w:tr>
      <w:tr>
        <w:trPr>
          <w:trHeight w:val="170"/>
        </w:trPr>
        <w:tc>
          <w:tcPr>
            <w:tcW w:w="7280" w:type="dxa"/>
            <w:vAlign w:val="bottom"/>
            <w:gridSpan w:val="2"/>
          </w:tcPr>
          <w:p>
            <w:pPr>
              <w:ind w:left="120"/>
              <w:spacing w:after="0"/>
              <w:rPr>
                <w:sz w:val="20"/>
                <w:szCs w:val="20"/>
                <w:color w:val="auto"/>
              </w:rPr>
            </w:pPr>
            <w:r>
              <w:rPr>
                <w:rFonts w:ascii="Arial" w:cs="Arial" w:eastAsia="Arial" w:hAnsi="Arial"/>
                <w:sz w:val="14"/>
                <w:szCs w:val="14"/>
                <w:color w:val="auto"/>
              </w:rPr>
              <w:t>Shares issued under the executive stock match grants</w:t>
            </w:r>
          </w:p>
        </w:tc>
        <w:tc>
          <w:tcPr>
            <w:tcW w:w="800" w:type="dxa"/>
            <w:vAlign w:val="bottom"/>
          </w:tcPr>
          <w:p>
            <w:pPr>
              <w:jc w:val="center"/>
              <w:spacing w:after="0"/>
              <w:rPr>
                <w:sz w:val="20"/>
                <w:szCs w:val="20"/>
                <w:color w:val="auto"/>
              </w:rPr>
            </w:pPr>
            <w:r>
              <w:rPr>
                <w:rFonts w:ascii="Arial" w:cs="Arial" w:eastAsia="Arial" w:hAnsi="Arial"/>
                <w:sz w:val="14"/>
                <w:szCs w:val="14"/>
                <w:color w:val="auto"/>
                <w:w w:val="89"/>
              </w:rPr>
              <w:t>94</w:t>
            </w:r>
          </w:p>
        </w:tc>
        <w:tc>
          <w:tcPr>
            <w:tcW w:w="32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color w:val="auto"/>
                <w:w w:val="85"/>
              </w:rPr>
              <w:t>32.94</w:t>
            </w:r>
          </w:p>
        </w:tc>
        <w:tc>
          <w:tcPr>
            <w:tcW w:w="0" w:type="dxa"/>
            <w:vAlign w:val="bottom"/>
          </w:tcPr>
          <w:p>
            <w:pPr>
              <w:spacing w:after="0"/>
              <w:rPr>
                <w:sz w:val="1"/>
                <w:szCs w:val="1"/>
                <w:color w:val="auto"/>
              </w:rPr>
            </w:pPr>
          </w:p>
        </w:tc>
      </w:tr>
      <w:tr>
        <w:trPr>
          <w:trHeight w:val="170"/>
        </w:trPr>
        <w:tc>
          <w:tcPr>
            <w:tcW w:w="72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Forfeitures</w:t>
            </w:r>
          </w:p>
        </w:tc>
        <w:tc>
          <w:tcPr>
            <w:tcW w:w="8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6"/>
              </w:rPr>
              <w:t>(14)</w:t>
            </w:r>
          </w:p>
        </w:tc>
        <w:tc>
          <w:tcPr>
            <w:tcW w:w="32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1"/>
        </w:trPr>
        <w:tc>
          <w:tcPr>
            <w:tcW w:w="7280" w:type="dxa"/>
            <w:vAlign w:val="bottom"/>
            <w:gridSpan w:val="2"/>
          </w:tcPr>
          <w:p>
            <w:pPr>
              <w:spacing w:after="0"/>
              <w:rPr>
                <w:sz w:val="20"/>
                <w:szCs w:val="20"/>
                <w:color w:val="auto"/>
              </w:rPr>
            </w:pPr>
            <w:r>
              <w:rPr>
                <w:rFonts w:ascii="Arial" w:cs="Arial" w:eastAsia="Arial" w:hAnsi="Arial"/>
                <w:sz w:val="14"/>
                <w:szCs w:val="14"/>
                <w:color w:val="auto"/>
              </w:rPr>
              <w:t>Total shares issued under stock grant programs</w:t>
            </w:r>
          </w:p>
        </w:tc>
        <w:tc>
          <w:tcPr>
            <w:tcW w:w="800" w:type="dxa"/>
            <w:vAlign w:val="bottom"/>
          </w:tcPr>
          <w:p>
            <w:pPr>
              <w:jc w:val="center"/>
              <w:spacing w:after="0"/>
              <w:rPr>
                <w:sz w:val="20"/>
                <w:szCs w:val="20"/>
                <w:color w:val="auto"/>
              </w:rPr>
            </w:pPr>
            <w:r>
              <w:rPr>
                <w:rFonts w:ascii="Arial" w:cs="Arial" w:eastAsia="Arial" w:hAnsi="Arial"/>
                <w:sz w:val="14"/>
                <w:szCs w:val="14"/>
                <w:color w:val="auto"/>
                <w:w w:val="85"/>
              </w:rPr>
              <w:t>348</w:t>
            </w:r>
          </w:p>
        </w:tc>
        <w:tc>
          <w:tcPr>
            <w:tcW w:w="3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700" w:type="dxa"/>
            <w:vAlign w:val="bottom"/>
          </w:tcPr>
          <w:p>
            <w:pPr>
              <w:jc w:val="center"/>
              <w:spacing w:after="0"/>
              <w:rPr>
                <w:sz w:val="20"/>
                <w:szCs w:val="20"/>
                <w:color w:val="auto"/>
              </w:rPr>
            </w:pPr>
            <w:r>
              <w:rPr>
                <w:rFonts w:ascii="Arial" w:cs="Arial" w:eastAsia="Arial" w:hAnsi="Arial"/>
                <w:sz w:val="14"/>
                <w:szCs w:val="14"/>
                <w:color w:val="auto"/>
                <w:w w:val="85"/>
              </w:rPr>
              <w:t>29.37</w:t>
            </w:r>
          </w:p>
        </w:tc>
        <w:tc>
          <w:tcPr>
            <w:tcW w:w="0" w:type="dxa"/>
            <w:vAlign w:val="bottom"/>
          </w:tcPr>
          <w:p>
            <w:pPr>
              <w:spacing w:after="0"/>
              <w:rPr>
                <w:sz w:val="1"/>
                <w:szCs w:val="1"/>
                <w:color w:val="auto"/>
              </w:rPr>
            </w:pPr>
          </w:p>
        </w:tc>
      </w:tr>
      <w:tr>
        <w:trPr>
          <w:trHeight w:val="170"/>
        </w:trPr>
        <w:tc>
          <w:tcPr>
            <w:tcW w:w="1420" w:type="dxa"/>
            <w:vAlign w:val="bottom"/>
            <w:shd w:val="clear" w:color="auto" w:fill="CCEEFF"/>
          </w:tcPr>
          <w:p>
            <w:pPr>
              <w:spacing w:after="0"/>
              <w:rPr>
                <w:sz w:val="14"/>
                <w:szCs w:val="14"/>
                <w:color w:val="auto"/>
              </w:rPr>
            </w:pPr>
          </w:p>
        </w:tc>
        <w:tc>
          <w:tcPr>
            <w:tcW w:w="58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7280" w:type="dxa"/>
            <w:vAlign w:val="bottom"/>
            <w:gridSpan w:val="2"/>
          </w:tcPr>
          <w:p>
            <w:pPr>
              <w:spacing w:after="0"/>
              <w:rPr>
                <w:sz w:val="20"/>
                <w:szCs w:val="20"/>
                <w:color w:val="auto"/>
              </w:rPr>
            </w:pPr>
            <w:r>
              <w:rPr>
                <w:rFonts w:ascii="Arial" w:cs="Arial" w:eastAsia="Arial" w:hAnsi="Arial"/>
                <w:sz w:val="14"/>
                <w:szCs w:val="14"/>
                <w:color w:val="auto"/>
              </w:rPr>
              <w:t>Shares issued under the deferred compensation plans</w:t>
            </w:r>
          </w:p>
        </w:tc>
        <w:tc>
          <w:tcPr>
            <w:tcW w:w="800" w:type="dxa"/>
            <w:vAlign w:val="bottom"/>
          </w:tcPr>
          <w:p>
            <w:pPr>
              <w:jc w:val="center"/>
              <w:spacing w:after="0"/>
              <w:rPr>
                <w:sz w:val="20"/>
                <w:szCs w:val="20"/>
                <w:color w:val="auto"/>
              </w:rPr>
            </w:pPr>
            <w:r>
              <w:rPr>
                <w:rFonts w:ascii="Arial" w:cs="Arial" w:eastAsia="Arial" w:hAnsi="Arial"/>
                <w:sz w:val="14"/>
                <w:szCs w:val="14"/>
                <w:color w:val="auto"/>
                <w:w w:val="85"/>
              </w:rPr>
              <w:t>167</w:t>
            </w:r>
          </w:p>
        </w:tc>
        <w:tc>
          <w:tcPr>
            <w:tcW w:w="3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700" w:type="dxa"/>
            <w:vAlign w:val="bottom"/>
          </w:tcPr>
          <w:p>
            <w:pPr>
              <w:jc w:val="center"/>
              <w:spacing w:after="0"/>
              <w:rPr>
                <w:sz w:val="20"/>
                <w:szCs w:val="20"/>
                <w:color w:val="auto"/>
              </w:rPr>
            </w:pPr>
            <w:r>
              <w:rPr>
                <w:rFonts w:ascii="Arial" w:cs="Arial" w:eastAsia="Arial" w:hAnsi="Arial"/>
                <w:sz w:val="14"/>
                <w:szCs w:val="14"/>
                <w:color w:val="auto"/>
                <w:w w:val="85"/>
              </w:rPr>
              <w:t>36.98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66675</wp:posOffset>
            </wp:positionV>
            <wp:extent cx="5779135" cy="2032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2">
                      <a:extLst>
                        <a:ext uri="{28A0092B-C50C-407E-A947-70E740481C1C}"/>
                      </a:extLst>
                    </a:blip>
                    <a:srcRect/>
                    <a:stretch>
                      <a:fillRect/>
                    </a:stretch>
                  </pic:blipFill>
                  <pic:spPr bwMode="auto">
                    <a:xfrm>
                      <a:off x="0" y="0"/>
                      <a:ext cx="5779135" cy="20320"/>
                    </a:xfrm>
                    <a:prstGeom prst="rect">
                      <a:avLst/>
                    </a:prstGeom>
                    <a:noFill/>
                  </pic:spPr>
                </pic:pic>
              </a:graphicData>
            </a:graphic>
          </wp:anchor>
        </w:drawing>
      </w:r>
    </w:p>
    <w:p>
      <w:pPr>
        <w:sectPr>
          <w:pgSz w:w="11900" w:h="16838" w:orient="portrait"/>
          <w:cols w:equalWidth="0" w:num="1">
            <w:col w:w="9100"/>
          </w:cols>
          <w:pgMar w:left="1400" w:top="129" w:right="1399" w:bottom="1440" w:gutter="0" w:footer="0" w:header="0"/>
        </w:sectPr>
      </w:pPr>
    </w:p>
    <w:bookmarkStart w:id="88" w:name="page89"/>
    <w:bookmarkEnd w:id="88"/>
    <w:tbl>
      <w:tblPr>
        <w:tblLayout w:type="fixed"/>
        <w:tblInd w:w="0" w:type="dxa"/>
        <w:tblCellMar>
          <w:top w:w="0" w:type="dxa"/>
          <w:left w:w="0" w:type="dxa"/>
          <w:bottom w:w="0" w:type="dxa"/>
          <w:right w:w="0" w:type="dxa"/>
        </w:tblCellMar>
      </w:tblPr>
      <w:tr>
        <w:trPr>
          <w:trHeight w:val="161"/>
        </w:trPr>
        <w:tc>
          <w:tcPr>
            <w:tcW w:w="5120" w:type="dxa"/>
            <w:vAlign w:val="bottom"/>
            <w:gridSpan w:val="4"/>
          </w:tcPr>
          <w:p>
            <w:pPr>
              <w:spacing w:after="0"/>
              <w:rPr>
                <w:rFonts w:ascii="Arial" w:cs="Arial" w:eastAsia="Arial" w:hAnsi="Arial"/>
                <w:sz w:val="14"/>
                <w:szCs w:val="14"/>
                <w:color w:val="0563C1"/>
              </w:rPr>
            </w:pPr>
            <w:hyperlink w:anchor="page2">
              <w:r>
                <w:rPr>
                  <w:rFonts w:ascii="Arial" w:cs="Arial" w:eastAsia="Arial" w:hAnsi="Arial"/>
                  <w:sz w:val="14"/>
                  <w:szCs w:val="14"/>
                  <w:color w:val="0563C1"/>
                </w:rPr>
                <w:t>Table of Contents</w:t>
              </w:r>
            </w:hyperlink>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9"/>
        </w:trPr>
        <w:tc>
          <w:tcPr>
            <w:tcW w:w="20" w:type="dxa"/>
            <w:vAlign w:val="bottom"/>
            <w:tcBorders>
              <w:top w:val="single" w:sz="8" w:color="0563C1"/>
            </w:tcBorders>
          </w:tcPr>
          <w:p>
            <w:pPr>
              <w:spacing w:after="0"/>
              <w:rPr>
                <w:sz w:val="24"/>
                <w:szCs w:val="24"/>
                <w:color w:val="auto"/>
              </w:rPr>
            </w:pPr>
          </w:p>
        </w:tc>
        <w:tc>
          <w:tcPr>
            <w:tcW w:w="980" w:type="dxa"/>
            <w:vAlign w:val="bottom"/>
            <w:tcBorders>
              <w:top w:val="single" w:sz="8" w:color="0563C1"/>
            </w:tcBorders>
          </w:tcPr>
          <w:p>
            <w:pPr>
              <w:spacing w:after="0"/>
              <w:rPr>
                <w:sz w:val="24"/>
                <w:szCs w:val="24"/>
                <w:color w:val="auto"/>
              </w:rPr>
            </w:pPr>
          </w:p>
        </w:tc>
        <w:tc>
          <w:tcPr>
            <w:tcW w:w="4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4"/>
          </w:tcPr>
          <w:p>
            <w:pPr>
              <w:jc w:val="right"/>
              <w:ind w:right="273"/>
              <w:spacing w:after="0"/>
              <w:rPr>
                <w:sz w:val="20"/>
                <w:szCs w:val="20"/>
                <w:color w:val="auto"/>
              </w:rPr>
            </w:pPr>
            <w:r>
              <w:rPr>
                <w:rFonts w:ascii="Arial" w:cs="Arial" w:eastAsia="Arial" w:hAnsi="Arial"/>
                <w:sz w:val="14"/>
                <w:szCs w:val="14"/>
                <w:b w:val="1"/>
                <w:bCs w:val="1"/>
                <w:color w:val="auto"/>
              </w:rPr>
              <w:t>December 30, 2017</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2"/>
              </w:rPr>
              <w:t>Common</w:t>
            </w:r>
          </w:p>
        </w:tc>
        <w:tc>
          <w:tcPr>
            <w:tcW w:w="140" w:type="dxa"/>
            <w:vAlign w:val="bottom"/>
          </w:tcPr>
          <w:p>
            <w:pPr>
              <w:spacing w:after="0"/>
              <w:rPr>
                <w:sz w:val="12"/>
                <w:szCs w:val="12"/>
                <w:color w:val="auto"/>
              </w:rPr>
            </w:pPr>
          </w:p>
        </w:tc>
        <w:tc>
          <w:tcPr>
            <w:tcW w:w="780" w:type="dxa"/>
            <w:vAlign w:val="bottom"/>
          </w:tcPr>
          <w:p>
            <w:pPr>
              <w:jc w:val="center"/>
              <w:ind w:left="13"/>
              <w:spacing w:after="0" w:line="146"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980" w:type="dxa"/>
            <w:vAlign w:val="bottom"/>
          </w:tcPr>
          <w:p>
            <w:pPr>
              <w:spacing w:after="0"/>
              <w:rPr>
                <w:sz w:val="7"/>
                <w:szCs w:val="7"/>
                <w:color w:val="auto"/>
              </w:rPr>
            </w:pPr>
          </w:p>
        </w:tc>
        <w:tc>
          <w:tcPr>
            <w:tcW w:w="420" w:type="dxa"/>
            <w:vAlign w:val="bottom"/>
          </w:tcPr>
          <w:p>
            <w:pPr>
              <w:spacing w:after="0"/>
              <w:rPr>
                <w:sz w:val="7"/>
                <w:szCs w:val="7"/>
                <w:color w:val="auto"/>
              </w:rPr>
            </w:pPr>
          </w:p>
        </w:tc>
        <w:tc>
          <w:tcPr>
            <w:tcW w:w="37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vMerge w:val="restart"/>
          </w:tcPr>
          <w:p>
            <w:pPr>
              <w:jc w:val="center"/>
              <w:ind w:left="13"/>
              <w:spacing w:after="0"/>
              <w:rPr>
                <w:sz w:val="20"/>
                <w:szCs w:val="20"/>
                <w:color w:val="auto"/>
              </w:rPr>
            </w:pPr>
            <w:r>
              <w:rPr>
                <w:rFonts w:ascii="Arial" w:cs="Arial" w:eastAsia="Arial" w:hAnsi="Arial"/>
                <w:sz w:val="14"/>
                <w:szCs w:val="14"/>
                <w:b w:val="1"/>
                <w:bCs w:val="1"/>
                <w:color w:val="auto"/>
                <w:w w:val="87"/>
              </w:rPr>
              <w:t>Share</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980" w:type="dxa"/>
            <w:vAlign w:val="bottom"/>
          </w:tcPr>
          <w:p>
            <w:pPr>
              <w:spacing w:after="0"/>
              <w:rPr>
                <w:sz w:val="7"/>
                <w:szCs w:val="7"/>
                <w:color w:val="auto"/>
              </w:rPr>
            </w:pPr>
          </w:p>
        </w:tc>
        <w:tc>
          <w:tcPr>
            <w:tcW w:w="420" w:type="dxa"/>
            <w:vAlign w:val="bottom"/>
          </w:tcPr>
          <w:p>
            <w:pPr>
              <w:spacing w:after="0"/>
              <w:rPr>
                <w:sz w:val="7"/>
                <w:szCs w:val="7"/>
                <w:color w:val="auto"/>
              </w:rPr>
            </w:pPr>
          </w:p>
        </w:tc>
        <w:tc>
          <w:tcPr>
            <w:tcW w:w="37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89"/>
              </w:rPr>
              <w:t>Stock</w:t>
            </w:r>
          </w:p>
        </w:tc>
        <w:tc>
          <w:tcPr>
            <w:tcW w:w="1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5120" w:type="dxa"/>
            <w:vAlign w:val="bottom"/>
            <w:gridSpan w:val="4"/>
            <w:vMerge w:val="restart"/>
          </w:tcPr>
          <w:p>
            <w:pPr>
              <w:spacing w:after="0" w:line="153" w:lineRule="exact"/>
              <w:rPr>
                <w:sz w:val="20"/>
                <w:szCs w:val="20"/>
                <w:color w:val="auto"/>
              </w:rPr>
            </w:pPr>
            <w:r>
              <w:rPr>
                <w:rFonts w:ascii="Arial" w:cs="Arial" w:eastAsia="Arial" w:hAnsi="Arial"/>
                <w:sz w:val="14"/>
                <w:szCs w:val="14"/>
                <w:b w:val="1"/>
                <w:bCs w:val="1"/>
                <w:color w:val="auto"/>
              </w:rPr>
              <w:t>Share Issuance Activity</w:t>
            </w:r>
          </w:p>
        </w:tc>
        <w:tc>
          <w:tcPr>
            <w:tcW w:w="9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vMerge w:val="restart"/>
          </w:tcPr>
          <w:p>
            <w:pPr>
              <w:jc w:val="center"/>
              <w:ind w:left="13"/>
              <w:spacing w:after="0" w:line="153" w:lineRule="exact"/>
              <w:rPr>
                <w:sz w:val="20"/>
                <w:szCs w:val="20"/>
                <w:color w:val="auto"/>
              </w:rPr>
            </w:pPr>
            <w:r>
              <w:rPr>
                <w:rFonts w:ascii="Arial" w:cs="Arial" w:eastAsia="Arial" w:hAnsi="Arial"/>
                <w:sz w:val="14"/>
                <w:szCs w:val="14"/>
                <w:b w:val="1"/>
                <w:bCs w:val="1"/>
                <w:color w:val="auto"/>
                <w:w w:val="87"/>
              </w:rPr>
              <w:t>Price</w:t>
            </w:r>
          </w:p>
        </w:tc>
        <w:tc>
          <w:tcPr>
            <w:tcW w:w="0" w:type="dxa"/>
            <w:vAlign w:val="bottom"/>
          </w:tcPr>
          <w:p>
            <w:pPr>
              <w:spacing w:after="0"/>
              <w:rPr>
                <w:sz w:val="1"/>
                <w:szCs w:val="1"/>
                <w:color w:val="auto"/>
              </w:rPr>
            </w:pPr>
          </w:p>
        </w:tc>
      </w:tr>
      <w:tr>
        <w:trPr>
          <w:trHeight w:val="54"/>
        </w:trPr>
        <w:tc>
          <w:tcPr>
            <w:tcW w:w="5120" w:type="dxa"/>
            <w:vAlign w:val="bottom"/>
            <w:gridSpan w:val="4"/>
            <w:vMerge w:val="continue"/>
          </w:tcPr>
          <w:p>
            <w:pPr>
              <w:spacing w:after="0"/>
              <w:rPr>
                <w:sz w:val="4"/>
                <w:szCs w:val="4"/>
                <w:color w:val="auto"/>
              </w:rPr>
            </w:pPr>
          </w:p>
        </w:tc>
        <w:tc>
          <w:tcPr>
            <w:tcW w:w="9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auto"/>
              <w:bottom w:val="single" w:sz="8" w:color="CCEEFF"/>
            </w:tcBorders>
          </w:tcPr>
          <w:p>
            <w:pPr>
              <w:spacing w:after="0" w:line="20" w:lineRule="exact"/>
              <w:rPr>
                <w:sz w:val="1"/>
                <w:szCs w:val="1"/>
                <w:color w:val="auto"/>
              </w:rPr>
            </w:pPr>
          </w:p>
        </w:tc>
        <w:tc>
          <w:tcPr>
            <w:tcW w:w="980" w:type="dxa"/>
            <w:vAlign w:val="bottom"/>
            <w:tcBorders>
              <w:top w:val="single" w:sz="8" w:color="auto"/>
              <w:bottom w:val="single" w:sz="8" w:color="CCEEFF"/>
            </w:tcBorders>
          </w:tcPr>
          <w:p>
            <w:pPr>
              <w:spacing w:after="0" w:line="20" w:lineRule="exact"/>
              <w:rPr>
                <w:sz w:val="1"/>
                <w:szCs w:val="1"/>
                <w:color w:val="auto"/>
              </w:rPr>
            </w:pPr>
          </w:p>
        </w:tc>
        <w:tc>
          <w:tcPr>
            <w:tcW w:w="420" w:type="dxa"/>
            <w:vAlign w:val="bottom"/>
            <w:tcBorders>
              <w:top w:val="single" w:sz="8" w:color="auto"/>
              <w:bottom w:val="single" w:sz="8" w:color="CCEEFF"/>
            </w:tcBorders>
          </w:tcPr>
          <w:p>
            <w:pPr>
              <w:spacing w:after="0" w:line="20" w:lineRule="exact"/>
              <w:rPr>
                <w:sz w:val="1"/>
                <w:szCs w:val="1"/>
                <w:color w:val="auto"/>
              </w:rPr>
            </w:pPr>
          </w:p>
        </w:tc>
        <w:tc>
          <w:tcPr>
            <w:tcW w:w="37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5120" w:type="dxa"/>
            <w:vAlign w:val="bottom"/>
            <w:gridSpan w:val="4"/>
            <w:shd w:val="clear" w:color="auto" w:fill="CCEEFF"/>
          </w:tcPr>
          <w:p>
            <w:pPr>
              <w:spacing w:after="0" w:line="153" w:lineRule="exact"/>
              <w:rPr>
                <w:sz w:val="20"/>
                <w:szCs w:val="20"/>
                <w:color w:val="auto"/>
              </w:rPr>
            </w:pPr>
            <w:r>
              <w:rPr>
                <w:rFonts w:ascii="Arial" w:cs="Arial" w:eastAsia="Arial" w:hAnsi="Arial"/>
                <w:sz w:val="14"/>
                <w:szCs w:val="14"/>
                <w:color w:val="auto"/>
              </w:rPr>
              <w:t>Shares issued under the employee stock purchase plan</w:t>
            </w:r>
          </w:p>
        </w:tc>
        <w:tc>
          <w:tcPr>
            <w:tcW w:w="9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jc w:val="center"/>
              <w:ind w:right="12"/>
              <w:spacing w:after="0" w:line="153" w:lineRule="exact"/>
              <w:rPr>
                <w:sz w:val="20"/>
                <w:szCs w:val="20"/>
                <w:color w:val="auto"/>
              </w:rPr>
            </w:pPr>
            <w:r>
              <w:rPr>
                <w:rFonts w:ascii="Arial" w:cs="Arial" w:eastAsia="Arial" w:hAnsi="Arial"/>
                <w:sz w:val="14"/>
                <w:szCs w:val="14"/>
                <w:color w:val="auto"/>
                <w:w w:val="89"/>
              </w:rPr>
              <w:t>24</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jc w:val="right"/>
              <w:spacing w:after="0" w:line="153"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center"/>
              <w:ind w:left="13"/>
              <w:spacing w:after="0" w:line="153" w:lineRule="exact"/>
              <w:rPr>
                <w:sz w:val="20"/>
                <w:szCs w:val="20"/>
                <w:color w:val="auto"/>
              </w:rPr>
            </w:pPr>
            <w:r>
              <w:rPr>
                <w:rFonts w:ascii="Arial" w:cs="Arial" w:eastAsia="Arial" w:hAnsi="Arial"/>
                <w:sz w:val="14"/>
                <w:szCs w:val="14"/>
                <w:color w:val="auto"/>
                <w:w w:val="85"/>
              </w:rPr>
              <w:t>32.80</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shd w:val="clear" w:color="auto" w:fill="CCEEFF"/>
          </w:tcPr>
          <w:p>
            <w:pPr>
              <w:spacing w:after="0"/>
              <w:rPr>
                <w:sz w:val="14"/>
                <w:szCs w:val="14"/>
                <w:color w:val="auto"/>
              </w:rPr>
            </w:pPr>
          </w:p>
        </w:tc>
        <w:tc>
          <w:tcPr>
            <w:tcW w:w="510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Shares issued under the employee stock gift program</w:t>
            </w:r>
          </w:p>
        </w:tc>
        <w:tc>
          <w:tcPr>
            <w:tcW w:w="9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center"/>
              <w:ind w:left="13"/>
              <w:spacing w:after="0"/>
              <w:rPr>
                <w:sz w:val="20"/>
                <w:szCs w:val="20"/>
                <w:color w:val="auto"/>
              </w:rPr>
            </w:pPr>
            <w:r>
              <w:rPr>
                <w:rFonts w:ascii="Arial" w:cs="Arial" w:eastAsia="Arial" w:hAnsi="Arial"/>
                <w:sz w:val="14"/>
                <w:szCs w:val="14"/>
                <w:color w:val="auto"/>
                <w:w w:val="85"/>
              </w:rPr>
              <w:t>31.92</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100" w:type="dxa"/>
            <w:vAlign w:val="bottom"/>
            <w:gridSpan w:val="3"/>
          </w:tcPr>
          <w:p>
            <w:pPr>
              <w:ind w:left="100"/>
              <w:spacing w:after="0"/>
              <w:rPr>
                <w:sz w:val="20"/>
                <w:szCs w:val="20"/>
                <w:color w:val="auto"/>
              </w:rPr>
            </w:pPr>
            <w:r>
              <w:rPr>
                <w:rFonts w:ascii="Arial" w:cs="Arial" w:eastAsia="Arial" w:hAnsi="Arial"/>
                <w:sz w:val="14"/>
                <w:szCs w:val="14"/>
                <w:color w:val="auto"/>
              </w:rPr>
              <w:t>Shares issued under the director retainer stock program</w:t>
            </w: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center"/>
              <w:ind w:right="12"/>
              <w:spacing w:after="0"/>
              <w:rPr>
                <w:sz w:val="20"/>
                <w:szCs w:val="20"/>
                <w:color w:val="auto"/>
              </w:rPr>
            </w:pPr>
            <w:r>
              <w:rPr>
                <w:rFonts w:ascii="Arial" w:cs="Arial" w:eastAsia="Arial" w:hAnsi="Arial"/>
                <w:sz w:val="14"/>
                <w:szCs w:val="14"/>
                <w:color w:val="auto"/>
                <w:w w:val="89"/>
              </w:rPr>
              <w:t>62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center"/>
              <w:ind w:left="13"/>
              <w:spacing w:after="0"/>
              <w:rPr>
                <w:sz w:val="20"/>
                <w:szCs w:val="20"/>
                <w:color w:val="auto"/>
              </w:rPr>
            </w:pPr>
            <w:r>
              <w:rPr>
                <w:rFonts w:ascii="Arial" w:cs="Arial" w:eastAsia="Arial" w:hAnsi="Arial"/>
                <w:sz w:val="14"/>
                <w:szCs w:val="14"/>
                <w:color w:val="auto"/>
                <w:w w:val="85"/>
              </w:rPr>
              <w:t>19.02</w:t>
            </w:r>
          </w:p>
        </w:tc>
        <w:tc>
          <w:tcPr>
            <w:tcW w:w="0" w:type="dxa"/>
            <w:vAlign w:val="bottom"/>
          </w:tcPr>
          <w:p>
            <w:pPr>
              <w:spacing w:after="0"/>
              <w:rPr>
                <w:sz w:val="1"/>
                <w:szCs w:val="1"/>
                <w:color w:val="auto"/>
              </w:rPr>
            </w:pPr>
          </w:p>
        </w:tc>
      </w:tr>
      <w:tr>
        <w:trPr>
          <w:trHeight w:val="170"/>
        </w:trPr>
        <w:tc>
          <w:tcPr>
            <w:tcW w:w="20" w:type="dxa"/>
            <w:vAlign w:val="bottom"/>
            <w:shd w:val="clear" w:color="auto" w:fill="CCEEFF"/>
          </w:tcPr>
          <w:p>
            <w:pPr>
              <w:spacing w:after="0"/>
              <w:rPr>
                <w:sz w:val="14"/>
                <w:szCs w:val="14"/>
                <w:color w:val="auto"/>
              </w:rPr>
            </w:pPr>
          </w:p>
        </w:tc>
        <w:tc>
          <w:tcPr>
            <w:tcW w:w="510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Shares issued under the long term stock incentive plan</w:t>
            </w:r>
          </w:p>
        </w:tc>
        <w:tc>
          <w:tcPr>
            <w:tcW w:w="9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center"/>
              <w:ind w:right="32"/>
              <w:spacing w:after="0"/>
              <w:rPr>
                <w:sz w:val="20"/>
                <w:szCs w:val="20"/>
                <w:color w:val="auto"/>
              </w:rPr>
            </w:pPr>
            <w:r>
              <w:rPr>
                <w:rFonts w:ascii="Arial" w:cs="Arial" w:eastAsia="Arial" w:hAnsi="Arial"/>
                <w:sz w:val="14"/>
                <w:szCs w:val="14"/>
                <w:color w:val="auto"/>
                <w:w w:val="85"/>
              </w:rPr>
              <w:t>240</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center"/>
              <w:ind w:left="13"/>
              <w:spacing w:after="0"/>
              <w:rPr>
                <w:sz w:val="20"/>
                <w:szCs w:val="20"/>
                <w:color w:val="auto"/>
              </w:rPr>
            </w:pPr>
            <w:r>
              <w:rPr>
                <w:rFonts w:ascii="Arial" w:cs="Arial" w:eastAsia="Arial" w:hAnsi="Arial"/>
                <w:sz w:val="14"/>
                <w:szCs w:val="14"/>
                <w:color w:val="auto"/>
                <w:w w:val="85"/>
              </w:rPr>
              <w:t>31.81</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100" w:type="dxa"/>
            <w:vAlign w:val="bottom"/>
            <w:gridSpan w:val="3"/>
          </w:tcPr>
          <w:p>
            <w:pPr>
              <w:ind w:left="100"/>
              <w:spacing w:after="0"/>
              <w:rPr>
                <w:sz w:val="20"/>
                <w:szCs w:val="20"/>
                <w:color w:val="auto"/>
              </w:rPr>
            </w:pPr>
            <w:r>
              <w:rPr>
                <w:rFonts w:ascii="Arial" w:cs="Arial" w:eastAsia="Arial" w:hAnsi="Arial"/>
                <w:sz w:val="14"/>
                <w:szCs w:val="14"/>
                <w:color w:val="auto"/>
              </w:rPr>
              <w:t>Shares issued under the executive stock match grants</w:t>
            </w: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center"/>
              <w:ind w:right="32"/>
              <w:spacing w:after="0"/>
              <w:rPr>
                <w:sz w:val="20"/>
                <w:szCs w:val="20"/>
                <w:color w:val="auto"/>
              </w:rPr>
            </w:pPr>
            <w:r>
              <w:rPr>
                <w:rFonts w:ascii="Arial" w:cs="Arial" w:eastAsia="Arial" w:hAnsi="Arial"/>
                <w:sz w:val="14"/>
                <w:szCs w:val="14"/>
                <w:color w:val="auto"/>
                <w:w w:val="85"/>
              </w:rPr>
              <w:t>129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center"/>
              <w:ind w:left="13"/>
              <w:spacing w:after="0"/>
              <w:rPr>
                <w:sz w:val="20"/>
                <w:szCs w:val="20"/>
                <w:color w:val="auto"/>
              </w:rPr>
            </w:pPr>
            <w:r>
              <w:rPr>
                <w:rFonts w:ascii="Arial" w:cs="Arial" w:eastAsia="Arial" w:hAnsi="Arial"/>
                <w:sz w:val="14"/>
                <w:szCs w:val="14"/>
                <w:color w:val="auto"/>
                <w:w w:val="85"/>
              </w:rPr>
              <w:t>32.03</w:t>
            </w:r>
          </w:p>
        </w:tc>
        <w:tc>
          <w:tcPr>
            <w:tcW w:w="0" w:type="dxa"/>
            <w:vAlign w:val="bottom"/>
          </w:tcPr>
          <w:p>
            <w:pPr>
              <w:spacing w:after="0"/>
              <w:rPr>
                <w:sz w:val="1"/>
                <w:szCs w:val="1"/>
                <w:color w:val="auto"/>
              </w:rPr>
            </w:pPr>
          </w:p>
        </w:tc>
      </w:tr>
      <w:tr>
        <w:trPr>
          <w:trHeight w:val="170"/>
        </w:trPr>
        <w:tc>
          <w:tcPr>
            <w:tcW w:w="20" w:type="dxa"/>
            <w:vAlign w:val="bottom"/>
            <w:shd w:val="clear" w:color="auto" w:fill="CCEEFF"/>
          </w:tcPr>
          <w:p>
            <w:pPr>
              <w:spacing w:after="0"/>
              <w:rPr>
                <w:sz w:val="14"/>
                <w:szCs w:val="14"/>
                <w:color w:val="auto"/>
              </w:rPr>
            </w:pPr>
          </w:p>
        </w:tc>
        <w:tc>
          <w:tcPr>
            <w:tcW w:w="510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Forfeitures</w:t>
            </w:r>
          </w:p>
        </w:tc>
        <w:tc>
          <w:tcPr>
            <w:tcW w:w="9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center"/>
              <w:ind w:right="32"/>
              <w:spacing w:after="0"/>
              <w:rPr>
                <w:sz w:val="20"/>
                <w:szCs w:val="20"/>
                <w:color w:val="auto"/>
              </w:rPr>
            </w:pPr>
            <w:r>
              <w:rPr>
                <w:rFonts w:ascii="Arial" w:cs="Arial" w:eastAsia="Arial" w:hAnsi="Arial"/>
                <w:sz w:val="14"/>
                <w:szCs w:val="14"/>
                <w:color w:val="auto"/>
                <w:w w:val="93"/>
              </w:rPr>
              <w:t>(5)</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233"/>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1"/>
        </w:trPr>
        <w:tc>
          <w:tcPr>
            <w:tcW w:w="5120" w:type="dxa"/>
            <w:vAlign w:val="bottom"/>
            <w:gridSpan w:val="4"/>
          </w:tcPr>
          <w:p>
            <w:pPr>
              <w:spacing w:after="0"/>
              <w:rPr>
                <w:sz w:val="20"/>
                <w:szCs w:val="20"/>
                <w:color w:val="auto"/>
              </w:rPr>
            </w:pPr>
            <w:r>
              <w:rPr>
                <w:rFonts w:ascii="Arial" w:cs="Arial" w:eastAsia="Arial" w:hAnsi="Arial"/>
                <w:sz w:val="14"/>
                <w:szCs w:val="14"/>
                <w:color w:val="auto"/>
              </w:rPr>
              <w:t>Total shares issued under stock grant programs</w:t>
            </w:r>
          </w:p>
        </w:tc>
        <w:tc>
          <w:tcPr>
            <w:tcW w:w="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center"/>
              <w:ind w:right="32"/>
              <w:spacing w:after="0"/>
              <w:rPr>
                <w:sz w:val="20"/>
                <w:szCs w:val="20"/>
                <w:color w:val="auto"/>
              </w:rPr>
            </w:pPr>
            <w:r>
              <w:rPr>
                <w:rFonts w:ascii="Arial" w:cs="Arial" w:eastAsia="Arial" w:hAnsi="Arial"/>
                <w:sz w:val="14"/>
                <w:szCs w:val="14"/>
                <w:color w:val="auto"/>
                <w:w w:val="85"/>
              </w:rPr>
              <w:t>429</w:t>
            </w:r>
          </w:p>
        </w:tc>
        <w:tc>
          <w:tcPr>
            <w:tcW w:w="10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center"/>
              <w:ind w:left="13"/>
              <w:spacing w:after="0"/>
              <w:rPr>
                <w:sz w:val="20"/>
                <w:szCs w:val="20"/>
                <w:color w:val="auto"/>
              </w:rPr>
            </w:pPr>
            <w:r>
              <w:rPr>
                <w:rFonts w:ascii="Arial" w:cs="Arial" w:eastAsia="Arial" w:hAnsi="Arial"/>
                <w:sz w:val="14"/>
                <w:szCs w:val="14"/>
                <w:color w:val="auto"/>
                <w:w w:val="85"/>
              </w:rPr>
              <w:t>30.06</w:t>
            </w:r>
          </w:p>
        </w:tc>
        <w:tc>
          <w:tcPr>
            <w:tcW w:w="0" w:type="dxa"/>
            <w:vAlign w:val="bottom"/>
          </w:tcPr>
          <w:p>
            <w:pPr>
              <w:spacing w:after="0"/>
              <w:rPr>
                <w:sz w:val="1"/>
                <w:szCs w:val="1"/>
                <w:color w:val="auto"/>
              </w:rPr>
            </w:pPr>
          </w:p>
        </w:tc>
      </w:tr>
      <w:tr>
        <w:trPr>
          <w:trHeight w:val="170"/>
        </w:trPr>
        <w:tc>
          <w:tcPr>
            <w:tcW w:w="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37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5120" w:type="dxa"/>
            <w:vAlign w:val="bottom"/>
            <w:gridSpan w:val="4"/>
          </w:tcPr>
          <w:p>
            <w:pPr>
              <w:spacing w:after="0"/>
              <w:rPr>
                <w:sz w:val="20"/>
                <w:szCs w:val="20"/>
                <w:color w:val="auto"/>
              </w:rPr>
            </w:pPr>
            <w:r>
              <w:rPr>
                <w:rFonts w:ascii="Arial" w:cs="Arial" w:eastAsia="Arial" w:hAnsi="Arial"/>
                <w:sz w:val="14"/>
                <w:szCs w:val="14"/>
                <w:color w:val="auto"/>
              </w:rPr>
              <w:t>Shares issued under the deferred compensation plans</w:t>
            </w: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center"/>
              <w:ind w:right="32"/>
              <w:spacing w:after="0"/>
              <w:rPr>
                <w:sz w:val="20"/>
                <w:szCs w:val="20"/>
                <w:color w:val="auto"/>
              </w:rPr>
            </w:pPr>
            <w:r>
              <w:rPr>
                <w:rFonts w:ascii="Arial" w:cs="Arial" w:eastAsia="Arial" w:hAnsi="Arial"/>
                <w:sz w:val="14"/>
                <w:szCs w:val="14"/>
                <w:color w:val="auto"/>
                <w:w w:val="85"/>
              </w:rPr>
              <w:t>159</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center"/>
              <w:ind w:left="13"/>
              <w:spacing w:after="0"/>
              <w:rPr>
                <w:sz w:val="20"/>
                <w:szCs w:val="20"/>
                <w:color w:val="auto"/>
              </w:rPr>
            </w:pPr>
            <w:r>
              <w:rPr>
                <w:rFonts w:ascii="Arial" w:cs="Arial" w:eastAsia="Arial" w:hAnsi="Arial"/>
                <w:sz w:val="14"/>
                <w:szCs w:val="14"/>
                <w:color w:val="auto"/>
                <w:w w:val="85"/>
              </w:rPr>
              <w:t>32.16</w:t>
            </w:r>
          </w:p>
        </w:tc>
        <w:tc>
          <w:tcPr>
            <w:tcW w:w="0" w:type="dxa"/>
            <w:vAlign w:val="bottom"/>
          </w:tcPr>
          <w:p>
            <w:pPr>
              <w:spacing w:after="0"/>
              <w:rPr>
                <w:sz w:val="1"/>
                <w:szCs w:val="1"/>
                <w:color w:val="auto"/>
              </w:rPr>
            </w:pPr>
          </w:p>
        </w:tc>
      </w:tr>
      <w:tr>
        <w:trPr>
          <w:trHeight w:val="499"/>
        </w:trPr>
        <w:tc>
          <w:tcPr>
            <w:tcW w:w="20" w:type="dxa"/>
            <w:vAlign w:val="bottom"/>
          </w:tcPr>
          <w:p>
            <w:pPr>
              <w:spacing w:after="0"/>
              <w:rPr>
                <w:sz w:val="24"/>
                <w:szCs w:val="24"/>
                <w:color w:val="auto"/>
              </w:rPr>
            </w:pPr>
          </w:p>
        </w:tc>
        <w:tc>
          <w:tcPr>
            <w:tcW w:w="6020" w:type="dxa"/>
            <w:vAlign w:val="bottom"/>
            <w:gridSpan w:val="4"/>
          </w:tcPr>
          <w:p>
            <w:pPr>
              <w:ind w:left="500"/>
              <w:spacing w:after="0"/>
              <w:rPr>
                <w:sz w:val="20"/>
                <w:szCs w:val="20"/>
                <w:color w:val="auto"/>
              </w:rPr>
            </w:pPr>
            <w:r>
              <w:rPr>
                <w:rFonts w:ascii="Arial" w:cs="Arial" w:eastAsia="Arial" w:hAnsi="Arial"/>
                <w:sz w:val="14"/>
                <w:szCs w:val="14"/>
                <w:color w:val="auto"/>
                <w:w w:val="97"/>
              </w:rPr>
              <w:t>A summary of the nonvested restricted stock awards granted under the LTSIP is as follows:</w:t>
            </w: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2"/>
            <w:vMerge w:val="restart"/>
          </w:tcPr>
          <w:p>
            <w:pPr>
              <w:jc w:val="center"/>
              <w:ind w:right="80"/>
              <w:spacing w:after="0"/>
              <w:rPr>
                <w:sz w:val="20"/>
                <w:szCs w:val="20"/>
                <w:color w:val="auto"/>
              </w:rPr>
            </w:pPr>
            <w:r>
              <w:rPr>
                <w:rFonts w:ascii="Arial" w:cs="Arial" w:eastAsia="Arial" w:hAnsi="Arial"/>
                <w:sz w:val="11"/>
                <w:szCs w:val="11"/>
                <w:b w:val="1"/>
                <w:bCs w:val="1"/>
                <w:color w:val="auto"/>
                <w:w w:val="93"/>
              </w:rPr>
              <w:t>Unrecognized</w:t>
            </w:r>
          </w:p>
        </w:tc>
        <w:tc>
          <w:tcPr>
            <w:tcW w:w="14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1"/>
                <w:szCs w:val="11"/>
                <w:b w:val="1"/>
                <w:bCs w:val="1"/>
                <w:color w:val="auto"/>
                <w:w w:val="93"/>
              </w:rPr>
              <w:t>Weighted-</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7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vMerge w:val="restart"/>
          </w:tcPr>
          <w:p>
            <w:pPr>
              <w:jc w:val="center"/>
              <w:ind w:right="172"/>
              <w:spacing w:after="0"/>
              <w:rPr>
                <w:sz w:val="20"/>
                <w:szCs w:val="20"/>
                <w:color w:val="auto"/>
              </w:rPr>
            </w:pPr>
            <w:r>
              <w:rPr>
                <w:rFonts w:ascii="Arial" w:cs="Arial" w:eastAsia="Arial" w:hAnsi="Arial"/>
                <w:sz w:val="11"/>
                <w:szCs w:val="11"/>
                <w:b w:val="1"/>
                <w:bCs w:val="1"/>
                <w:color w:val="auto"/>
                <w:w w:val="93"/>
              </w:rPr>
              <w:t>Weighted-</w:t>
            </w:r>
          </w:p>
        </w:tc>
        <w:tc>
          <w:tcPr>
            <w:tcW w:w="10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jc w:val="center"/>
              <w:spacing w:after="0" w:line="117" w:lineRule="exact"/>
              <w:rPr>
                <w:sz w:val="20"/>
                <w:szCs w:val="20"/>
                <w:color w:val="auto"/>
              </w:rPr>
            </w:pPr>
            <w:r>
              <w:rPr>
                <w:rFonts w:ascii="Arial" w:cs="Arial" w:eastAsia="Arial" w:hAnsi="Arial"/>
                <w:sz w:val="11"/>
                <w:szCs w:val="11"/>
                <w:b w:val="1"/>
                <w:bCs w:val="1"/>
                <w:color w:val="auto"/>
                <w:w w:val="92"/>
              </w:rPr>
              <w:t>Average</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700" w:type="dxa"/>
            <w:vAlign w:val="bottom"/>
          </w:tcPr>
          <w:p>
            <w:pPr>
              <w:spacing w:after="0"/>
              <w:rPr>
                <w:sz w:val="10"/>
                <w:szCs w:val="10"/>
                <w:color w:val="auto"/>
              </w:rPr>
            </w:pPr>
          </w:p>
        </w:tc>
        <w:tc>
          <w:tcPr>
            <w:tcW w:w="920" w:type="dxa"/>
            <w:vAlign w:val="bottom"/>
            <w:vMerge w:val="restart"/>
          </w:tcPr>
          <w:p>
            <w:pPr>
              <w:jc w:val="right"/>
              <w:ind w:right="191"/>
              <w:spacing w:after="0"/>
              <w:rPr>
                <w:sz w:val="20"/>
                <w:szCs w:val="20"/>
                <w:color w:val="auto"/>
              </w:rPr>
            </w:pPr>
            <w:r>
              <w:rPr>
                <w:rFonts w:ascii="Arial" w:cs="Arial" w:eastAsia="Arial" w:hAnsi="Arial"/>
                <w:sz w:val="11"/>
                <w:szCs w:val="11"/>
                <w:b w:val="1"/>
                <w:bCs w:val="1"/>
                <w:color w:val="auto"/>
              </w:rPr>
              <w:t>Restricted</w:t>
            </w:r>
          </w:p>
        </w:tc>
        <w:tc>
          <w:tcPr>
            <w:tcW w:w="180" w:type="dxa"/>
            <w:vAlign w:val="bottom"/>
          </w:tcPr>
          <w:p>
            <w:pPr>
              <w:spacing w:after="0"/>
              <w:rPr>
                <w:sz w:val="10"/>
                <w:szCs w:val="10"/>
                <w:color w:val="auto"/>
              </w:rPr>
            </w:pPr>
          </w:p>
        </w:tc>
        <w:tc>
          <w:tcPr>
            <w:tcW w:w="10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tcPr>
          <w:p>
            <w:pPr>
              <w:jc w:val="center"/>
              <w:ind w:right="80"/>
              <w:spacing w:after="0" w:line="117" w:lineRule="exact"/>
              <w:rPr>
                <w:sz w:val="20"/>
                <w:szCs w:val="20"/>
                <w:color w:val="auto"/>
              </w:rPr>
            </w:pPr>
            <w:r>
              <w:rPr>
                <w:rFonts w:ascii="Arial" w:cs="Arial" w:eastAsia="Arial" w:hAnsi="Arial"/>
                <w:sz w:val="11"/>
                <w:szCs w:val="11"/>
                <w:b w:val="1"/>
                <w:bCs w:val="1"/>
                <w:color w:val="auto"/>
                <w:w w:val="88"/>
              </w:rPr>
              <w:t>Compensation</w:t>
            </w:r>
          </w:p>
        </w:tc>
        <w:tc>
          <w:tcPr>
            <w:tcW w:w="140" w:type="dxa"/>
            <w:vAlign w:val="bottom"/>
          </w:tcPr>
          <w:p>
            <w:pPr>
              <w:spacing w:after="0"/>
              <w:rPr>
                <w:sz w:val="10"/>
                <w:szCs w:val="10"/>
                <w:color w:val="auto"/>
              </w:rPr>
            </w:pPr>
          </w:p>
        </w:tc>
        <w:tc>
          <w:tcPr>
            <w:tcW w:w="780" w:type="dxa"/>
            <w:vAlign w:val="bottom"/>
          </w:tcPr>
          <w:p>
            <w:pPr>
              <w:jc w:val="center"/>
              <w:spacing w:after="0" w:line="117" w:lineRule="exact"/>
              <w:rPr>
                <w:sz w:val="20"/>
                <w:szCs w:val="20"/>
                <w:color w:val="auto"/>
              </w:rPr>
            </w:pPr>
            <w:r>
              <w:rPr>
                <w:rFonts w:ascii="Arial" w:cs="Arial" w:eastAsia="Arial" w:hAnsi="Arial"/>
                <w:sz w:val="11"/>
                <w:szCs w:val="11"/>
                <w:b w:val="1"/>
                <w:bCs w:val="1"/>
                <w:color w:val="auto"/>
                <w:w w:val="92"/>
              </w:rPr>
              <w:t>Period to</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700" w:type="dxa"/>
            <w:vAlign w:val="bottom"/>
          </w:tcPr>
          <w:p>
            <w:pPr>
              <w:spacing w:after="0"/>
              <w:rPr>
                <w:sz w:val="10"/>
                <w:szCs w:val="10"/>
                <w:color w:val="auto"/>
              </w:rPr>
            </w:pPr>
          </w:p>
        </w:tc>
        <w:tc>
          <w:tcPr>
            <w:tcW w:w="92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tcPr>
          <w:p>
            <w:pPr>
              <w:jc w:val="center"/>
              <w:ind w:right="172"/>
              <w:spacing w:after="0" w:line="117" w:lineRule="exact"/>
              <w:rPr>
                <w:sz w:val="20"/>
                <w:szCs w:val="20"/>
                <w:color w:val="auto"/>
              </w:rPr>
            </w:pPr>
            <w:r>
              <w:rPr>
                <w:rFonts w:ascii="Arial" w:cs="Arial" w:eastAsia="Arial" w:hAnsi="Arial"/>
                <w:sz w:val="11"/>
                <w:szCs w:val="11"/>
                <w:b w:val="1"/>
                <w:bCs w:val="1"/>
                <w:color w:val="auto"/>
                <w:w w:val="92"/>
              </w:rPr>
              <w:t>Average Grant</w:t>
            </w:r>
          </w:p>
        </w:tc>
        <w:tc>
          <w:tcPr>
            <w:tcW w:w="100" w:type="dxa"/>
            <w:vAlign w:val="bottom"/>
          </w:tcPr>
          <w:p>
            <w:pPr>
              <w:spacing w:after="0"/>
              <w:rPr>
                <w:sz w:val="10"/>
                <w:szCs w:val="10"/>
                <w:color w:val="auto"/>
              </w:rPr>
            </w:pPr>
          </w:p>
        </w:tc>
        <w:tc>
          <w:tcPr>
            <w:tcW w:w="800" w:type="dxa"/>
            <w:vAlign w:val="bottom"/>
            <w:gridSpan w:val="2"/>
          </w:tcPr>
          <w:p>
            <w:pPr>
              <w:jc w:val="center"/>
              <w:ind w:right="80"/>
              <w:spacing w:after="0" w:line="117" w:lineRule="exact"/>
              <w:rPr>
                <w:sz w:val="20"/>
                <w:szCs w:val="20"/>
                <w:color w:val="auto"/>
              </w:rPr>
            </w:pPr>
            <w:r>
              <w:rPr>
                <w:rFonts w:ascii="Arial" w:cs="Arial" w:eastAsia="Arial" w:hAnsi="Arial"/>
                <w:sz w:val="11"/>
                <w:szCs w:val="11"/>
                <w:b w:val="1"/>
                <w:bCs w:val="1"/>
                <w:color w:val="auto"/>
                <w:w w:val="88"/>
              </w:rPr>
              <w:t>Expense</w:t>
            </w:r>
          </w:p>
        </w:tc>
        <w:tc>
          <w:tcPr>
            <w:tcW w:w="140" w:type="dxa"/>
            <w:vAlign w:val="bottom"/>
          </w:tcPr>
          <w:p>
            <w:pPr>
              <w:spacing w:after="0"/>
              <w:rPr>
                <w:sz w:val="10"/>
                <w:szCs w:val="10"/>
                <w:color w:val="auto"/>
              </w:rPr>
            </w:pPr>
          </w:p>
        </w:tc>
        <w:tc>
          <w:tcPr>
            <w:tcW w:w="780" w:type="dxa"/>
            <w:vAlign w:val="bottom"/>
          </w:tcPr>
          <w:p>
            <w:pPr>
              <w:jc w:val="center"/>
              <w:spacing w:after="0" w:line="117" w:lineRule="exact"/>
              <w:rPr>
                <w:sz w:val="20"/>
                <w:szCs w:val="20"/>
                <w:color w:val="auto"/>
              </w:rPr>
            </w:pPr>
            <w:r>
              <w:rPr>
                <w:rFonts w:ascii="Arial" w:cs="Arial" w:eastAsia="Arial" w:hAnsi="Arial"/>
                <w:sz w:val="11"/>
                <w:szCs w:val="11"/>
                <w:b w:val="1"/>
                <w:bCs w:val="1"/>
                <w:color w:val="auto"/>
                <w:w w:val="87"/>
              </w:rPr>
              <w:t>Recognize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370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ind w:right="251"/>
              <w:spacing w:after="0"/>
              <w:rPr>
                <w:sz w:val="20"/>
                <w:szCs w:val="20"/>
                <w:color w:val="auto"/>
              </w:rPr>
            </w:pPr>
            <w:r>
              <w:rPr>
                <w:rFonts w:ascii="Arial" w:cs="Arial" w:eastAsia="Arial" w:hAnsi="Arial"/>
                <w:sz w:val="11"/>
                <w:szCs w:val="11"/>
                <w:b w:val="1"/>
                <w:bCs w:val="1"/>
                <w:color w:val="auto"/>
              </w:rPr>
              <w:t>Awards</w:t>
            </w:r>
          </w:p>
        </w:tc>
        <w:tc>
          <w:tcPr>
            <w:tcW w:w="18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jc w:val="center"/>
              <w:ind w:right="172"/>
              <w:spacing w:after="0"/>
              <w:rPr>
                <w:sz w:val="20"/>
                <w:szCs w:val="20"/>
                <w:color w:val="auto"/>
              </w:rPr>
            </w:pPr>
            <w:r>
              <w:rPr>
                <w:rFonts w:ascii="Arial" w:cs="Arial" w:eastAsia="Arial" w:hAnsi="Arial"/>
                <w:sz w:val="11"/>
                <w:szCs w:val="11"/>
                <w:b w:val="1"/>
                <w:bCs w:val="1"/>
                <w:color w:val="auto"/>
                <w:w w:val="93"/>
              </w:rPr>
              <w:t>Date Fair Value</w:t>
            </w: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1"/>
                <w:szCs w:val="11"/>
                <w:b w:val="1"/>
                <w:bCs w:val="1"/>
                <w:color w:val="auto"/>
                <w:w w:val="97"/>
              </w:rPr>
              <w:t>(in millions)</w:t>
            </w:r>
          </w:p>
        </w:tc>
        <w:tc>
          <w:tcPr>
            <w:tcW w:w="1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ind w:right="113"/>
              <w:spacing w:after="0"/>
              <w:rPr>
                <w:sz w:val="20"/>
                <w:szCs w:val="20"/>
                <w:color w:val="auto"/>
              </w:rPr>
            </w:pPr>
            <w:r>
              <w:rPr>
                <w:rFonts w:ascii="Arial" w:cs="Arial" w:eastAsia="Arial" w:hAnsi="Arial"/>
                <w:sz w:val="11"/>
                <w:szCs w:val="11"/>
                <w:b w:val="1"/>
                <w:bCs w:val="1"/>
                <w:color w:val="auto"/>
              </w:rPr>
              <w:t>Expense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10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Nonvested at December 26, 2015</w:t>
            </w:r>
          </w:p>
        </w:tc>
        <w:tc>
          <w:tcPr>
            <w:tcW w:w="92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623,748</w:t>
            </w: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rPr>
              <w:t>13.66</w:t>
            </w: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5.2</w:t>
            </w: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113"/>
              <w:spacing w:after="0"/>
              <w:rPr>
                <w:sz w:val="20"/>
                <w:szCs w:val="20"/>
                <w:color w:val="auto"/>
              </w:rPr>
            </w:pPr>
            <w:r>
              <w:rPr>
                <w:rFonts w:ascii="Arial" w:cs="Arial" w:eastAsia="Arial" w:hAnsi="Arial"/>
                <w:sz w:val="14"/>
                <w:szCs w:val="14"/>
                <w:color w:val="auto"/>
                <w:w w:val="88"/>
              </w:rPr>
              <w:t>2.53 years</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100" w:type="dxa"/>
            <w:vAlign w:val="bottom"/>
            <w:gridSpan w:val="3"/>
          </w:tcPr>
          <w:p>
            <w:pPr>
              <w:spacing w:after="0"/>
              <w:rPr>
                <w:sz w:val="20"/>
                <w:szCs w:val="20"/>
                <w:color w:val="auto"/>
              </w:rPr>
            </w:pPr>
            <w:r>
              <w:rPr>
                <w:rFonts w:ascii="Arial" w:cs="Arial" w:eastAsia="Arial" w:hAnsi="Arial"/>
                <w:sz w:val="14"/>
                <w:szCs w:val="14"/>
                <w:color w:val="auto"/>
              </w:rPr>
              <w:t>Granted</w:t>
            </w:r>
          </w:p>
        </w:tc>
        <w:tc>
          <w:tcPr>
            <w:tcW w:w="920" w:type="dxa"/>
            <w:vAlign w:val="bottom"/>
          </w:tcPr>
          <w:p>
            <w:pPr>
              <w:jc w:val="right"/>
              <w:ind w:right="51"/>
              <w:spacing w:after="0"/>
              <w:rPr>
                <w:sz w:val="20"/>
                <w:szCs w:val="20"/>
                <w:color w:val="auto"/>
              </w:rPr>
            </w:pPr>
            <w:r>
              <w:rPr>
                <w:rFonts w:ascii="Arial" w:cs="Arial" w:eastAsia="Arial" w:hAnsi="Arial"/>
                <w:sz w:val="14"/>
                <w:szCs w:val="14"/>
                <w:color w:val="auto"/>
              </w:rPr>
              <w:t>350,892</w:t>
            </w:r>
          </w:p>
        </w:tc>
        <w:tc>
          <w:tcPr>
            <w:tcW w:w="180" w:type="dxa"/>
            <w:vAlign w:val="bottom"/>
          </w:tcPr>
          <w:p>
            <w:pPr>
              <w:spacing w:after="0"/>
              <w:rPr>
                <w:sz w:val="14"/>
                <w:szCs w:val="14"/>
                <w:color w:val="auto"/>
              </w:rPr>
            </w:pPr>
          </w:p>
        </w:tc>
        <w:tc>
          <w:tcPr>
            <w:tcW w:w="1060" w:type="dxa"/>
            <w:vAlign w:val="bottom"/>
          </w:tcPr>
          <w:p>
            <w:pPr>
              <w:jc w:val="right"/>
              <w:ind w:right="112"/>
              <w:spacing w:after="0"/>
              <w:rPr>
                <w:sz w:val="20"/>
                <w:szCs w:val="20"/>
                <w:color w:val="auto"/>
              </w:rPr>
            </w:pPr>
            <w:r>
              <w:rPr>
                <w:rFonts w:ascii="Arial" w:cs="Arial" w:eastAsia="Arial" w:hAnsi="Arial"/>
                <w:sz w:val="14"/>
                <w:szCs w:val="14"/>
                <w:color w:val="auto"/>
              </w:rPr>
              <w:t>23.96</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10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Vested</w:t>
            </w: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(180,465)</w:t>
            </w: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rPr>
              <w:t>15.66</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100" w:type="dxa"/>
            <w:vAlign w:val="bottom"/>
            <w:tcBorders>
              <w:bottom w:val="single" w:sz="8" w:color="CCEEFF"/>
            </w:tcBorders>
            <w:gridSpan w:val="3"/>
          </w:tcPr>
          <w:p>
            <w:pPr>
              <w:spacing w:after="0"/>
              <w:rPr>
                <w:sz w:val="20"/>
                <w:szCs w:val="20"/>
                <w:color w:val="auto"/>
              </w:rPr>
            </w:pPr>
            <w:r>
              <w:rPr>
                <w:rFonts w:ascii="Arial" w:cs="Arial" w:eastAsia="Arial" w:hAnsi="Arial"/>
                <w:sz w:val="14"/>
                <w:szCs w:val="14"/>
                <w:color w:val="auto"/>
              </w:rPr>
              <w:t>Forfeited</w:t>
            </w:r>
          </w:p>
        </w:tc>
        <w:tc>
          <w:tcPr>
            <w:tcW w:w="92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(2,643)</w:t>
            </w:r>
          </w:p>
        </w:tc>
        <w:tc>
          <w:tcPr>
            <w:tcW w:w="1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21.45</w:t>
            </w: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10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Nonvested at December 31, 2016</w:t>
            </w:r>
          </w:p>
        </w:tc>
        <w:tc>
          <w:tcPr>
            <w:tcW w:w="92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791,532</w:t>
            </w: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rPr>
              <w:t>19.32</w:t>
            </w: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4.8</w:t>
            </w: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113"/>
              <w:spacing w:after="0"/>
              <w:rPr>
                <w:sz w:val="20"/>
                <w:szCs w:val="20"/>
                <w:color w:val="auto"/>
              </w:rPr>
            </w:pPr>
            <w:r>
              <w:rPr>
                <w:rFonts w:ascii="Arial" w:cs="Arial" w:eastAsia="Arial" w:hAnsi="Arial"/>
                <w:sz w:val="14"/>
                <w:szCs w:val="14"/>
                <w:color w:val="auto"/>
                <w:w w:val="88"/>
              </w:rPr>
              <w:t>1.51 years</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100" w:type="dxa"/>
            <w:vAlign w:val="bottom"/>
            <w:gridSpan w:val="3"/>
          </w:tcPr>
          <w:p>
            <w:pPr>
              <w:spacing w:after="0"/>
              <w:rPr>
                <w:sz w:val="20"/>
                <w:szCs w:val="20"/>
                <w:color w:val="auto"/>
              </w:rPr>
            </w:pPr>
            <w:r>
              <w:rPr>
                <w:rFonts w:ascii="Arial" w:cs="Arial" w:eastAsia="Arial" w:hAnsi="Arial"/>
                <w:sz w:val="14"/>
                <w:szCs w:val="14"/>
                <w:color w:val="auto"/>
              </w:rPr>
              <w:t>Granted</w:t>
            </w:r>
          </w:p>
        </w:tc>
        <w:tc>
          <w:tcPr>
            <w:tcW w:w="920" w:type="dxa"/>
            <w:vAlign w:val="bottom"/>
          </w:tcPr>
          <w:p>
            <w:pPr>
              <w:jc w:val="right"/>
              <w:ind w:right="51"/>
              <w:spacing w:after="0"/>
              <w:rPr>
                <w:sz w:val="20"/>
                <w:szCs w:val="20"/>
                <w:color w:val="auto"/>
              </w:rPr>
            </w:pPr>
            <w:r>
              <w:rPr>
                <w:rFonts w:ascii="Arial" w:cs="Arial" w:eastAsia="Arial" w:hAnsi="Arial"/>
                <w:sz w:val="14"/>
                <w:szCs w:val="14"/>
                <w:color w:val="auto"/>
              </w:rPr>
              <w:t>388,248</w:t>
            </w:r>
          </w:p>
        </w:tc>
        <w:tc>
          <w:tcPr>
            <w:tcW w:w="180" w:type="dxa"/>
            <w:vAlign w:val="bottom"/>
          </w:tcPr>
          <w:p>
            <w:pPr>
              <w:spacing w:after="0"/>
              <w:rPr>
                <w:sz w:val="14"/>
                <w:szCs w:val="14"/>
                <w:color w:val="auto"/>
              </w:rPr>
            </w:pPr>
          </w:p>
        </w:tc>
        <w:tc>
          <w:tcPr>
            <w:tcW w:w="1060" w:type="dxa"/>
            <w:vAlign w:val="bottom"/>
          </w:tcPr>
          <w:p>
            <w:pPr>
              <w:jc w:val="right"/>
              <w:ind w:right="112"/>
              <w:spacing w:after="0"/>
              <w:rPr>
                <w:sz w:val="20"/>
                <w:szCs w:val="20"/>
                <w:color w:val="auto"/>
              </w:rPr>
            </w:pPr>
            <w:r>
              <w:rPr>
                <w:rFonts w:ascii="Arial" w:cs="Arial" w:eastAsia="Arial" w:hAnsi="Arial"/>
                <w:sz w:val="14"/>
                <w:szCs w:val="14"/>
                <w:color w:val="auto"/>
              </w:rPr>
              <w:t>32.03</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10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Vested</w:t>
            </w: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(141,111)</w:t>
            </w: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rPr>
              <w:t>12.71</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100" w:type="dxa"/>
            <w:vAlign w:val="bottom"/>
            <w:tcBorders>
              <w:bottom w:val="single" w:sz="8" w:color="CCEEFF"/>
            </w:tcBorders>
            <w:gridSpan w:val="3"/>
          </w:tcPr>
          <w:p>
            <w:pPr>
              <w:spacing w:after="0"/>
              <w:rPr>
                <w:sz w:val="20"/>
                <w:szCs w:val="20"/>
                <w:color w:val="auto"/>
              </w:rPr>
            </w:pPr>
            <w:r>
              <w:rPr>
                <w:rFonts w:ascii="Arial" w:cs="Arial" w:eastAsia="Arial" w:hAnsi="Arial"/>
                <w:sz w:val="14"/>
                <w:szCs w:val="14"/>
                <w:color w:val="auto"/>
              </w:rPr>
              <w:t>Forfeited</w:t>
            </w:r>
          </w:p>
        </w:tc>
        <w:tc>
          <w:tcPr>
            <w:tcW w:w="92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(5,043)</w:t>
            </w:r>
          </w:p>
        </w:tc>
        <w:tc>
          <w:tcPr>
            <w:tcW w:w="1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30.14</w:t>
            </w: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10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Nonvested at December 30, 2017</w:t>
            </w:r>
          </w:p>
        </w:tc>
        <w:tc>
          <w:tcPr>
            <w:tcW w:w="92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1,033,626</w:t>
            </w: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rPr>
              <w:t>24.24</w:t>
            </w: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7.1</w:t>
            </w: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113"/>
              <w:spacing w:after="0"/>
              <w:rPr>
                <w:sz w:val="20"/>
                <w:szCs w:val="20"/>
                <w:color w:val="auto"/>
              </w:rPr>
            </w:pPr>
            <w:r>
              <w:rPr>
                <w:rFonts w:ascii="Arial" w:cs="Arial" w:eastAsia="Arial" w:hAnsi="Arial"/>
                <w:sz w:val="14"/>
                <w:szCs w:val="14"/>
                <w:color w:val="auto"/>
                <w:w w:val="88"/>
              </w:rPr>
              <w:t>1.31 years</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100" w:type="dxa"/>
            <w:vAlign w:val="bottom"/>
            <w:gridSpan w:val="3"/>
          </w:tcPr>
          <w:p>
            <w:pPr>
              <w:spacing w:after="0"/>
              <w:rPr>
                <w:sz w:val="20"/>
                <w:szCs w:val="20"/>
                <w:color w:val="auto"/>
              </w:rPr>
            </w:pPr>
            <w:r>
              <w:rPr>
                <w:rFonts w:ascii="Arial" w:cs="Arial" w:eastAsia="Arial" w:hAnsi="Arial"/>
                <w:sz w:val="14"/>
                <w:szCs w:val="14"/>
                <w:color w:val="auto"/>
              </w:rPr>
              <w:t>Granted</w:t>
            </w:r>
          </w:p>
        </w:tc>
        <w:tc>
          <w:tcPr>
            <w:tcW w:w="920" w:type="dxa"/>
            <w:vAlign w:val="bottom"/>
          </w:tcPr>
          <w:p>
            <w:pPr>
              <w:jc w:val="right"/>
              <w:ind w:right="51"/>
              <w:spacing w:after="0"/>
              <w:rPr>
                <w:sz w:val="20"/>
                <w:szCs w:val="20"/>
                <w:color w:val="auto"/>
              </w:rPr>
            </w:pPr>
            <w:r>
              <w:rPr>
                <w:rFonts w:ascii="Arial" w:cs="Arial" w:eastAsia="Arial" w:hAnsi="Arial"/>
                <w:sz w:val="14"/>
                <w:szCs w:val="14"/>
                <w:color w:val="auto"/>
              </w:rPr>
              <w:t>247,068</w:t>
            </w:r>
          </w:p>
        </w:tc>
        <w:tc>
          <w:tcPr>
            <w:tcW w:w="180" w:type="dxa"/>
            <w:vAlign w:val="bottom"/>
          </w:tcPr>
          <w:p>
            <w:pPr>
              <w:spacing w:after="0"/>
              <w:rPr>
                <w:sz w:val="14"/>
                <w:szCs w:val="14"/>
                <w:color w:val="auto"/>
              </w:rPr>
            </w:pPr>
          </w:p>
        </w:tc>
        <w:tc>
          <w:tcPr>
            <w:tcW w:w="1060" w:type="dxa"/>
            <w:vAlign w:val="bottom"/>
          </w:tcPr>
          <w:p>
            <w:pPr>
              <w:jc w:val="right"/>
              <w:ind w:right="112"/>
              <w:spacing w:after="0"/>
              <w:rPr>
                <w:sz w:val="20"/>
                <w:szCs w:val="20"/>
                <w:color w:val="auto"/>
              </w:rPr>
            </w:pPr>
            <w:r>
              <w:rPr>
                <w:rFonts w:ascii="Arial" w:cs="Arial" w:eastAsia="Arial" w:hAnsi="Arial"/>
                <w:sz w:val="14"/>
                <w:szCs w:val="14"/>
                <w:color w:val="auto"/>
              </w:rPr>
              <w:t>36.52</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10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Vested</w:t>
            </w: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(107,865)</w:t>
            </w: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rPr>
              <w:t>18.11</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100" w:type="dxa"/>
            <w:vAlign w:val="bottom"/>
            <w:tcBorders>
              <w:bottom w:val="single" w:sz="8" w:color="CCEEFF"/>
            </w:tcBorders>
            <w:gridSpan w:val="3"/>
          </w:tcPr>
          <w:p>
            <w:pPr>
              <w:spacing w:after="0"/>
              <w:rPr>
                <w:sz w:val="20"/>
                <w:szCs w:val="20"/>
                <w:color w:val="auto"/>
              </w:rPr>
            </w:pPr>
            <w:r>
              <w:rPr>
                <w:rFonts w:ascii="Arial" w:cs="Arial" w:eastAsia="Arial" w:hAnsi="Arial"/>
                <w:sz w:val="14"/>
                <w:szCs w:val="14"/>
                <w:color w:val="auto"/>
              </w:rPr>
              <w:t>Forfeited</w:t>
            </w:r>
          </w:p>
        </w:tc>
        <w:tc>
          <w:tcPr>
            <w:tcW w:w="92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(12,750)</w:t>
            </w:r>
          </w:p>
        </w:tc>
        <w:tc>
          <w:tcPr>
            <w:tcW w:w="1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24.19</w:t>
            </w: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1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4"/>
                <w:szCs w:val="14"/>
                <w:color w:val="auto"/>
              </w:rPr>
              <w:t>Nonvested at December 29, 2018</w:t>
            </w:r>
          </w:p>
        </w:tc>
        <w:tc>
          <w:tcPr>
            <w:tcW w:w="92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1,160,079</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4"/>
                <w:szCs w:val="14"/>
                <w:color w:val="auto"/>
              </w:rPr>
              <w:t>23.32</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7.6</w:t>
            </w:r>
          </w:p>
        </w:tc>
        <w:tc>
          <w:tcPr>
            <w:tcW w:w="14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4"/>
                <w:szCs w:val="14"/>
                <w:color w:val="auto"/>
                <w:w w:val="88"/>
              </w:rPr>
              <w:t>1.12 years</w:t>
            </w:r>
          </w:p>
        </w:tc>
        <w:tc>
          <w:tcPr>
            <w:tcW w:w="0" w:type="dxa"/>
            <w:vAlign w:val="bottom"/>
          </w:tcPr>
          <w:p>
            <w:pPr>
              <w:spacing w:after="0"/>
              <w:rPr>
                <w:sz w:val="1"/>
                <w:szCs w:val="1"/>
                <w:color w:val="auto"/>
              </w:rPr>
            </w:pPr>
          </w:p>
        </w:tc>
      </w:tr>
    </w:tbl>
    <w:p>
      <w:pPr>
        <w:spacing w:after="0" w:line="159" w:lineRule="exact"/>
        <w:rPr>
          <w:sz w:val="20"/>
          <w:szCs w:val="20"/>
          <w:color w:val="auto"/>
        </w:rPr>
      </w:pPr>
    </w:p>
    <w:p>
      <w:pPr>
        <w:jc w:val="both"/>
        <w:ind w:firstLine="510"/>
        <w:spacing w:after="0" w:line="281" w:lineRule="auto"/>
        <w:rPr>
          <w:sz w:val="20"/>
          <w:szCs w:val="20"/>
          <w:color w:val="auto"/>
        </w:rPr>
      </w:pPr>
      <w:r>
        <w:rPr>
          <w:rFonts w:ascii="Arial" w:cs="Arial" w:eastAsia="Arial" w:hAnsi="Arial"/>
          <w:sz w:val="14"/>
          <w:szCs w:val="14"/>
          <w:color w:val="auto"/>
        </w:rPr>
        <w:t>Under the Stock Purchase Plan and LTSIP, we recognized share-based compensation expense of $3.6 million, $3.6 million, and $2.2 million and the related total income tax benefits of $0.7 million, $1.0 million, and $1.1 million in 2018, 2017 and 2016, respectively.</w:t>
      </w:r>
    </w:p>
    <w:p>
      <w:pPr>
        <w:spacing w:after="0" w:line="133" w:lineRule="exact"/>
        <w:rPr>
          <w:sz w:val="20"/>
          <w:szCs w:val="20"/>
          <w:color w:val="auto"/>
        </w:rPr>
      </w:pPr>
    </w:p>
    <w:p>
      <w:pPr>
        <w:ind w:left="520"/>
        <w:spacing w:after="0"/>
        <w:rPr>
          <w:sz w:val="20"/>
          <w:szCs w:val="20"/>
          <w:color w:val="auto"/>
        </w:rPr>
      </w:pPr>
      <w:r>
        <w:rPr>
          <w:rFonts w:ascii="Arial" w:cs="Arial" w:eastAsia="Arial" w:hAnsi="Arial"/>
          <w:sz w:val="14"/>
          <w:szCs w:val="14"/>
          <w:color w:val="auto"/>
        </w:rPr>
        <w:t>In 2018, 2017 and 2016, cash received from share issuances under our plans was $1.0 million, $0.7 million and $0.5 million, respectively.</w:t>
      </w:r>
    </w:p>
    <w:p>
      <w:pPr>
        <w:spacing w:after="0" w:line="179" w:lineRule="exact"/>
        <w:rPr>
          <w:sz w:val="20"/>
          <w:szCs w:val="20"/>
          <w:color w:val="auto"/>
        </w:rPr>
      </w:pPr>
    </w:p>
    <w:p>
      <w:pPr>
        <w:jc w:val="both"/>
        <w:ind w:firstLine="510"/>
        <w:spacing w:after="0" w:line="262" w:lineRule="auto"/>
        <w:rPr>
          <w:sz w:val="20"/>
          <w:szCs w:val="20"/>
          <w:color w:val="auto"/>
        </w:rPr>
      </w:pPr>
      <w:r>
        <w:rPr>
          <w:rFonts w:ascii="Arial" w:cs="Arial" w:eastAsia="Arial" w:hAnsi="Arial"/>
          <w:sz w:val="14"/>
          <w:szCs w:val="14"/>
          <w:color w:val="auto"/>
        </w:rPr>
        <w:t>On November 14, 2001, the Board of Directors approved a share repurchase program (which succeeded a previous program) allowing us to repurchase up to 2.5 million shares of our common stock. On October 14, 2010, our Board authorized an additional 2 million shares to be repurchased under our share repurchase program. We repurchased 860,669 and 445,740 shares under this program in 2018 and 2017, respectively. As of December 29, 2018, the cumulative total authorized shares available for repurchase is approximately 1.9 million shares.</w:t>
      </w:r>
    </w:p>
    <w:p>
      <w:pPr>
        <w:spacing w:after="0" w:line="143" w:lineRule="exact"/>
        <w:rPr>
          <w:sz w:val="20"/>
          <w:szCs w:val="20"/>
          <w:color w:val="auto"/>
        </w:rPr>
      </w:pPr>
    </w:p>
    <w:p>
      <w:pPr>
        <w:ind w:left="600" w:hanging="596"/>
        <w:spacing w:after="0"/>
        <w:tabs>
          <w:tab w:leader="none" w:pos="600" w:val="left"/>
        </w:tabs>
        <w:numPr>
          <w:ilvl w:val="0"/>
          <w:numId w:val="54"/>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RETIREMENT PLANS</w:t>
      </w:r>
    </w:p>
    <w:p>
      <w:pPr>
        <w:spacing w:after="0" w:line="183" w:lineRule="exact"/>
        <w:rPr>
          <w:sz w:val="20"/>
          <w:szCs w:val="20"/>
          <w:color w:val="auto"/>
        </w:rPr>
      </w:pPr>
    </w:p>
    <w:p>
      <w:pPr>
        <w:ind w:firstLine="510"/>
        <w:spacing w:after="0" w:line="281" w:lineRule="auto"/>
        <w:rPr>
          <w:sz w:val="20"/>
          <w:szCs w:val="20"/>
          <w:color w:val="auto"/>
        </w:rPr>
      </w:pPr>
      <w:r>
        <w:rPr>
          <w:rFonts w:ascii="Arial" w:cs="Arial" w:eastAsia="Arial" w:hAnsi="Arial"/>
          <w:sz w:val="14"/>
          <w:szCs w:val="14"/>
          <w:color w:val="auto"/>
        </w:rPr>
        <w:t>We have a profit sharing and 401(k) plan for the benefit of substantially all of our employees, excluding the employees of certain wholly-owned subsidiaries. Amounts contributed to the plan are made at the discretion of the Board</w:t>
      </w: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66675</wp:posOffset>
            </wp:positionV>
            <wp:extent cx="5779135" cy="2032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3">
                      <a:extLst>
                        <a:ext uri="{28A0092B-C50C-407E-A947-70E740481C1C}"/>
                      </a:extLst>
                    </a:blip>
                    <a:srcRect/>
                    <a:stretch>
                      <a:fillRect/>
                    </a:stretch>
                  </pic:blipFill>
                  <pic:spPr bwMode="auto">
                    <a:xfrm>
                      <a:off x="0" y="0"/>
                      <a:ext cx="5779135" cy="20320"/>
                    </a:xfrm>
                    <a:prstGeom prst="rect">
                      <a:avLst/>
                    </a:prstGeom>
                    <a:noFill/>
                  </pic:spPr>
                </pic:pic>
              </a:graphicData>
            </a:graphic>
          </wp:anchor>
        </w:drawing>
      </w:r>
    </w:p>
    <w:p>
      <w:pPr>
        <w:sectPr>
          <w:pgSz w:w="11900" w:h="16838" w:orient="portrait"/>
          <w:cols w:equalWidth="0" w:num="1">
            <w:col w:w="9100"/>
          </w:cols>
          <w:pgMar w:left="1400" w:top="116" w:right="1399" w:bottom="1440" w:gutter="0" w:footer="0" w:header="0"/>
        </w:sectPr>
      </w:pPr>
    </w:p>
    <w:bookmarkStart w:id="89" w:name="page90"/>
    <w:bookmarkEnd w:id="89"/>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94" w:lineRule="exact"/>
        <w:rPr>
          <w:sz w:val="20"/>
          <w:szCs w:val="20"/>
          <w:color w:val="auto"/>
        </w:rPr>
      </w:pPr>
    </w:p>
    <w:p>
      <w:pPr>
        <w:jc w:val="both"/>
        <w:spacing w:after="0" w:line="321" w:lineRule="auto"/>
        <w:rPr>
          <w:sz w:val="20"/>
          <w:szCs w:val="20"/>
          <w:color w:val="auto"/>
        </w:rPr>
      </w:pPr>
      <w:r>
        <w:rPr>
          <w:rFonts w:ascii="Arial" w:cs="Arial" w:eastAsia="Arial" w:hAnsi="Arial"/>
          <w:sz w:val="13"/>
          <w:szCs w:val="13"/>
          <w:color w:val="auto"/>
        </w:rPr>
        <w:t>of Directors. We matched 25% of employee contributions in 2018, 2017, and 2016, on a discretionary basis, totaling $3.4 million, $4.8 million, and $4.4 million respectively. The basis for matching contributions may not exceed the lesser of 6% of the employee’s annual compensation or the IRS limitation.</w:t>
      </w:r>
    </w:p>
    <w:p>
      <w:pPr>
        <w:spacing w:after="0" w:line="110" w:lineRule="exact"/>
        <w:rPr>
          <w:sz w:val="20"/>
          <w:szCs w:val="20"/>
          <w:color w:val="auto"/>
        </w:rPr>
      </w:pPr>
    </w:p>
    <w:p>
      <w:pPr>
        <w:jc w:val="both"/>
        <w:ind w:firstLine="510"/>
        <w:spacing w:after="0" w:line="260" w:lineRule="auto"/>
        <w:rPr>
          <w:sz w:val="20"/>
          <w:szCs w:val="20"/>
          <w:color w:val="auto"/>
        </w:rPr>
      </w:pPr>
      <w:r>
        <w:rPr>
          <w:rFonts w:ascii="Arial" w:cs="Arial" w:eastAsia="Arial" w:hAnsi="Arial"/>
          <w:sz w:val="14"/>
          <w:szCs w:val="14"/>
          <w:color w:val="auto"/>
        </w:rPr>
        <w:t>On July 14, 2011, the compensation committee of the board of directors approved a retirement plan for certain officers of the Company (who have at least 20 years of service with the Company and at least 10 years of service as an officer) whereby we will pay, upon retirement, benefits totaling 150% of the officer’s highest base salary in the three years immediately preceding separation from service plus health care benefits for a specified period of time if certain eligibility requirements are met. Approximately $9.1 million and $7.8 million are accrued in “Other Liabilities” for this plan at December 29, 2018 and December 30, 2017, respectively.</w:t>
      </w:r>
    </w:p>
    <w:p>
      <w:pPr>
        <w:spacing w:after="0" w:line="143" w:lineRule="exact"/>
        <w:rPr>
          <w:sz w:val="20"/>
          <w:szCs w:val="20"/>
          <w:color w:val="auto"/>
        </w:rPr>
      </w:pPr>
    </w:p>
    <w:p>
      <w:pPr>
        <w:ind w:left="620" w:hanging="616"/>
        <w:spacing w:after="0"/>
        <w:tabs>
          <w:tab w:leader="none" w:pos="620" w:val="left"/>
        </w:tabs>
        <w:numPr>
          <w:ilvl w:val="0"/>
          <w:numId w:val="55"/>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INCOME TAXES</w:t>
      </w:r>
    </w:p>
    <w:p>
      <w:pPr>
        <w:spacing w:after="0" w:line="183" w:lineRule="exact"/>
        <w:rPr>
          <w:sz w:val="20"/>
          <w:szCs w:val="20"/>
          <w:color w:val="auto"/>
        </w:rPr>
      </w:pPr>
    </w:p>
    <w:p>
      <w:pPr>
        <w:ind w:left="520"/>
        <w:spacing w:after="0"/>
        <w:rPr>
          <w:sz w:val="20"/>
          <w:szCs w:val="20"/>
          <w:color w:val="auto"/>
        </w:rPr>
      </w:pPr>
      <w:r>
        <w:rPr>
          <w:rFonts w:ascii="Arial" w:cs="Arial" w:eastAsia="Arial" w:hAnsi="Arial"/>
          <w:sz w:val="12"/>
          <w:szCs w:val="12"/>
          <w:color w:val="auto"/>
        </w:rPr>
        <w:t>Income tax provisions for the years ended December 29, 2018, December 30, 2017, and December 31, 2016 are summarized as follows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1640" w:type="dxa"/>
            <w:vAlign w:val="bottom"/>
            <w:vMerge w:val="restart"/>
          </w:tcPr>
          <w:p>
            <w:pPr>
              <w:spacing w:after="0"/>
              <w:rPr>
                <w:sz w:val="20"/>
                <w:szCs w:val="20"/>
                <w:color w:val="auto"/>
              </w:rPr>
            </w:pPr>
            <w:r>
              <w:rPr>
                <w:rFonts w:ascii="Arial" w:cs="Arial" w:eastAsia="Arial" w:hAnsi="Arial"/>
                <w:sz w:val="14"/>
                <w:szCs w:val="14"/>
                <w:color w:val="auto"/>
              </w:rPr>
              <w:t>Currently Payable:</w:t>
            </w:r>
          </w:p>
        </w:tc>
        <w:tc>
          <w:tcPr>
            <w:tcW w:w="4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ind w:right="311"/>
              <w:spacing w:after="0"/>
              <w:rPr>
                <w:sz w:val="20"/>
                <w:szCs w:val="20"/>
                <w:color w:val="auto"/>
              </w:rPr>
            </w:pPr>
            <w:r>
              <w:rPr>
                <w:rFonts w:ascii="Arial" w:cs="Arial" w:eastAsia="Arial" w:hAnsi="Arial"/>
                <w:sz w:val="11"/>
                <w:szCs w:val="11"/>
                <w:b w:val="1"/>
                <w:bCs w:val="1"/>
                <w:color w:val="auto"/>
              </w:rPr>
              <w:t>2018</w:t>
            </w:r>
          </w:p>
        </w:tc>
        <w:tc>
          <w:tcPr>
            <w:tcW w:w="2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271"/>
              <w:spacing w:after="0"/>
              <w:rPr>
                <w:sz w:val="20"/>
                <w:szCs w:val="20"/>
                <w:color w:val="auto"/>
              </w:rPr>
            </w:pPr>
            <w:r>
              <w:rPr>
                <w:rFonts w:ascii="Arial" w:cs="Arial" w:eastAsia="Arial" w:hAnsi="Arial"/>
                <w:sz w:val="11"/>
                <w:szCs w:val="11"/>
                <w:b w:val="1"/>
                <w:bCs w:val="1"/>
                <w:color w:val="auto"/>
              </w:rPr>
              <w:t>2017</w:t>
            </w:r>
          </w:p>
        </w:tc>
        <w:tc>
          <w:tcPr>
            <w:tcW w:w="22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ind w:right="31"/>
              <w:spacing w:after="0"/>
              <w:rPr>
                <w:sz w:val="20"/>
                <w:szCs w:val="20"/>
                <w:color w:val="auto"/>
              </w:rPr>
            </w:pPr>
            <w:r>
              <w:rPr>
                <w:rFonts w:ascii="Arial" w:cs="Arial" w:eastAsia="Arial" w:hAnsi="Arial"/>
                <w:sz w:val="11"/>
                <w:szCs w:val="11"/>
                <w:b w:val="1"/>
                <w:bCs w:val="1"/>
                <w:color w:val="auto"/>
              </w:rPr>
              <w:t>2016</w:t>
            </w:r>
          </w:p>
        </w:tc>
        <w:tc>
          <w:tcPr>
            <w:tcW w:w="1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1640" w:type="dxa"/>
            <w:vAlign w:val="bottom"/>
            <w:vMerge w:val="continue"/>
          </w:tcPr>
          <w:p>
            <w:pPr>
              <w:spacing w:after="0"/>
              <w:rPr>
                <w:sz w:val="14"/>
                <w:szCs w:val="14"/>
                <w:color w:val="auto"/>
              </w:rPr>
            </w:pPr>
          </w:p>
        </w:tc>
        <w:tc>
          <w:tcPr>
            <w:tcW w:w="4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640" w:type="dxa"/>
            <w:vAlign w:val="bottom"/>
            <w:shd w:val="clear" w:color="auto" w:fill="CCEEFF"/>
          </w:tcPr>
          <w:p>
            <w:pPr>
              <w:ind w:left="80"/>
              <w:spacing w:after="0"/>
              <w:rPr>
                <w:sz w:val="20"/>
                <w:szCs w:val="20"/>
                <w:color w:val="auto"/>
              </w:rPr>
            </w:pPr>
            <w:r>
              <w:rPr>
                <w:rFonts w:ascii="Arial" w:cs="Arial" w:eastAsia="Arial" w:hAnsi="Arial"/>
                <w:sz w:val="14"/>
                <w:szCs w:val="14"/>
                <w:color w:val="auto"/>
              </w:rPr>
              <w:t>Federal</w:t>
            </w:r>
          </w:p>
        </w:tc>
        <w:tc>
          <w:tcPr>
            <w:tcW w:w="49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91"/>
              <w:spacing w:after="0"/>
              <w:rPr>
                <w:sz w:val="20"/>
                <w:szCs w:val="20"/>
                <w:color w:val="auto"/>
              </w:rPr>
            </w:pPr>
            <w:r>
              <w:rPr>
                <w:rFonts w:ascii="Arial" w:cs="Arial" w:eastAsia="Arial" w:hAnsi="Arial"/>
                <w:sz w:val="14"/>
                <w:szCs w:val="14"/>
                <w:color w:val="auto"/>
              </w:rPr>
              <w:t>31,492</w:t>
            </w:r>
          </w:p>
        </w:tc>
        <w:tc>
          <w:tcPr>
            <w:tcW w:w="2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44,413</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42,397</w:t>
            </w:r>
          </w:p>
        </w:tc>
        <w:tc>
          <w:tcPr>
            <w:tcW w:w="0" w:type="dxa"/>
            <w:vAlign w:val="bottom"/>
          </w:tcPr>
          <w:p>
            <w:pPr>
              <w:spacing w:after="0"/>
              <w:rPr>
                <w:sz w:val="1"/>
                <w:szCs w:val="1"/>
                <w:color w:val="auto"/>
              </w:rPr>
            </w:pPr>
          </w:p>
        </w:tc>
      </w:tr>
      <w:tr>
        <w:trPr>
          <w:trHeight w:val="170"/>
        </w:trPr>
        <w:tc>
          <w:tcPr>
            <w:tcW w:w="1640" w:type="dxa"/>
            <w:vAlign w:val="bottom"/>
          </w:tcPr>
          <w:p>
            <w:pPr>
              <w:ind w:left="80"/>
              <w:spacing w:after="0"/>
              <w:rPr>
                <w:sz w:val="20"/>
                <w:szCs w:val="20"/>
                <w:color w:val="auto"/>
              </w:rPr>
            </w:pPr>
            <w:r>
              <w:rPr>
                <w:rFonts w:ascii="Arial" w:cs="Arial" w:eastAsia="Arial" w:hAnsi="Arial"/>
                <w:sz w:val="14"/>
                <w:szCs w:val="14"/>
                <w:color w:val="auto"/>
              </w:rPr>
              <w:t>State and local</w:t>
            </w:r>
          </w:p>
        </w:tc>
        <w:tc>
          <w:tcPr>
            <w:tcW w:w="4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ind w:right="91"/>
              <w:spacing w:after="0"/>
              <w:rPr>
                <w:sz w:val="20"/>
                <w:szCs w:val="20"/>
                <w:color w:val="auto"/>
              </w:rPr>
            </w:pPr>
            <w:r>
              <w:rPr>
                <w:rFonts w:ascii="Arial" w:cs="Arial" w:eastAsia="Arial" w:hAnsi="Arial"/>
                <w:sz w:val="14"/>
                <w:szCs w:val="14"/>
                <w:color w:val="auto"/>
              </w:rPr>
              <w:t>7,544</w:t>
            </w:r>
          </w:p>
        </w:tc>
        <w:tc>
          <w:tcPr>
            <w:tcW w:w="220" w:type="dxa"/>
            <w:vAlign w:val="bottom"/>
          </w:tcPr>
          <w:p>
            <w:pPr>
              <w:spacing w:after="0"/>
              <w:rPr>
                <w:sz w:val="14"/>
                <w:szCs w:val="14"/>
                <w:color w:val="auto"/>
              </w:rPr>
            </w:pPr>
          </w:p>
        </w:tc>
        <w:tc>
          <w:tcPr>
            <w:tcW w:w="680" w:type="dxa"/>
            <w:vAlign w:val="bottom"/>
          </w:tcPr>
          <w:p>
            <w:pPr>
              <w:jc w:val="right"/>
              <w:ind w:right="51"/>
              <w:spacing w:after="0"/>
              <w:rPr>
                <w:sz w:val="20"/>
                <w:szCs w:val="20"/>
                <w:color w:val="auto"/>
              </w:rPr>
            </w:pPr>
            <w:r>
              <w:rPr>
                <w:rFonts w:ascii="Arial" w:cs="Arial" w:eastAsia="Arial" w:hAnsi="Arial"/>
                <w:sz w:val="14"/>
                <w:szCs w:val="14"/>
                <w:color w:val="auto"/>
              </w:rPr>
              <w:t>8,579</w:t>
            </w:r>
          </w:p>
        </w:tc>
        <w:tc>
          <w:tcPr>
            <w:tcW w:w="220" w:type="dxa"/>
            <w:vAlign w:val="bottom"/>
          </w:tcPr>
          <w:p>
            <w:pPr>
              <w:spacing w:after="0"/>
              <w:rPr>
                <w:sz w:val="14"/>
                <w:szCs w:val="14"/>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color w:val="auto"/>
              </w:rPr>
              <w:t>6,341</w:t>
            </w:r>
          </w:p>
        </w:tc>
        <w:tc>
          <w:tcPr>
            <w:tcW w:w="0" w:type="dxa"/>
            <w:vAlign w:val="bottom"/>
          </w:tcPr>
          <w:p>
            <w:pPr>
              <w:spacing w:after="0"/>
              <w:rPr>
                <w:sz w:val="1"/>
                <w:szCs w:val="1"/>
                <w:color w:val="auto"/>
              </w:rPr>
            </w:pPr>
          </w:p>
        </w:tc>
      </w:tr>
      <w:tr>
        <w:trPr>
          <w:trHeight w:val="171"/>
        </w:trPr>
        <w:tc>
          <w:tcPr>
            <w:tcW w:w="16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4"/>
                <w:szCs w:val="14"/>
                <w:color w:val="auto"/>
              </w:rPr>
              <w:t>Foreign</w:t>
            </w:r>
          </w:p>
        </w:tc>
        <w:tc>
          <w:tcPr>
            <w:tcW w:w="47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4"/>
                <w:szCs w:val="14"/>
                <w:color w:val="auto"/>
              </w:rPr>
              <w:t>5,527</w:t>
            </w:r>
          </w:p>
        </w:tc>
        <w:tc>
          <w:tcPr>
            <w:tcW w:w="22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6,240</w:t>
            </w:r>
          </w:p>
        </w:tc>
        <w:tc>
          <w:tcPr>
            <w:tcW w:w="22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6,143</w:t>
            </w:r>
          </w:p>
        </w:tc>
        <w:tc>
          <w:tcPr>
            <w:tcW w:w="0" w:type="dxa"/>
            <w:vAlign w:val="bottom"/>
          </w:tcPr>
          <w:p>
            <w:pPr>
              <w:spacing w:after="0"/>
              <w:rPr>
                <w:sz w:val="1"/>
                <w:szCs w:val="1"/>
                <w:color w:val="auto"/>
              </w:rPr>
            </w:pPr>
          </w:p>
        </w:tc>
      </w:tr>
      <w:tr>
        <w:trPr>
          <w:trHeight w:val="170"/>
        </w:trPr>
        <w:tc>
          <w:tcPr>
            <w:tcW w:w="164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ind w:right="91"/>
              <w:spacing w:after="0"/>
              <w:rPr>
                <w:sz w:val="20"/>
                <w:szCs w:val="20"/>
                <w:color w:val="auto"/>
              </w:rPr>
            </w:pPr>
            <w:r>
              <w:rPr>
                <w:rFonts w:ascii="Arial" w:cs="Arial" w:eastAsia="Arial" w:hAnsi="Arial"/>
                <w:sz w:val="14"/>
                <w:szCs w:val="14"/>
                <w:color w:val="auto"/>
              </w:rPr>
              <w:t>44,563</w:t>
            </w:r>
          </w:p>
        </w:tc>
        <w:tc>
          <w:tcPr>
            <w:tcW w:w="220" w:type="dxa"/>
            <w:vAlign w:val="bottom"/>
          </w:tcPr>
          <w:p>
            <w:pPr>
              <w:spacing w:after="0"/>
              <w:rPr>
                <w:sz w:val="14"/>
                <w:szCs w:val="14"/>
                <w:color w:val="auto"/>
              </w:rPr>
            </w:pPr>
          </w:p>
        </w:tc>
        <w:tc>
          <w:tcPr>
            <w:tcW w:w="680" w:type="dxa"/>
            <w:vAlign w:val="bottom"/>
          </w:tcPr>
          <w:p>
            <w:pPr>
              <w:jc w:val="right"/>
              <w:ind w:right="51"/>
              <w:spacing w:after="0"/>
              <w:rPr>
                <w:sz w:val="20"/>
                <w:szCs w:val="20"/>
                <w:color w:val="auto"/>
              </w:rPr>
            </w:pPr>
            <w:r>
              <w:rPr>
                <w:rFonts w:ascii="Arial" w:cs="Arial" w:eastAsia="Arial" w:hAnsi="Arial"/>
                <w:sz w:val="14"/>
                <w:szCs w:val="14"/>
                <w:color w:val="auto"/>
              </w:rPr>
              <w:t>59,232</w:t>
            </w:r>
          </w:p>
        </w:tc>
        <w:tc>
          <w:tcPr>
            <w:tcW w:w="220" w:type="dxa"/>
            <w:vAlign w:val="bottom"/>
          </w:tcPr>
          <w:p>
            <w:pPr>
              <w:spacing w:after="0"/>
              <w:rPr>
                <w:sz w:val="14"/>
                <w:szCs w:val="14"/>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color w:val="auto"/>
              </w:rPr>
              <w:t>54,881</w:t>
            </w:r>
          </w:p>
        </w:tc>
        <w:tc>
          <w:tcPr>
            <w:tcW w:w="0" w:type="dxa"/>
            <w:vAlign w:val="bottom"/>
          </w:tcPr>
          <w:p>
            <w:pPr>
              <w:spacing w:after="0"/>
              <w:rPr>
                <w:sz w:val="1"/>
                <w:szCs w:val="1"/>
                <w:color w:val="auto"/>
              </w:rPr>
            </w:pPr>
          </w:p>
        </w:tc>
      </w:tr>
      <w:tr>
        <w:trPr>
          <w:trHeight w:val="170"/>
        </w:trPr>
        <w:tc>
          <w:tcPr>
            <w:tcW w:w="1640" w:type="dxa"/>
            <w:vAlign w:val="bottom"/>
            <w:shd w:val="clear" w:color="auto" w:fill="CCEEFF"/>
          </w:tcPr>
          <w:p>
            <w:pPr>
              <w:spacing w:after="0"/>
              <w:rPr>
                <w:sz w:val="20"/>
                <w:szCs w:val="20"/>
                <w:color w:val="auto"/>
              </w:rPr>
            </w:pPr>
            <w:r>
              <w:rPr>
                <w:rFonts w:ascii="Arial" w:cs="Arial" w:eastAsia="Arial" w:hAnsi="Arial"/>
                <w:sz w:val="14"/>
                <w:szCs w:val="14"/>
                <w:color w:val="auto"/>
              </w:rPr>
              <w:t>Net Deferred:</w:t>
            </w:r>
          </w:p>
        </w:tc>
        <w:tc>
          <w:tcPr>
            <w:tcW w:w="4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640" w:type="dxa"/>
            <w:vAlign w:val="bottom"/>
          </w:tcPr>
          <w:p>
            <w:pPr>
              <w:ind w:left="80"/>
              <w:spacing w:after="0"/>
              <w:rPr>
                <w:sz w:val="20"/>
                <w:szCs w:val="20"/>
                <w:color w:val="auto"/>
              </w:rPr>
            </w:pPr>
            <w:r>
              <w:rPr>
                <w:rFonts w:ascii="Arial" w:cs="Arial" w:eastAsia="Arial" w:hAnsi="Arial"/>
                <w:sz w:val="14"/>
                <w:szCs w:val="14"/>
                <w:color w:val="auto"/>
              </w:rPr>
              <w:t>Federal</w:t>
            </w:r>
          </w:p>
        </w:tc>
        <w:tc>
          <w:tcPr>
            <w:tcW w:w="4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ind w:right="91"/>
              <w:spacing w:after="0"/>
              <w:rPr>
                <w:sz w:val="20"/>
                <w:szCs w:val="20"/>
                <w:color w:val="auto"/>
              </w:rPr>
            </w:pPr>
            <w:r>
              <w:rPr>
                <w:rFonts w:ascii="Arial" w:cs="Arial" w:eastAsia="Arial" w:hAnsi="Arial"/>
                <w:sz w:val="14"/>
                <w:szCs w:val="14"/>
                <w:color w:val="auto"/>
              </w:rPr>
              <w:t>2,965</w:t>
            </w:r>
          </w:p>
        </w:tc>
        <w:tc>
          <w:tcPr>
            <w:tcW w:w="220" w:type="dxa"/>
            <w:vAlign w:val="bottom"/>
          </w:tcPr>
          <w:p>
            <w:pPr>
              <w:spacing w:after="0"/>
              <w:rPr>
                <w:sz w:val="14"/>
                <w:szCs w:val="14"/>
                <w:color w:val="auto"/>
              </w:rPr>
            </w:pPr>
          </w:p>
        </w:tc>
        <w:tc>
          <w:tcPr>
            <w:tcW w:w="680" w:type="dxa"/>
            <w:vAlign w:val="bottom"/>
          </w:tcPr>
          <w:p>
            <w:pPr>
              <w:jc w:val="right"/>
              <w:ind w:right="11"/>
              <w:spacing w:after="0"/>
              <w:rPr>
                <w:sz w:val="20"/>
                <w:szCs w:val="20"/>
                <w:color w:val="auto"/>
              </w:rPr>
            </w:pPr>
            <w:r>
              <w:rPr>
                <w:rFonts w:ascii="Arial" w:cs="Arial" w:eastAsia="Arial" w:hAnsi="Arial"/>
                <w:sz w:val="14"/>
                <w:szCs w:val="14"/>
                <w:color w:val="auto"/>
              </w:rPr>
              <w:t>(7,681)</w:t>
            </w:r>
          </w:p>
        </w:tc>
        <w:tc>
          <w:tcPr>
            <w:tcW w:w="220" w:type="dxa"/>
            <w:vAlign w:val="bottom"/>
          </w:tcPr>
          <w:p>
            <w:pPr>
              <w:spacing w:after="0"/>
              <w:rPr>
                <w:sz w:val="14"/>
                <w:szCs w:val="14"/>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color w:val="auto"/>
              </w:rPr>
              <w:t>(455)</w:t>
            </w:r>
          </w:p>
        </w:tc>
        <w:tc>
          <w:tcPr>
            <w:tcW w:w="0" w:type="dxa"/>
            <w:vAlign w:val="bottom"/>
          </w:tcPr>
          <w:p>
            <w:pPr>
              <w:spacing w:after="0"/>
              <w:rPr>
                <w:sz w:val="1"/>
                <w:szCs w:val="1"/>
                <w:color w:val="auto"/>
              </w:rPr>
            </w:pPr>
          </w:p>
        </w:tc>
      </w:tr>
      <w:tr>
        <w:trPr>
          <w:trHeight w:val="170"/>
        </w:trPr>
        <w:tc>
          <w:tcPr>
            <w:tcW w:w="1640" w:type="dxa"/>
            <w:vAlign w:val="bottom"/>
            <w:shd w:val="clear" w:color="auto" w:fill="CCEEFF"/>
          </w:tcPr>
          <w:p>
            <w:pPr>
              <w:ind w:left="80"/>
              <w:spacing w:after="0"/>
              <w:rPr>
                <w:sz w:val="20"/>
                <w:szCs w:val="20"/>
                <w:color w:val="auto"/>
              </w:rPr>
            </w:pPr>
            <w:r>
              <w:rPr>
                <w:rFonts w:ascii="Arial" w:cs="Arial" w:eastAsia="Arial" w:hAnsi="Arial"/>
                <w:sz w:val="14"/>
                <w:szCs w:val="14"/>
                <w:color w:val="auto"/>
              </w:rPr>
              <w:t>State and local</w:t>
            </w:r>
          </w:p>
        </w:tc>
        <w:tc>
          <w:tcPr>
            <w:tcW w:w="4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(522)</w:t>
            </w: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(864)</w:t>
            </w:r>
          </w:p>
        </w:tc>
        <w:tc>
          <w:tcPr>
            <w:tcW w:w="22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438</w:t>
            </w:r>
          </w:p>
        </w:tc>
        <w:tc>
          <w:tcPr>
            <w:tcW w:w="0" w:type="dxa"/>
            <w:vAlign w:val="bottom"/>
          </w:tcPr>
          <w:p>
            <w:pPr>
              <w:spacing w:after="0"/>
              <w:rPr>
                <w:sz w:val="1"/>
                <w:szCs w:val="1"/>
                <w:color w:val="auto"/>
              </w:rPr>
            </w:pPr>
          </w:p>
        </w:tc>
      </w:tr>
      <w:tr>
        <w:trPr>
          <w:trHeight w:val="171"/>
        </w:trPr>
        <w:tc>
          <w:tcPr>
            <w:tcW w:w="1640" w:type="dxa"/>
            <w:vAlign w:val="bottom"/>
            <w:tcBorders>
              <w:bottom w:val="single" w:sz="8" w:color="CCEEFF"/>
            </w:tcBorders>
          </w:tcPr>
          <w:p>
            <w:pPr>
              <w:ind w:left="80"/>
              <w:spacing w:after="0"/>
              <w:rPr>
                <w:sz w:val="20"/>
                <w:szCs w:val="20"/>
                <w:color w:val="auto"/>
              </w:rPr>
            </w:pPr>
            <w:r>
              <w:rPr>
                <w:rFonts w:ascii="Arial" w:cs="Arial" w:eastAsia="Arial" w:hAnsi="Arial"/>
                <w:sz w:val="14"/>
                <w:szCs w:val="14"/>
                <w:color w:val="auto"/>
              </w:rPr>
              <w:t>Foreign</w:t>
            </w:r>
          </w:p>
        </w:tc>
        <w:tc>
          <w:tcPr>
            <w:tcW w:w="476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(1,565)</w:t>
            </w:r>
          </w:p>
        </w:tc>
        <w:tc>
          <w:tcPr>
            <w:tcW w:w="2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1,280</w:t>
            </w:r>
          </w:p>
        </w:tc>
        <w:tc>
          <w:tcPr>
            <w:tcW w:w="2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310</w:t>
            </w:r>
          </w:p>
        </w:tc>
        <w:tc>
          <w:tcPr>
            <w:tcW w:w="0" w:type="dxa"/>
            <w:vAlign w:val="bottom"/>
          </w:tcPr>
          <w:p>
            <w:pPr>
              <w:spacing w:after="0"/>
              <w:rPr>
                <w:sz w:val="1"/>
                <w:szCs w:val="1"/>
                <w:color w:val="auto"/>
              </w:rPr>
            </w:pPr>
          </w:p>
        </w:tc>
      </w:tr>
      <w:tr>
        <w:trPr>
          <w:trHeight w:val="190"/>
        </w:trPr>
        <w:tc>
          <w:tcPr>
            <w:tcW w:w="1640" w:type="dxa"/>
            <w:vAlign w:val="bottom"/>
            <w:tcBorders>
              <w:bottom w:val="single" w:sz="8" w:color="CCEEFF"/>
            </w:tcBorders>
            <w:shd w:val="clear" w:color="auto" w:fill="CCEEFF"/>
          </w:tcPr>
          <w:p>
            <w:pPr>
              <w:spacing w:after="0"/>
              <w:rPr>
                <w:sz w:val="16"/>
                <w:szCs w:val="16"/>
                <w:color w:val="auto"/>
              </w:rPr>
            </w:pPr>
          </w:p>
        </w:tc>
        <w:tc>
          <w:tcPr>
            <w:tcW w:w="47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4"/>
                <w:szCs w:val="14"/>
                <w:color w:val="auto"/>
              </w:rPr>
              <w:t>878</w:t>
            </w:r>
          </w:p>
        </w:tc>
        <w:tc>
          <w:tcPr>
            <w:tcW w:w="22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(7,265)</w:t>
            </w:r>
          </w:p>
        </w:tc>
        <w:tc>
          <w:tcPr>
            <w:tcW w:w="22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293</w:t>
            </w:r>
          </w:p>
        </w:tc>
        <w:tc>
          <w:tcPr>
            <w:tcW w:w="0" w:type="dxa"/>
            <w:vAlign w:val="bottom"/>
          </w:tcPr>
          <w:p>
            <w:pPr>
              <w:spacing w:after="0"/>
              <w:rPr>
                <w:sz w:val="1"/>
                <w:szCs w:val="1"/>
                <w:color w:val="auto"/>
              </w:rPr>
            </w:pPr>
          </w:p>
        </w:tc>
      </w:tr>
      <w:tr>
        <w:trPr>
          <w:trHeight w:val="152"/>
        </w:trPr>
        <w:tc>
          <w:tcPr>
            <w:tcW w:w="1640" w:type="dxa"/>
            <w:vAlign w:val="bottom"/>
          </w:tcPr>
          <w:p>
            <w:pPr>
              <w:spacing w:after="0"/>
              <w:rPr>
                <w:sz w:val="13"/>
                <w:szCs w:val="13"/>
                <w:color w:val="auto"/>
              </w:rPr>
            </w:pPr>
          </w:p>
        </w:tc>
        <w:tc>
          <w:tcPr>
            <w:tcW w:w="4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tcPr>
          <w:p>
            <w:pPr>
              <w:jc w:val="right"/>
              <w:ind w:right="91"/>
              <w:spacing w:after="0" w:line="151" w:lineRule="exact"/>
              <w:rPr>
                <w:sz w:val="20"/>
                <w:szCs w:val="20"/>
                <w:color w:val="auto"/>
              </w:rPr>
            </w:pPr>
            <w:r>
              <w:rPr>
                <w:rFonts w:ascii="Arial" w:cs="Arial" w:eastAsia="Arial" w:hAnsi="Arial"/>
                <w:sz w:val="14"/>
                <w:szCs w:val="14"/>
                <w:color w:val="auto"/>
              </w:rPr>
              <w:t>45,441</w:t>
            </w:r>
          </w:p>
        </w:tc>
        <w:tc>
          <w:tcPr>
            <w:tcW w:w="220" w:type="dxa"/>
            <w:vAlign w:val="bottom"/>
            <w:tcBorders>
              <w:bottom w:val="single" w:sz="8" w:color="auto"/>
            </w:tcBorders>
          </w:tcPr>
          <w:p>
            <w:pPr>
              <w:jc w:val="right"/>
              <w:ind w:right="9"/>
              <w:spacing w:after="0" w:line="151" w:lineRule="exact"/>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51"/>
              <w:spacing w:after="0" w:line="151" w:lineRule="exact"/>
              <w:rPr>
                <w:sz w:val="20"/>
                <w:szCs w:val="20"/>
                <w:color w:val="auto"/>
              </w:rPr>
            </w:pPr>
            <w:r>
              <w:rPr>
                <w:rFonts w:ascii="Arial" w:cs="Arial" w:eastAsia="Arial" w:hAnsi="Arial"/>
                <w:sz w:val="14"/>
                <w:szCs w:val="14"/>
                <w:color w:val="auto"/>
              </w:rPr>
              <w:t>51,967</w:t>
            </w:r>
          </w:p>
        </w:tc>
        <w:tc>
          <w:tcPr>
            <w:tcW w:w="22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gridSpan w:val="2"/>
          </w:tcPr>
          <w:p>
            <w:pPr>
              <w:jc w:val="right"/>
              <w:spacing w:after="0" w:line="151" w:lineRule="exact"/>
              <w:rPr>
                <w:sz w:val="20"/>
                <w:szCs w:val="20"/>
                <w:color w:val="auto"/>
              </w:rPr>
            </w:pPr>
            <w:r>
              <w:rPr>
                <w:rFonts w:ascii="Arial" w:cs="Arial" w:eastAsia="Arial" w:hAnsi="Arial"/>
                <w:sz w:val="14"/>
                <w:szCs w:val="14"/>
                <w:color w:val="auto"/>
              </w:rPr>
              <w:t>55,174</w:t>
            </w:r>
          </w:p>
        </w:tc>
        <w:tc>
          <w:tcPr>
            <w:tcW w:w="0" w:type="dxa"/>
            <w:vAlign w:val="bottom"/>
          </w:tcPr>
          <w:p>
            <w:pPr>
              <w:spacing w:after="0"/>
              <w:rPr>
                <w:sz w:val="1"/>
                <w:szCs w:val="1"/>
                <w:color w:val="auto"/>
              </w:rPr>
            </w:pPr>
          </w:p>
        </w:tc>
      </w:tr>
      <w:tr>
        <w:trPr>
          <w:trHeight w:val="169"/>
        </w:trPr>
        <w:tc>
          <w:tcPr>
            <w:tcW w:w="6480" w:type="dxa"/>
            <w:vAlign w:val="bottom"/>
            <w:gridSpan w:val="3"/>
          </w:tcPr>
          <w:p>
            <w:pPr>
              <w:ind w:left="520"/>
              <w:spacing w:after="0"/>
              <w:rPr>
                <w:sz w:val="20"/>
                <w:szCs w:val="20"/>
                <w:color w:val="auto"/>
              </w:rPr>
            </w:pPr>
            <w:r>
              <w:rPr>
                <w:rFonts w:ascii="Arial" w:cs="Arial" w:eastAsia="Arial" w:hAnsi="Arial"/>
                <w:sz w:val="14"/>
                <w:szCs w:val="14"/>
                <w:color w:val="auto"/>
              </w:rPr>
              <w:t>The components of earnings before income taxes consist of the following:</w:t>
            </w:r>
          </w:p>
        </w:tc>
        <w:tc>
          <w:tcPr>
            <w:tcW w:w="120" w:type="dxa"/>
            <w:vAlign w:val="bottom"/>
          </w:tcPr>
          <w:p>
            <w:pPr>
              <w:spacing w:after="0"/>
              <w:rPr>
                <w:sz w:val="14"/>
                <w:szCs w:val="14"/>
                <w:color w:val="auto"/>
              </w:rPr>
            </w:pPr>
          </w:p>
        </w:tc>
        <w:tc>
          <w:tcPr>
            <w:tcW w:w="760" w:type="dxa"/>
            <w:vAlign w:val="bottom"/>
            <w:vMerge w:val="restart"/>
          </w:tcPr>
          <w:p>
            <w:pPr>
              <w:jc w:val="right"/>
              <w:ind w:right="371"/>
              <w:spacing w:after="0"/>
              <w:rPr>
                <w:sz w:val="20"/>
                <w:szCs w:val="20"/>
                <w:color w:val="auto"/>
              </w:rPr>
            </w:pPr>
            <w:r>
              <w:rPr>
                <w:rFonts w:ascii="Arial" w:cs="Arial" w:eastAsia="Arial" w:hAnsi="Arial"/>
                <w:sz w:val="11"/>
                <w:szCs w:val="11"/>
                <w:b w:val="1"/>
                <w:bCs w:val="1"/>
                <w:color w:val="auto"/>
              </w:rPr>
              <w:t>2018</w:t>
            </w:r>
          </w:p>
        </w:tc>
        <w:tc>
          <w:tcPr>
            <w:tcW w:w="220" w:type="dxa"/>
            <w:vAlign w:val="bottom"/>
          </w:tcPr>
          <w:p>
            <w:pPr>
              <w:spacing w:after="0"/>
              <w:rPr>
                <w:sz w:val="14"/>
                <w:szCs w:val="14"/>
                <w:color w:val="auto"/>
              </w:rPr>
            </w:pPr>
          </w:p>
        </w:tc>
        <w:tc>
          <w:tcPr>
            <w:tcW w:w="680" w:type="dxa"/>
            <w:vAlign w:val="bottom"/>
            <w:vMerge w:val="restart"/>
          </w:tcPr>
          <w:p>
            <w:pPr>
              <w:jc w:val="right"/>
              <w:ind w:right="311"/>
              <w:spacing w:after="0"/>
              <w:rPr>
                <w:sz w:val="20"/>
                <w:szCs w:val="20"/>
                <w:color w:val="auto"/>
              </w:rPr>
            </w:pPr>
            <w:r>
              <w:rPr>
                <w:rFonts w:ascii="Arial" w:cs="Arial" w:eastAsia="Arial" w:hAnsi="Arial"/>
                <w:sz w:val="11"/>
                <w:szCs w:val="11"/>
                <w:b w:val="1"/>
                <w:bCs w:val="1"/>
                <w:color w:val="auto"/>
              </w:rPr>
              <w:t>2017</w:t>
            </w:r>
          </w:p>
        </w:tc>
        <w:tc>
          <w:tcPr>
            <w:tcW w:w="220" w:type="dxa"/>
            <w:vAlign w:val="bottom"/>
          </w:tcPr>
          <w:p>
            <w:pPr>
              <w:spacing w:after="0"/>
              <w:rPr>
                <w:sz w:val="14"/>
                <w:szCs w:val="14"/>
                <w:color w:val="auto"/>
              </w:rPr>
            </w:pPr>
          </w:p>
        </w:tc>
        <w:tc>
          <w:tcPr>
            <w:tcW w:w="460" w:type="dxa"/>
            <w:vAlign w:val="bottom"/>
            <w:vMerge w:val="restart"/>
          </w:tcPr>
          <w:p>
            <w:pPr>
              <w:jc w:val="right"/>
              <w:ind w:right="51"/>
              <w:spacing w:after="0"/>
              <w:rPr>
                <w:sz w:val="20"/>
                <w:szCs w:val="20"/>
                <w:color w:val="auto"/>
              </w:rPr>
            </w:pPr>
            <w:r>
              <w:rPr>
                <w:rFonts w:ascii="Arial" w:cs="Arial" w:eastAsia="Arial" w:hAnsi="Arial"/>
                <w:sz w:val="11"/>
                <w:szCs w:val="11"/>
                <w:b w:val="1"/>
                <w:bCs w:val="1"/>
                <w:color w:val="auto"/>
              </w:rPr>
              <w:t>2016</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9"/>
        </w:trPr>
        <w:tc>
          <w:tcPr>
            <w:tcW w:w="1640" w:type="dxa"/>
            <w:vAlign w:val="bottom"/>
            <w:tcBorders>
              <w:bottom w:val="single" w:sz="8" w:color="CCEEFF"/>
            </w:tcBorders>
          </w:tcPr>
          <w:p>
            <w:pPr>
              <w:spacing w:after="0"/>
              <w:rPr>
                <w:sz w:val="24"/>
                <w:szCs w:val="24"/>
                <w:color w:val="auto"/>
              </w:rPr>
            </w:pPr>
          </w:p>
        </w:tc>
        <w:tc>
          <w:tcPr>
            <w:tcW w:w="4760" w:type="dxa"/>
            <w:vAlign w:val="bottom"/>
            <w:tcBorders>
              <w:bottom w:val="single" w:sz="8" w:color="CCEEFF"/>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vMerge w:val="continue"/>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vMerge w:val="continue"/>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vMerge w:val="continue"/>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1640" w:type="dxa"/>
            <w:vAlign w:val="bottom"/>
            <w:shd w:val="clear" w:color="auto" w:fill="CCEEFF"/>
          </w:tcPr>
          <w:p>
            <w:pPr>
              <w:spacing w:after="0"/>
              <w:rPr>
                <w:sz w:val="20"/>
                <w:szCs w:val="20"/>
                <w:color w:val="auto"/>
              </w:rPr>
            </w:pPr>
            <w:r>
              <w:rPr>
                <w:rFonts w:ascii="Arial" w:cs="Arial" w:eastAsia="Arial" w:hAnsi="Arial"/>
                <w:sz w:val="14"/>
                <w:szCs w:val="14"/>
                <w:color w:val="auto"/>
              </w:rPr>
              <w:t>U.S.</w:t>
            </w:r>
          </w:p>
        </w:tc>
        <w:tc>
          <w:tcPr>
            <w:tcW w:w="476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180,261</w:t>
            </w:r>
          </w:p>
        </w:tc>
        <w:tc>
          <w:tcPr>
            <w:tcW w:w="2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151,395</w:t>
            </w:r>
          </w:p>
        </w:tc>
        <w:tc>
          <w:tcPr>
            <w:tcW w:w="2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140,106</w:t>
            </w:r>
          </w:p>
        </w:tc>
        <w:tc>
          <w:tcPr>
            <w:tcW w:w="0" w:type="dxa"/>
            <w:vAlign w:val="bottom"/>
          </w:tcPr>
          <w:p>
            <w:pPr>
              <w:spacing w:after="0"/>
              <w:rPr>
                <w:sz w:val="1"/>
                <w:szCs w:val="1"/>
                <w:color w:val="auto"/>
              </w:rPr>
            </w:pPr>
          </w:p>
        </w:tc>
      </w:tr>
      <w:tr>
        <w:trPr>
          <w:trHeight w:val="171"/>
        </w:trPr>
        <w:tc>
          <w:tcPr>
            <w:tcW w:w="164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Foreign</w:t>
            </w:r>
          </w:p>
        </w:tc>
        <w:tc>
          <w:tcPr>
            <w:tcW w:w="47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17,592</w:t>
            </w:r>
          </w:p>
        </w:tc>
        <w:tc>
          <w:tcPr>
            <w:tcW w:w="2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color w:val="auto"/>
              </w:rPr>
              <w:t>24,612</w:t>
            </w:r>
          </w:p>
        </w:tc>
        <w:tc>
          <w:tcPr>
            <w:tcW w:w="2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20,565</w:t>
            </w:r>
          </w:p>
        </w:tc>
        <w:tc>
          <w:tcPr>
            <w:tcW w:w="0" w:type="dxa"/>
            <w:vAlign w:val="bottom"/>
          </w:tcPr>
          <w:p>
            <w:pPr>
              <w:spacing w:after="0"/>
              <w:rPr>
                <w:sz w:val="1"/>
                <w:szCs w:val="1"/>
                <w:color w:val="auto"/>
              </w:rPr>
            </w:pPr>
          </w:p>
        </w:tc>
      </w:tr>
      <w:tr>
        <w:trPr>
          <w:trHeight w:val="171"/>
        </w:trPr>
        <w:tc>
          <w:tcPr>
            <w:tcW w:w="1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Total</w:t>
            </w:r>
          </w:p>
        </w:tc>
        <w:tc>
          <w:tcPr>
            <w:tcW w:w="47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4"/>
                <w:szCs w:val="14"/>
                <w:color w:val="auto"/>
              </w:rPr>
              <w:t>197,853</w:t>
            </w: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4"/>
                <w:szCs w:val="14"/>
                <w:color w:val="auto"/>
              </w:rPr>
              <w:t>176,007</w:t>
            </w:r>
          </w:p>
        </w:tc>
        <w:tc>
          <w:tcPr>
            <w:tcW w:w="22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160,671</w:t>
            </w:r>
          </w:p>
        </w:tc>
        <w:tc>
          <w:tcPr>
            <w:tcW w:w="0" w:type="dxa"/>
            <w:vAlign w:val="bottom"/>
          </w:tcPr>
          <w:p>
            <w:pPr>
              <w:spacing w:after="0"/>
              <w:rPr>
                <w:sz w:val="1"/>
                <w:szCs w:val="1"/>
                <w:color w:val="auto"/>
              </w:rPr>
            </w:pPr>
          </w:p>
        </w:tc>
      </w:tr>
      <w:tr>
        <w:trPr>
          <w:trHeight w:val="509"/>
        </w:trPr>
        <w:tc>
          <w:tcPr>
            <w:tcW w:w="7360" w:type="dxa"/>
            <w:vAlign w:val="bottom"/>
            <w:gridSpan w:val="5"/>
          </w:tcPr>
          <w:p>
            <w:pPr>
              <w:ind w:left="520"/>
              <w:spacing w:after="0"/>
              <w:rPr>
                <w:sz w:val="20"/>
                <w:szCs w:val="20"/>
                <w:color w:val="auto"/>
              </w:rPr>
            </w:pPr>
            <w:r>
              <w:rPr>
                <w:rFonts w:ascii="Arial" w:cs="Arial" w:eastAsia="Arial" w:hAnsi="Arial"/>
                <w:sz w:val="14"/>
                <w:szCs w:val="14"/>
                <w:color w:val="auto"/>
                <w:w w:val="98"/>
              </w:rPr>
              <w:t>The effective income tax rates are different from the statutory federal income tax rates for the following reasons:</w:t>
            </w: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1640" w:type="dxa"/>
            <w:vAlign w:val="bottom"/>
            <w:tcBorders>
              <w:bottom w:val="single" w:sz="8" w:color="CCEEFF"/>
            </w:tcBorders>
          </w:tcPr>
          <w:p>
            <w:pPr>
              <w:spacing w:after="0"/>
              <w:rPr>
                <w:sz w:val="24"/>
                <w:szCs w:val="24"/>
                <w:color w:val="auto"/>
              </w:rPr>
            </w:pPr>
          </w:p>
        </w:tc>
        <w:tc>
          <w:tcPr>
            <w:tcW w:w="476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760" w:type="dxa"/>
            <w:vAlign w:val="bottom"/>
            <w:tcBorders>
              <w:bottom w:val="single" w:sz="8" w:color="auto"/>
            </w:tcBorders>
          </w:tcPr>
          <w:p>
            <w:pPr>
              <w:jc w:val="right"/>
              <w:ind w:right="271"/>
              <w:spacing w:after="0"/>
              <w:rPr>
                <w:sz w:val="20"/>
                <w:szCs w:val="20"/>
                <w:color w:val="auto"/>
              </w:rPr>
            </w:pPr>
            <w:r>
              <w:rPr>
                <w:rFonts w:ascii="Arial" w:cs="Arial" w:eastAsia="Arial" w:hAnsi="Arial"/>
                <w:sz w:val="11"/>
                <w:szCs w:val="11"/>
                <w:b w:val="1"/>
                <w:bCs w:val="1"/>
                <w:color w:val="auto"/>
              </w:rPr>
              <w:t>2018</w:t>
            </w:r>
          </w:p>
        </w:tc>
        <w:tc>
          <w:tcPr>
            <w:tcW w:w="2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291"/>
              <w:spacing w:after="0"/>
              <w:rPr>
                <w:sz w:val="20"/>
                <w:szCs w:val="20"/>
                <w:color w:val="auto"/>
              </w:rPr>
            </w:pPr>
            <w:r>
              <w:rPr>
                <w:rFonts w:ascii="Arial" w:cs="Arial" w:eastAsia="Arial" w:hAnsi="Arial"/>
                <w:sz w:val="11"/>
                <w:szCs w:val="11"/>
                <w:b w:val="1"/>
                <w:bCs w:val="1"/>
                <w:color w:val="auto"/>
              </w:rPr>
              <w:t>2017</w:t>
            </w:r>
          </w:p>
        </w:tc>
        <w:tc>
          <w:tcPr>
            <w:tcW w:w="2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jc w:val="right"/>
              <w:ind w:right="111"/>
              <w:spacing w:after="0"/>
              <w:rPr>
                <w:sz w:val="20"/>
                <w:szCs w:val="20"/>
                <w:color w:val="auto"/>
              </w:rPr>
            </w:pPr>
            <w:r>
              <w:rPr>
                <w:rFonts w:ascii="Arial" w:cs="Arial" w:eastAsia="Arial" w:hAnsi="Arial"/>
                <w:sz w:val="11"/>
                <w:szCs w:val="11"/>
                <w:b w:val="1"/>
                <w:bCs w:val="1"/>
                <w:color w:val="auto"/>
              </w:rPr>
              <w:t>2016</w:t>
            </w:r>
          </w:p>
        </w:tc>
        <w:tc>
          <w:tcPr>
            <w:tcW w:w="16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6600" w:type="dxa"/>
            <w:vAlign w:val="bottom"/>
            <w:gridSpan w:val="4"/>
            <w:shd w:val="clear" w:color="auto" w:fill="CCEEFF"/>
          </w:tcPr>
          <w:p>
            <w:pPr>
              <w:spacing w:after="0"/>
              <w:rPr>
                <w:sz w:val="20"/>
                <w:szCs w:val="20"/>
                <w:color w:val="auto"/>
              </w:rPr>
            </w:pPr>
            <w:r>
              <w:rPr>
                <w:rFonts w:ascii="Arial" w:cs="Arial" w:eastAsia="Arial" w:hAnsi="Arial"/>
                <w:sz w:val="14"/>
                <w:szCs w:val="14"/>
                <w:color w:val="auto"/>
              </w:rPr>
              <w:t>Statutory federal income tax rate</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21.0 %</w:t>
            </w: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35.0 %</w:t>
            </w:r>
          </w:p>
        </w:tc>
        <w:tc>
          <w:tcPr>
            <w:tcW w:w="22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35.0</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70"/>
        </w:trPr>
        <w:tc>
          <w:tcPr>
            <w:tcW w:w="1640" w:type="dxa"/>
            <w:vAlign w:val="bottom"/>
          </w:tcPr>
          <w:p>
            <w:pPr>
              <w:spacing w:after="0"/>
              <w:rPr>
                <w:sz w:val="20"/>
                <w:szCs w:val="20"/>
                <w:color w:val="auto"/>
              </w:rPr>
            </w:pPr>
            <w:r>
              <w:rPr>
                <w:rFonts w:ascii="Arial" w:cs="Arial" w:eastAsia="Arial" w:hAnsi="Arial"/>
                <w:sz w:val="14"/>
                <w:szCs w:val="14"/>
                <w:color w:val="auto"/>
                <w:w w:val="93"/>
              </w:rPr>
              <w:t>State and local taxes (net of</w:t>
            </w:r>
          </w:p>
        </w:tc>
        <w:tc>
          <w:tcPr>
            <w:tcW w:w="4960" w:type="dxa"/>
            <w:vAlign w:val="bottom"/>
            <w:gridSpan w:val="3"/>
          </w:tcPr>
          <w:p>
            <w:pPr>
              <w:jc w:val="right"/>
              <w:ind w:right="3969"/>
              <w:spacing w:after="0"/>
              <w:rPr>
                <w:sz w:val="20"/>
                <w:szCs w:val="20"/>
                <w:color w:val="auto"/>
              </w:rPr>
            </w:pPr>
            <w:r>
              <w:rPr>
                <w:rFonts w:ascii="Arial" w:cs="Arial" w:eastAsia="Arial" w:hAnsi="Arial"/>
                <w:sz w:val="14"/>
                <w:szCs w:val="14"/>
                <w:color w:val="auto"/>
                <w:w w:val="89"/>
              </w:rPr>
              <w:t>federal benefits)</w:t>
            </w:r>
          </w:p>
        </w:tc>
        <w:tc>
          <w:tcPr>
            <w:tcW w:w="760" w:type="dxa"/>
            <w:vAlign w:val="bottom"/>
          </w:tcPr>
          <w:p>
            <w:pPr>
              <w:jc w:val="right"/>
              <w:ind w:right="111"/>
              <w:spacing w:after="0"/>
              <w:rPr>
                <w:sz w:val="20"/>
                <w:szCs w:val="20"/>
                <w:color w:val="auto"/>
              </w:rPr>
            </w:pPr>
            <w:r>
              <w:rPr>
                <w:rFonts w:ascii="Arial" w:cs="Arial" w:eastAsia="Arial" w:hAnsi="Arial"/>
                <w:sz w:val="14"/>
                <w:szCs w:val="14"/>
                <w:color w:val="auto"/>
              </w:rPr>
              <w:t>3.8</w:t>
            </w:r>
          </w:p>
        </w:tc>
        <w:tc>
          <w:tcPr>
            <w:tcW w:w="220" w:type="dxa"/>
            <w:vAlign w:val="bottom"/>
          </w:tcPr>
          <w:p>
            <w:pPr>
              <w:spacing w:after="0"/>
              <w:rPr>
                <w:sz w:val="14"/>
                <w:szCs w:val="14"/>
                <w:color w:val="auto"/>
              </w:rPr>
            </w:pPr>
          </w:p>
        </w:tc>
        <w:tc>
          <w:tcPr>
            <w:tcW w:w="680" w:type="dxa"/>
            <w:vAlign w:val="bottom"/>
          </w:tcPr>
          <w:p>
            <w:pPr>
              <w:jc w:val="right"/>
              <w:ind w:right="151"/>
              <w:spacing w:after="0"/>
              <w:rPr>
                <w:sz w:val="20"/>
                <w:szCs w:val="20"/>
                <w:color w:val="auto"/>
              </w:rPr>
            </w:pPr>
            <w:r>
              <w:rPr>
                <w:rFonts w:ascii="Arial" w:cs="Arial" w:eastAsia="Arial" w:hAnsi="Arial"/>
                <w:sz w:val="14"/>
                <w:szCs w:val="14"/>
                <w:color w:val="auto"/>
              </w:rPr>
              <w:t>3.0</w:t>
            </w:r>
          </w:p>
        </w:tc>
        <w:tc>
          <w:tcPr>
            <w:tcW w:w="2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3.1</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600" w:type="dxa"/>
            <w:vAlign w:val="bottom"/>
            <w:gridSpan w:val="4"/>
            <w:shd w:val="clear" w:color="auto" w:fill="CCEEFF"/>
          </w:tcPr>
          <w:p>
            <w:pPr>
              <w:spacing w:after="0"/>
              <w:rPr>
                <w:sz w:val="20"/>
                <w:szCs w:val="20"/>
                <w:color w:val="auto"/>
              </w:rPr>
            </w:pPr>
            <w:r>
              <w:rPr>
                <w:rFonts w:ascii="Arial" w:cs="Arial" w:eastAsia="Arial" w:hAnsi="Arial"/>
                <w:sz w:val="14"/>
                <w:szCs w:val="14"/>
                <w:color w:val="auto"/>
              </w:rPr>
              <w:t>Effect of noncontrolling owned interest in earnings of partnerships</w:t>
            </w:r>
          </w:p>
        </w:tc>
        <w:tc>
          <w:tcPr>
            <w:tcW w:w="76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(0.1)</w:t>
            </w: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(0.2)</w:t>
            </w:r>
          </w:p>
        </w:tc>
        <w:tc>
          <w:tcPr>
            <w:tcW w:w="22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89"/>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70"/>
        </w:trPr>
        <w:tc>
          <w:tcPr>
            <w:tcW w:w="1640" w:type="dxa"/>
            <w:vAlign w:val="bottom"/>
          </w:tcPr>
          <w:p>
            <w:pPr>
              <w:spacing w:after="0"/>
              <w:rPr>
                <w:sz w:val="20"/>
                <w:szCs w:val="20"/>
                <w:color w:val="auto"/>
              </w:rPr>
            </w:pPr>
            <w:r>
              <w:rPr>
                <w:rFonts w:ascii="Arial" w:cs="Arial" w:eastAsia="Arial" w:hAnsi="Arial"/>
                <w:sz w:val="14"/>
                <w:szCs w:val="14"/>
                <w:color w:val="auto"/>
              </w:rPr>
              <w:t>Manufacturing deduction</w:t>
            </w:r>
          </w:p>
        </w:tc>
        <w:tc>
          <w:tcPr>
            <w:tcW w:w="4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ind w:right="111"/>
              <w:spacing w:after="0"/>
              <w:rPr>
                <w:sz w:val="20"/>
                <w:szCs w:val="20"/>
                <w:color w:val="auto"/>
              </w:rPr>
            </w:pPr>
            <w:r>
              <w:rPr>
                <w:rFonts w:ascii="Arial" w:cs="Arial" w:eastAsia="Arial" w:hAnsi="Arial"/>
                <w:sz w:val="14"/>
                <w:szCs w:val="14"/>
                <w:color w:val="auto"/>
              </w:rPr>
              <w:t>n/a</w:t>
            </w:r>
          </w:p>
        </w:tc>
        <w:tc>
          <w:tcPr>
            <w:tcW w:w="220" w:type="dxa"/>
            <w:vAlign w:val="bottom"/>
          </w:tcPr>
          <w:p>
            <w:pPr>
              <w:spacing w:after="0"/>
              <w:rPr>
                <w:sz w:val="14"/>
                <w:szCs w:val="14"/>
                <w:color w:val="auto"/>
              </w:rPr>
            </w:pPr>
          </w:p>
        </w:tc>
        <w:tc>
          <w:tcPr>
            <w:tcW w:w="680" w:type="dxa"/>
            <w:vAlign w:val="bottom"/>
          </w:tcPr>
          <w:p>
            <w:pPr>
              <w:jc w:val="right"/>
              <w:ind w:right="111"/>
              <w:spacing w:after="0"/>
              <w:rPr>
                <w:sz w:val="20"/>
                <w:szCs w:val="20"/>
                <w:color w:val="auto"/>
              </w:rPr>
            </w:pPr>
            <w:r>
              <w:rPr>
                <w:rFonts w:ascii="Arial" w:cs="Arial" w:eastAsia="Arial" w:hAnsi="Arial"/>
                <w:sz w:val="14"/>
                <w:szCs w:val="14"/>
                <w:color w:val="auto"/>
              </w:rPr>
              <w:t>(2.5)</w:t>
            </w:r>
          </w:p>
        </w:tc>
        <w:tc>
          <w:tcPr>
            <w:tcW w:w="220" w:type="dxa"/>
            <w:vAlign w:val="bottom"/>
          </w:tcPr>
          <w:p>
            <w:pPr>
              <w:spacing w:after="0"/>
              <w:rPr>
                <w:sz w:val="14"/>
                <w:szCs w:val="14"/>
                <w:color w:val="auto"/>
              </w:rPr>
            </w:pPr>
          </w:p>
        </w:tc>
        <w:tc>
          <w:tcPr>
            <w:tcW w:w="620" w:type="dxa"/>
            <w:vAlign w:val="bottom"/>
            <w:gridSpan w:val="2"/>
          </w:tcPr>
          <w:p>
            <w:pPr>
              <w:jc w:val="right"/>
              <w:ind w:right="89"/>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70"/>
        </w:trPr>
        <w:tc>
          <w:tcPr>
            <w:tcW w:w="6600" w:type="dxa"/>
            <w:vAlign w:val="bottom"/>
            <w:gridSpan w:val="4"/>
            <w:shd w:val="clear" w:color="auto" w:fill="CCEEFF"/>
          </w:tcPr>
          <w:p>
            <w:pPr>
              <w:spacing w:after="0"/>
              <w:rPr>
                <w:sz w:val="20"/>
                <w:szCs w:val="20"/>
                <w:color w:val="auto"/>
              </w:rPr>
            </w:pPr>
            <w:r>
              <w:rPr>
                <w:rFonts w:ascii="Arial" w:cs="Arial" w:eastAsia="Arial" w:hAnsi="Arial"/>
                <w:sz w:val="14"/>
                <w:szCs w:val="14"/>
                <w:color w:val="auto"/>
              </w:rPr>
              <w:t>Tax credits, including foreign tax credit</w:t>
            </w:r>
          </w:p>
        </w:tc>
        <w:tc>
          <w:tcPr>
            <w:tcW w:w="76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(1.6)</w:t>
            </w: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(2.0)</w:t>
            </w:r>
          </w:p>
        </w:tc>
        <w:tc>
          <w:tcPr>
            <w:tcW w:w="22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89"/>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70"/>
        </w:trPr>
        <w:tc>
          <w:tcPr>
            <w:tcW w:w="6600" w:type="dxa"/>
            <w:vAlign w:val="bottom"/>
            <w:gridSpan w:val="4"/>
          </w:tcPr>
          <w:p>
            <w:pPr>
              <w:spacing w:after="0"/>
              <w:rPr>
                <w:sz w:val="20"/>
                <w:szCs w:val="20"/>
                <w:color w:val="auto"/>
              </w:rPr>
            </w:pPr>
            <w:r>
              <w:rPr>
                <w:rFonts w:ascii="Arial" w:cs="Arial" w:eastAsia="Arial" w:hAnsi="Arial"/>
                <w:sz w:val="14"/>
                <w:szCs w:val="14"/>
                <w:color w:val="auto"/>
              </w:rPr>
              <w:t>Change in uncertain tax positions reserve</w:t>
            </w:r>
          </w:p>
        </w:tc>
        <w:tc>
          <w:tcPr>
            <w:tcW w:w="760" w:type="dxa"/>
            <w:vAlign w:val="bottom"/>
          </w:tcPr>
          <w:p>
            <w:pPr>
              <w:jc w:val="right"/>
              <w:ind w:right="111"/>
              <w:spacing w:after="0"/>
              <w:rPr>
                <w:sz w:val="20"/>
                <w:szCs w:val="20"/>
                <w:color w:val="auto"/>
              </w:rPr>
            </w:pPr>
            <w:r>
              <w:rPr>
                <w:rFonts w:ascii="Arial" w:cs="Arial" w:eastAsia="Arial" w:hAnsi="Arial"/>
                <w:sz w:val="14"/>
                <w:szCs w:val="14"/>
                <w:color w:val="auto"/>
              </w:rPr>
              <w:t>0.1</w:t>
            </w:r>
          </w:p>
        </w:tc>
        <w:tc>
          <w:tcPr>
            <w:tcW w:w="220" w:type="dxa"/>
            <w:vAlign w:val="bottom"/>
          </w:tcPr>
          <w:p>
            <w:pPr>
              <w:spacing w:after="0"/>
              <w:rPr>
                <w:sz w:val="14"/>
                <w:szCs w:val="14"/>
                <w:color w:val="auto"/>
              </w:rPr>
            </w:pPr>
          </w:p>
        </w:tc>
        <w:tc>
          <w:tcPr>
            <w:tcW w:w="680" w:type="dxa"/>
            <w:vAlign w:val="bottom"/>
          </w:tcPr>
          <w:p>
            <w:pPr>
              <w:jc w:val="right"/>
              <w:ind w:right="151"/>
              <w:spacing w:after="0"/>
              <w:rPr>
                <w:sz w:val="20"/>
                <w:szCs w:val="20"/>
                <w:color w:val="auto"/>
              </w:rPr>
            </w:pPr>
            <w:r>
              <w:rPr>
                <w:rFonts w:ascii="Arial" w:cs="Arial" w:eastAsia="Arial" w:hAnsi="Arial"/>
                <w:sz w:val="14"/>
                <w:szCs w:val="14"/>
                <w:color w:val="auto"/>
              </w:rPr>
              <w:t>0.4</w:t>
            </w:r>
          </w:p>
        </w:tc>
        <w:tc>
          <w:tcPr>
            <w:tcW w:w="2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0.4</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640" w:type="dxa"/>
            <w:vAlign w:val="bottom"/>
            <w:shd w:val="clear" w:color="auto" w:fill="CCEEFF"/>
          </w:tcPr>
          <w:p>
            <w:pPr>
              <w:spacing w:after="0"/>
              <w:rPr>
                <w:sz w:val="20"/>
                <w:szCs w:val="20"/>
                <w:color w:val="auto"/>
              </w:rPr>
            </w:pPr>
            <w:r>
              <w:rPr>
                <w:rFonts w:ascii="Arial" w:cs="Arial" w:eastAsia="Arial" w:hAnsi="Arial"/>
                <w:sz w:val="14"/>
                <w:szCs w:val="14"/>
                <w:color w:val="auto"/>
                <w:w w:val="90"/>
              </w:rPr>
              <w:t>Other permanent differences</w:t>
            </w:r>
          </w:p>
        </w:tc>
        <w:tc>
          <w:tcPr>
            <w:tcW w:w="4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0.6</w:t>
            </w: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(0.1)</w:t>
            </w:r>
          </w:p>
        </w:tc>
        <w:tc>
          <w:tcPr>
            <w:tcW w:w="22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640" w:type="dxa"/>
            <w:vAlign w:val="bottom"/>
          </w:tcPr>
          <w:p>
            <w:pPr>
              <w:spacing w:after="0"/>
              <w:rPr>
                <w:sz w:val="20"/>
                <w:szCs w:val="20"/>
                <w:color w:val="auto"/>
              </w:rPr>
            </w:pPr>
            <w:r>
              <w:rPr>
                <w:rFonts w:ascii="Arial" w:cs="Arial" w:eastAsia="Arial" w:hAnsi="Arial"/>
                <w:sz w:val="14"/>
                <w:szCs w:val="14"/>
                <w:color w:val="auto"/>
              </w:rPr>
              <w:t>Other, net</w:t>
            </w:r>
          </w:p>
        </w:tc>
        <w:tc>
          <w:tcPr>
            <w:tcW w:w="4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ind w:right="71"/>
              <w:spacing w:after="0"/>
              <w:rPr>
                <w:sz w:val="20"/>
                <w:szCs w:val="20"/>
                <w:color w:val="auto"/>
              </w:rPr>
            </w:pPr>
            <w:r>
              <w:rPr>
                <w:rFonts w:ascii="Arial" w:cs="Arial" w:eastAsia="Arial" w:hAnsi="Arial"/>
                <w:sz w:val="14"/>
                <w:szCs w:val="14"/>
                <w:color w:val="auto"/>
              </w:rPr>
              <w:t>(0.7)</w:t>
            </w:r>
          </w:p>
        </w:tc>
        <w:tc>
          <w:tcPr>
            <w:tcW w:w="220" w:type="dxa"/>
            <w:vAlign w:val="bottom"/>
          </w:tcPr>
          <w:p>
            <w:pPr>
              <w:spacing w:after="0"/>
              <w:rPr>
                <w:sz w:val="14"/>
                <w:szCs w:val="14"/>
                <w:color w:val="auto"/>
              </w:rPr>
            </w:pPr>
          </w:p>
        </w:tc>
        <w:tc>
          <w:tcPr>
            <w:tcW w:w="680" w:type="dxa"/>
            <w:vAlign w:val="bottom"/>
          </w:tcPr>
          <w:p>
            <w:pPr>
              <w:jc w:val="right"/>
              <w:ind w:right="111"/>
              <w:spacing w:after="0"/>
              <w:rPr>
                <w:sz w:val="20"/>
                <w:szCs w:val="20"/>
                <w:color w:val="auto"/>
              </w:rPr>
            </w:pPr>
            <w:r>
              <w:rPr>
                <w:rFonts w:ascii="Arial" w:cs="Arial" w:eastAsia="Arial" w:hAnsi="Arial"/>
                <w:sz w:val="14"/>
                <w:szCs w:val="14"/>
                <w:color w:val="auto"/>
              </w:rPr>
              <w:t>(0.6)</w:t>
            </w:r>
          </w:p>
        </w:tc>
        <w:tc>
          <w:tcPr>
            <w:tcW w:w="220" w:type="dxa"/>
            <w:vAlign w:val="bottom"/>
          </w:tcPr>
          <w:p>
            <w:pPr>
              <w:spacing w:after="0"/>
              <w:rPr>
                <w:sz w:val="14"/>
                <w:szCs w:val="14"/>
                <w:color w:val="auto"/>
              </w:rPr>
            </w:pPr>
          </w:p>
        </w:tc>
        <w:tc>
          <w:tcPr>
            <w:tcW w:w="620" w:type="dxa"/>
            <w:vAlign w:val="bottom"/>
            <w:gridSpan w:val="2"/>
          </w:tcPr>
          <w:p>
            <w:pPr>
              <w:jc w:val="right"/>
              <w:ind w:right="89"/>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90"/>
        </w:trPr>
        <w:tc>
          <w:tcPr>
            <w:tcW w:w="6600" w:type="dxa"/>
            <w:vAlign w:val="bottom"/>
            <w:gridSpan w:val="4"/>
            <w:shd w:val="clear" w:color="auto" w:fill="CCEEFF"/>
          </w:tcPr>
          <w:p>
            <w:pPr>
              <w:spacing w:after="0"/>
              <w:rPr>
                <w:sz w:val="20"/>
                <w:szCs w:val="20"/>
                <w:color w:val="auto"/>
              </w:rPr>
            </w:pPr>
            <w:r>
              <w:rPr>
                <w:rFonts w:ascii="Arial" w:cs="Arial" w:eastAsia="Arial" w:hAnsi="Arial"/>
                <w:sz w:val="14"/>
                <w:szCs w:val="14"/>
                <w:color w:val="auto"/>
              </w:rPr>
              <w:t>Impact of Tax Act and reduction of corporate tax rate</w:t>
            </w:r>
          </w:p>
        </w:tc>
        <w:tc>
          <w:tcPr>
            <w:tcW w:w="76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(0.1)</w:t>
            </w:r>
          </w:p>
        </w:tc>
        <w:tc>
          <w:tcPr>
            <w:tcW w:w="22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(3.5)</w:t>
            </w:r>
          </w:p>
        </w:tc>
        <w:tc>
          <w:tcPr>
            <w:tcW w:w="22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2"/>
        </w:trPr>
        <w:tc>
          <w:tcPr>
            <w:tcW w:w="1640" w:type="dxa"/>
            <w:vAlign w:val="bottom"/>
            <w:tcBorders>
              <w:top w:val="single" w:sz="8" w:color="CCEEFF"/>
            </w:tcBorders>
          </w:tcPr>
          <w:p>
            <w:pPr>
              <w:spacing w:after="0" w:line="151" w:lineRule="exact"/>
              <w:rPr>
                <w:sz w:val="20"/>
                <w:szCs w:val="20"/>
                <w:color w:val="auto"/>
              </w:rPr>
            </w:pPr>
            <w:r>
              <w:rPr>
                <w:rFonts w:ascii="Arial" w:cs="Arial" w:eastAsia="Arial" w:hAnsi="Arial"/>
                <w:sz w:val="14"/>
                <w:szCs w:val="14"/>
                <w:color w:val="auto"/>
              </w:rPr>
              <w:t>Effective income tax rate</w:t>
            </w:r>
          </w:p>
        </w:tc>
        <w:tc>
          <w:tcPr>
            <w:tcW w:w="476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760" w:type="dxa"/>
            <w:vAlign w:val="bottom"/>
            <w:tcBorders>
              <w:top w:val="single" w:sz="8" w:color="auto"/>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23.0 %</w:t>
            </w:r>
          </w:p>
        </w:tc>
        <w:tc>
          <w:tcPr>
            <w:tcW w:w="22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29.5 %</w:t>
            </w:r>
          </w:p>
        </w:tc>
        <w:tc>
          <w:tcPr>
            <w:tcW w:w="220" w:type="dxa"/>
            <w:vAlign w:val="bottom"/>
            <w:tcBorders>
              <w:top w:val="single" w:sz="8" w:color="auto"/>
              <w:bottom w:val="single" w:sz="8" w:color="auto"/>
            </w:tcBorders>
          </w:tcPr>
          <w:p>
            <w:pPr>
              <w:spacing w:after="0"/>
              <w:rPr>
                <w:sz w:val="13"/>
                <w:szCs w:val="13"/>
                <w:color w:val="auto"/>
              </w:rPr>
            </w:pPr>
          </w:p>
        </w:tc>
        <w:tc>
          <w:tcPr>
            <w:tcW w:w="460" w:type="dxa"/>
            <w:vAlign w:val="bottom"/>
            <w:tcBorders>
              <w:top w:val="single" w:sz="8" w:color="auto"/>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34.3</w:t>
            </w:r>
          </w:p>
        </w:tc>
        <w:tc>
          <w:tcPr>
            <w:tcW w:w="160" w:type="dxa"/>
            <w:vAlign w:val="bottom"/>
            <w:tcBorders>
              <w:top w:val="single" w:sz="8" w:color="CCEEFF"/>
            </w:tcBorders>
          </w:tcPr>
          <w:p>
            <w:pPr>
              <w:jc w:val="right"/>
              <w:spacing w:after="0" w:line="151"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679"/>
        </w:trPr>
        <w:tc>
          <w:tcPr>
            <w:tcW w:w="1640" w:type="dxa"/>
            <w:vAlign w:val="bottom"/>
          </w:tcPr>
          <w:p>
            <w:pPr>
              <w:spacing w:after="0"/>
              <w:rPr>
                <w:sz w:val="24"/>
                <w:szCs w:val="24"/>
                <w:color w:val="auto"/>
              </w:rPr>
            </w:pPr>
          </w:p>
        </w:tc>
        <w:tc>
          <w:tcPr>
            <w:tcW w:w="4760" w:type="dxa"/>
            <w:vAlign w:val="bottom"/>
          </w:tcPr>
          <w:p>
            <w:pPr>
              <w:jc w:val="right"/>
              <w:ind w:right="1709"/>
              <w:spacing w:after="0"/>
              <w:rPr>
                <w:sz w:val="20"/>
                <w:szCs w:val="20"/>
                <w:color w:val="auto"/>
              </w:rPr>
            </w:pPr>
            <w:r>
              <w:rPr>
                <w:rFonts w:ascii="Arial" w:cs="Arial" w:eastAsia="Arial" w:hAnsi="Arial"/>
                <w:sz w:val="14"/>
                <w:szCs w:val="14"/>
                <w:color w:val="auto"/>
              </w:rPr>
              <w:t>47</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1640" w:type="dxa"/>
            <w:vAlign w:val="bottom"/>
            <w:tcBorders>
              <w:bottom w:val="single" w:sz="8" w:color="auto"/>
            </w:tcBorders>
          </w:tcPr>
          <w:p>
            <w:pPr>
              <w:spacing w:after="0"/>
              <w:rPr>
                <w:sz w:val="8"/>
                <w:szCs w:val="8"/>
                <w:color w:val="auto"/>
              </w:rPr>
            </w:pPr>
          </w:p>
        </w:tc>
        <w:tc>
          <w:tcPr>
            <w:tcW w:w="47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9100"/>
          </w:cols>
          <w:pgMar w:left="1400" w:top="129" w:right="1399" w:bottom="1440" w:gutter="0" w:footer="0" w:header="0"/>
        </w:sectPr>
      </w:pPr>
    </w:p>
    <w:bookmarkStart w:id="90" w:name="page91"/>
    <w:bookmarkEnd w:id="90"/>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94" w:lineRule="exact"/>
        <w:rPr>
          <w:sz w:val="20"/>
          <w:szCs w:val="20"/>
          <w:color w:val="auto"/>
        </w:rPr>
      </w:pPr>
    </w:p>
    <w:p>
      <w:pPr>
        <w:jc w:val="both"/>
        <w:ind w:firstLine="510"/>
        <w:spacing w:after="0" w:line="281" w:lineRule="auto"/>
        <w:rPr>
          <w:sz w:val="20"/>
          <w:szCs w:val="20"/>
          <w:color w:val="auto"/>
        </w:rPr>
      </w:pPr>
      <w:r>
        <w:rPr>
          <w:rFonts w:ascii="Arial" w:cs="Arial" w:eastAsia="Arial" w:hAnsi="Arial"/>
          <w:sz w:val="14"/>
          <w:szCs w:val="14"/>
          <w:color w:val="auto"/>
        </w:rPr>
        <w:t>Temporary differences which give rise to deferred income tax assets and (liabilities) on December 29, 2018 and December 30, 2017 are as follows (in thousands):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722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330"/>
              <w:spacing w:after="0"/>
              <w:rPr>
                <w:sz w:val="20"/>
                <w:szCs w:val="20"/>
                <w:color w:val="auto"/>
              </w:rPr>
            </w:pPr>
            <w:r>
              <w:rPr>
                <w:rFonts w:ascii="Arial" w:cs="Arial" w:eastAsia="Arial" w:hAnsi="Arial"/>
                <w:sz w:val="11"/>
                <w:szCs w:val="11"/>
                <w:b w:val="1"/>
                <w:bCs w:val="1"/>
                <w:color w:val="auto"/>
              </w:rPr>
              <w:t>2018</w:t>
            </w:r>
          </w:p>
        </w:tc>
        <w:tc>
          <w:tcPr>
            <w:tcW w:w="3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250"/>
              <w:spacing w:after="0"/>
              <w:rPr>
                <w:sz w:val="20"/>
                <w:szCs w:val="20"/>
                <w:color w:val="auto"/>
              </w:rPr>
            </w:pPr>
            <w:r>
              <w:rPr>
                <w:rFonts w:ascii="Arial" w:cs="Arial" w:eastAsia="Arial" w:hAnsi="Arial"/>
                <w:sz w:val="11"/>
                <w:szCs w:val="11"/>
                <w:b w:val="1"/>
                <w:bCs w:val="1"/>
                <w:color w:val="auto"/>
              </w:rPr>
              <w:t>2017</w:t>
            </w:r>
          </w:p>
        </w:tc>
      </w:tr>
      <w:tr>
        <w:trPr>
          <w:trHeight w:val="170"/>
        </w:trPr>
        <w:tc>
          <w:tcPr>
            <w:tcW w:w="7220" w:type="dxa"/>
            <w:vAlign w:val="bottom"/>
            <w:shd w:val="clear" w:color="auto" w:fill="CCEEFF"/>
          </w:tcPr>
          <w:p>
            <w:pPr>
              <w:spacing w:after="0"/>
              <w:rPr>
                <w:sz w:val="20"/>
                <w:szCs w:val="20"/>
                <w:color w:val="auto"/>
              </w:rPr>
            </w:pPr>
            <w:r>
              <w:rPr>
                <w:rFonts w:ascii="Arial" w:cs="Arial" w:eastAsia="Arial" w:hAnsi="Arial"/>
                <w:sz w:val="14"/>
                <w:szCs w:val="14"/>
                <w:color w:val="auto"/>
              </w:rPr>
              <w:t>Employee benefits</w:t>
            </w: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20,914</w:t>
            </w:r>
          </w:p>
        </w:tc>
        <w:tc>
          <w:tcPr>
            <w:tcW w:w="3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17,048</w:t>
            </w:r>
          </w:p>
        </w:tc>
      </w:tr>
      <w:tr>
        <w:trPr>
          <w:trHeight w:val="170"/>
        </w:trPr>
        <w:tc>
          <w:tcPr>
            <w:tcW w:w="7220" w:type="dxa"/>
            <w:vAlign w:val="bottom"/>
          </w:tcPr>
          <w:p>
            <w:pPr>
              <w:spacing w:after="0"/>
              <w:rPr>
                <w:sz w:val="20"/>
                <w:szCs w:val="20"/>
                <w:color w:val="auto"/>
              </w:rPr>
            </w:pPr>
            <w:r>
              <w:rPr>
                <w:rFonts w:ascii="Arial" w:cs="Arial" w:eastAsia="Arial" w:hAnsi="Arial"/>
                <w:sz w:val="14"/>
                <w:szCs w:val="14"/>
                <w:color w:val="auto"/>
              </w:rPr>
              <w:t>Net operating loss carryforwards</w:t>
            </w:r>
          </w:p>
        </w:tc>
        <w:tc>
          <w:tcPr>
            <w:tcW w:w="180" w:type="dxa"/>
            <w:vAlign w:val="bottom"/>
          </w:tcPr>
          <w:p>
            <w:pPr>
              <w:spacing w:after="0"/>
              <w:rPr>
                <w:sz w:val="14"/>
                <w:szCs w:val="14"/>
                <w:color w:val="auto"/>
              </w:rPr>
            </w:pPr>
          </w:p>
        </w:tc>
        <w:tc>
          <w:tcPr>
            <w:tcW w:w="740" w:type="dxa"/>
            <w:vAlign w:val="bottom"/>
          </w:tcPr>
          <w:p>
            <w:pPr>
              <w:jc w:val="right"/>
              <w:ind w:right="50"/>
              <w:spacing w:after="0"/>
              <w:rPr>
                <w:sz w:val="20"/>
                <w:szCs w:val="20"/>
                <w:color w:val="auto"/>
              </w:rPr>
            </w:pPr>
            <w:r>
              <w:rPr>
                <w:rFonts w:ascii="Arial" w:cs="Arial" w:eastAsia="Arial" w:hAnsi="Arial"/>
                <w:sz w:val="14"/>
                <w:szCs w:val="14"/>
                <w:color w:val="auto"/>
              </w:rPr>
              <w:t>6,520</w:t>
            </w:r>
          </w:p>
        </w:tc>
        <w:tc>
          <w:tcPr>
            <w:tcW w:w="3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8,592</w:t>
            </w:r>
          </w:p>
        </w:tc>
      </w:tr>
      <w:tr>
        <w:trPr>
          <w:trHeight w:val="170"/>
        </w:trPr>
        <w:tc>
          <w:tcPr>
            <w:tcW w:w="7220" w:type="dxa"/>
            <w:vAlign w:val="bottom"/>
            <w:shd w:val="clear" w:color="auto" w:fill="CCEEFF"/>
          </w:tcPr>
          <w:p>
            <w:pPr>
              <w:spacing w:after="0"/>
              <w:rPr>
                <w:sz w:val="20"/>
                <w:szCs w:val="20"/>
                <w:color w:val="auto"/>
              </w:rPr>
            </w:pPr>
            <w:r>
              <w:rPr>
                <w:rFonts w:ascii="Arial" w:cs="Arial" w:eastAsia="Arial" w:hAnsi="Arial"/>
                <w:sz w:val="14"/>
                <w:szCs w:val="14"/>
                <w:color w:val="auto"/>
              </w:rPr>
              <w:t>Foreign subsidiary capital loss carryforward</w:t>
            </w: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504</w:t>
            </w:r>
          </w:p>
        </w:tc>
        <w:tc>
          <w:tcPr>
            <w:tcW w:w="3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546</w:t>
            </w:r>
          </w:p>
        </w:tc>
      </w:tr>
      <w:tr>
        <w:trPr>
          <w:trHeight w:val="170"/>
        </w:trPr>
        <w:tc>
          <w:tcPr>
            <w:tcW w:w="7220" w:type="dxa"/>
            <w:vAlign w:val="bottom"/>
          </w:tcPr>
          <w:p>
            <w:pPr>
              <w:spacing w:after="0"/>
              <w:rPr>
                <w:sz w:val="20"/>
                <w:szCs w:val="20"/>
                <w:color w:val="auto"/>
              </w:rPr>
            </w:pPr>
            <w:r>
              <w:rPr>
                <w:rFonts w:ascii="Arial" w:cs="Arial" w:eastAsia="Arial" w:hAnsi="Arial"/>
                <w:sz w:val="14"/>
                <w:szCs w:val="14"/>
                <w:color w:val="auto"/>
              </w:rPr>
              <w:t>Other tax credits</w:t>
            </w:r>
          </w:p>
        </w:tc>
        <w:tc>
          <w:tcPr>
            <w:tcW w:w="180" w:type="dxa"/>
            <w:vAlign w:val="bottom"/>
          </w:tcPr>
          <w:p>
            <w:pPr>
              <w:spacing w:after="0"/>
              <w:rPr>
                <w:sz w:val="14"/>
                <w:szCs w:val="14"/>
                <w:color w:val="auto"/>
              </w:rPr>
            </w:pPr>
          </w:p>
        </w:tc>
        <w:tc>
          <w:tcPr>
            <w:tcW w:w="740" w:type="dxa"/>
            <w:vAlign w:val="bottom"/>
          </w:tcPr>
          <w:p>
            <w:pPr>
              <w:jc w:val="right"/>
              <w:ind w:right="50"/>
              <w:spacing w:after="0"/>
              <w:rPr>
                <w:sz w:val="20"/>
                <w:szCs w:val="20"/>
                <w:color w:val="auto"/>
              </w:rPr>
            </w:pPr>
            <w:r>
              <w:rPr>
                <w:rFonts w:ascii="Arial" w:cs="Arial" w:eastAsia="Arial" w:hAnsi="Arial"/>
                <w:sz w:val="14"/>
                <w:szCs w:val="14"/>
                <w:color w:val="auto"/>
              </w:rPr>
              <w:t>586</w:t>
            </w:r>
          </w:p>
        </w:tc>
        <w:tc>
          <w:tcPr>
            <w:tcW w:w="3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709</w:t>
            </w:r>
          </w:p>
        </w:tc>
      </w:tr>
      <w:tr>
        <w:trPr>
          <w:trHeight w:val="170"/>
        </w:trPr>
        <w:tc>
          <w:tcPr>
            <w:tcW w:w="7220" w:type="dxa"/>
            <w:vAlign w:val="bottom"/>
            <w:shd w:val="clear" w:color="auto" w:fill="CCEEFF"/>
          </w:tcPr>
          <w:p>
            <w:pPr>
              <w:spacing w:after="0"/>
              <w:rPr>
                <w:sz w:val="20"/>
                <w:szCs w:val="20"/>
                <w:color w:val="auto"/>
              </w:rPr>
            </w:pPr>
            <w:r>
              <w:rPr>
                <w:rFonts w:ascii="Arial" w:cs="Arial" w:eastAsia="Arial" w:hAnsi="Arial"/>
                <w:sz w:val="14"/>
                <w:szCs w:val="14"/>
                <w:color w:val="auto"/>
              </w:rPr>
              <w:t>Inventory</w:t>
            </w: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1,090</w:t>
            </w:r>
          </w:p>
        </w:tc>
        <w:tc>
          <w:tcPr>
            <w:tcW w:w="3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358</w:t>
            </w:r>
          </w:p>
        </w:tc>
      </w:tr>
      <w:tr>
        <w:trPr>
          <w:trHeight w:val="170"/>
        </w:trPr>
        <w:tc>
          <w:tcPr>
            <w:tcW w:w="7220" w:type="dxa"/>
            <w:vAlign w:val="bottom"/>
          </w:tcPr>
          <w:p>
            <w:pPr>
              <w:spacing w:after="0"/>
              <w:rPr>
                <w:sz w:val="20"/>
                <w:szCs w:val="20"/>
                <w:color w:val="auto"/>
              </w:rPr>
            </w:pPr>
            <w:r>
              <w:rPr>
                <w:rFonts w:ascii="Arial" w:cs="Arial" w:eastAsia="Arial" w:hAnsi="Arial"/>
                <w:sz w:val="14"/>
                <w:szCs w:val="14"/>
                <w:color w:val="auto"/>
              </w:rPr>
              <w:t>Reserves on receivables</w:t>
            </w:r>
          </w:p>
        </w:tc>
        <w:tc>
          <w:tcPr>
            <w:tcW w:w="180" w:type="dxa"/>
            <w:vAlign w:val="bottom"/>
          </w:tcPr>
          <w:p>
            <w:pPr>
              <w:spacing w:after="0"/>
              <w:rPr>
                <w:sz w:val="14"/>
                <w:szCs w:val="14"/>
                <w:color w:val="auto"/>
              </w:rPr>
            </w:pPr>
          </w:p>
        </w:tc>
        <w:tc>
          <w:tcPr>
            <w:tcW w:w="740" w:type="dxa"/>
            <w:vAlign w:val="bottom"/>
          </w:tcPr>
          <w:p>
            <w:pPr>
              <w:jc w:val="right"/>
              <w:ind w:right="50"/>
              <w:spacing w:after="0"/>
              <w:rPr>
                <w:sz w:val="20"/>
                <w:szCs w:val="20"/>
                <w:color w:val="auto"/>
              </w:rPr>
            </w:pPr>
            <w:r>
              <w:rPr>
                <w:rFonts w:ascii="Arial" w:cs="Arial" w:eastAsia="Arial" w:hAnsi="Arial"/>
                <w:sz w:val="14"/>
                <w:szCs w:val="14"/>
                <w:color w:val="auto"/>
              </w:rPr>
              <w:t>802</w:t>
            </w:r>
          </w:p>
        </w:tc>
        <w:tc>
          <w:tcPr>
            <w:tcW w:w="3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714</w:t>
            </w:r>
          </w:p>
        </w:tc>
      </w:tr>
      <w:tr>
        <w:trPr>
          <w:trHeight w:val="170"/>
        </w:trPr>
        <w:tc>
          <w:tcPr>
            <w:tcW w:w="7220" w:type="dxa"/>
            <w:vAlign w:val="bottom"/>
            <w:shd w:val="clear" w:color="auto" w:fill="CCEEFF"/>
          </w:tcPr>
          <w:p>
            <w:pPr>
              <w:spacing w:after="0"/>
              <w:rPr>
                <w:sz w:val="20"/>
                <w:szCs w:val="20"/>
                <w:color w:val="auto"/>
              </w:rPr>
            </w:pPr>
            <w:r>
              <w:rPr>
                <w:rFonts w:ascii="Arial" w:cs="Arial" w:eastAsia="Arial" w:hAnsi="Arial"/>
                <w:sz w:val="14"/>
                <w:szCs w:val="14"/>
                <w:color w:val="auto"/>
              </w:rPr>
              <w:t>Accrued expenses</w:t>
            </w: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1,593</w:t>
            </w:r>
          </w:p>
        </w:tc>
        <w:tc>
          <w:tcPr>
            <w:tcW w:w="3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2,060</w:t>
            </w:r>
          </w:p>
        </w:tc>
      </w:tr>
      <w:tr>
        <w:trPr>
          <w:trHeight w:val="171"/>
        </w:trPr>
        <w:tc>
          <w:tcPr>
            <w:tcW w:w="722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Other, net</w:t>
            </w: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2,785</w:t>
            </w:r>
          </w:p>
        </w:tc>
        <w:tc>
          <w:tcPr>
            <w:tcW w:w="3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1,879</w:t>
            </w:r>
          </w:p>
        </w:tc>
      </w:tr>
      <w:tr>
        <w:trPr>
          <w:trHeight w:val="170"/>
        </w:trPr>
        <w:tc>
          <w:tcPr>
            <w:tcW w:w="7220" w:type="dxa"/>
            <w:vAlign w:val="bottom"/>
            <w:shd w:val="clear" w:color="auto" w:fill="CCEEFF"/>
          </w:tcPr>
          <w:p>
            <w:pPr>
              <w:spacing w:after="0"/>
              <w:rPr>
                <w:sz w:val="20"/>
                <w:szCs w:val="20"/>
                <w:color w:val="auto"/>
              </w:rPr>
            </w:pPr>
            <w:r>
              <w:rPr>
                <w:rFonts w:ascii="Arial" w:cs="Arial" w:eastAsia="Arial" w:hAnsi="Arial"/>
                <w:sz w:val="14"/>
                <w:szCs w:val="14"/>
                <w:color w:val="auto"/>
              </w:rPr>
              <w:t>Gross deferred income tax assets</w:t>
            </w: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34,794</w:t>
            </w:r>
          </w:p>
        </w:tc>
        <w:tc>
          <w:tcPr>
            <w:tcW w:w="3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31,906</w:t>
            </w:r>
          </w:p>
        </w:tc>
      </w:tr>
      <w:tr>
        <w:trPr>
          <w:trHeight w:val="171"/>
        </w:trPr>
        <w:tc>
          <w:tcPr>
            <w:tcW w:w="722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Valuation allowance</w:t>
            </w: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(2,707)</w:t>
            </w:r>
          </w:p>
        </w:tc>
        <w:tc>
          <w:tcPr>
            <w:tcW w:w="3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(4,706)</w:t>
            </w:r>
          </w:p>
        </w:tc>
      </w:tr>
      <w:tr>
        <w:trPr>
          <w:trHeight w:val="170"/>
        </w:trPr>
        <w:tc>
          <w:tcPr>
            <w:tcW w:w="7220" w:type="dxa"/>
            <w:vAlign w:val="bottom"/>
            <w:shd w:val="clear" w:color="auto" w:fill="CCEEFF"/>
          </w:tcPr>
          <w:p>
            <w:pPr>
              <w:spacing w:after="0"/>
              <w:rPr>
                <w:sz w:val="20"/>
                <w:szCs w:val="20"/>
                <w:color w:val="auto"/>
              </w:rPr>
            </w:pPr>
            <w:r>
              <w:rPr>
                <w:rFonts w:ascii="Arial" w:cs="Arial" w:eastAsia="Arial" w:hAnsi="Arial"/>
                <w:sz w:val="14"/>
                <w:szCs w:val="14"/>
                <w:color w:val="auto"/>
              </w:rPr>
              <w:t>Deferred income tax assets</w:t>
            </w: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32,087</w:t>
            </w:r>
          </w:p>
        </w:tc>
        <w:tc>
          <w:tcPr>
            <w:tcW w:w="3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27,200</w:t>
            </w:r>
          </w:p>
        </w:tc>
      </w:tr>
      <w:tr>
        <w:trPr>
          <w:trHeight w:val="170"/>
        </w:trPr>
        <w:tc>
          <w:tcPr>
            <w:tcW w:w="7220" w:type="dxa"/>
            <w:vAlign w:val="bottom"/>
          </w:tcPr>
          <w:p>
            <w:pPr>
              <w:spacing w:after="0"/>
              <w:rPr>
                <w:sz w:val="20"/>
                <w:szCs w:val="20"/>
                <w:color w:val="auto"/>
              </w:rPr>
            </w:pPr>
            <w:r>
              <w:rPr>
                <w:rFonts w:ascii="Arial" w:cs="Arial" w:eastAsia="Arial" w:hAnsi="Arial"/>
                <w:sz w:val="14"/>
                <w:szCs w:val="14"/>
                <w:color w:val="auto"/>
              </w:rPr>
              <w:t>Depreciation</w:t>
            </w:r>
          </w:p>
        </w:tc>
        <w:tc>
          <w:tcPr>
            <w:tcW w:w="180" w:type="dxa"/>
            <w:vAlign w:val="bottom"/>
          </w:tcPr>
          <w:p>
            <w:pPr>
              <w:spacing w:after="0"/>
              <w:rPr>
                <w:sz w:val="14"/>
                <w:szCs w:val="14"/>
                <w:color w:val="auto"/>
              </w:rPr>
            </w:pPr>
          </w:p>
        </w:tc>
        <w:tc>
          <w:tcPr>
            <w:tcW w:w="740" w:type="dxa"/>
            <w:vAlign w:val="bottom"/>
          </w:tcPr>
          <w:p>
            <w:pPr>
              <w:jc w:val="right"/>
              <w:ind w:right="10"/>
              <w:spacing w:after="0"/>
              <w:rPr>
                <w:sz w:val="20"/>
                <w:szCs w:val="20"/>
                <w:color w:val="auto"/>
              </w:rPr>
            </w:pPr>
            <w:r>
              <w:rPr>
                <w:rFonts w:ascii="Arial" w:cs="Arial" w:eastAsia="Arial" w:hAnsi="Arial"/>
                <w:sz w:val="14"/>
                <w:szCs w:val="14"/>
                <w:color w:val="auto"/>
              </w:rPr>
              <w:t>(24,881)</w:t>
            </w:r>
          </w:p>
        </w:tc>
        <w:tc>
          <w:tcPr>
            <w:tcW w:w="3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(19,992)</w:t>
            </w:r>
          </w:p>
        </w:tc>
      </w:tr>
      <w:tr>
        <w:trPr>
          <w:trHeight w:val="170"/>
        </w:trPr>
        <w:tc>
          <w:tcPr>
            <w:tcW w:w="7220" w:type="dxa"/>
            <w:vAlign w:val="bottom"/>
            <w:shd w:val="clear" w:color="auto" w:fill="CCEEFF"/>
          </w:tcPr>
          <w:p>
            <w:pPr>
              <w:spacing w:after="0"/>
              <w:rPr>
                <w:sz w:val="20"/>
                <w:szCs w:val="20"/>
                <w:color w:val="auto"/>
              </w:rPr>
            </w:pPr>
            <w:r>
              <w:rPr>
                <w:rFonts w:ascii="Arial" w:cs="Arial" w:eastAsia="Arial" w:hAnsi="Arial"/>
                <w:sz w:val="14"/>
                <w:szCs w:val="14"/>
                <w:color w:val="auto"/>
              </w:rPr>
              <w:t>Intangibles</w:t>
            </w: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(20,225)</w:t>
            </w:r>
          </w:p>
        </w:tc>
        <w:tc>
          <w:tcPr>
            <w:tcW w:w="3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(19,422)</w:t>
            </w:r>
          </w:p>
        </w:tc>
      </w:tr>
      <w:tr>
        <w:trPr>
          <w:trHeight w:val="171"/>
        </w:trPr>
        <w:tc>
          <w:tcPr>
            <w:tcW w:w="722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Other, net</w:t>
            </w: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190"/>
        </w:trPr>
        <w:tc>
          <w:tcPr>
            <w:tcW w:w="7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Deferred income tax liabilities</w:t>
            </w:r>
          </w:p>
        </w:tc>
        <w:tc>
          <w:tcPr>
            <w:tcW w:w="18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(45,106)</w:t>
            </w:r>
          </w:p>
        </w:tc>
        <w:tc>
          <w:tcPr>
            <w:tcW w:w="30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(39,414)</w:t>
            </w:r>
          </w:p>
        </w:tc>
      </w:tr>
      <w:tr>
        <w:trPr>
          <w:trHeight w:val="152"/>
        </w:trPr>
        <w:tc>
          <w:tcPr>
            <w:tcW w:w="7220" w:type="dxa"/>
            <w:vAlign w:val="bottom"/>
          </w:tcPr>
          <w:p>
            <w:pPr>
              <w:spacing w:after="0" w:line="151" w:lineRule="exact"/>
              <w:rPr>
                <w:sz w:val="20"/>
                <w:szCs w:val="20"/>
                <w:color w:val="auto"/>
              </w:rPr>
            </w:pPr>
            <w:r>
              <w:rPr>
                <w:rFonts w:ascii="Arial" w:cs="Arial" w:eastAsia="Arial" w:hAnsi="Arial"/>
                <w:sz w:val="14"/>
                <w:szCs w:val="14"/>
                <w:color w:val="auto"/>
              </w:rPr>
              <w:t>Net deferred income tax liability</w:t>
            </w:r>
          </w:p>
        </w:tc>
        <w:tc>
          <w:tcPr>
            <w:tcW w:w="180" w:type="dxa"/>
            <w:vAlign w:val="bottom"/>
            <w:tcBorders>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tcPr>
          <w:p>
            <w:pPr>
              <w:jc w:val="right"/>
              <w:ind w:right="10"/>
              <w:spacing w:after="0" w:line="151" w:lineRule="exact"/>
              <w:rPr>
                <w:sz w:val="20"/>
                <w:szCs w:val="20"/>
                <w:color w:val="auto"/>
              </w:rPr>
            </w:pPr>
            <w:r>
              <w:rPr>
                <w:rFonts w:ascii="Arial" w:cs="Arial" w:eastAsia="Arial" w:hAnsi="Arial"/>
                <w:sz w:val="14"/>
                <w:szCs w:val="14"/>
                <w:color w:val="auto"/>
              </w:rPr>
              <w:t>(13,019)</w:t>
            </w:r>
          </w:p>
        </w:tc>
        <w:tc>
          <w:tcPr>
            <w:tcW w:w="300" w:type="dxa"/>
            <w:vAlign w:val="bottom"/>
            <w:tcBorders>
              <w:bottom w:val="single" w:sz="8" w:color="auto"/>
            </w:tcBorders>
          </w:tcPr>
          <w:p>
            <w:pPr>
              <w:jc w:val="right"/>
              <w:ind w:right="49"/>
              <w:spacing w:after="0" w:line="151" w:lineRule="exact"/>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(12,214)</w:t>
            </w:r>
          </w:p>
        </w:tc>
      </w:tr>
    </w:tbl>
    <w:p>
      <w:pPr>
        <w:spacing w:after="0" w:line="329" w:lineRule="exact"/>
        <w:rPr>
          <w:sz w:val="20"/>
          <w:szCs w:val="20"/>
          <w:color w:val="auto"/>
        </w:rPr>
      </w:pPr>
    </w:p>
    <w:p>
      <w:pPr>
        <w:jc w:val="both"/>
        <w:ind w:firstLine="510"/>
        <w:spacing w:after="0" w:line="281" w:lineRule="auto"/>
        <w:rPr>
          <w:sz w:val="20"/>
          <w:szCs w:val="20"/>
          <w:color w:val="auto"/>
        </w:rPr>
      </w:pPr>
      <w:r>
        <w:rPr>
          <w:rFonts w:ascii="Arial" w:cs="Arial" w:eastAsia="Arial" w:hAnsi="Arial"/>
          <w:sz w:val="14"/>
          <w:szCs w:val="14"/>
          <w:color w:val="auto"/>
        </w:rPr>
        <w:t>As of December 29, 2018, the company had federal, state and foreign net operating loss carryforwards of $6.5 million and state tax credit carryforwards of $0.4 million, which will expire at various dates.</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color w:val="auto"/>
        </w:rPr>
        <w:t>The NOL and credit carryforwards expire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300" w:type="dxa"/>
            <w:vAlign w:val="bottom"/>
          </w:tcPr>
          <w:p>
            <w:pPr>
              <w:spacing w:after="0"/>
              <w:rPr>
                <w:sz w:val="11"/>
                <w:szCs w:val="11"/>
                <w:color w:val="auto"/>
              </w:rPr>
            </w:pPr>
          </w:p>
        </w:tc>
        <w:tc>
          <w:tcPr>
            <w:tcW w:w="51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460" w:type="dxa"/>
            <w:vAlign w:val="bottom"/>
            <w:tcBorders>
              <w:bottom w:val="single" w:sz="8" w:color="auto"/>
            </w:tcBorders>
            <w:gridSpan w:val="4"/>
          </w:tcPr>
          <w:p>
            <w:pPr>
              <w:jc w:val="right"/>
              <w:spacing w:after="0"/>
              <w:rPr>
                <w:sz w:val="20"/>
                <w:szCs w:val="20"/>
                <w:color w:val="auto"/>
              </w:rPr>
            </w:pPr>
            <w:r>
              <w:rPr>
                <w:rFonts w:ascii="Arial" w:cs="Arial" w:eastAsia="Arial" w:hAnsi="Arial"/>
                <w:sz w:val="11"/>
                <w:szCs w:val="11"/>
                <w:b w:val="1"/>
                <w:bCs w:val="1"/>
                <w:color w:val="auto"/>
              </w:rPr>
              <w:t>Net Operating Losses</w:t>
            </w:r>
          </w:p>
        </w:tc>
        <w:tc>
          <w:tcPr>
            <w:tcW w:w="52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gridSpan w:val="3"/>
          </w:tcPr>
          <w:p>
            <w:pPr>
              <w:spacing w:after="0"/>
              <w:rPr>
                <w:sz w:val="20"/>
                <w:szCs w:val="20"/>
                <w:color w:val="auto"/>
              </w:rPr>
            </w:pPr>
            <w:r>
              <w:rPr>
                <w:rFonts w:ascii="Arial" w:cs="Arial" w:eastAsia="Arial" w:hAnsi="Arial"/>
                <w:sz w:val="11"/>
                <w:szCs w:val="11"/>
                <w:b w:val="1"/>
                <w:bCs w:val="1"/>
                <w:color w:val="auto"/>
              </w:rPr>
              <w:t>Tax Credits</w:t>
            </w:r>
          </w:p>
        </w:tc>
      </w:tr>
      <w:tr>
        <w:trPr>
          <w:trHeight w:val="118"/>
        </w:trPr>
        <w:tc>
          <w:tcPr>
            <w:tcW w:w="300" w:type="dxa"/>
            <w:vAlign w:val="bottom"/>
            <w:tcBorders>
              <w:bottom w:val="single" w:sz="8" w:color="CCEEFF"/>
            </w:tcBorders>
          </w:tcPr>
          <w:p>
            <w:pPr>
              <w:spacing w:after="0"/>
              <w:rPr>
                <w:sz w:val="10"/>
                <w:szCs w:val="10"/>
                <w:color w:val="auto"/>
              </w:rPr>
            </w:pPr>
          </w:p>
        </w:tc>
        <w:tc>
          <w:tcPr>
            <w:tcW w:w="5100" w:type="dxa"/>
            <w:vAlign w:val="bottom"/>
            <w:tcBorders>
              <w:bottom w:val="single" w:sz="8" w:color="CCEEFF"/>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ind w:right="193"/>
              <w:spacing w:after="0" w:line="117" w:lineRule="exact"/>
              <w:rPr>
                <w:sz w:val="20"/>
                <w:szCs w:val="20"/>
                <w:color w:val="auto"/>
              </w:rPr>
            </w:pPr>
            <w:r>
              <w:rPr>
                <w:rFonts w:ascii="Arial" w:cs="Arial" w:eastAsia="Arial" w:hAnsi="Arial"/>
                <w:sz w:val="11"/>
                <w:szCs w:val="11"/>
                <w:b w:val="1"/>
                <w:bCs w:val="1"/>
                <w:color w:val="auto"/>
              </w:rPr>
              <w:t>U.S.</w:t>
            </w:r>
          </w:p>
        </w:tc>
        <w:tc>
          <w:tcPr>
            <w:tcW w:w="22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ind w:right="171"/>
              <w:spacing w:after="0" w:line="117" w:lineRule="exact"/>
              <w:rPr>
                <w:sz w:val="20"/>
                <w:szCs w:val="20"/>
                <w:color w:val="auto"/>
              </w:rPr>
            </w:pPr>
            <w:r>
              <w:rPr>
                <w:rFonts w:ascii="Arial" w:cs="Arial" w:eastAsia="Arial" w:hAnsi="Arial"/>
                <w:sz w:val="11"/>
                <w:szCs w:val="11"/>
                <w:b w:val="1"/>
                <w:bCs w:val="1"/>
                <w:color w:val="auto"/>
              </w:rPr>
              <w:t>State</w:t>
            </w:r>
          </w:p>
        </w:tc>
        <w:tc>
          <w:tcPr>
            <w:tcW w:w="1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ind w:right="51"/>
              <w:spacing w:after="0" w:line="117" w:lineRule="exact"/>
              <w:rPr>
                <w:sz w:val="20"/>
                <w:szCs w:val="20"/>
                <w:color w:val="auto"/>
              </w:rPr>
            </w:pPr>
            <w:r>
              <w:rPr>
                <w:rFonts w:ascii="Arial" w:cs="Arial" w:eastAsia="Arial" w:hAnsi="Arial"/>
                <w:sz w:val="11"/>
                <w:szCs w:val="11"/>
                <w:b w:val="1"/>
                <w:bCs w:val="1"/>
                <w:color w:val="auto"/>
                <w:w w:val="94"/>
              </w:rPr>
              <w:t>Foreign</w:t>
            </w:r>
          </w:p>
        </w:tc>
        <w:tc>
          <w:tcPr>
            <w:tcW w:w="160" w:type="dxa"/>
            <w:vAlign w:val="bottom"/>
            <w:tcBorders>
              <w:bottom w:val="single" w:sz="8" w:color="CCEEFF"/>
            </w:tcBorders>
          </w:tcPr>
          <w:p>
            <w:pPr>
              <w:spacing w:after="0"/>
              <w:rPr>
                <w:sz w:val="10"/>
                <w:szCs w:val="10"/>
                <w:color w:val="auto"/>
              </w:rPr>
            </w:pPr>
          </w:p>
        </w:tc>
        <w:tc>
          <w:tcPr>
            <w:tcW w:w="420" w:type="dxa"/>
            <w:vAlign w:val="bottom"/>
            <w:tcBorders>
              <w:bottom w:val="single" w:sz="8" w:color="auto"/>
            </w:tcBorders>
          </w:tcPr>
          <w:p>
            <w:pPr>
              <w:jc w:val="right"/>
              <w:spacing w:after="0" w:line="117" w:lineRule="exact"/>
              <w:rPr>
                <w:sz w:val="20"/>
                <w:szCs w:val="20"/>
                <w:color w:val="auto"/>
              </w:rPr>
            </w:pPr>
            <w:r>
              <w:rPr>
                <w:rFonts w:ascii="Arial" w:cs="Arial" w:eastAsia="Arial" w:hAnsi="Arial"/>
                <w:sz w:val="11"/>
                <w:szCs w:val="11"/>
                <w:b w:val="1"/>
                <w:bCs w:val="1"/>
                <w:color w:val="auto"/>
              </w:rPr>
              <w:t>U.S.</w:t>
            </w:r>
          </w:p>
        </w:tc>
        <w:tc>
          <w:tcPr>
            <w:tcW w:w="2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ind w:right="131"/>
              <w:spacing w:after="0" w:line="117" w:lineRule="exact"/>
              <w:rPr>
                <w:sz w:val="20"/>
                <w:szCs w:val="20"/>
                <w:color w:val="auto"/>
              </w:rPr>
            </w:pPr>
            <w:r>
              <w:rPr>
                <w:rFonts w:ascii="Arial" w:cs="Arial" w:eastAsia="Arial" w:hAnsi="Arial"/>
                <w:sz w:val="11"/>
                <w:szCs w:val="11"/>
                <w:b w:val="1"/>
                <w:bCs w:val="1"/>
                <w:color w:val="auto"/>
              </w:rPr>
              <w:t>State</w:t>
            </w:r>
          </w:p>
        </w:tc>
      </w:tr>
      <w:tr>
        <w:trPr>
          <w:trHeight w:val="170"/>
        </w:trPr>
        <w:tc>
          <w:tcPr>
            <w:tcW w:w="300" w:type="dxa"/>
            <w:vAlign w:val="bottom"/>
            <w:shd w:val="clear" w:color="auto" w:fill="CCEEFF"/>
          </w:tcPr>
          <w:p>
            <w:pPr>
              <w:spacing w:after="0"/>
              <w:rPr>
                <w:sz w:val="20"/>
                <w:szCs w:val="20"/>
                <w:color w:val="auto"/>
              </w:rPr>
            </w:pPr>
            <w:r>
              <w:rPr>
                <w:rFonts w:ascii="Arial" w:cs="Arial" w:eastAsia="Arial" w:hAnsi="Arial"/>
                <w:sz w:val="14"/>
                <w:szCs w:val="14"/>
                <w:color w:val="auto"/>
                <w:w w:val="89"/>
              </w:rPr>
              <w:t>2018</w:t>
            </w:r>
          </w:p>
        </w:tc>
        <w:tc>
          <w:tcPr>
            <w:tcW w:w="5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 2022</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52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165</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347</w:t>
            </w:r>
          </w:p>
        </w:tc>
        <w:tc>
          <w:tcPr>
            <w:tcW w:w="16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307"/>
              <w:spacing w:after="0"/>
              <w:rPr>
                <w:sz w:val="20"/>
                <w:szCs w:val="20"/>
                <w:color w:val="auto"/>
              </w:rPr>
            </w:pPr>
            <w:r>
              <w:rPr>
                <w:rFonts w:ascii="Arial" w:cs="Arial" w:eastAsia="Arial" w:hAnsi="Arial"/>
                <w:sz w:val="10"/>
                <w:szCs w:val="10"/>
                <w:color w:val="auto"/>
                <w:w w:val="71"/>
              </w:rPr>
              <w:t>$</w:t>
            </w:r>
          </w:p>
        </w:tc>
        <w:tc>
          <w:tcPr>
            <w:tcW w:w="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381</w:t>
            </w:r>
          </w:p>
        </w:tc>
      </w:tr>
      <w:tr>
        <w:trPr>
          <w:trHeight w:val="170"/>
        </w:trPr>
        <w:tc>
          <w:tcPr>
            <w:tcW w:w="300" w:type="dxa"/>
            <w:vAlign w:val="bottom"/>
          </w:tcPr>
          <w:p>
            <w:pPr>
              <w:spacing w:after="0"/>
              <w:rPr>
                <w:sz w:val="20"/>
                <w:szCs w:val="20"/>
                <w:color w:val="auto"/>
              </w:rPr>
            </w:pPr>
            <w:r>
              <w:rPr>
                <w:rFonts w:ascii="Arial" w:cs="Arial" w:eastAsia="Arial" w:hAnsi="Arial"/>
                <w:sz w:val="14"/>
                <w:szCs w:val="14"/>
                <w:color w:val="auto"/>
                <w:w w:val="89"/>
              </w:rPr>
              <w:t>2023</w:t>
            </w:r>
          </w:p>
        </w:tc>
        <w:tc>
          <w:tcPr>
            <w:tcW w:w="5100" w:type="dxa"/>
            <w:vAlign w:val="bottom"/>
          </w:tcPr>
          <w:p>
            <w:pPr>
              <w:ind w:left="20"/>
              <w:spacing w:after="0"/>
              <w:rPr>
                <w:sz w:val="20"/>
                <w:szCs w:val="20"/>
                <w:color w:val="auto"/>
              </w:rPr>
            </w:pPr>
            <w:r>
              <w:rPr>
                <w:rFonts w:ascii="Arial" w:cs="Arial" w:eastAsia="Arial" w:hAnsi="Arial"/>
                <w:sz w:val="14"/>
                <w:szCs w:val="14"/>
                <w:color w:val="auto"/>
              </w:rPr>
              <w:t>- 2027</w:t>
            </w:r>
          </w:p>
        </w:tc>
        <w:tc>
          <w:tcPr>
            <w:tcW w:w="140" w:type="dxa"/>
            <w:vAlign w:val="bottom"/>
          </w:tcPr>
          <w:p>
            <w:pPr>
              <w:spacing w:after="0"/>
              <w:rPr>
                <w:sz w:val="14"/>
                <w:szCs w:val="14"/>
                <w:color w:val="auto"/>
              </w:rPr>
            </w:pPr>
          </w:p>
        </w:tc>
        <w:tc>
          <w:tcPr>
            <w:tcW w:w="520" w:type="dxa"/>
            <w:vAlign w:val="bottom"/>
          </w:tcPr>
          <w:p>
            <w:pPr>
              <w:jc w:val="right"/>
              <w:ind w:right="33"/>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540" w:type="dxa"/>
            <w:vAlign w:val="bottom"/>
          </w:tcPr>
          <w:p>
            <w:pPr>
              <w:jc w:val="right"/>
              <w:ind w:right="31"/>
              <w:spacing w:after="0"/>
              <w:rPr>
                <w:sz w:val="20"/>
                <w:szCs w:val="20"/>
                <w:color w:val="auto"/>
              </w:rPr>
            </w:pPr>
            <w:r>
              <w:rPr>
                <w:rFonts w:ascii="Arial" w:cs="Arial" w:eastAsia="Arial" w:hAnsi="Arial"/>
                <w:sz w:val="14"/>
                <w:szCs w:val="14"/>
                <w:color w:val="auto"/>
              </w:rPr>
              <w:t>526</w:t>
            </w:r>
          </w:p>
        </w:tc>
        <w:tc>
          <w:tcPr>
            <w:tcW w:w="1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635</w:t>
            </w: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ind w:left="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70"/>
        </w:trPr>
        <w:tc>
          <w:tcPr>
            <w:tcW w:w="300" w:type="dxa"/>
            <w:vAlign w:val="bottom"/>
            <w:shd w:val="clear" w:color="auto" w:fill="CCEEFF"/>
          </w:tcPr>
          <w:p>
            <w:pPr>
              <w:spacing w:after="0"/>
              <w:rPr>
                <w:sz w:val="20"/>
                <w:szCs w:val="20"/>
                <w:color w:val="auto"/>
              </w:rPr>
            </w:pPr>
            <w:r>
              <w:rPr>
                <w:rFonts w:ascii="Arial" w:cs="Arial" w:eastAsia="Arial" w:hAnsi="Arial"/>
                <w:sz w:val="14"/>
                <w:szCs w:val="14"/>
                <w:color w:val="auto"/>
                <w:w w:val="89"/>
              </w:rPr>
              <w:t>2028</w:t>
            </w:r>
          </w:p>
        </w:tc>
        <w:tc>
          <w:tcPr>
            <w:tcW w:w="5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- 2032</w:t>
            </w: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2,859</w:t>
            </w:r>
          </w:p>
        </w:tc>
        <w:tc>
          <w:tcPr>
            <w:tcW w:w="22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672</w:t>
            </w:r>
          </w:p>
        </w:tc>
        <w:tc>
          <w:tcPr>
            <w:tcW w:w="18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w:t>
            </w:r>
          </w:p>
        </w:tc>
        <w:tc>
          <w:tcPr>
            <w:tcW w:w="1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70"/>
        </w:trPr>
        <w:tc>
          <w:tcPr>
            <w:tcW w:w="300" w:type="dxa"/>
            <w:vAlign w:val="bottom"/>
          </w:tcPr>
          <w:p>
            <w:pPr>
              <w:spacing w:after="0"/>
              <w:rPr>
                <w:sz w:val="20"/>
                <w:szCs w:val="20"/>
                <w:color w:val="auto"/>
              </w:rPr>
            </w:pPr>
            <w:r>
              <w:rPr>
                <w:rFonts w:ascii="Arial" w:cs="Arial" w:eastAsia="Arial" w:hAnsi="Arial"/>
                <w:sz w:val="14"/>
                <w:szCs w:val="14"/>
                <w:color w:val="auto"/>
                <w:w w:val="89"/>
              </w:rPr>
              <w:t>2033</w:t>
            </w:r>
          </w:p>
        </w:tc>
        <w:tc>
          <w:tcPr>
            <w:tcW w:w="5100" w:type="dxa"/>
            <w:vAlign w:val="bottom"/>
          </w:tcPr>
          <w:p>
            <w:pPr>
              <w:ind w:left="20"/>
              <w:spacing w:after="0"/>
              <w:rPr>
                <w:sz w:val="20"/>
                <w:szCs w:val="20"/>
                <w:color w:val="auto"/>
              </w:rPr>
            </w:pPr>
            <w:r>
              <w:rPr>
                <w:rFonts w:ascii="Arial" w:cs="Arial" w:eastAsia="Arial" w:hAnsi="Arial"/>
                <w:sz w:val="14"/>
                <w:szCs w:val="14"/>
                <w:color w:val="auto"/>
              </w:rPr>
              <w:t>- 2037</w:t>
            </w:r>
          </w:p>
        </w:tc>
        <w:tc>
          <w:tcPr>
            <w:tcW w:w="140" w:type="dxa"/>
            <w:vAlign w:val="bottom"/>
          </w:tcPr>
          <w:p>
            <w:pPr>
              <w:spacing w:after="0"/>
              <w:rPr>
                <w:sz w:val="14"/>
                <w:szCs w:val="14"/>
                <w:color w:val="auto"/>
              </w:rPr>
            </w:pPr>
          </w:p>
        </w:tc>
        <w:tc>
          <w:tcPr>
            <w:tcW w:w="520" w:type="dxa"/>
            <w:vAlign w:val="bottom"/>
          </w:tcPr>
          <w:p>
            <w:pPr>
              <w:jc w:val="right"/>
              <w:ind w:right="33"/>
              <w:spacing w:after="0"/>
              <w:rPr>
                <w:sz w:val="20"/>
                <w:szCs w:val="20"/>
                <w:color w:val="auto"/>
              </w:rPr>
            </w:pPr>
            <w:r>
              <w:rPr>
                <w:rFonts w:ascii="Arial" w:cs="Arial" w:eastAsia="Arial" w:hAnsi="Arial"/>
                <w:sz w:val="14"/>
                <w:szCs w:val="14"/>
                <w:color w:val="auto"/>
              </w:rPr>
              <w:t>41</w:t>
            </w:r>
          </w:p>
        </w:tc>
        <w:tc>
          <w:tcPr>
            <w:tcW w:w="220" w:type="dxa"/>
            <w:vAlign w:val="bottom"/>
          </w:tcPr>
          <w:p>
            <w:pPr>
              <w:spacing w:after="0"/>
              <w:rPr>
                <w:sz w:val="14"/>
                <w:szCs w:val="14"/>
                <w:color w:val="auto"/>
              </w:rPr>
            </w:pPr>
          </w:p>
        </w:tc>
        <w:tc>
          <w:tcPr>
            <w:tcW w:w="540" w:type="dxa"/>
            <w:vAlign w:val="bottom"/>
          </w:tcPr>
          <w:p>
            <w:pPr>
              <w:jc w:val="right"/>
              <w:ind w:right="31"/>
              <w:spacing w:after="0"/>
              <w:rPr>
                <w:sz w:val="20"/>
                <w:szCs w:val="20"/>
                <w:color w:val="auto"/>
              </w:rPr>
            </w:pPr>
            <w:r>
              <w:rPr>
                <w:rFonts w:ascii="Arial" w:cs="Arial" w:eastAsia="Arial" w:hAnsi="Arial"/>
                <w:sz w:val="14"/>
                <w:szCs w:val="14"/>
                <w:color w:val="auto"/>
              </w:rPr>
              <w:t>812</w:t>
            </w:r>
          </w:p>
        </w:tc>
        <w:tc>
          <w:tcPr>
            <w:tcW w:w="180" w:type="dxa"/>
            <w:vAlign w:val="bottom"/>
          </w:tcPr>
          <w:p>
            <w:pPr>
              <w:spacing w:after="0"/>
              <w:rPr>
                <w:sz w:val="14"/>
                <w:szCs w:val="14"/>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4"/>
                <w:szCs w:val="14"/>
                <w:color w:val="auto"/>
              </w:rPr>
            </w:pPr>
          </w:p>
        </w:tc>
        <w:tc>
          <w:tcPr>
            <w:tcW w:w="260" w:type="dxa"/>
            <w:vAlign w:val="bottom"/>
          </w:tcPr>
          <w:p>
            <w:pPr>
              <w:ind w:left="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0"/>
        </w:trPr>
        <w:tc>
          <w:tcPr>
            <w:tcW w:w="5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Thereafter</w:t>
            </w:r>
          </w:p>
        </w:tc>
        <w:tc>
          <w:tcPr>
            <w:tcW w:w="14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293</w:t>
            </w:r>
          </w:p>
        </w:tc>
        <w:tc>
          <w:tcPr>
            <w:tcW w:w="18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w:t>
            </w:r>
          </w:p>
        </w:tc>
        <w:tc>
          <w:tcPr>
            <w:tcW w:w="16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61"/>
        </w:trPr>
        <w:tc>
          <w:tcPr>
            <w:tcW w:w="300" w:type="dxa"/>
            <w:vAlign w:val="bottom"/>
          </w:tcPr>
          <w:p>
            <w:pPr>
              <w:spacing w:after="0"/>
              <w:rPr>
                <w:sz w:val="20"/>
                <w:szCs w:val="20"/>
                <w:color w:val="auto"/>
              </w:rPr>
            </w:pPr>
            <w:r>
              <w:rPr>
                <w:rFonts w:ascii="Arial" w:cs="Arial" w:eastAsia="Arial" w:hAnsi="Arial"/>
                <w:sz w:val="14"/>
                <w:szCs w:val="14"/>
                <w:color w:val="auto"/>
                <w:w w:val="89"/>
              </w:rPr>
              <w:t>Total</w:t>
            </w:r>
          </w:p>
        </w:tc>
        <w:tc>
          <w:tcPr>
            <w:tcW w:w="5100" w:type="dxa"/>
            <w:vAlign w:val="bottom"/>
          </w:tcPr>
          <w:p>
            <w:pPr>
              <w:spacing w:after="0"/>
              <w:rPr>
                <w:sz w:val="14"/>
                <w:szCs w:val="14"/>
                <w:color w:val="auto"/>
              </w:rPr>
            </w:pP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520" w:type="dxa"/>
            <w:vAlign w:val="bottom"/>
          </w:tcPr>
          <w:p>
            <w:pPr>
              <w:jc w:val="right"/>
              <w:ind w:right="33"/>
              <w:spacing w:after="0"/>
              <w:rPr>
                <w:sz w:val="20"/>
                <w:szCs w:val="20"/>
                <w:color w:val="auto"/>
              </w:rPr>
            </w:pPr>
            <w:r>
              <w:rPr>
                <w:rFonts w:ascii="Arial" w:cs="Arial" w:eastAsia="Arial" w:hAnsi="Arial"/>
                <w:sz w:val="14"/>
                <w:szCs w:val="14"/>
                <w:color w:val="auto"/>
              </w:rPr>
              <w:t>2,900</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31"/>
              <w:spacing w:after="0"/>
              <w:rPr>
                <w:sz w:val="20"/>
                <w:szCs w:val="20"/>
                <w:color w:val="auto"/>
              </w:rPr>
            </w:pPr>
            <w:r>
              <w:rPr>
                <w:rFonts w:ascii="Arial" w:cs="Arial" w:eastAsia="Arial" w:hAnsi="Arial"/>
                <w:sz w:val="14"/>
                <w:szCs w:val="14"/>
                <w:color w:val="auto"/>
              </w:rPr>
              <w:t>2,468</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1,152</w:t>
            </w:r>
          </w:p>
        </w:tc>
        <w:tc>
          <w:tcPr>
            <w:tcW w:w="160" w:type="dxa"/>
            <w:vAlign w:val="bottom"/>
          </w:tcPr>
          <w:p>
            <w:pPr>
              <w:spacing w:after="0"/>
              <w:rPr>
                <w:sz w:val="14"/>
                <w:szCs w:val="14"/>
                <w:color w:val="auto"/>
              </w:rPr>
            </w:pPr>
          </w:p>
        </w:tc>
        <w:tc>
          <w:tcPr>
            <w:tcW w:w="420" w:type="dxa"/>
            <w:vAlign w:val="bottom"/>
          </w:tcPr>
          <w:p>
            <w:pPr>
              <w:jc w:val="right"/>
              <w:ind w:right="307"/>
              <w:spacing w:after="0"/>
              <w:rPr>
                <w:sz w:val="20"/>
                <w:szCs w:val="20"/>
                <w:color w:val="auto"/>
              </w:rPr>
            </w:pPr>
            <w:r>
              <w:rPr>
                <w:rFonts w:ascii="Arial" w:cs="Arial" w:eastAsia="Arial" w:hAnsi="Arial"/>
                <w:sz w:val="10"/>
                <w:szCs w:val="10"/>
                <w:color w:val="auto"/>
                <w:w w:val="71"/>
              </w:rPr>
              <w:t>$</w:t>
            </w:r>
          </w:p>
        </w:tc>
        <w:tc>
          <w:tcPr>
            <w:tcW w:w="260" w:type="dxa"/>
            <w:vAlign w:val="bottom"/>
          </w:tcPr>
          <w:p>
            <w:pPr>
              <w:ind w:left="20"/>
              <w:spacing w:after="0"/>
              <w:rPr>
                <w:sz w:val="20"/>
                <w:szCs w:val="20"/>
                <w:color w:val="auto"/>
              </w:rPr>
            </w:pPr>
            <w:r>
              <w:rPr>
                <w:rFonts w:ascii="Arial" w:cs="Arial" w:eastAsia="Arial" w:hAnsi="Arial"/>
                <w:sz w:val="14"/>
                <w:szCs w:val="14"/>
                <w:color w:val="auto"/>
              </w:rPr>
              <w:t>—</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381</w:t>
            </w:r>
          </w:p>
        </w:tc>
      </w:tr>
    </w:tbl>
    <w:p>
      <w:pPr>
        <w:spacing w:after="0" w:line="149" w:lineRule="exact"/>
        <w:rPr>
          <w:sz w:val="20"/>
          <w:szCs w:val="20"/>
          <w:color w:val="auto"/>
        </w:rPr>
      </w:pPr>
    </w:p>
    <w:p>
      <w:pPr>
        <w:jc w:val="both"/>
        <w:ind w:firstLine="510"/>
        <w:spacing w:after="0" w:line="285" w:lineRule="auto"/>
        <w:rPr>
          <w:sz w:val="20"/>
          <w:szCs w:val="20"/>
          <w:color w:val="auto"/>
        </w:rPr>
      </w:pPr>
      <w:r>
        <w:rPr>
          <w:rFonts w:ascii="Arial" w:cs="Arial" w:eastAsia="Arial" w:hAnsi="Arial"/>
          <w:sz w:val="13"/>
          <w:szCs w:val="13"/>
          <w:color w:val="auto"/>
        </w:rPr>
        <w:t>As of December 29, 2018, we believe that it is more likely than not that the benefit from certain state and foreign NOL carryforwards as well as certain state tax credit carryforwards will not be realized. In recognition of this risk, we have provided a valuation allowance against various NOL and tax credit carryforwards. Furthermore, there is a valuation allowance of $0.5 million against a capital loss carryforward we have for a wholly-owned subsidiary, UFP Canada, Inc. Based upon the business activity and the nature of the assets of this subsidiary, our ability to realize a future benefit from this carryforward is doubtful. The capital loss has an unlimited carryforward and therefore will not expire unless there is a change in control of the subsidiary.</w:t>
      </w:r>
    </w:p>
    <w:p>
      <w:pPr>
        <w:spacing w:after="0" w:line="132"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On December 22, 2017, the U.S. government enacted comprehensive tax legislation commonly referred to as the Tax Cuts and Jobs Act (the ”Tax Act”). The Tax Act makes broad and complex changes to the U.S. tax code that affected 2017, including, but not limited to, (1) requiring a one-time transition tax on certain unrepatriated earnings of foreign subsidiaries that is payable over eight years and (2) bonus depreciation that will allow for full expensing of qualified property.</w:t>
      </w:r>
    </w:p>
    <w:p>
      <w:pPr>
        <w:spacing w:after="0" w:line="147"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The Tax Act also established new tax laws that will affect 2018, including, but not limited to, (1) reduction of the U.S. federal corporate tax rate; (2) elimination of the corporate alternative minimum tax (AMT); (3) the creation of the base erosion anti-abuse tax (BEAT), a new minimum tax: (4) a general elimination of U.S. federal income taxes on dividends from foreign subsidiaries; (5) a new provision designed to tax global intangible low-taxed income (GILTI), which allows</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66675</wp:posOffset>
            </wp:positionV>
            <wp:extent cx="5779135" cy="2032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4">
                      <a:extLst>
                        <a:ext uri="{28A0092B-C50C-407E-A947-70E740481C1C}"/>
                      </a:extLst>
                    </a:blip>
                    <a:srcRect/>
                    <a:stretch>
                      <a:fillRect/>
                    </a:stretch>
                  </pic:blipFill>
                  <pic:spPr bwMode="auto">
                    <a:xfrm>
                      <a:off x="0" y="0"/>
                      <a:ext cx="5779135" cy="20320"/>
                    </a:xfrm>
                    <a:prstGeom prst="rect">
                      <a:avLst/>
                    </a:prstGeom>
                    <a:noFill/>
                  </pic:spPr>
                </pic:pic>
              </a:graphicData>
            </a:graphic>
          </wp:anchor>
        </w:drawing>
      </w:r>
    </w:p>
    <w:p>
      <w:pPr>
        <w:sectPr>
          <w:pgSz w:w="11900" w:h="16838" w:orient="portrait"/>
          <w:cols w:equalWidth="0" w:num="1">
            <w:col w:w="9100"/>
          </w:cols>
          <w:pgMar w:left="1400" w:top="129" w:right="1399" w:bottom="1440" w:gutter="0" w:footer="0" w:header="0"/>
        </w:sectPr>
      </w:pPr>
    </w:p>
    <w:bookmarkStart w:id="91" w:name="page92"/>
    <w:bookmarkEnd w:id="91"/>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9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for the possibility of using foreign tax credits (FTCs) and a deduction of up to 50 percent to offset the income tax liability (subject to some limitations); (6) a new limitation on deductible interest expense; (7) the repeal of the domestic production activity deduction; (8) limitations on the deductibility of certain executive compensation; (9) limitations on the use of FTCs to reduce the U.S. income tax liability; and (10) limitations on net operating losses (NOLs) generated after December 31, 2017, to 80 percent of taxable income.</w:t>
      </w:r>
    </w:p>
    <w:p>
      <w:pPr>
        <w:spacing w:after="0" w:line="147" w:lineRule="exact"/>
        <w:rPr>
          <w:sz w:val="20"/>
          <w:szCs w:val="20"/>
          <w:color w:val="auto"/>
        </w:rPr>
      </w:pPr>
    </w:p>
    <w:p>
      <w:pPr>
        <w:jc w:val="both"/>
        <w:spacing w:after="0" w:line="282" w:lineRule="auto"/>
        <w:rPr>
          <w:sz w:val="20"/>
          <w:szCs w:val="20"/>
          <w:color w:val="auto"/>
        </w:rPr>
      </w:pPr>
      <w:r>
        <w:rPr>
          <w:rFonts w:ascii="Arial" w:cs="Arial" w:eastAsia="Arial" w:hAnsi="Arial"/>
          <w:sz w:val="13"/>
          <w:szCs w:val="13"/>
          <w:color w:val="auto"/>
        </w:rPr>
        <w:t>The SEC staff issued SAB 118, which provides guidance on accounting for the tax effects of the Tax Act. SAB 118 provides a measurement period that should not extend beyond one year from the Tax Act enactment date for companies to complete the accounting under ASC 740. In accordance with SAB 118, a company must reflect the income tax effects of those aspects of the Act for which the accounting under ASC 740 is complete. To the extent that a company’s accounting for certain income tax effects of the Tax Act is incomplete but it is able to determine a reasonable estimate, it must record a provisional estimate in the financial statements. If a company cannot determine a provisional estimate to be included in the financial statements, it should continue to apply ASC 740 on the basis of the provisions of the tax laws that were in effect immediately before the enactment of the Tax Act.</w:t>
      </w:r>
    </w:p>
    <w:p>
      <w:pPr>
        <w:spacing w:after="0" w:line="135" w:lineRule="exact"/>
        <w:rPr>
          <w:sz w:val="20"/>
          <w:szCs w:val="20"/>
          <w:color w:val="auto"/>
        </w:rPr>
      </w:pPr>
    </w:p>
    <w:p>
      <w:pPr>
        <w:jc w:val="both"/>
        <w:spacing w:after="0" w:line="276" w:lineRule="auto"/>
        <w:rPr>
          <w:sz w:val="20"/>
          <w:szCs w:val="20"/>
          <w:color w:val="auto"/>
        </w:rPr>
      </w:pPr>
      <w:r>
        <w:rPr>
          <w:rFonts w:ascii="Arial" w:cs="Arial" w:eastAsia="Arial" w:hAnsi="Arial"/>
          <w:sz w:val="13"/>
          <w:szCs w:val="13"/>
          <w:color w:val="auto"/>
        </w:rPr>
        <w:t>In connection with our initial analysis of the impact of the Tax Act, we recorded a provisional discrete net tax benefit of $6.1 million in the period ending December 30, 2017 which consisted primarily of (1) a net benefit for the corporate rate reduction of $8.2 million; (2) a net expenses for the write-down of deferred tax assets for stock based compensation that will no longer be deductible for $1.9 million; and (3) a net expense for the transition tax of $0.2 million. We completed our accounting for the income tax effects of the Tax Act in 2018 and have recognized an additional measurement-period adjustment of a net tax benefit of $0.3 million in the period ending December 29, 2018. The adjusted total impact of the Tax Act is now $6.4 million which consists of the following:</w:t>
      </w:r>
    </w:p>
    <w:p>
      <w:pPr>
        <w:jc w:val="both"/>
        <w:ind w:firstLine="4"/>
        <w:spacing w:after="0" w:line="289" w:lineRule="auto"/>
        <w:tabs>
          <w:tab w:leader="none" w:pos="208" w:val="left"/>
        </w:tabs>
        <w:numPr>
          <w:ilvl w:val="0"/>
          <w:numId w:val="56"/>
        </w:numPr>
        <w:rPr>
          <w:rFonts w:ascii="Arial" w:cs="Arial" w:eastAsia="Arial" w:hAnsi="Arial"/>
          <w:sz w:val="13"/>
          <w:szCs w:val="13"/>
          <w:color w:val="auto"/>
        </w:rPr>
      </w:pPr>
      <w:r>
        <w:rPr>
          <w:rFonts w:ascii="Arial" w:cs="Arial" w:eastAsia="Arial" w:hAnsi="Arial"/>
          <w:sz w:val="13"/>
          <w:szCs w:val="13"/>
          <w:color w:val="auto"/>
        </w:rPr>
        <w:t>the net benefit for the corporate rate reduction remained the same at $8.2 million; (2) a net expense for the write-down of the deferred tax assets for stock based compensation was reduced by $0.1 million to $1.8 million, and (3) the net expense for the transition tax was eliminated and reduced by $0.2 million. The effect of the measurement-period adjustment on the 2018 effective tax rate was a reduction of approximately 0.1 percent.</w:t>
      </w:r>
    </w:p>
    <w:p>
      <w:pPr>
        <w:spacing w:after="0" w:line="129" w:lineRule="exact"/>
        <w:rPr>
          <w:sz w:val="20"/>
          <w:szCs w:val="20"/>
          <w:color w:val="auto"/>
        </w:rPr>
      </w:pPr>
    </w:p>
    <w:p>
      <w:pPr>
        <w:jc w:val="both"/>
        <w:spacing w:after="0" w:line="260" w:lineRule="auto"/>
        <w:rPr>
          <w:sz w:val="20"/>
          <w:szCs w:val="20"/>
          <w:color w:val="auto"/>
        </w:rPr>
      </w:pPr>
      <w:r>
        <w:rPr>
          <w:rFonts w:ascii="Arial" w:cs="Arial" w:eastAsia="Arial" w:hAnsi="Arial"/>
          <w:sz w:val="14"/>
          <w:szCs w:val="14"/>
          <w:i w:val="1"/>
          <w:iCs w:val="1"/>
          <w:color w:val="auto"/>
        </w:rPr>
        <w:t xml:space="preserve">Global intangible low taxed income (GILTI): </w:t>
      </w:r>
      <w:r>
        <w:rPr>
          <w:rFonts w:ascii="Arial" w:cs="Arial" w:eastAsia="Arial" w:hAnsi="Arial"/>
          <w:sz w:val="14"/>
          <w:szCs w:val="14"/>
          <w:color w:val="auto"/>
        </w:rPr>
        <w:t>The Tax Act created a new requirement that certain income (i.e., GILTI) earned by controlled foreign corporations</w:t>
      </w:r>
      <w:r>
        <w:rPr>
          <w:rFonts w:ascii="Arial" w:cs="Arial" w:eastAsia="Arial" w:hAnsi="Arial"/>
          <w:sz w:val="14"/>
          <w:szCs w:val="14"/>
          <w:i w:val="1"/>
          <w:iCs w:val="1"/>
          <w:color w:val="auto"/>
        </w:rPr>
        <w:t xml:space="preserve"> </w:t>
      </w:r>
      <w:r>
        <w:rPr>
          <w:rFonts w:ascii="Arial" w:cs="Arial" w:eastAsia="Arial" w:hAnsi="Arial"/>
          <w:sz w:val="14"/>
          <w:szCs w:val="14"/>
          <w:color w:val="auto"/>
        </w:rPr>
        <w:t>(CFCs) must be included currently in the gross income of the CFCs’ U.S. shareholder. GILTI is the excess of the shareholder’s “net CFC tested income” over the net deemed tangible income return, which is currently defined as the excess of (1) 10 percent of the aggregate of the U.S. shareholder’s pro rata share of the qualified business asset investment of each CFC with respect to which it is a U.S. shareholder over (2) the amount of certain interest expense taken into account in the determination of net CFC-tested income.</w:t>
      </w:r>
    </w:p>
    <w:p>
      <w:pPr>
        <w:spacing w:after="0" w:line="147"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In our evaluation of this provision of the Tax Act and the application of ASC 740, we elected under U.S. GAAP, to make the accounting policy of treating taxes due on future U.S. inclusions in taxable income related to GILTI as a current-period expense when incurred (the “period cost method”) as opposed to factoring such amounts into a company’s measurement of its deferred taxes (the “deferred method”). For the year ended December 29, 2018, we determined that no GILTI tax inclusion was applicable.</w:t>
      </w:r>
    </w:p>
    <w:p>
      <w:pPr>
        <w:spacing w:after="0" w:line="312" w:lineRule="exact"/>
        <w:rPr>
          <w:sz w:val="20"/>
          <w:szCs w:val="20"/>
          <w:color w:val="auto"/>
        </w:rPr>
      </w:pPr>
    </w:p>
    <w:p>
      <w:pPr>
        <w:ind w:left="660" w:hanging="656"/>
        <w:spacing w:after="0"/>
        <w:tabs>
          <w:tab w:leader="none" w:pos="660" w:val="left"/>
        </w:tabs>
        <w:numPr>
          <w:ilvl w:val="0"/>
          <w:numId w:val="57"/>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ACCOUNTING FOR UNCERTAINTY IN INCOME TAXES</w:t>
      </w:r>
    </w:p>
    <w:p>
      <w:pPr>
        <w:spacing w:after="0" w:line="183" w:lineRule="exact"/>
        <w:rPr>
          <w:sz w:val="20"/>
          <w:szCs w:val="20"/>
          <w:color w:val="auto"/>
        </w:rPr>
      </w:pPr>
    </w:p>
    <w:p>
      <w:pPr>
        <w:jc w:val="both"/>
        <w:ind w:firstLine="510"/>
        <w:spacing w:after="0" w:line="267" w:lineRule="auto"/>
        <w:rPr>
          <w:sz w:val="20"/>
          <w:szCs w:val="20"/>
          <w:color w:val="auto"/>
        </w:rPr>
      </w:pPr>
      <w:r>
        <w:rPr>
          <w:rFonts w:ascii="Arial" w:cs="Arial" w:eastAsia="Arial" w:hAnsi="Arial"/>
          <w:sz w:val="14"/>
          <w:szCs w:val="14"/>
          <w:color w:val="auto"/>
        </w:rPr>
        <w:t xml:space="preserve">ASC 740, </w:t>
      </w:r>
      <w:r>
        <w:rPr>
          <w:rFonts w:ascii="Arial" w:cs="Arial" w:eastAsia="Arial" w:hAnsi="Arial"/>
          <w:sz w:val="14"/>
          <w:szCs w:val="14"/>
          <w:i w:val="1"/>
          <w:iCs w:val="1"/>
          <w:color w:val="auto"/>
        </w:rPr>
        <w:t>Income Taxes</w:t>
      </w:r>
      <w:r>
        <w:rPr>
          <w:rFonts w:ascii="Arial" w:cs="Arial" w:eastAsia="Arial" w:hAnsi="Arial"/>
          <w:sz w:val="14"/>
          <w:szCs w:val="14"/>
          <w:color w:val="auto"/>
        </w:rPr>
        <w:t xml:space="preserve"> (“ASC 740”) clarifies the accounting for income taxes by prescribing the minimum recognition threshold a tax position is required to meet before being recognized in the financial statements. ASC 740 also provides guidance on derecognition, measurement, classification, interest and penalties, and disclosure requirements.</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66675</wp:posOffset>
            </wp:positionV>
            <wp:extent cx="5779135" cy="2032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5">
                      <a:extLst>
                        <a:ext uri="{28A0092B-C50C-407E-A947-70E740481C1C}"/>
                      </a:extLst>
                    </a:blip>
                    <a:srcRect/>
                    <a:stretch>
                      <a:fillRect/>
                    </a:stretch>
                  </pic:blipFill>
                  <pic:spPr bwMode="auto">
                    <a:xfrm>
                      <a:off x="0" y="0"/>
                      <a:ext cx="5779135" cy="20320"/>
                    </a:xfrm>
                    <a:prstGeom prst="rect">
                      <a:avLst/>
                    </a:prstGeom>
                    <a:noFill/>
                  </pic:spPr>
                </pic:pic>
              </a:graphicData>
            </a:graphic>
          </wp:anchor>
        </w:drawing>
      </w:r>
    </w:p>
    <w:p>
      <w:pPr>
        <w:sectPr>
          <w:pgSz w:w="11900" w:h="16838" w:orient="portrait"/>
          <w:cols w:equalWidth="0" w:num="1">
            <w:col w:w="9100"/>
          </w:cols>
          <w:pgMar w:left="1400" w:top="129" w:right="1399" w:bottom="1440" w:gutter="0" w:footer="0" w:header="0"/>
        </w:sectPr>
      </w:pPr>
    </w:p>
    <w:bookmarkStart w:id="92" w:name="page93"/>
    <w:bookmarkEnd w:id="92"/>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94" w:lineRule="exact"/>
        <w:rPr>
          <w:sz w:val="20"/>
          <w:szCs w:val="20"/>
          <w:color w:val="auto"/>
        </w:rPr>
      </w:pPr>
    </w:p>
    <w:p>
      <w:pPr>
        <w:ind w:left="520"/>
        <w:spacing w:after="0"/>
        <w:rPr>
          <w:sz w:val="20"/>
          <w:szCs w:val="20"/>
          <w:color w:val="auto"/>
        </w:rPr>
      </w:pPr>
      <w:r>
        <w:rPr>
          <w:rFonts w:ascii="Arial" w:cs="Arial" w:eastAsia="Arial" w:hAnsi="Arial"/>
          <w:sz w:val="14"/>
          <w:szCs w:val="14"/>
          <w:color w:val="auto"/>
        </w:rPr>
        <w:t>A reconciliation of the beginning and ending amount of unrecognized tax benefits is as follows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20" w:type="dxa"/>
            <w:vAlign w:val="bottom"/>
          </w:tcPr>
          <w:p>
            <w:pPr>
              <w:spacing w:after="0"/>
              <w:rPr>
                <w:sz w:val="11"/>
                <w:szCs w:val="11"/>
                <w:color w:val="auto"/>
              </w:rPr>
            </w:pPr>
          </w:p>
        </w:tc>
        <w:tc>
          <w:tcPr>
            <w:tcW w:w="646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191"/>
              <w:spacing w:after="0"/>
              <w:rPr>
                <w:sz w:val="20"/>
                <w:szCs w:val="20"/>
                <w:color w:val="auto"/>
              </w:rPr>
            </w:pPr>
            <w:r>
              <w:rPr>
                <w:rFonts w:ascii="Arial" w:cs="Arial" w:eastAsia="Arial" w:hAnsi="Arial"/>
                <w:sz w:val="11"/>
                <w:szCs w:val="11"/>
                <w:b w:val="1"/>
                <w:bCs w:val="1"/>
                <w:color w:val="auto"/>
              </w:rPr>
              <w:t>2018</w:t>
            </w:r>
          </w:p>
        </w:tc>
        <w:tc>
          <w:tcPr>
            <w:tcW w:w="20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191"/>
              <w:spacing w:after="0"/>
              <w:rPr>
                <w:sz w:val="20"/>
                <w:szCs w:val="20"/>
                <w:color w:val="auto"/>
              </w:rPr>
            </w:pPr>
            <w:r>
              <w:rPr>
                <w:rFonts w:ascii="Arial" w:cs="Arial" w:eastAsia="Arial" w:hAnsi="Arial"/>
                <w:sz w:val="11"/>
                <w:szCs w:val="11"/>
                <w:b w:val="1"/>
                <w:bCs w:val="1"/>
                <w:color w:val="auto"/>
              </w:rPr>
              <w:t>2017</w:t>
            </w:r>
          </w:p>
        </w:tc>
        <w:tc>
          <w:tcPr>
            <w:tcW w:w="20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191"/>
              <w:spacing w:after="0"/>
              <w:rPr>
                <w:sz w:val="20"/>
                <w:szCs w:val="20"/>
                <w:color w:val="auto"/>
              </w:rPr>
            </w:pPr>
            <w:r>
              <w:rPr>
                <w:rFonts w:ascii="Arial" w:cs="Arial" w:eastAsia="Arial" w:hAnsi="Arial"/>
                <w:sz w:val="11"/>
                <w:szCs w:val="11"/>
                <w:b w:val="1"/>
                <w:bCs w:val="1"/>
                <w:color w:val="auto"/>
              </w:rPr>
              <w:t>2016</w:t>
            </w:r>
          </w:p>
        </w:tc>
      </w:tr>
      <w:tr>
        <w:trPr>
          <w:trHeight w:val="161"/>
        </w:trPr>
        <w:tc>
          <w:tcPr>
            <w:tcW w:w="20" w:type="dxa"/>
            <w:vAlign w:val="bottom"/>
          </w:tcPr>
          <w:p>
            <w:pPr>
              <w:spacing w:after="0"/>
              <w:rPr>
                <w:sz w:val="13"/>
                <w:szCs w:val="13"/>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4"/>
                <w:szCs w:val="14"/>
                <w:color w:val="auto"/>
              </w:rPr>
              <w:t>Gross unrecognized tax benefits beginning of year</w:t>
            </w: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4,000</w:t>
            </w: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3,381</w:t>
            </w: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2,209</w:t>
            </w:r>
          </w:p>
        </w:tc>
      </w:tr>
      <w:tr>
        <w:trPr>
          <w:trHeight w:val="170"/>
        </w:trPr>
        <w:tc>
          <w:tcPr>
            <w:tcW w:w="20" w:type="dxa"/>
            <w:vAlign w:val="bottom"/>
          </w:tcPr>
          <w:p>
            <w:pPr>
              <w:spacing w:after="0"/>
              <w:rPr>
                <w:sz w:val="14"/>
                <w:szCs w:val="14"/>
                <w:color w:val="auto"/>
              </w:rPr>
            </w:pPr>
          </w:p>
        </w:tc>
        <w:tc>
          <w:tcPr>
            <w:tcW w:w="6460" w:type="dxa"/>
            <w:vAlign w:val="bottom"/>
          </w:tcPr>
          <w:p>
            <w:pPr>
              <w:spacing w:after="0"/>
              <w:rPr>
                <w:sz w:val="20"/>
                <w:szCs w:val="20"/>
                <w:color w:val="auto"/>
              </w:rPr>
            </w:pPr>
            <w:r>
              <w:rPr>
                <w:rFonts w:ascii="Arial" w:cs="Arial" w:eastAsia="Arial" w:hAnsi="Arial"/>
                <w:sz w:val="14"/>
                <w:szCs w:val="14"/>
                <w:color w:val="auto"/>
              </w:rPr>
              <w:t>Increase in tax positions for prior years</w:t>
            </w: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(366)</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243</w:t>
            </w:r>
          </w:p>
        </w:tc>
      </w:tr>
      <w:tr>
        <w:trPr>
          <w:trHeight w:val="170"/>
        </w:trPr>
        <w:tc>
          <w:tcPr>
            <w:tcW w:w="20" w:type="dxa"/>
            <w:vAlign w:val="bottom"/>
          </w:tcPr>
          <w:p>
            <w:pPr>
              <w:spacing w:after="0"/>
              <w:rPr>
                <w:sz w:val="14"/>
                <w:szCs w:val="14"/>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4"/>
                <w:szCs w:val="14"/>
                <w:color w:val="auto"/>
              </w:rPr>
              <w:t>Increase in tax positions due to acquisitions</w:t>
            </w: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362</w:t>
            </w:r>
          </w:p>
        </w:tc>
      </w:tr>
      <w:tr>
        <w:trPr>
          <w:trHeight w:val="170"/>
        </w:trPr>
        <w:tc>
          <w:tcPr>
            <w:tcW w:w="20" w:type="dxa"/>
            <w:vAlign w:val="bottom"/>
          </w:tcPr>
          <w:p>
            <w:pPr>
              <w:spacing w:after="0"/>
              <w:rPr>
                <w:sz w:val="14"/>
                <w:szCs w:val="14"/>
                <w:color w:val="auto"/>
              </w:rPr>
            </w:pPr>
          </w:p>
        </w:tc>
        <w:tc>
          <w:tcPr>
            <w:tcW w:w="6460" w:type="dxa"/>
            <w:vAlign w:val="bottom"/>
          </w:tcPr>
          <w:p>
            <w:pPr>
              <w:spacing w:after="0"/>
              <w:rPr>
                <w:sz w:val="20"/>
                <w:szCs w:val="20"/>
                <w:color w:val="auto"/>
              </w:rPr>
            </w:pPr>
            <w:r>
              <w:rPr>
                <w:rFonts w:ascii="Arial" w:cs="Arial" w:eastAsia="Arial" w:hAnsi="Arial"/>
                <w:sz w:val="14"/>
                <w:szCs w:val="14"/>
                <w:color w:val="auto"/>
              </w:rPr>
              <w:t>Increase in tax positions for current year</w:t>
            </w: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1,326</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1,107</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905</w:t>
            </w:r>
          </w:p>
        </w:tc>
      </w:tr>
      <w:tr>
        <w:trPr>
          <w:trHeight w:val="170"/>
        </w:trPr>
        <w:tc>
          <w:tcPr>
            <w:tcW w:w="20" w:type="dxa"/>
            <w:vAlign w:val="bottom"/>
          </w:tcPr>
          <w:p>
            <w:pPr>
              <w:spacing w:after="0"/>
              <w:rPr>
                <w:sz w:val="14"/>
                <w:szCs w:val="14"/>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4"/>
                <w:szCs w:val="14"/>
                <w:color w:val="auto"/>
              </w:rPr>
              <w:t>Settlements with taxing authorities</w:t>
            </w: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w:t>
            </w:r>
          </w:p>
        </w:tc>
      </w:tr>
      <w:tr>
        <w:trPr>
          <w:trHeight w:val="170"/>
        </w:trPr>
        <w:tc>
          <w:tcPr>
            <w:tcW w:w="20" w:type="dxa"/>
            <w:vAlign w:val="bottom"/>
          </w:tcPr>
          <w:p>
            <w:pPr>
              <w:spacing w:after="0"/>
              <w:rPr>
                <w:sz w:val="14"/>
                <w:szCs w:val="14"/>
                <w:color w:val="auto"/>
              </w:rPr>
            </w:pPr>
          </w:p>
        </w:tc>
        <w:tc>
          <w:tcPr>
            <w:tcW w:w="646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Lapse in statute of limitations</w:t>
            </w: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(582)</w:t>
            </w:r>
          </w:p>
        </w:tc>
        <w:tc>
          <w:tcPr>
            <w:tcW w:w="2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(490)</w:t>
            </w:r>
          </w:p>
        </w:tc>
        <w:tc>
          <w:tcPr>
            <w:tcW w:w="2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(306)</w:t>
            </w:r>
          </w:p>
        </w:tc>
      </w:tr>
      <w:tr>
        <w:trPr>
          <w:trHeight w:val="162"/>
        </w:trPr>
        <w:tc>
          <w:tcPr>
            <w:tcW w:w="20" w:type="dxa"/>
            <w:vAlign w:val="bottom"/>
          </w:tcPr>
          <w:p>
            <w:pPr>
              <w:spacing w:after="0"/>
              <w:rPr>
                <w:sz w:val="14"/>
                <w:szCs w:val="14"/>
                <w:color w:val="auto"/>
              </w:rPr>
            </w:pPr>
          </w:p>
        </w:tc>
        <w:tc>
          <w:tcPr>
            <w:tcW w:w="6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Gross unrecognized tax benefits end of year</w:t>
            </w:r>
          </w:p>
        </w:tc>
        <w:tc>
          <w:tcPr>
            <w:tcW w:w="1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4,378</w:t>
            </w:r>
          </w:p>
        </w:tc>
        <w:tc>
          <w:tcPr>
            <w:tcW w:w="2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4,000</w:t>
            </w:r>
          </w:p>
        </w:tc>
        <w:tc>
          <w:tcPr>
            <w:tcW w:w="2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3,381</w:t>
            </w:r>
          </w:p>
        </w:tc>
      </w:tr>
    </w:tbl>
    <w:p>
      <w:pPr>
        <w:spacing w:after="0" w:line="159" w:lineRule="exact"/>
        <w:rPr>
          <w:sz w:val="20"/>
          <w:szCs w:val="20"/>
          <w:color w:val="auto"/>
        </w:rPr>
      </w:pPr>
    </w:p>
    <w:p>
      <w:pPr>
        <w:ind w:left="520"/>
        <w:spacing w:after="0"/>
        <w:rPr>
          <w:sz w:val="20"/>
          <w:szCs w:val="20"/>
          <w:color w:val="auto"/>
        </w:rPr>
      </w:pPr>
      <w:r>
        <w:rPr>
          <w:rFonts w:ascii="Arial" w:cs="Arial" w:eastAsia="Arial" w:hAnsi="Arial"/>
          <w:sz w:val="13"/>
          <w:szCs w:val="13"/>
          <w:color w:val="auto"/>
        </w:rPr>
        <w:t>Our effective tax rate would have been affected by the unrecognized tax benefits had this amount been recognized as a reduction to income tax</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expense.</w:t>
      </w:r>
    </w:p>
    <w:p>
      <w:pPr>
        <w:spacing w:after="0" w:line="169" w:lineRule="exact"/>
        <w:rPr>
          <w:sz w:val="20"/>
          <w:szCs w:val="20"/>
          <w:color w:val="auto"/>
        </w:rPr>
      </w:pPr>
    </w:p>
    <w:p>
      <w:pPr>
        <w:jc w:val="both"/>
        <w:ind w:firstLine="510"/>
        <w:spacing w:after="0" w:line="267" w:lineRule="auto"/>
        <w:rPr>
          <w:sz w:val="20"/>
          <w:szCs w:val="20"/>
          <w:color w:val="auto"/>
        </w:rPr>
      </w:pPr>
      <w:r>
        <w:rPr>
          <w:rFonts w:ascii="Arial" w:cs="Arial" w:eastAsia="Arial" w:hAnsi="Arial"/>
          <w:sz w:val="14"/>
          <w:szCs w:val="14"/>
          <w:color w:val="auto"/>
        </w:rPr>
        <w:t>We recognized interest and penalties for unrecognized tax benefits in our provision for income taxes. The liability for unrecognized tax benefits included accrued interest and penalties of $0.5 million, $0.7 million, and $0.6 million at December 29, 2018, December 30, 2017, and December 31, 2016, respectively.</w:t>
      </w:r>
    </w:p>
    <w:p>
      <w:pPr>
        <w:spacing w:after="0" w:line="142" w:lineRule="exact"/>
        <w:rPr>
          <w:sz w:val="20"/>
          <w:szCs w:val="20"/>
          <w:color w:val="auto"/>
        </w:rPr>
      </w:pPr>
    </w:p>
    <w:p>
      <w:pPr>
        <w:jc w:val="both"/>
        <w:ind w:firstLine="510"/>
        <w:spacing w:after="0" w:line="262" w:lineRule="auto"/>
        <w:rPr>
          <w:sz w:val="20"/>
          <w:szCs w:val="20"/>
          <w:color w:val="auto"/>
        </w:rPr>
      </w:pPr>
      <w:r>
        <w:rPr>
          <w:rFonts w:ascii="Arial" w:cs="Arial" w:eastAsia="Arial" w:hAnsi="Arial"/>
          <w:sz w:val="14"/>
          <w:szCs w:val="14"/>
          <w:color w:val="auto"/>
        </w:rPr>
        <w:t>We file income tax returns in the United States and in various state, local and foreign jurisdictions. The federal and a majority of state and foreign jurisdictions are no longer subject to income tax examinations for years before 2015. A number of routine state and local examinations are currently ongoing. Due to the potential for resolution of state examinations, and the expiration of various statutes of limitation, and new positions that may be taken, it is reasonably possible that the amounts of unrecognized tax benefits could change in the next twelve months is $0.8 million.</w:t>
      </w:r>
    </w:p>
    <w:p>
      <w:pPr>
        <w:spacing w:after="0" w:line="143" w:lineRule="exact"/>
        <w:rPr>
          <w:sz w:val="20"/>
          <w:szCs w:val="20"/>
          <w:color w:val="auto"/>
        </w:rPr>
      </w:pPr>
    </w:p>
    <w:p>
      <w:pPr>
        <w:ind w:left="640" w:hanging="636"/>
        <w:spacing w:after="0"/>
        <w:tabs>
          <w:tab w:leader="none" w:pos="640" w:val="left"/>
        </w:tabs>
        <w:numPr>
          <w:ilvl w:val="0"/>
          <w:numId w:val="58"/>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COMMITMENTS, CONTINGENCIES, AND GUARANTEES</w:t>
      </w:r>
    </w:p>
    <w:p>
      <w:pPr>
        <w:spacing w:after="0" w:line="183" w:lineRule="exact"/>
        <w:rPr>
          <w:sz w:val="20"/>
          <w:szCs w:val="20"/>
          <w:color w:val="auto"/>
        </w:rPr>
      </w:pPr>
    </w:p>
    <w:p>
      <w:pPr>
        <w:jc w:val="both"/>
        <w:ind w:firstLine="510"/>
        <w:spacing w:after="0" w:line="281" w:lineRule="auto"/>
        <w:rPr>
          <w:sz w:val="20"/>
          <w:szCs w:val="20"/>
          <w:color w:val="auto"/>
        </w:rPr>
      </w:pPr>
      <w:r>
        <w:rPr>
          <w:rFonts w:ascii="Arial" w:cs="Arial" w:eastAsia="Arial" w:hAnsi="Arial"/>
          <w:sz w:val="14"/>
          <w:szCs w:val="14"/>
          <w:color w:val="auto"/>
        </w:rPr>
        <w:t>We are self-insured for environmental impairment liability, including certain liabilities which are insured through a wholly owned subsidiary, Ardellis Insurance Ltd., a licensed captive insurance company.</w:t>
      </w:r>
    </w:p>
    <w:p>
      <w:pPr>
        <w:spacing w:after="0" w:line="133" w:lineRule="exact"/>
        <w:rPr>
          <w:sz w:val="20"/>
          <w:szCs w:val="20"/>
          <w:color w:val="auto"/>
        </w:rPr>
      </w:pPr>
    </w:p>
    <w:p>
      <w:pPr>
        <w:jc w:val="both"/>
        <w:ind w:firstLine="510"/>
        <w:spacing w:after="0" w:line="258" w:lineRule="auto"/>
        <w:rPr>
          <w:sz w:val="20"/>
          <w:szCs w:val="20"/>
          <w:color w:val="auto"/>
        </w:rPr>
      </w:pPr>
      <w:r>
        <w:rPr>
          <w:rFonts w:ascii="Arial" w:cs="Arial" w:eastAsia="Arial" w:hAnsi="Arial"/>
          <w:sz w:val="14"/>
          <w:szCs w:val="14"/>
          <w:color w:val="auto"/>
        </w:rPr>
        <w:t>We own and operate a number of facilities throughout the United States that chemically treat lumber products. In connection with the ownership and operation of these and other real properties, and the disposal or treatment of hazardous or toxic substances, we may, under various federal, state, and local environmental laws, ordinances, and regulations, be potentially liable for removal and remediation costs, as well as other potential costs, damages, and expenses. Environmental reserves, calculated with no discount rate, have been established to cover remediation activities at wood preservation facilities in Stockertown, PA; Elizabeth City, NC; and Auburndale, FL. In addition, a reserve was established for our facility in Thornton, CA to remove certain lead containing materials which existed on the property at the time of purchase.</w:t>
      </w:r>
    </w:p>
    <w:p>
      <w:pPr>
        <w:spacing w:after="0" w:line="151" w:lineRule="exact"/>
        <w:rPr>
          <w:sz w:val="20"/>
          <w:szCs w:val="20"/>
          <w:color w:val="auto"/>
        </w:rPr>
      </w:pPr>
    </w:p>
    <w:p>
      <w:pPr>
        <w:jc w:val="both"/>
        <w:ind w:firstLine="510"/>
        <w:spacing w:after="0" w:line="321" w:lineRule="auto"/>
        <w:rPr>
          <w:sz w:val="20"/>
          <w:szCs w:val="20"/>
          <w:color w:val="auto"/>
        </w:rPr>
      </w:pPr>
      <w:r>
        <w:rPr>
          <w:rFonts w:ascii="Arial" w:cs="Arial" w:eastAsia="Arial" w:hAnsi="Arial"/>
          <w:sz w:val="13"/>
          <w:szCs w:val="13"/>
          <w:color w:val="auto"/>
        </w:rPr>
        <w:t>On a consolidated basis, we have reserved approximately $2.1 million and $3.0 million on December 29, 2018 and December 30, 2017, respectively, representing the estimated costs to complete future remediation efforts. These amounts have not been reduced by an insurance receivable.</w:t>
      </w:r>
    </w:p>
    <w:p>
      <w:pPr>
        <w:spacing w:after="0" w:line="110" w:lineRule="exact"/>
        <w:rPr>
          <w:sz w:val="20"/>
          <w:szCs w:val="20"/>
          <w:color w:val="auto"/>
        </w:rPr>
      </w:pPr>
    </w:p>
    <w:p>
      <w:pPr>
        <w:jc w:val="both"/>
        <w:ind w:firstLine="510"/>
        <w:spacing w:after="0" w:line="282" w:lineRule="auto"/>
        <w:rPr>
          <w:sz w:val="20"/>
          <w:szCs w:val="20"/>
          <w:color w:val="auto"/>
        </w:rPr>
      </w:pPr>
      <w:r>
        <w:rPr>
          <w:rFonts w:ascii="Arial" w:cs="Arial" w:eastAsia="Arial" w:hAnsi="Arial"/>
          <w:sz w:val="13"/>
          <w:szCs w:val="13"/>
          <w:color w:val="auto"/>
        </w:rPr>
        <w:t>Many of our wood treating operations utilize “Subpart W” drip pads, defined as hazardous waste management units by the Environmental Protection Agency. The rules regulating drip pads require that a pad be “closed” at the point that it is no longer intended to be used for wood treating operations or to manage hazardous waste. Closure involves identification and disposal of contaminants which are required to be removed from the facility. The cost of closure is dependent upon a number of factors including, but not limited to, identification and removal of contaminants, cleanup standards that vary from state to state, and the time period over which the cleanup would be completed. Based on our present knowledge of existing circumstances, it is considered probable that these costs will approximate $0.1 million. As a result, this amount is recorded in other long-term liabilities on December 29, 2018.</w:t>
      </w:r>
    </w:p>
    <w:p>
      <w:pPr>
        <w:spacing w:after="0" w:line="135" w:lineRule="exact"/>
        <w:rPr>
          <w:sz w:val="20"/>
          <w:szCs w:val="20"/>
          <w:color w:val="auto"/>
        </w:rPr>
      </w:pPr>
    </w:p>
    <w:p>
      <w:pPr>
        <w:jc w:val="both"/>
        <w:ind w:firstLine="510"/>
        <w:spacing w:after="0" w:line="267" w:lineRule="auto"/>
        <w:rPr>
          <w:sz w:val="20"/>
          <w:szCs w:val="20"/>
          <w:color w:val="auto"/>
        </w:rPr>
      </w:pPr>
      <w:r>
        <w:rPr>
          <w:rFonts w:ascii="Arial" w:cs="Arial" w:eastAsia="Arial" w:hAnsi="Arial"/>
          <w:sz w:val="14"/>
          <w:szCs w:val="14"/>
          <w:color w:val="auto"/>
        </w:rPr>
        <w:t>In addition, on December 29, 2018, we were parties either as plaintiff or defendant to a number of lawsuits and claims arising through the normal course of our business. In the opinion of management, our consolidated financial statements will not be materially affected by the outcome of these contingencies and claims.</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66675</wp:posOffset>
            </wp:positionV>
            <wp:extent cx="5779135" cy="2032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6">
                      <a:extLst>
                        <a:ext uri="{28A0092B-C50C-407E-A947-70E740481C1C}"/>
                      </a:extLst>
                    </a:blip>
                    <a:srcRect/>
                    <a:stretch>
                      <a:fillRect/>
                    </a:stretch>
                  </pic:blipFill>
                  <pic:spPr bwMode="auto">
                    <a:xfrm>
                      <a:off x="0" y="0"/>
                      <a:ext cx="5779135" cy="20320"/>
                    </a:xfrm>
                    <a:prstGeom prst="rect">
                      <a:avLst/>
                    </a:prstGeom>
                    <a:noFill/>
                  </pic:spPr>
                </pic:pic>
              </a:graphicData>
            </a:graphic>
          </wp:anchor>
        </w:drawing>
      </w:r>
    </w:p>
    <w:p>
      <w:pPr>
        <w:sectPr>
          <w:pgSz w:w="11900" w:h="16838" w:orient="portrait"/>
          <w:cols w:equalWidth="0" w:num="1">
            <w:col w:w="9100"/>
          </w:cols>
          <w:pgMar w:left="1400" w:top="129" w:right="1399" w:bottom="1440" w:gutter="0" w:footer="0" w:header="0"/>
        </w:sectPr>
      </w:pPr>
    </w:p>
    <w:bookmarkStart w:id="93" w:name="page94"/>
    <w:bookmarkEnd w:id="93"/>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94" w:lineRule="exact"/>
        <w:rPr>
          <w:sz w:val="20"/>
          <w:szCs w:val="20"/>
          <w:color w:val="auto"/>
        </w:rPr>
      </w:pPr>
    </w:p>
    <w:p>
      <w:pPr>
        <w:ind w:left="520"/>
        <w:spacing w:after="0"/>
        <w:rPr>
          <w:sz w:val="20"/>
          <w:szCs w:val="20"/>
          <w:color w:val="auto"/>
        </w:rPr>
      </w:pPr>
      <w:r>
        <w:rPr>
          <w:rFonts w:ascii="Arial" w:cs="Arial" w:eastAsia="Arial" w:hAnsi="Arial"/>
          <w:sz w:val="14"/>
          <w:szCs w:val="14"/>
          <w:color w:val="auto"/>
        </w:rPr>
        <w:t>On December 29, 2018, we had outstanding purchase commitments on commenced capital projects of approximately $14.3 million.</w:t>
      </w:r>
    </w:p>
    <w:p>
      <w:pPr>
        <w:spacing w:after="0" w:line="179" w:lineRule="exact"/>
        <w:rPr>
          <w:sz w:val="20"/>
          <w:szCs w:val="20"/>
          <w:color w:val="auto"/>
        </w:rPr>
      </w:pPr>
    </w:p>
    <w:p>
      <w:pPr>
        <w:jc w:val="both"/>
        <w:ind w:firstLine="510"/>
        <w:spacing w:after="0" w:line="262" w:lineRule="auto"/>
        <w:rPr>
          <w:sz w:val="20"/>
          <w:szCs w:val="20"/>
          <w:color w:val="auto"/>
        </w:rPr>
      </w:pPr>
      <w:r>
        <w:rPr>
          <w:rFonts w:ascii="Arial" w:cs="Arial" w:eastAsia="Arial" w:hAnsi="Arial"/>
          <w:sz w:val="14"/>
          <w:szCs w:val="14"/>
          <w:color w:val="auto"/>
        </w:rPr>
        <w:t>We provide a variety of warranties for products we manufacture. Historically, warranty claims have not been material. We distribute products manufactured by other companies, some of which are no longer in business. While we do not warrant these products, we have received claims as a distributor of these products when the manufacturer no longer exists or has the ability to pay. Historically, these costs have not had a material affect on our consolidated financial statements.</w:t>
      </w:r>
    </w:p>
    <w:p>
      <w:pPr>
        <w:spacing w:after="0" w:line="147" w:lineRule="exact"/>
        <w:rPr>
          <w:sz w:val="20"/>
          <w:szCs w:val="20"/>
          <w:color w:val="auto"/>
        </w:rPr>
      </w:pPr>
    </w:p>
    <w:p>
      <w:pPr>
        <w:jc w:val="both"/>
        <w:ind w:firstLine="510"/>
        <w:spacing w:after="0" w:line="285" w:lineRule="auto"/>
        <w:rPr>
          <w:sz w:val="20"/>
          <w:szCs w:val="20"/>
          <w:color w:val="auto"/>
        </w:rPr>
      </w:pPr>
      <w:r>
        <w:rPr>
          <w:rFonts w:ascii="Arial" w:cs="Arial" w:eastAsia="Arial" w:hAnsi="Arial"/>
          <w:sz w:val="13"/>
          <w:szCs w:val="13"/>
          <w:color w:val="auto"/>
        </w:rPr>
        <w:t>As part of our operations, we supply building materials and labor to site-built construction projects or we jointly bid on contracts with framing companies for such projects. In some instances we are required to post payment and performance bonds to insure the project owner that the products and installation services are completed in accordance with our contractual obligations. We have agreed to indemnify the surety for claims made against the bonds. As of December 29, 2018, we had approximately $21.1 million in outstanding payment and performance bonds for open projects. We had approximately $1.0 million in payment and performance bonds outstanding for completed projects which are still under warranty.</w:t>
      </w:r>
    </w:p>
    <w:p>
      <w:pPr>
        <w:spacing w:after="0" w:line="132" w:lineRule="exact"/>
        <w:rPr>
          <w:sz w:val="20"/>
          <w:szCs w:val="20"/>
          <w:color w:val="auto"/>
        </w:rPr>
      </w:pPr>
    </w:p>
    <w:p>
      <w:pPr>
        <w:jc w:val="both"/>
        <w:ind w:firstLine="510"/>
        <w:spacing w:after="0" w:line="281" w:lineRule="auto"/>
        <w:rPr>
          <w:sz w:val="20"/>
          <w:szCs w:val="20"/>
          <w:color w:val="auto"/>
        </w:rPr>
      </w:pPr>
      <w:r>
        <w:rPr>
          <w:rFonts w:ascii="Arial" w:cs="Arial" w:eastAsia="Arial" w:hAnsi="Arial"/>
          <w:sz w:val="14"/>
          <w:szCs w:val="14"/>
          <w:color w:val="auto"/>
        </w:rPr>
        <w:t>On December 29, 2018 we had outstanding letters of credit totaling $30.3 million, primarily related to certain insurance contracts and industrial development revenue bonds described further below.</w:t>
      </w:r>
    </w:p>
    <w:p>
      <w:pPr>
        <w:spacing w:after="0" w:line="133" w:lineRule="exact"/>
        <w:rPr>
          <w:sz w:val="20"/>
          <w:szCs w:val="20"/>
          <w:color w:val="auto"/>
        </w:rPr>
      </w:pPr>
    </w:p>
    <w:p>
      <w:pPr>
        <w:jc w:val="both"/>
        <w:ind w:firstLine="510"/>
        <w:spacing w:after="0" w:line="297" w:lineRule="auto"/>
        <w:rPr>
          <w:sz w:val="20"/>
          <w:szCs w:val="20"/>
          <w:color w:val="auto"/>
        </w:rPr>
      </w:pPr>
      <w:r>
        <w:rPr>
          <w:rFonts w:ascii="Arial" w:cs="Arial" w:eastAsia="Arial" w:hAnsi="Arial"/>
          <w:sz w:val="13"/>
          <w:szCs w:val="13"/>
          <w:color w:val="auto"/>
        </w:rPr>
        <w:t>In lieu of cash deposits, we provide irrevocable letters of credit in favor of our insurers to guarantee our performance under certain insurance contracts. We currently have irrevocable letters of credit outstanding totaling approximately $20.5 million for these types of insurance arrangements. We have reserves recorded on our balance sheet, in accrued liabilities, that reflect our expected future liabilities under these insurance arrangements.</w:t>
      </w:r>
    </w:p>
    <w:p>
      <w:pPr>
        <w:spacing w:after="0" w:line="125" w:lineRule="exact"/>
        <w:rPr>
          <w:sz w:val="20"/>
          <w:szCs w:val="20"/>
          <w:color w:val="auto"/>
        </w:rPr>
      </w:pPr>
    </w:p>
    <w:p>
      <w:pPr>
        <w:jc w:val="both"/>
        <w:ind w:firstLine="510"/>
        <w:spacing w:after="0" w:line="262" w:lineRule="auto"/>
        <w:rPr>
          <w:sz w:val="20"/>
          <w:szCs w:val="20"/>
          <w:color w:val="auto"/>
        </w:rPr>
      </w:pPr>
      <w:r>
        <w:rPr>
          <w:rFonts w:ascii="Arial" w:cs="Arial" w:eastAsia="Arial" w:hAnsi="Arial"/>
          <w:sz w:val="14"/>
          <w:szCs w:val="14"/>
          <w:color w:val="auto"/>
        </w:rPr>
        <w:t>We are required to provide irrevocable letters of credit in favor of the bond trustees for all industrial development revenue bonds that have been issued. These letters of credit guarantee principal and interest payments to the bondholders. We currently have irrevocable letters of credit outstanding totaling approximately $9.8 million related to our outstanding industrial development revenue bonds. These letters of credit have varying terms but may be renewed at the option of the issuing banks.</w:t>
      </w:r>
    </w:p>
    <w:p>
      <w:pPr>
        <w:spacing w:after="0" w:line="147" w:lineRule="exact"/>
        <w:rPr>
          <w:sz w:val="20"/>
          <w:szCs w:val="20"/>
          <w:color w:val="auto"/>
        </w:rPr>
      </w:pPr>
    </w:p>
    <w:p>
      <w:pPr>
        <w:jc w:val="both"/>
        <w:ind w:firstLine="510"/>
        <w:spacing w:after="0" w:line="297" w:lineRule="auto"/>
        <w:rPr>
          <w:sz w:val="20"/>
          <w:szCs w:val="20"/>
          <w:color w:val="auto"/>
        </w:rPr>
      </w:pPr>
      <w:r>
        <w:rPr>
          <w:rFonts w:ascii="Arial" w:cs="Arial" w:eastAsia="Arial" w:hAnsi="Arial"/>
          <w:sz w:val="13"/>
          <w:szCs w:val="13"/>
          <w:color w:val="auto"/>
        </w:rPr>
        <w:t>Certain wholly owned domestic subsidiaries have guaranteed the indebtedness of Universal Forest Products, Inc. in certain debt agreements, including the Series 2012 Senior Notes, the Series 2018 Senior Notes, and our revolving credit facility. The maximum exposure of these guarantees is limited to the indebtedness outstanding under these debt arrangements and this exposure will expire concurrent with the expiration of the debt agreements.</w:t>
      </w:r>
    </w:p>
    <w:p>
      <w:pPr>
        <w:spacing w:after="0" w:line="125"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We did not enter into any new guarantee arrangements during 2018 which would require us to recognize a liability on our balance sheet.</w:t>
      </w:r>
    </w:p>
    <w:p>
      <w:pPr>
        <w:spacing w:after="0" w:line="175" w:lineRule="exact"/>
        <w:rPr>
          <w:sz w:val="20"/>
          <w:szCs w:val="20"/>
          <w:color w:val="auto"/>
        </w:rPr>
      </w:pPr>
    </w:p>
    <w:p>
      <w:pPr>
        <w:ind w:left="680" w:hanging="676"/>
        <w:spacing w:after="0"/>
        <w:tabs>
          <w:tab w:leader="none" w:pos="680" w:val="left"/>
        </w:tabs>
        <w:numPr>
          <w:ilvl w:val="0"/>
          <w:numId w:val="59"/>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SEGMENT REPORTING</w:t>
      </w:r>
    </w:p>
    <w:p>
      <w:pPr>
        <w:spacing w:after="0" w:line="183" w:lineRule="exact"/>
        <w:rPr>
          <w:sz w:val="20"/>
          <w:szCs w:val="20"/>
          <w:color w:val="auto"/>
        </w:rPr>
      </w:pPr>
    </w:p>
    <w:p>
      <w:pPr>
        <w:jc w:val="both"/>
        <w:ind w:firstLine="510"/>
        <w:spacing w:after="0" w:line="321" w:lineRule="auto"/>
        <w:rPr>
          <w:sz w:val="20"/>
          <w:szCs w:val="20"/>
          <w:color w:val="auto"/>
        </w:rPr>
      </w:pPr>
      <w:r>
        <w:rPr>
          <w:rFonts w:ascii="Arial" w:cs="Arial" w:eastAsia="Arial" w:hAnsi="Arial"/>
          <w:sz w:val="13"/>
          <w:szCs w:val="13"/>
          <w:color w:val="auto"/>
        </w:rPr>
        <w:t>ASC 280, Segment Reporting (“ASC 280”), defines operating segments as components of an enterprise about which separate financial information is available that is evaluated regularly by the chief operating decision maker in deciding how to allocate resources and in assessing performance.</w:t>
      </w:r>
    </w:p>
    <w:p>
      <w:pPr>
        <w:spacing w:after="0" w:line="110" w:lineRule="exact"/>
        <w:rPr>
          <w:sz w:val="20"/>
          <w:szCs w:val="20"/>
          <w:color w:val="auto"/>
        </w:rPr>
      </w:pPr>
    </w:p>
    <w:p>
      <w:pPr>
        <w:jc w:val="both"/>
        <w:ind w:firstLine="510"/>
        <w:spacing w:after="0" w:line="280" w:lineRule="auto"/>
        <w:rPr>
          <w:sz w:val="20"/>
          <w:szCs w:val="20"/>
          <w:color w:val="auto"/>
        </w:rPr>
      </w:pPr>
      <w:r>
        <w:rPr>
          <w:rFonts w:ascii="Arial" w:cs="Arial" w:eastAsia="Arial" w:hAnsi="Arial"/>
          <w:sz w:val="13"/>
          <w:szCs w:val="13"/>
          <w:color w:val="auto"/>
        </w:rPr>
        <w:t>The Company operates manufacturing, treating and distribution facilities throughout North America, Europe, Asia and Australia, but primarily in the United States. The Company manages the operations of its individual locations primarily through a geographic reporting structure under which each location is included in a region and regions are included in our North, South, West, and International divisions. The exceptions to this geographic reporting and management structure are (a) the Company’s Alternative Materials Division, which offers a portfolio of non-wood products and distributes those products nation-wide and is accounted for as a reporting unit within the All Other segment, (b) the Company’s distribution unit (referred to as UFPD) which distributes a variety of products to the manufactured housing industry and is accounted for as a reporting unit within the North segment, and (c) idX division, which designs, manufactures, and installs customized interior fixtures and is accounted for within the All Other segment.</w:t>
      </w: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66675</wp:posOffset>
            </wp:positionV>
            <wp:extent cx="5779135" cy="2032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7">
                      <a:extLst>
                        <a:ext uri="{28A0092B-C50C-407E-A947-70E740481C1C}"/>
                      </a:extLst>
                    </a:blip>
                    <a:srcRect/>
                    <a:stretch>
                      <a:fillRect/>
                    </a:stretch>
                  </pic:blipFill>
                  <pic:spPr bwMode="auto">
                    <a:xfrm>
                      <a:off x="0" y="0"/>
                      <a:ext cx="5779135" cy="20320"/>
                    </a:xfrm>
                    <a:prstGeom prst="rect">
                      <a:avLst/>
                    </a:prstGeom>
                    <a:noFill/>
                  </pic:spPr>
                </pic:pic>
              </a:graphicData>
            </a:graphic>
          </wp:anchor>
        </w:drawing>
      </w:r>
    </w:p>
    <w:p>
      <w:pPr>
        <w:sectPr>
          <w:pgSz w:w="11900" w:h="16838" w:orient="portrait"/>
          <w:cols w:equalWidth="0" w:num="1">
            <w:col w:w="9100"/>
          </w:cols>
          <w:pgMar w:left="1400" w:top="129" w:right="1399" w:bottom="1440" w:gutter="0" w:footer="0" w:header="0"/>
        </w:sectPr>
      </w:pPr>
    </w:p>
    <w:bookmarkStart w:id="94" w:name="page95"/>
    <w:bookmarkEnd w:id="94"/>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94" w:lineRule="exact"/>
        <w:rPr>
          <w:sz w:val="20"/>
          <w:szCs w:val="20"/>
          <w:color w:val="auto"/>
        </w:rPr>
      </w:pPr>
    </w:p>
    <w:p>
      <w:pPr>
        <w:ind w:left="520"/>
        <w:spacing w:after="0"/>
        <w:rPr>
          <w:sz w:val="20"/>
          <w:szCs w:val="20"/>
          <w:color w:val="auto"/>
        </w:rPr>
      </w:pPr>
      <w:r>
        <w:rPr>
          <w:rFonts w:ascii="Arial" w:cs="Arial" w:eastAsia="Arial" w:hAnsi="Arial"/>
          <w:sz w:val="13"/>
          <w:szCs w:val="13"/>
          <w:color w:val="auto"/>
        </w:rPr>
        <w:t>With respect to the facilities in the north, south, and west segments, these facilities generally supply the three markets the Company serves nationally -</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Retail, Industrial, and Construction. Also, substantially all of our facilities support customers in the immediate geographical region surrounding the facility.</w:t>
      </w:r>
    </w:p>
    <w:p>
      <w:pPr>
        <w:spacing w:after="0" w:line="20" w:lineRule="exact"/>
        <w:rPr>
          <w:sz w:val="20"/>
          <w:szCs w:val="20"/>
          <w:color w:val="auto"/>
        </w:rPr>
      </w:pPr>
    </w:p>
    <w:p>
      <w:pPr>
        <w:ind w:left="40"/>
        <w:spacing w:after="0"/>
        <w:rPr>
          <w:sz w:val="20"/>
          <w:szCs w:val="20"/>
          <w:color w:val="auto"/>
        </w:rPr>
      </w:pPr>
      <w:r>
        <w:rPr>
          <w:rFonts w:ascii="Arial" w:cs="Arial" w:eastAsia="Arial" w:hAnsi="Arial"/>
          <w:sz w:val="14"/>
          <w:szCs w:val="14"/>
          <w:color w:val="auto"/>
        </w:rPr>
        <w:t>One customer, The Home Depot, accounted for approximately 19% of our total sales in fiscal 2018 and 2017, and 20% in 2016.</w:t>
      </w:r>
    </w:p>
    <w:p>
      <w:pPr>
        <w:spacing w:after="0" w:line="169" w:lineRule="exact"/>
        <w:rPr>
          <w:sz w:val="20"/>
          <w:szCs w:val="20"/>
          <w:color w:val="auto"/>
        </w:rPr>
      </w:pPr>
    </w:p>
    <w:p>
      <w:pPr>
        <w:jc w:val="both"/>
        <w:ind w:right="140" w:firstLine="510"/>
        <w:spacing w:after="0" w:line="281" w:lineRule="auto"/>
        <w:rPr>
          <w:sz w:val="20"/>
          <w:szCs w:val="20"/>
          <w:color w:val="auto"/>
        </w:rPr>
      </w:pPr>
      <w:r>
        <w:rPr>
          <w:rFonts w:ascii="Arial" w:cs="Arial" w:eastAsia="Arial" w:hAnsi="Arial"/>
          <w:sz w:val="14"/>
          <w:szCs w:val="14"/>
          <w:color w:val="auto"/>
        </w:rPr>
        <w:t>Our Alternative Materials, International, and idX divisions have been included in the “All Other” column of the table below. The “Corporate” column includes unallocated administrative costs and certain incentive compensation expense.</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29"/>
        </w:trPr>
        <w:tc>
          <w:tcPr>
            <w:tcW w:w="2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240" w:type="dxa"/>
            <w:vAlign w:val="bottom"/>
            <w:tcBorders>
              <w:top w:val="single" w:sz="8" w:color="auto"/>
              <w:bottom w:val="single" w:sz="8" w:color="auto"/>
            </w:tcBorders>
          </w:tcPr>
          <w:p>
            <w:pPr>
              <w:spacing w:after="0"/>
              <w:rPr>
                <w:sz w:val="11"/>
                <w:szCs w:val="11"/>
                <w:color w:val="auto"/>
              </w:rPr>
            </w:pPr>
          </w:p>
        </w:tc>
        <w:tc>
          <w:tcPr>
            <w:tcW w:w="400" w:type="dxa"/>
            <w:vAlign w:val="bottom"/>
            <w:tcBorders>
              <w:top w:val="single" w:sz="8" w:color="auto"/>
              <w:bottom w:val="single" w:sz="8" w:color="auto"/>
            </w:tcBorders>
          </w:tcPr>
          <w:p>
            <w:pPr>
              <w:spacing w:after="0"/>
              <w:rPr>
                <w:sz w:val="11"/>
                <w:szCs w:val="11"/>
                <w:color w:val="auto"/>
              </w:rPr>
            </w:pPr>
          </w:p>
        </w:tc>
        <w:tc>
          <w:tcPr>
            <w:tcW w:w="24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spacing w:after="0"/>
              <w:rPr>
                <w:sz w:val="11"/>
                <w:szCs w:val="11"/>
                <w:color w:val="auto"/>
              </w:rPr>
            </w:pPr>
          </w:p>
        </w:tc>
        <w:tc>
          <w:tcPr>
            <w:tcW w:w="360" w:type="dxa"/>
            <w:vAlign w:val="bottom"/>
            <w:tcBorders>
              <w:top w:val="single" w:sz="8" w:color="auto"/>
              <w:bottom w:val="single" w:sz="8" w:color="auto"/>
            </w:tcBorders>
          </w:tcPr>
          <w:p>
            <w:pPr>
              <w:jc w:val="center"/>
              <w:ind w:left="33"/>
              <w:spacing w:after="0"/>
              <w:rPr>
                <w:sz w:val="20"/>
                <w:szCs w:val="20"/>
                <w:color w:val="auto"/>
              </w:rPr>
            </w:pPr>
            <w:r>
              <w:rPr>
                <w:rFonts w:ascii="Arial" w:cs="Arial" w:eastAsia="Arial" w:hAnsi="Arial"/>
                <w:sz w:val="11"/>
                <w:szCs w:val="11"/>
                <w:b w:val="1"/>
                <w:bCs w:val="1"/>
                <w:color w:val="auto"/>
                <w:w w:val="89"/>
              </w:rPr>
              <w:t>2018</w:t>
            </w:r>
          </w:p>
        </w:tc>
        <w:tc>
          <w:tcPr>
            <w:tcW w:w="680" w:type="dxa"/>
            <w:vAlign w:val="bottom"/>
            <w:tcBorders>
              <w:top w:val="single" w:sz="8" w:color="auto"/>
              <w:bottom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spacing w:after="0"/>
              <w:rPr>
                <w:sz w:val="11"/>
                <w:szCs w:val="11"/>
                <w:color w:val="auto"/>
              </w:rPr>
            </w:pPr>
          </w:p>
        </w:tc>
        <w:tc>
          <w:tcPr>
            <w:tcW w:w="240" w:type="dxa"/>
            <w:vAlign w:val="bottom"/>
            <w:tcBorders>
              <w:top w:val="single" w:sz="8" w:color="auto"/>
              <w:bottom w:val="single" w:sz="8" w:color="auto"/>
            </w:tcBorders>
          </w:tcPr>
          <w:p>
            <w:pPr>
              <w:spacing w:after="0"/>
              <w:rPr>
                <w:sz w:val="11"/>
                <w:szCs w:val="11"/>
                <w:color w:val="auto"/>
              </w:rPr>
            </w:pPr>
          </w:p>
        </w:tc>
        <w:tc>
          <w:tcPr>
            <w:tcW w:w="400" w:type="dxa"/>
            <w:vAlign w:val="bottom"/>
            <w:tcBorders>
              <w:top w:val="single" w:sz="8" w:color="auto"/>
              <w:bottom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25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gridSpan w:val="2"/>
            <w:vMerge w:val="restart"/>
          </w:tcPr>
          <w:p>
            <w:pPr>
              <w:ind w:left="100"/>
              <w:spacing w:after="0"/>
              <w:rPr>
                <w:sz w:val="20"/>
                <w:szCs w:val="20"/>
                <w:color w:val="auto"/>
              </w:rPr>
            </w:pPr>
            <w:r>
              <w:rPr>
                <w:rFonts w:ascii="Arial" w:cs="Arial" w:eastAsia="Arial" w:hAnsi="Arial"/>
                <w:sz w:val="11"/>
                <w:szCs w:val="11"/>
                <w:b w:val="1"/>
                <w:bCs w:val="1"/>
                <w:color w:val="auto"/>
              </w:rPr>
              <w:t>North</w:t>
            </w:r>
          </w:p>
        </w:tc>
        <w:tc>
          <w:tcPr>
            <w:tcW w:w="240" w:type="dxa"/>
            <w:vAlign w:val="bottom"/>
          </w:tcPr>
          <w:p>
            <w:pPr>
              <w:spacing w:after="0"/>
              <w:rPr>
                <w:sz w:val="8"/>
                <w:szCs w:val="8"/>
                <w:color w:val="auto"/>
              </w:rPr>
            </w:pPr>
          </w:p>
        </w:tc>
        <w:tc>
          <w:tcPr>
            <w:tcW w:w="480" w:type="dxa"/>
            <w:vAlign w:val="bottom"/>
            <w:vMerge w:val="restart"/>
          </w:tcPr>
          <w:p>
            <w:pPr>
              <w:jc w:val="right"/>
              <w:ind w:right="91"/>
              <w:spacing w:after="0"/>
              <w:rPr>
                <w:sz w:val="20"/>
                <w:szCs w:val="20"/>
                <w:color w:val="auto"/>
              </w:rPr>
            </w:pPr>
            <w:r>
              <w:rPr>
                <w:rFonts w:ascii="Arial" w:cs="Arial" w:eastAsia="Arial" w:hAnsi="Arial"/>
                <w:sz w:val="11"/>
                <w:szCs w:val="11"/>
                <w:b w:val="1"/>
                <w:bCs w:val="1"/>
                <w:color w:val="auto"/>
                <w:w w:val="96"/>
              </w:rPr>
              <w:t>South</w:t>
            </w:r>
          </w:p>
        </w:tc>
        <w:tc>
          <w:tcPr>
            <w:tcW w:w="940" w:type="dxa"/>
            <w:vAlign w:val="bottom"/>
            <w:gridSpan w:val="2"/>
            <w:vMerge w:val="restart"/>
          </w:tcPr>
          <w:p>
            <w:pPr>
              <w:jc w:val="right"/>
              <w:ind w:right="253"/>
              <w:spacing w:after="0"/>
              <w:rPr>
                <w:sz w:val="20"/>
                <w:szCs w:val="20"/>
                <w:color w:val="auto"/>
              </w:rPr>
            </w:pPr>
            <w:r>
              <w:rPr>
                <w:rFonts w:ascii="Arial" w:cs="Arial" w:eastAsia="Arial" w:hAnsi="Arial"/>
                <w:sz w:val="11"/>
                <w:szCs w:val="11"/>
                <w:b w:val="1"/>
                <w:bCs w:val="1"/>
                <w:color w:val="auto"/>
              </w:rPr>
              <w:t>West</w:t>
            </w:r>
          </w:p>
        </w:tc>
        <w:tc>
          <w:tcPr>
            <w:tcW w:w="680" w:type="dxa"/>
            <w:vAlign w:val="bottom"/>
          </w:tcPr>
          <w:p>
            <w:pPr>
              <w:jc w:val="right"/>
              <w:ind w:right="232"/>
              <w:spacing w:after="0" w:line="100" w:lineRule="exact"/>
              <w:rPr>
                <w:sz w:val="20"/>
                <w:szCs w:val="20"/>
                <w:color w:val="auto"/>
              </w:rPr>
            </w:pPr>
            <w:r>
              <w:rPr>
                <w:rFonts w:ascii="Arial" w:cs="Arial" w:eastAsia="Arial" w:hAnsi="Arial"/>
                <w:sz w:val="11"/>
                <w:szCs w:val="11"/>
                <w:b w:val="1"/>
                <w:bCs w:val="1"/>
                <w:color w:val="auto"/>
              </w:rPr>
              <w:t>All</w:t>
            </w:r>
          </w:p>
        </w:tc>
        <w:tc>
          <w:tcPr>
            <w:tcW w:w="680" w:type="dxa"/>
            <w:vAlign w:val="bottom"/>
            <w:gridSpan w:val="2"/>
            <w:vMerge w:val="restart"/>
          </w:tcPr>
          <w:p>
            <w:pPr>
              <w:jc w:val="right"/>
              <w:ind w:right="11"/>
              <w:spacing w:after="0"/>
              <w:rPr>
                <w:sz w:val="20"/>
                <w:szCs w:val="20"/>
                <w:color w:val="auto"/>
              </w:rPr>
            </w:pPr>
            <w:r>
              <w:rPr>
                <w:rFonts w:ascii="Arial" w:cs="Arial" w:eastAsia="Arial" w:hAnsi="Arial"/>
                <w:sz w:val="11"/>
                <w:szCs w:val="11"/>
                <w:b w:val="1"/>
                <w:bCs w:val="1"/>
                <w:color w:val="auto"/>
              </w:rPr>
              <w:t>Corporate</w:t>
            </w:r>
          </w:p>
        </w:tc>
        <w:tc>
          <w:tcPr>
            <w:tcW w:w="240" w:type="dxa"/>
            <w:vAlign w:val="bottom"/>
          </w:tcPr>
          <w:p>
            <w:pPr>
              <w:spacing w:after="0"/>
              <w:rPr>
                <w:sz w:val="8"/>
                <w:szCs w:val="8"/>
                <w:color w:val="auto"/>
              </w:rPr>
            </w:pPr>
          </w:p>
        </w:tc>
        <w:tc>
          <w:tcPr>
            <w:tcW w:w="400" w:type="dxa"/>
            <w:vAlign w:val="bottom"/>
            <w:vMerge w:val="restart"/>
          </w:tcPr>
          <w:p>
            <w:pPr>
              <w:jc w:val="right"/>
              <w:ind w:right="11"/>
              <w:spacing w:after="0"/>
              <w:rPr>
                <w:sz w:val="20"/>
                <w:szCs w:val="20"/>
                <w:color w:val="auto"/>
              </w:rPr>
            </w:pPr>
            <w:r>
              <w:rPr>
                <w:rFonts w:ascii="Arial" w:cs="Arial" w:eastAsia="Arial" w:hAnsi="Arial"/>
                <w:sz w:val="11"/>
                <w:szCs w:val="11"/>
                <w:b w:val="1"/>
                <w:bCs w:val="1"/>
                <w:color w:val="auto"/>
              </w:rPr>
              <w:t>Total</w:t>
            </w: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0" w:type="dxa"/>
            <w:vAlign w:val="bottom"/>
            <w:tcBorders>
              <w:bottom w:val="single" w:sz="8" w:color="CCEEFF"/>
            </w:tcBorders>
          </w:tcPr>
          <w:p>
            <w:pPr>
              <w:spacing w:after="0"/>
              <w:rPr>
                <w:sz w:val="11"/>
                <w:szCs w:val="11"/>
                <w:color w:val="auto"/>
              </w:rPr>
            </w:pPr>
          </w:p>
        </w:tc>
        <w:tc>
          <w:tcPr>
            <w:tcW w:w="2520" w:type="dxa"/>
            <w:vAlign w:val="bottom"/>
            <w:tcBorders>
              <w:bottom w:val="single" w:sz="8" w:color="CCEEFF"/>
            </w:tcBorders>
          </w:tcPr>
          <w:p>
            <w:pPr>
              <w:spacing w:after="0"/>
              <w:rPr>
                <w:sz w:val="11"/>
                <w:szCs w:val="11"/>
                <w:color w:val="auto"/>
              </w:rPr>
            </w:pPr>
          </w:p>
        </w:tc>
        <w:tc>
          <w:tcPr>
            <w:tcW w:w="600" w:type="dxa"/>
            <w:vAlign w:val="bottom"/>
            <w:tcBorders>
              <w:bottom w:val="single" w:sz="8" w:color="CCEEFF"/>
            </w:tcBorders>
          </w:tcPr>
          <w:p>
            <w:pPr>
              <w:spacing w:after="0"/>
              <w:rPr>
                <w:sz w:val="11"/>
                <w:szCs w:val="11"/>
                <w:color w:val="auto"/>
              </w:rPr>
            </w:pPr>
          </w:p>
        </w:tc>
        <w:tc>
          <w:tcPr>
            <w:tcW w:w="180" w:type="dxa"/>
            <w:vAlign w:val="bottom"/>
            <w:tcBorders>
              <w:bottom w:val="single" w:sz="8" w:color="CCEEFF"/>
            </w:tcBorders>
          </w:tcPr>
          <w:p>
            <w:pPr>
              <w:spacing w:after="0"/>
              <w:rPr>
                <w:sz w:val="11"/>
                <w:szCs w:val="11"/>
                <w:color w:val="auto"/>
              </w:rPr>
            </w:pPr>
          </w:p>
        </w:tc>
        <w:tc>
          <w:tcPr>
            <w:tcW w:w="70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gridSpan w:val="2"/>
            <w:vMerge w:val="continue"/>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vMerge w:val="continue"/>
          </w:tcPr>
          <w:p>
            <w:pPr>
              <w:spacing w:after="0"/>
              <w:rPr>
                <w:sz w:val="11"/>
                <w:szCs w:val="11"/>
                <w:color w:val="auto"/>
              </w:rPr>
            </w:pPr>
          </w:p>
        </w:tc>
        <w:tc>
          <w:tcPr>
            <w:tcW w:w="940" w:type="dxa"/>
            <w:vAlign w:val="bottom"/>
            <w:tcBorders>
              <w:bottom w:val="single" w:sz="8" w:color="auto"/>
            </w:tcBorders>
            <w:gridSpan w:val="2"/>
            <w:vMerge w:val="continue"/>
          </w:tcPr>
          <w:p>
            <w:pPr>
              <w:spacing w:after="0"/>
              <w:rPr>
                <w:sz w:val="11"/>
                <w:szCs w:val="11"/>
                <w:color w:val="auto"/>
              </w:rPr>
            </w:pPr>
          </w:p>
        </w:tc>
        <w:tc>
          <w:tcPr>
            <w:tcW w:w="680" w:type="dxa"/>
            <w:vAlign w:val="bottom"/>
            <w:tcBorders>
              <w:bottom w:val="single" w:sz="8" w:color="auto"/>
            </w:tcBorders>
          </w:tcPr>
          <w:p>
            <w:pPr>
              <w:jc w:val="right"/>
              <w:ind w:right="152"/>
              <w:spacing w:after="0"/>
              <w:rPr>
                <w:sz w:val="20"/>
                <w:szCs w:val="20"/>
                <w:color w:val="auto"/>
              </w:rPr>
            </w:pPr>
            <w:r>
              <w:rPr>
                <w:rFonts w:ascii="Arial" w:cs="Arial" w:eastAsia="Arial" w:hAnsi="Arial"/>
                <w:sz w:val="11"/>
                <w:szCs w:val="11"/>
                <w:b w:val="1"/>
                <w:bCs w:val="1"/>
                <w:color w:val="auto"/>
              </w:rPr>
              <w:t>Other</w:t>
            </w:r>
          </w:p>
        </w:tc>
        <w:tc>
          <w:tcPr>
            <w:tcW w:w="680" w:type="dxa"/>
            <w:vAlign w:val="bottom"/>
            <w:tcBorders>
              <w:bottom w:val="single" w:sz="8" w:color="auto"/>
            </w:tcBorders>
            <w:gridSpan w:val="2"/>
            <w:vMerge w:val="continue"/>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vMerge w:val="continue"/>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40" w:type="dxa"/>
            <w:vAlign w:val="bottom"/>
            <w:tcBorders>
              <w:bottom w:val="single" w:sz="8" w:color="CCEEFF"/>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5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Net sales to outside customers</w:t>
            </w:r>
          </w:p>
        </w:tc>
        <w:tc>
          <w:tcPr>
            <w:tcW w:w="6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740" w:type="dxa"/>
            <w:vAlign w:val="bottom"/>
            <w:gridSpan w:val="3"/>
            <w:shd w:val="clear" w:color="auto" w:fill="CCEEFF"/>
          </w:tcPr>
          <w:p>
            <w:pPr>
              <w:jc w:val="right"/>
              <w:ind w:right="31"/>
              <w:spacing w:after="0"/>
              <w:rPr>
                <w:sz w:val="20"/>
                <w:szCs w:val="20"/>
                <w:color w:val="auto"/>
              </w:rPr>
            </w:pPr>
            <w:r>
              <w:rPr>
                <w:rFonts w:ascii="Arial" w:cs="Arial" w:eastAsia="Arial" w:hAnsi="Arial"/>
                <w:sz w:val="14"/>
                <w:szCs w:val="14"/>
                <w:color w:val="auto"/>
                <w:w w:val="88"/>
              </w:rPr>
              <w:t>$1,279,459</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99"/>
              </w:rPr>
              <w:t>$1,024,747</w:t>
            </w:r>
          </w:p>
        </w:tc>
        <w:tc>
          <w:tcPr>
            <w:tcW w:w="940" w:type="dxa"/>
            <w:vAlign w:val="bottom"/>
            <w:gridSpan w:val="2"/>
            <w:shd w:val="clear" w:color="auto" w:fill="CCEEFF"/>
          </w:tcPr>
          <w:p>
            <w:pPr>
              <w:jc w:val="right"/>
              <w:ind w:right="73"/>
              <w:spacing w:after="0"/>
              <w:rPr>
                <w:sz w:val="20"/>
                <w:szCs w:val="20"/>
                <w:color w:val="auto"/>
              </w:rPr>
            </w:pPr>
            <w:r>
              <w:rPr>
                <w:rFonts w:ascii="Arial" w:cs="Arial" w:eastAsia="Arial" w:hAnsi="Arial"/>
                <w:sz w:val="14"/>
                <w:szCs w:val="14"/>
                <w:color w:val="auto"/>
              </w:rPr>
              <w:t>$1,599,274</w:t>
            </w:r>
          </w:p>
        </w:tc>
        <w:tc>
          <w:tcPr>
            <w:tcW w:w="6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w w:val="89"/>
              </w:rPr>
              <w:t>$ 585,700</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$4,489,180</w:t>
            </w:r>
          </w:p>
        </w:tc>
        <w:tc>
          <w:tcPr>
            <w:tcW w:w="5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540" w:type="dxa"/>
            <w:vAlign w:val="bottom"/>
            <w:gridSpan w:val="2"/>
          </w:tcPr>
          <w:p>
            <w:pPr>
              <w:spacing w:after="0"/>
              <w:rPr>
                <w:sz w:val="20"/>
                <w:szCs w:val="20"/>
                <w:color w:val="auto"/>
              </w:rPr>
            </w:pPr>
            <w:r>
              <w:rPr>
                <w:rFonts w:ascii="Arial" w:cs="Arial" w:eastAsia="Arial" w:hAnsi="Arial"/>
                <w:sz w:val="14"/>
                <w:szCs w:val="14"/>
                <w:color w:val="auto"/>
              </w:rPr>
              <w:t>Intersegment net sales</w:t>
            </w: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right"/>
              <w:ind w:right="31"/>
              <w:spacing w:after="0"/>
              <w:rPr>
                <w:sz w:val="20"/>
                <w:szCs w:val="20"/>
                <w:color w:val="auto"/>
              </w:rPr>
            </w:pPr>
            <w:r>
              <w:rPr>
                <w:rFonts w:ascii="Arial" w:cs="Arial" w:eastAsia="Arial" w:hAnsi="Arial"/>
                <w:sz w:val="14"/>
                <w:szCs w:val="14"/>
                <w:color w:val="auto"/>
              </w:rPr>
              <w:t>56,682</w:t>
            </w:r>
          </w:p>
        </w:tc>
        <w:tc>
          <w:tcPr>
            <w:tcW w:w="2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76,297</w:t>
            </w:r>
          </w:p>
        </w:tc>
        <w:tc>
          <w:tcPr>
            <w:tcW w:w="940" w:type="dxa"/>
            <w:vAlign w:val="bottom"/>
            <w:gridSpan w:val="2"/>
          </w:tcPr>
          <w:p>
            <w:pPr>
              <w:jc w:val="right"/>
              <w:ind w:right="73"/>
              <w:spacing w:after="0"/>
              <w:rPr>
                <w:sz w:val="20"/>
                <w:szCs w:val="20"/>
                <w:color w:val="auto"/>
              </w:rPr>
            </w:pPr>
            <w:r>
              <w:rPr>
                <w:rFonts w:ascii="Arial" w:cs="Arial" w:eastAsia="Arial" w:hAnsi="Arial"/>
                <w:sz w:val="14"/>
                <w:szCs w:val="14"/>
                <w:color w:val="auto"/>
              </w:rPr>
              <w:t>56,004</w:t>
            </w:r>
          </w:p>
        </w:tc>
        <w:tc>
          <w:tcPr>
            <w:tcW w:w="680" w:type="dxa"/>
            <w:vAlign w:val="bottom"/>
          </w:tcPr>
          <w:p>
            <w:pPr>
              <w:jc w:val="right"/>
              <w:ind w:right="32"/>
              <w:spacing w:after="0"/>
              <w:rPr>
                <w:sz w:val="20"/>
                <w:szCs w:val="20"/>
                <w:color w:val="auto"/>
              </w:rPr>
            </w:pPr>
            <w:r>
              <w:rPr>
                <w:rFonts w:ascii="Arial" w:cs="Arial" w:eastAsia="Arial" w:hAnsi="Arial"/>
                <w:sz w:val="14"/>
                <w:szCs w:val="14"/>
                <w:color w:val="auto"/>
              </w:rPr>
              <w:t>235,905</w:t>
            </w:r>
          </w:p>
        </w:tc>
        <w:tc>
          <w:tcPr>
            <w:tcW w:w="140" w:type="dxa"/>
            <w:vAlign w:val="bottom"/>
          </w:tcPr>
          <w:p>
            <w:pPr>
              <w:spacing w:after="0"/>
              <w:rPr>
                <w:sz w:val="14"/>
                <w:szCs w:val="14"/>
                <w:color w:val="auto"/>
              </w:rPr>
            </w:pPr>
          </w:p>
        </w:tc>
        <w:tc>
          <w:tcPr>
            <w:tcW w:w="54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color w:val="auto"/>
                <w:w w:val="94"/>
              </w:rPr>
              <w:t>424,888</w:t>
            </w: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5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Interest expense (income)</w:t>
            </w:r>
          </w:p>
        </w:tc>
        <w:tc>
          <w:tcPr>
            <w:tcW w:w="6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58</w:t>
            </w:r>
          </w:p>
        </w:tc>
        <w:tc>
          <w:tcPr>
            <w:tcW w:w="24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472"/>
              <w:spacing w:after="0"/>
              <w:rPr>
                <w:sz w:val="20"/>
                <w:szCs w:val="20"/>
                <w:color w:val="auto"/>
              </w:rPr>
            </w:pPr>
            <w:r>
              <w:rPr>
                <w:rFonts w:ascii="Arial" w:cs="Arial" w:eastAsia="Arial" w:hAnsi="Arial"/>
                <w:sz w:val="14"/>
                <w:szCs w:val="14"/>
                <w:color w:val="auto"/>
              </w:rPr>
              <w:t>(6)</w:t>
            </w:r>
          </w:p>
        </w:tc>
        <w:tc>
          <w:tcPr>
            <w:tcW w:w="360" w:type="dxa"/>
            <w:vAlign w:val="bottom"/>
            <w:shd w:val="clear" w:color="auto" w:fill="CCEEFF"/>
          </w:tcPr>
          <w:p>
            <w:pPr>
              <w:jc w:val="right"/>
              <w:ind w:right="73"/>
              <w:spacing w:after="0"/>
              <w:rPr>
                <w:sz w:val="20"/>
                <w:szCs w:val="20"/>
                <w:color w:val="auto"/>
              </w:rPr>
            </w:pPr>
            <w:r>
              <w:rPr>
                <w:rFonts w:ascii="Arial" w:cs="Arial" w:eastAsia="Arial" w:hAnsi="Arial"/>
                <w:sz w:val="14"/>
                <w:szCs w:val="14"/>
                <w:color w:val="auto"/>
                <w:w w:val="85"/>
              </w:rPr>
              <w:t>197</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(1,486)</w:t>
            </w: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10,130</w:t>
            </w:r>
          </w:p>
        </w:tc>
        <w:tc>
          <w:tcPr>
            <w:tcW w:w="24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8,893</w:t>
            </w:r>
          </w:p>
        </w:tc>
        <w:tc>
          <w:tcPr>
            <w:tcW w:w="5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540" w:type="dxa"/>
            <w:vAlign w:val="bottom"/>
            <w:gridSpan w:val="2"/>
          </w:tcPr>
          <w:p>
            <w:pPr>
              <w:spacing w:after="0"/>
              <w:rPr>
                <w:sz w:val="20"/>
                <w:szCs w:val="20"/>
                <w:color w:val="auto"/>
              </w:rPr>
            </w:pPr>
            <w:r>
              <w:rPr>
                <w:rFonts w:ascii="Arial" w:cs="Arial" w:eastAsia="Arial" w:hAnsi="Arial"/>
                <w:sz w:val="14"/>
                <w:szCs w:val="14"/>
                <w:color w:val="auto"/>
              </w:rPr>
              <w:t>Amortization expense</w:t>
            </w: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jc w:val="right"/>
              <w:ind w:right="31"/>
              <w:spacing w:after="0"/>
              <w:rPr>
                <w:sz w:val="20"/>
                <w:szCs w:val="20"/>
                <w:color w:val="auto"/>
              </w:rPr>
            </w:pPr>
            <w:r>
              <w:rPr>
                <w:rFonts w:ascii="Arial" w:cs="Arial" w:eastAsia="Arial" w:hAnsi="Arial"/>
                <w:sz w:val="14"/>
                <w:szCs w:val="14"/>
                <w:color w:val="auto"/>
              </w:rPr>
              <w:t>830</w:t>
            </w:r>
          </w:p>
        </w:tc>
        <w:tc>
          <w:tcPr>
            <w:tcW w:w="2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1,292</w:t>
            </w:r>
          </w:p>
        </w:tc>
        <w:tc>
          <w:tcPr>
            <w:tcW w:w="940" w:type="dxa"/>
            <w:vAlign w:val="bottom"/>
            <w:gridSpan w:val="2"/>
          </w:tcPr>
          <w:p>
            <w:pPr>
              <w:jc w:val="right"/>
              <w:ind w:right="73"/>
              <w:spacing w:after="0"/>
              <w:rPr>
                <w:sz w:val="20"/>
                <w:szCs w:val="20"/>
                <w:color w:val="auto"/>
              </w:rPr>
            </w:pPr>
            <w:r>
              <w:rPr>
                <w:rFonts w:ascii="Arial" w:cs="Arial" w:eastAsia="Arial" w:hAnsi="Arial"/>
                <w:sz w:val="14"/>
                <w:szCs w:val="14"/>
                <w:color w:val="auto"/>
              </w:rPr>
              <w:t>1,998</w:t>
            </w:r>
          </w:p>
        </w:tc>
        <w:tc>
          <w:tcPr>
            <w:tcW w:w="680" w:type="dxa"/>
            <w:vAlign w:val="bottom"/>
          </w:tcPr>
          <w:p>
            <w:pPr>
              <w:jc w:val="right"/>
              <w:ind w:right="32"/>
              <w:spacing w:after="0"/>
              <w:rPr>
                <w:sz w:val="20"/>
                <w:szCs w:val="20"/>
                <w:color w:val="auto"/>
              </w:rPr>
            </w:pPr>
            <w:r>
              <w:rPr>
                <w:rFonts w:ascii="Arial" w:cs="Arial" w:eastAsia="Arial" w:hAnsi="Arial"/>
                <w:sz w:val="14"/>
                <w:szCs w:val="14"/>
                <w:color w:val="auto"/>
              </w:rPr>
              <w:t>2,273</w:t>
            </w:r>
          </w:p>
        </w:tc>
        <w:tc>
          <w:tcPr>
            <w:tcW w:w="140" w:type="dxa"/>
            <w:vAlign w:val="bottom"/>
          </w:tcPr>
          <w:p>
            <w:pPr>
              <w:spacing w:after="0"/>
              <w:rPr>
                <w:sz w:val="14"/>
                <w:szCs w:val="14"/>
                <w:color w:val="auto"/>
              </w:rPr>
            </w:pPr>
          </w:p>
        </w:tc>
        <w:tc>
          <w:tcPr>
            <w:tcW w:w="54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6,393</w:t>
            </w: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5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Depreciation expense</w:t>
            </w:r>
          </w:p>
        </w:tc>
        <w:tc>
          <w:tcPr>
            <w:tcW w:w="6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31"/>
              <w:spacing w:after="0"/>
              <w:rPr>
                <w:sz w:val="20"/>
                <w:szCs w:val="20"/>
                <w:color w:val="auto"/>
              </w:rPr>
            </w:pPr>
            <w:r>
              <w:rPr>
                <w:rFonts w:ascii="Arial" w:cs="Arial" w:eastAsia="Arial" w:hAnsi="Arial"/>
                <w:sz w:val="14"/>
                <w:szCs w:val="14"/>
                <w:color w:val="auto"/>
              </w:rPr>
              <w:t>12,062</w:t>
            </w:r>
          </w:p>
        </w:tc>
        <w:tc>
          <w:tcPr>
            <w:tcW w:w="24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8,244</w:t>
            </w:r>
          </w:p>
        </w:tc>
        <w:tc>
          <w:tcPr>
            <w:tcW w:w="940" w:type="dxa"/>
            <w:vAlign w:val="bottom"/>
            <w:gridSpan w:val="2"/>
            <w:shd w:val="clear" w:color="auto" w:fill="CCEEFF"/>
          </w:tcPr>
          <w:p>
            <w:pPr>
              <w:jc w:val="right"/>
              <w:ind w:right="73"/>
              <w:spacing w:after="0"/>
              <w:rPr>
                <w:sz w:val="20"/>
                <w:szCs w:val="20"/>
                <w:color w:val="auto"/>
              </w:rPr>
            </w:pPr>
            <w:r>
              <w:rPr>
                <w:rFonts w:ascii="Arial" w:cs="Arial" w:eastAsia="Arial" w:hAnsi="Arial"/>
                <w:sz w:val="14"/>
                <w:szCs w:val="14"/>
                <w:color w:val="auto"/>
              </w:rPr>
              <w:t>14,836</w:t>
            </w:r>
          </w:p>
        </w:tc>
        <w:tc>
          <w:tcPr>
            <w:tcW w:w="6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10,341</w:t>
            </w: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9,466</w:t>
            </w:r>
          </w:p>
        </w:tc>
        <w:tc>
          <w:tcPr>
            <w:tcW w:w="24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54,949</w:t>
            </w:r>
          </w:p>
        </w:tc>
        <w:tc>
          <w:tcPr>
            <w:tcW w:w="5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540" w:type="dxa"/>
            <w:vAlign w:val="bottom"/>
            <w:gridSpan w:val="2"/>
          </w:tcPr>
          <w:p>
            <w:pPr>
              <w:spacing w:after="0"/>
              <w:rPr>
                <w:sz w:val="20"/>
                <w:szCs w:val="20"/>
                <w:color w:val="auto"/>
              </w:rPr>
            </w:pPr>
            <w:r>
              <w:rPr>
                <w:rFonts w:ascii="Arial" w:cs="Arial" w:eastAsia="Arial" w:hAnsi="Arial"/>
                <w:sz w:val="14"/>
                <w:szCs w:val="14"/>
                <w:color w:val="auto"/>
              </w:rPr>
              <w:t>Segment earnings from operations</w:t>
            </w: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right"/>
              <w:ind w:right="31"/>
              <w:spacing w:after="0"/>
              <w:rPr>
                <w:sz w:val="20"/>
                <w:szCs w:val="20"/>
                <w:color w:val="auto"/>
              </w:rPr>
            </w:pPr>
            <w:r>
              <w:rPr>
                <w:rFonts w:ascii="Arial" w:cs="Arial" w:eastAsia="Arial" w:hAnsi="Arial"/>
                <w:sz w:val="14"/>
                <w:szCs w:val="14"/>
                <w:color w:val="auto"/>
              </w:rPr>
              <w:t>66,239</w:t>
            </w:r>
          </w:p>
        </w:tc>
        <w:tc>
          <w:tcPr>
            <w:tcW w:w="2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60,049</w:t>
            </w:r>
          </w:p>
        </w:tc>
        <w:tc>
          <w:tcPr>
            <w:tcW w:w="940" w:type="dxa"/>
            <w:vAlign w:val="bottom"/>
            <w:gridSpan w:val="2"/>
          </w:tcPr>
          <w:p>
            <w:pPr>
              <w:jc w:val="right"/>
              <w:ind w:right="73"/>
              <w:spacing w:after="0"/>
              <w:rPr>
                <w:sz w:val="20"/>
                <w:szCs w:val="20"/>
                <w:color w:val="auto"/>
              </w:rPr>
            </w:pPr>
            <w:r>
              <w:rPr>
                <w:rFonts w:ascii="Arial" w:cs="Arial" w:eastAsia="Arial" w:hAnsi="Arial"/>
                <w:sz w:val="14"/>
                <w:szCs w:val="14"/>
                <w:color w:val="auto"/>
              </w:rPr>
              <w:t>103,357</w:t>
            </w:r>
          </w:p>
        </w:tc>
        <w:tc>
          <w:tcPr>
            <w:tcW w:w="680" w:type="dxa"/>
            <w:vAlign w:val="bottom"/>
          </w:tcPr>
          <w:p>
            <w:pPr>
              <w:jc w:val="right"/>
              <w:ind w:right="32"/>
              <w:spacing w:after="0"/>
              <w:rPr>
                <w:sz w:val="20"/>
                <w:szCs w:val="20"/>
                <w:color w:val="auto"/>
              </w:rPr>
            </w:pPr>
            <w:r>
              <w:rPr>
                <w:rFonts w:ascii="Arial" w:cs="Arial" w:eastAsia="Arial" w:hAnsi="Arial"/>
                <w:sz w:val="14"/>
                <w:szCs w:val="14"/>
                <w:color w:val="auto"/>
              </w:rPr>
              <w:t>6,779</w:t>
            </w: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w w:val="91"/>
              </w:rPr>
              <w:t>(29,161)</w:t>
            </w:r>
          </w:p>
        </w:tc>
        <w:tc>
          <w:tcPr>
            <w:tcW w:w="240" w:type="dxa"/>
            <w:vAlign w:val="bottom"/>
          </w:tcPr>
          <w:p>
            <w:pPr>
              <w:spacing w:after="0"/>
              <w:rPr>
                <w:sz w:val="14"/>
                <w:szCs w:val="14"/>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color w:val="auto"/>
                <w:w w:val="94"/>
              </w:rPr>
              <w:t>207,263</w:t>
            </w: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5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Segment assets</w:t>
            </w:r>
          </w:p>
        </w:tc>
        <w:tc>
          <w:tcPr>
            <w:tcW w:w="6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31"/>
              <w:spacing w:after="0"/>
              <w:rPr>
                <w:sz w:val="20"/>
                <w:szCs w:val="20"/>
                <w:color w:val="auto"/>
              </w:rPr>
            </w:pPr>
            <w:r>
              <w:rPr>
                <w:rFonts w:ascii="Arial" w:cs="Arial" w:eastAsia="Arial" w:hAnsi="Arial"/>
                <w:sz w:val="14"/>
                <w:szCs w:val="14"/>
                <w:color w:val="auto"/>
              </w:rPr>
              <w:t>386,483</w:t>
            </w:r>
          </w:p>
        </w:tc>
        <w:tc>
          <w:tcPr>
            <w:tcW w:w="24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0"/>
              </w:rPr>
              <w:t>266,503</w:t>
            </w:r>
          </w:p>
        </w:tc>
        <w:tc>
          <w:tcPr>
            <w:tcW w:w="940" w:type="dxa"/>
            <w:vAlign w:val="bottom"/>
            <w:gridSpan w:val="2"/>
            <w:shd w:val="clear" w:color="auto" w:fill="CCEEFF"/>
          </w:tcPr>
          <w:p>
            <w:pPr>
              <w:jc w:val="right"/>
              <w:ind w:right="73"/>
              <w:spacing w:after="0"/>
              <w:rPr>
                <w:sz w:val="20"/>
                <w:szCs w:val="20"/>
                <w:color w:val="auto"/>
              </w:rPr>
            </w:pPr>
            <w:r>
              <w:rPr>
                <w:rFonts w:ascii="Arial" w:cs="Arial" w:eastAsia="Arial" w:hAnsi="Arial"/>
                <w:sz w:val="14"/>
                <w:szCs w:val="14"/>
                <w:color w:val="auto"/>
              </w:rPr>
              <w:t>496,939</w:t>
            </w:r>
          </w:p>
        </w:tc>
        <w:tc>
          <w:tcPr>
            <w:tcW w:w="6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395,727</w:t>
            </w: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w w:val="86"/>
              </w:rPr>
              <w:t>101,896</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1,647,548</w:t>
            </w:r>
          </w:p>
        </w:tc>
        <w:tc>
          <w:tcPr>
            <w:tcW w:w="5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540" w:type="dxa"/>
            <w:vAlign w:val="bottom"/>
            <w:gridSpan w:val="2"/>
          </w:tcPr>
          <w:p>
            <w:pPr>
              <w:spacing w:after="0"/>
              <w:rPr>
                <w:sz w:val="20"/>
                <w:szCs w:val="20"/>
                <w:color w:val="auto"/>
              </w:rPr>
            </w:pPr>
            <w:r>
              <w:rPr>
                <w:rFonts w:ascii="Arial" w:cs="Arial" w:eastAsia="Arial" w:hAnsi="Arial"/>
                <w:sz w:val="14"/>
                <w:szCs w:val="14"/>
                <w:color w:val="auto"/>
              </w:rPr>
              <w:t>Capital expenditures</w:t>
            </w: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gridSpan w:val="2"/>
          </w:tcPr>
          <w:p>
            <w:pPr>
              <w:jc w:val="right"/>
              <w:ind w:right="31"/>
              <w:spacing w:after="0"/>
              <w:rPr>
                <w:sz w:val="20"/>
                <w:szCs w:val="20"/>
                <w:color w:val="auto"/>
              </w:rPr>
            </w:pPr>
            <w:r>
              <w:rPr>
                <w:rFonts w:ascii="Arial" w:cs="Arial" w:eastAsia="Arial" w:hAnsi="Arial"/>
                <w:sz w:val="14"/>
                <w:szCs w:val="14"/>
                <w:color w:val="auto"/>
              </w:rPr>
              <w:t>17,820</w:t>
            </w:r>
          </w:p>
        </w:tc>
        <w:tc>
          <w:tcPr>
            <w:tcW w:w="2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9,185</w:t>
            </w:r>
          </w:p>
        </w:tc>
        <w:tc>
          <w:tcPr>
            <w:tcW w:w="940" w:type="dxa"/>
            <w:vAlign w:val="bottom"/>
            <w:gridSpan w:val="2"/>
          </w:tcPr>
          <w:p>
            <w:pPr>
              <w:jc w:val="right"/>
              <w:ind w:right="73"/>
              <w:spacing w:after="0"/>
              <w:rPr>
                <w:sz w:val="20"/>
                <w:szCs w:val="20"/>
                <w:color w:val="auto"/>
              </w:rPr>
            </w:pPr>
            <w:r>
              <w:rPr>
                <w:rFonts w:ascii="Arial" w:cs="Arial" w:eastAsia="Arial" w:hAnsi="Arial"/>
                <w:sz w:val="14"/>
                <w:szCs w:val="14"/>
                <w:color w:val="auto"/>
              </w:rPr>
              <w:t>26,024</w:t>
            </w:r>
          </w:p>
        </w:tc>
        <w:tc>
          <w:tcPr>
            <w:tcW w:w="680" w:type="dxa"/>
            <w:vAlign w:val="bottom"/>
          </w:tcPr>
          <w:p>
            <w:pPr>
              <w:jc w:val="right"/>
              <w:ind w:right="32"/>
              <w:spacing w:after="0"/>
              <w:rPr>
                <w:sz w:val="20"/>
                <w:szCs w:val="20"/>
                <w:color w:val="auto"/>
              </w:rPr>
            </w:pPr>
            <w:r>
              <w:rPr>
                <w:rFonts w:ascii="Arial" w:cs="Arial" w:eastAsia="Arial" w:hAnsi="Arial"/>
                <w:sz w:val="14"/>
                <w:szCs w:val="14"/>
                <w:color w:val="auto"/>
              </w:rPr>
              <w:t>39,168</w:t>
            </w:r>
          </w:p>
        </w:tc>
        <w:tc>
          <w:tcPr>
            <w:tcW w:w="140" w:type="dxa"/>
            <w:vAlign w:val="bottom"/>
          </w:tcPr>
          <w:p>
            <w:pPr>
              <w:spacing w:after="0"/>
              <w:rPr>
                <w:sz w:val="15"/>
                <w:szCs w:val="15"/>
                <w:color w:val="auto"/>
              </w:rPr>
            </w:pPr>
          </w:p>
        </w:tc>
        <w:tc>
          <w:tcPr>
            <w:tcW w:w="540" w:type="dxa"/>
            <w:vAlign w:val="bottom"/>
          </w:tcPr>
          <w:p>
            <w:pPr>
              <w:jc w:val="right"/>
              <w:ind w:right="11"/>
              <w:spacing w:after="0"/>
              <w:rPr>
                <w:sz w:val="20"/>
                <w:szCs w:val="20"/>
                <w:color w:val="auto"/>
              </w:rPr>
            </w:pPr>
            <w:r>
              <w:rPr>
                <w:rFonts w:ascii="Arial" w:cs="Arial" w:eastAsia="Arial" w:hAnsi="Arial"/>
                <w:sz w:val="14"/>
                <w:szCs w:val="14"/>
                <w:color w:val="auto"/>
              </w:rPr>
              <w:t>3,665</w:t>
            </w:r>
          </w:p>
        </w:tc>
        <w:tc>
          <w:tcPr>
            <w:tcW w:w="240" w:type="dxa"/>
            <w:vAlign w:val="bottom"/>
          </w:tcPr>
          <w:p>
            <w:pPr>
              <w:spacing w:after="0"/>
              <w:rPr>
                <w:sz w:val="15"/>
                <w:szCs w:val="15"/>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95,862</w:t>
            </w: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2"/>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25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gridSpan w:val="2"/>
          </w:tcPr>
          <w:p>
            <w:pPr>
              <w:jc w:val="right"/>
              <w:ind w:right="133"/>
              <w:spacing w:after="0" w:line="107" w:lineRule="exact"/>
              <w:rPr>
                <w:sz w:val="20"/>
                <w:szCs w:val="20"/>
                <w:color w:val="auto"/>
              </w:rPr>
            </w:pPr>
            <w:r>
              <w:rPr>
                <w:rFonts w:ascii="Arial" w:cs="Arial" w:eastAsia="Arial" w:hAnsi="Arial"/>
                <w:sz w:val="11"/>
                <w:szCs w:val="11"/>
                <w:b w:val="1"/>
                <w:bCs w:val="1"/>
                <w:color w:val="auto"/>
              </w:rPr>
              <w:t>2017</w:t>
            </w:r>
          </w:p>
        </w:tc>
        <w:tc>
          <w:tcPr>
            <w:tcW w:w="68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25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gridSpan w:val="2"/>
            <w:vMerge w:val="restart"/>
          </w:tcPr>
          <w:p>
            <w:pPr>
              <w:jc w:val="right"/>
              <w:ind w:right="309"/>
              <w:spacing w:after="0"/>
              <w:rPr>
                <w:sz w:val="20"/>
                <w:szCs w:val="20"/>
                <w:color w:val="auto"/>
              </w:rPr>
            </w:pPr>
            <w:r>
              <w:rPr>
                <w:rFonts w:ascii="Arial" w:cs="Arial" w:eastAsia="Arial" w:hAnsi="Arial"/>
                <w:sz w:val="11"/>
                <w:szCs w:val="11"/>
                <w:b w:val="1"/>
                <w:bCs w:val="1"/>
                <w:color w:val="auto"/>
              </w:rPr>
              <w:t>North</w:t>
            </w:r>
          </w:p>
        </w:tc>
        <w:tc>
          <w:tcPr>
            <w:tcW w:w="240" w:type="dxa"/>
            <w:vAlign w:val="bottom"/>
          </w:tcPr>
          <w:p>
            <w:pPr>
              <w:spacing w:after="0"/>
              <w:rPr>
                <w:sz w:val="8"/>
                <w:szCs w:val="8"/>
                <w:color w:val="auto"/>
              </w:rPr>
            </w:pPr>
          </w:p>
        </w:tc>
        <w:tc>
          <w:tcPr>
            <w:tcW w:w="400" w:type="dxa"/>
            <w:vAlign w:val="bottom"/>
            <w:vMerge w:val="restart"/>
          </w:tcPr>
          <w:p>
            <w:pPr>
              <w:ind w:left="120"/>
              <w:spacing w:after="0"/>
              <w:rPr>
                <w:sz w:val="20"/>
                <w:szCs w:val="20"/>
                <w:color w:val="auto"/>
              </w:rPr>
            </w:pPr>
            <w:r>
              <w:rPr>
                <w:rFonts w:ascii="Arial" w:cs="Arial" w:eastAsia="Arial" w:hAnsi="Arial"/>
                <w:sz w:val="11"/>
                <w:szCs w:val="11"/>
                <w:b w:val="1"/>
                <w:bCs w:val="1"/>
                <w:color w:val="auto"/>
                <w:w w:val="83"/>
              </w:rPr>
              <w:t>South</w:t>
            </w: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580" w:type="dxa"/>
            <w:vAlign w:val="bottom"/>
            <w:vMerge w:val="restart"/>
          </w:tcPr>
          <w:p>
            <w:pPr>
              <w:jc w:val="right"/>
              <w:ind w:right="232"/>
              <w:spacing w:after="0"/>
              <w:rPr>
                <w:sz w:val="20"/>
                <w:szCs w:val="20"/>
                <w:color w:val="auto"/>
              </w:rPr>
            </w:pPr>
            <w:r>
              <w:rPr>
                <w:rFonts w:ascii="Arial" w:cs="Arial" w:eastAsia="Arial" w:hAnsi="Arial"/>
                <w:sz w:val="11"/>
                <w:szCs w:val="11"/>
                <w:b w:val="1"/>
                <w:bCs w:val="1"/>
                <w:color w:val="auto"/>
                <w:w w:val="98"/>
              </w:rPr>
              <w:t>West</w:t>
            </w:r>
          </w:p>
        </w:tc>
        <w:tc>
          <w:tcPr>
            <w:tcW w:w="360" w:type="dxa"/>
            <w:vAlign w:val="bottom"/>
          </w:tcPr>
          <w:p>
            <w:pPr>
              <w:spacing w:after="0"/>
              <w:rPr>
                <w:sz w:val="8"/>
                <w:szCs w:val="8"/>
                <w:color w:val="auto"/>
              </w:rPr>
            </w:pPr>
          </w:p>
        </w:tc>
        <w:tc>
          <w:tcPr>
            <w:tcW w:w="680" w:type="dxa"/>
            <w:vAlign w:val="bottom"/>
          </w:tcPr>
          <w:p>
            <w:pPr>
              <w:jc w:val="center"/>
              <w:ind w:right="152"/>
              <w:spacing w:after="0" w:line="100" w:lineRule="exact"/>
              <w:rPr>
                <w:sz w:val="20"/>
                <w:szCs w:val="20"/>
                <w:color w:val="auto"/>
              </w:rPr>
            </w:pPr>
            <w:r>
              <w:rPr>
                <w:rFonts w:ascii="Arial" w:cs="Arial" w:eastAsia="Arial" w:hAnsi="Arial"/>
                <w:sz w:val="11"/>
                <w:szCs w:val="11"/>
                <w:b w:val="1"/>
                <w:bCs w:val="1"/>
                <w:color w:val="auto"/>
                <w:w w:val="99"/>
              </w:rPr>
              <w:t>All</w:t>
            </w:r>
          </w:p>
        </w:tc>
        <w:tc>
          <w:tcPr>
            <w:tcW w:w="140" w:type="dxa"/>
            <w:vAlign w:val="bottom"/>
          </w:tcPr>
          <w:p>
            <w:pPr>
              <w:spacing w:after="0"/>
              <w:rPr>
                <w:sz w:val="8"/>
                <w:szCs w:val="8"/>
                <w:color w:val="auto"/>
              </w:rPr>
            </w:pPr>
          </w:p>
        </w:tc>
        <w:tc>
          <w:tcPr>
            <w:tcW w:w="780" w:type="dxa"/>
            <w:vAlign w:val="bottom"/>
            <w:gridSpan w:val="2"/>
            <w:vMerge w:val="restart"/>
          </w:tcPr>
          <w:p>
            <w:pPr>
              <w:jc w:val="right"/>
              <w:ind w:right="109"/>
              <w:spacing w:after="0"/>
              <w:rPr>
                <w:sz w:val="20"/>
                <w:szCs w:val="20"/>
                <w:color w:val="auto"/>
              </w:rPr>
            </w:pPr>
            <w:r>
              <w:rPr>
                <w:rFonts w:ascii="Arial" w:cs="Arial" w:eastAsia="Arial" w:hAnsi="Arial"/>
                <w:sz w:val="11"/>
                <w:szCs w:val="11"/>
                <w:b w:val="1"/>
                <w:bCs w:val="1"/>
                <w:color w:val="auto"/>
              </w:rPr>
              <w:t>Corporate</w:t>
            </w:r>
          </w:p>
        </w:tc>
        <w:tc>
          <w:tcPr>
            <w:tcW w:w="400" w:type="dxa"/>
            <w:vAlign w:val="bottom"/>
          </w:tcPr>
          <w:p>
            <w:pPr>
              <w:spacing w:after="0"/>
              <w:rPr>
                <w:sz w:val="8"/>
                <w:szCs w:val="8"/>
                <w:color w:val="auto"/>
              </w:rPr>
            </w:pPr>
          </w:p>
        </w:tc>
        <w:tc>
          <w:tcPr>
            <w:tcW w:w="820" w:type="dxa"/>
            <w:vAlign w:val="bottom"/>
            <w:gridSpan w:val="3"/>
            <w:vMerge w:val="restart"/>
          </w:tcPr>
          <w:p>
            <w:pPr>
              <w:ind w:left="80"/>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jc w:val="center"/>
              <w:ind w:right="132"/>
              <w:spacing w:after="0"/>
              <w:rPr>
                <w:sz w:val="20"/>
                <w:szCs w:val="20"/>
                <w:color w:val="auto"/>
              </w:rPr>
            </w:pPr>
            <w:r>
              <w:rPr>
                <w:rFonts w:ascii="Arial" w:cs="Arial" w:eastAsia="Arial" w:hAnsi="Arial"/>
                <w:sz w:val="11"/>
                <w:szCs w:val="11"/>
                <w:b w:val="1"/>
                <w:bCs w:val="1"/>
                <w:color w:val="auto"/>
                <w:w w:val="95"/>
              </w:rPr>
              <w:t>Other</w:t>
            </w:r>
          </w:p>
        </w:tc>
        <w:tc>
          <w:tcPr>
            <w:tcW w:w="14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400" w:type="dxa"/>
            <w:vAlign w:val="bottom"/>
          </w:tcPr>
          <w:p>
            <w:pPr>
              <w:spacing w:after="0"/>
              <w:rPr>
                <w:sz w:val="11"/>
                <w:szCs w:val="11"/>
                <w:color w:val="auto"/>
              </w:rPr>
            </w:pPr>
          </w:p>
        </w:tc>
        <w:tc>
          <w:tcPr>
            <w:tcW w:w="82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color w:val="auto"/>
              </w:rPr>
              <w:t>Net sales to outside customers</w:t>
            </w:r>
          </w:p>
        </w:tc>
        <w:tc>
          <w:tcPr>
            <w:tcW w:w="6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tcBorders>
            <w:gridSpan w:val="2"/>
            <w:shd w:val="clear" w:color="auto" w:fill="CCEEFF"/>
          </w:tcPr>
          <w:p>
            <w:pPr>
              <w:jc w:val="right"/>
              <w:ind w:right="29"/>
              <w:spacing w:after="0"/>
              <w:rPr>
                <w:sz w:val="20"/>
                <w:szCs w:val="20"/>
                <w:color w:val="auto"/>
              </w:rPr>
            </w:pPr>
            <w:r>
              <w:rPr>
                <w:rFonts w:ascii="Arial" w:cs="Arial" w:eastAsia="Arial" w:hAnsi="Arial"/>
                <w:sz w:val="14"/>
                <w:szCs w:val="14"/>
                <w:color w:val="auto"/>
              </w:rPr>
              <w:t>1,133,656</w:t>
            </w:r>
          </w:p>
        </w:tc>
        <w:tc>
          <w:tcPr>
            <w:tcW w:w="24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837,370</w:t>
            </w:r>
          </w:p>
        </w:tc>
        <w:tc>
          <w:tcPr>
            <w:tcW w:w="480" w:type="dxa"/>
            <w:vAlign w:val="bottom"/>
            <w:tcBorders>
              <w:top w:val="single" w:sz="8" w:color="auto"/>
            </w:tcBorders>
            <w:shd w:val="clear" w:color="auto" w:fill="CCEEFF"/>
          </w:tcPr>
          <w:p>
            <w:pPr>
              <w:jc w:val="right"/>
              <w:ind w:right="171"/>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89"/>
              </w:rPr>
              <w:t>1,417,924</w:t>
            </w:r>
          </w:p>
        </w:tc>
        <w:tc>
          <w:tcPr>
            <w:tcW w:w="360" w:type="dxa"/>
            <w:vAlign w:val="bottom"/>
            <w:tcBorders>
              <w:top w:val="single" w:sz="8" w:color="auto"/>
            </w:tcBorders>
            <w:shd w:val="clear" w:color="auto" w:fill="CCEEFF"/>
          </w:tcPr>
          <w:p>
            <w:pPr>
              <w:jc w:val="center"/>
              <w:ind w:left="33"/>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rPr>
              <w:t>552,232</w:t>
            </w:r>
          </w:p>
        </w:tc>
        <w:tc>
          <w:tcPr>
            <w:tcW w:w="680" w:type="dxa"/>
            <w:vAlign w:val="bottom"/>
            <w:tcBorders>
              <w:top w:val="single" w:sz="8" w:color="auto"/>
            </w:tcBorders>
            <w:gridSpan w:val="2"/>
            <w:shd w:val="clear" w:color="auto" w:fill="CCEEFF"/>
          </w:tcPr>
          <w:p>
            <w:pPr>
              <w:jc w:val="right"/>
              <w:ind w:right="431"/>
              <w:spacing w:after="0"/>
              <w:rPr>
                <w:sz w:val="20"/>
                <w:szCs w:val="20"/>
                <w:color w:val="auto"/>
              </w:rPr>
            </w:pPr>
            <w:r>
              <w:rPr>
                <w:rFonts w:ascii="Arial" w:cs="Arial" w:eastAsia="Arial" w:hAnsi="Arial"/>
                <w:sz w:val="14"/>
                <w:szCs w:val="14"/>
                <w:color w:val="auto"/>
              </w:rPr>
              <w:t>$</w:t>
            </w:r>
          </w:p>
        </w:tc>
        <w:tc>
          <w:tcPr>
            <w:tcW w:w="24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w w:val="99"/>
              </w:rPr>
              <w:t>—</w:t>
            </w:r>
          </w:p>
        </w:tc>
        <w:tc>
          <w:tcPr>
            <w:tcW w:w="400" w:type="dxa"/>
            <w:vAlign w:val="bottom"/>
            <w:tcBorders>
              <w:top w:val="single" w:sz="8" w:color="auto"/>
            </w:tcBorders>
            <w:shd w:val="clear" w:color="auto" w:fill="CCEEFF"/>
          </w:tcPr>
          <w:p>
            <w:pPr>
              <w:jc w:val="right"/>
              <w:ind w:right="151"/>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w w:val="99"/>
              </w:rPr>
              <w:t>3,941,182</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520" w:type="dxa"/>
            <w:vAlign w:val="bottom"/>
          </w:tcPr>
          <w:p>
            <w:pPr>
              <w:spacing w:after="0"/>
              <w:rPr>
                <w:sz w:val="20"/>
                <w:szCs w:val="20"/>
                <w:color w:val="auto"/>
              </w:rPr>
            </w:pPr>
            <w:r>
              <w:rPr>
                <w:rFonts w:ascii="Arial" w:cs="Arial" w:eastAsia="Arial" w:hAnsi="Arial"/>
                <w:sz w:val="14"/>
                <w:szCs w:val="14"/>
                <w:color w:val="auto"/>
              </w:rPr>
              <w:t>Intersegment net sales</w:t>
            </w: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2"/>
          </w:tcPr>
          <w:p>
            <w:pPr>
              <w:jc w:val="right"/>
              <w:ind w:right="29"/>
              <w:spacing w:after="0"/>
              <w:rPr>
                <w:sz w:val="20"/>
                <w:szCs w:val="20"/>
                <w:color w:val="auto"/>
              </w:rPr>
            </w:pPr>
            <w:r>
              <w:rPr>
                <w:rFonts w:ascii="Arial" w:cs="Arial" w:eastAsia="Arial" w:hAnsi="Arial"/>
                <w:sz w:val="14"/>
                <w:szCs w:val="14"/>
                <w:color w:val="auto"/>
              </w:rPr>
              <w:t>67,161</w:t>
            </w:r>
          </w:p>
        </w:tc>
        <w:tc>
          <w:tcPr>
            <w:tcW w:w="240" w:type="dxa"/>
            <w:vAlign w:val="bottom"/>
          </w:tcPr>
          <w:p>
            <w:pPr>
              <w:spacing w:after="0"/>
              <w:rPr>
                <w:sz w:val="14"/>
                <w:szCs w:val="14"/>
                <w:color w:val="auto"/>
              </w:rPr>
            </w:pP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74,566</w:t>
            </w:r>
          </w:p>
        </w:tc>
        <w:tc>
          <w:tcPr>
            <w:tcW w:w="4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83,245</w:t>
            </w:r>
          </w:p>
        </w:tc>
        <w:tc>
          <w:tcPr>
            <w:tcW w:w="360" w:type="dxa"/>
            <w:vAlign w:val="bottom"/>
          </w:tcPr>
          <w:p>
            <w:pPr>
              <w:spacing w:after="0"/>
              <w:rPr>
                <w:sz w:val="14"/>
                <w:szCs w:val="14"/>
                <w:color w:val="auto"/>
              </w:rPr>
            </w:pPr>
          </w:p>
        </w:tc>
        <w:tc>
          <w:tcPr>
            <w:tcW w:w="680" w:type="dxa"/>
            <w:vAlign w:val="bottom"/>
          </w:tcPr>
          <w:p>
            <w:pPr>
              <w:jc w:val="right"/>
              <w:ind w:right="12"/>
              <w:spacing w:after="0"/>
              <w:rPr>
                <w:sz w:val="20"/>
                <w:szCs w:val="20"/>
                <w:color w:val="auto"/>
              </w:rPr>
            </w:pPr>
            <w:r>
              <w:rPr>
                <w:rFonts w:ascii="Arial" w:cs="Arial" w:eastAsia="Arial" w:hAnsi="Arial"/>
                <w:sz w:val="14"/>
                <w:szCs w:val="14"/>
                <w:color w:val="auto"/>
              </w:rPr>
              <w:t>167,568</w:t>
            </w: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jc w:val="right"/>
              <w:ind w:right="9"/>
              <w:spacing w:after="0"/>
              <w:rPr>
                <w:sz w:val="20"/>
                <w:szCs w:val="20"/>
                <w:color w:val="auto"/>
              </w:rPr>
            </w:pPr>
            <w:r>
              <w:rPr>
                <w:rFonts w:ascii="Arial" w:cs="Arial" w:eastAsia="Arial" w:hAnsi="Arial"/>
                <w:sz w:val="14"/>
                <w:szCs w:val="14"/>
                <w:color w:val="auto"/>
                <w:w w:val="99"/>
              </w:rPr>
              <w:t>—</w:t>
            </w:r>
          </w:p>
        </w:tc>
        <w:tc>
          <w:tcPr>
            <w:tcW w:w="400" w:type="dxa"/>
            <w:vAlign w:val="bottom"/>
          </w:tcPr>
          <w:p>
            <w:pPr>
              <w:spacing w:after="0"/>
              <w:rPr>
                <w:sz w:val="14"/>
                <w:szCs w:val="14"/>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4"/>
                <w:szCs w:val="14"/>
                <w:color w:val="auto"/>
              </w:rPr>
              <w:t>392,540</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4"/>
                <w:szCs w:val="14"/>
                <w:color w:val="auto"/>
              </w:rPr>
              <w:t>Interest expense</w:t>
            </w:r>
          </w:p>
        </w:tc>
        <w:tc>
          <w:tcPr>
            <w:tcW w:w="6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9"/>
              <w:spacing w:after="0"/>
              <w:rPr>
                <w:sz w:val="20"/>
                <w:szCs w:val="20"/>
                <w:color w:val="auto"/>
              </w:rPr>
            </w:pPr>
            <w:r>
              <w:rPr>
                <w:rFonts w:ascii="Arial" w:cs="Arial" w:eastAsia="Arial" w:hAnsi="Arial"/>
                <w:sz w:val="14"/>
                <w:szCs w:val="14"/>
                <w:color w:val="auto"/>
              </w:rPr>
              <w:t>4</w:t>
            </w:r>
          </w:p>
        </w:tc>
        <w:tc>
          <w:tcPr>
            <w:tcW w:w="2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160</w:t>
            </w:r>
          </w:p>
        </w:tc>
        <w:tc>
          <w:tcPr>
            <w:tcW w:w="4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293</w:t>
            </w:r>
          </w:p>
        </w:tc>
        <w:tc>
          <w:tcPr>
            <w:tcW w:w="3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(473)</w:t>
            </w:r>
          </w:p>
        </w:tc>
        <w:tc>
          <w:tcPr>
            <w:tcW w:w="1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9"/>
              <w:spacing w:after="0"/>
              <w:rPr>
                <w:sz w:val="20"/>
                <w:szCs w:val="20"/>
                <w:color w:val="auto"/>
              </w:rPr>
            </w:pPr>
            <w:r>
              <w:rPr>
                <w:rFonts w:ascii="Arial" w:cs="Arial" w:eastAsia="Arial" w:hAnsi="Arial"/>
                <w:sz w:val="14"/>
                <w:szCs w:val="14"/>
                <w:color w:val="auto"/>
              </w:rPr>
              <w:t>6,234</w:t>
            </w:r>
          </w:p>
        </w:tc>
        <w:tc>
          <w:tcPr>
            <w:tcW w:w="4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6,218</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520" w:type="dxa"/>
            <w:vAlign w:val="bottom"/>
          </w:tcPr>
          <w:p>
            <w:pPr>
              <w:spacing w:after="0"/>
              <w:rPr>
                <w:sz w:val="20"/>
                <w:szCs w:val="20"/>
                <w:color w:val="auto"/>
              </w:rPr>
            </w:pPr>
            <w:r>
              <w:rPr>
                <w:rFonts w:ascii="Arial" w:cs="Arial" w:eastAsia="Arial" w:hAnsi="Arial"/>
                <w:sz w:val="14"/>
                <w:szCs w:val="14"/>
                <w:color w:val="auto"/>
              </w:rPr>
              <w:t>Amortization expense</w:t>
            </w: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2"/>
          </w:tcPr>
          <w:p>
            <w:pPr>
              <w:jc w:val="right"/>
              <w:ind w:right="29"/>
              <w:spacing w:after="0"/>
              <w:rPr>
                <w:sz w:val="20"/>
                <w:szCs w:val="20"/>
                <w:color w:val="auto"/>
              </w:rPr>
            </w:pPr>
            <w:r>
              <w:rPr>
                <w:rFonts w:ascii="Arial" w:cs="Arial" w:eastAsia="Arial" w:hAnsi="Arial"/>
                <w:sz w:val="14"/>
                <w:szCs w:val="14"/>
                <w:color w:val="auto"/>
              </w:rPr>
              <w:t>559</w:t>
            </w: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w w:val="76"/>
              </w:rPr>
              <w:t>607</w:t>
            </w:r>
          </w:p>
        </w:tc>
        <w:tc>
          <w:tcPr>
            <w:tcW w:w="4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1,723</w:t>
            </w:r>
          </w:p>
        </w:tc>
        <w:tc>
          <w:tcPr>
            <w:tcW w:w="360" w:type="dxa"/>
            <w:vAlign w:val="bottom"/>
          </w:tcPr>
          <w:p>
            <w:pPr>
              <w:spacing w:after="0"/>
              <w:rPr>
                <w:sz w:val="14"/>
                <w:szCs w:val="14"/>
                <w:color w:val="auto"/>
              </w:rPr>
            </w:pPr>
          </w:p>
        </w:tc>
        <w:tc>
          <w:tcPr>
            <w:tcW w:w="680" w:type="dxa"/>
            <w:vAlign w:val="bottom"/>
          </w:tcPr>
          <w:p>
            <w:pPr>
              <w:jc w:val="right"/>
              <w:ind w:right="12"/>
              <w:spacing w:after="0"/>
              <w:rPr>
                <w:sz w:val="20"/>
                <w:szCs w:val="20"/>
                <w:color w:val="auto"/>
              </w:rPr>
            </w:pPr>
            <w:r>
              <w:rPr>
                <w:rFonts w:ascii="Arial" w:cs="Arial" w:eastAsia="Arial" w:hAnsi="Arial"/>
                <w:sz w:val="14"/>
                <w:szCs w:val="14"/>
                <w:color w:val="auto"/>
              </w:rPr>
              <w:t>1,971</w:t>
            </w: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jc w:val="right"/>
              <w:ind w:right="9"/>
              <w:spacing w:after="0"/>
              <w:rPr>
                <w:sz w:val="20"/>
                <w:szCs w:val="20"/>
                <w:color w:val="auto"/>
              </w:rPr>
            </w:pPr>
            <w:r>
              <w:rPr>
                <w:rFonts w:ascii="Arial" w:cs="Arial" w:eastAsia="Arial" w:hAnsi="Arial"/>
                <w:sz w:val="14"/>
                <w:szCs w:val="14"/>
                <w:color w:val="auto"/>
                <w:w w:val="99"/>
              </w:rPr>
              <w:t>—</w:t>
            </w:r>
          </w:p>
        </w:tc>
        <w:tc>
          <w:tcPr>
            <w:tcW w:w="400" w:type="dxa"/>
            <w:vAlign w:val="bottom"/>
          </w:tcPr>
          <w:p>
            <w:pPr>
              <w:spacing w:after="0"/>
              <w:rPr>
                <w:sz w:val="14"/>
                <w:szCs w:val="14"/>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4"/>
                <w:szCs w:val="14"/>
                <w:color w:val="auto"/>
              </w:rPr>
              <w:t>4,860</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4"/>
                <w:szCs w:val="14"/>
                <w:color w:val="auto"/>
              </w:rPr>
              <w:t>Depreciation expense</w:t>
            </w:r>
          </w:p>
        </w:tc>
        <w:tc>
          <w:tcPr>
            <w:tcW w:w="6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9"/>
              <w:spacing w:after="0"/>
              <w:rPr>
                <w:sz w:val="20"/>
                <w:szCs w:val="20"/>
                <w:color w:val="auto"/>
              </w:rPr>
            </w:pPr>
            <w:r>
              <w:rPr>
                <w:rFonts w:ascii="Arial" w:cs="Arial" w:eastAsia="Arial" w:hAnsi="Arial"/>
                <w:sz w:val="14"/>
                <w:szCs w:val="14"/>
                <w:color w:val="auto"/>
              </w:rPr>
              <w:t>10,511</w:t>
            </w:r>
          </w:p>
        </w:tc>
        <w:tc>
          <w:tcPr>
            <w:tcW w:w="24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6,880</w:t>
            </w:r>
          </w:p>
        </w:tc>
        <w:tc>
          <w:tcPr>
            <w:tcW w:w="4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14,116</w:t>
            </w:r>
          </w:p>
        </w:tc>
        <w:tc>
          <w:tcPr>
            <w:tcW w:w="36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8,586</w:t>
            </w:r>
          </w:p>
        </w:tc>
        <w:tc>
          <w:tcPr>
            <w:tcW w:w="1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9"/>
              <w:spacing w:after="0"/>
              <w:rPr>
                <w:sz w:val="20"/>
                <w:szCs w:val="20"/>
                <w:color w:val="auto"/>
              </w:rPr>
            </w:pPr>
            <w:r>
              <w:rPr>
                <w:rFonts w:ascii="Arial" w:cs="Arial" w:eastAsia="Arial" w:hAnsi="Arial"/>
                <w:sz w:val="14"/>
                <w:szCs w:val="14"/>
                <w:color w:val="auto"/>
              </w:rPr>
              <w:t>8,443</w:t>
            </w:r>
          </w:p>
        </w:tc>
        <w:tc>
          <w:tcPr>
            <w:tcW w:w="4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48,536</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520" w:type="dxa"/>
            <w:vAlign w:val="bottom"/>
          </w:tcPr>
          <w:p>
            <w:pPr>
              <w:spacing w:after="0"/>
              <w:rPr>
                <w:sz w:val="20"/>
                <w:szCs w:val="20"/>
                <w:color w:val="auto"/>
              </w:rPr>
            </w:pPr>
            <w:r>
              <w:rPr>
                <w:rFonts w:ascii="Arial" w:cs="Arial" w:eastAsia="Arial" w:hAnsi="Arial"/>
                <w:sz w:val="14"/>
                <w:szCs w:val="14"/>
                <w:color w:val="auto"/>
              </w:rPr>
              <w:t>Segment earnings from operations</w:t>
            </w: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2"/>
          </w:tcPr>
          <w:p>
            <w:pPr>
              <w:jc w:val="right"/>
              <w:ind w:right="29"/>
              <w:spacing w:after="0"/>
              <w:rPr>
                <w:sz w:val="20"/>
                <w:szCs w:val="20"/>
                <w:color w:val="auto"/>
              </w:rPr>
            </w:pPr>
            <w:r>
              <w:rPr>
                <w:rFonts w:ascii="Arial" w:cs="Arial" w:eastAsia="Arial" w:hAnsi="Arial"/>
                <w:sz w:val="14"/>
                <w:szCs w:val="14"/>
                <w:color w:val="auto"/>
              </w:rPr>
              <w:t>61,326</w:t>
            </w:r>
          </w:p>
        </w:tc>
        <w:tc>
          <w:tcPr>
            <w:tcW w:w="240" w:type="dxa"/>
            <w:vAlign w:val="bottom"/>
          </w:tcPr>
          <w:p>
            <w:pPr>
              <w:spacing w:after="0"/>
              <w:rPr>
                <w:sz w:val="14"/>
                <w:szCs w:val="14"/>
                <w:color w:val="auto"/>
              </w:rPr>
            </w:pP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46,646</w:t>
            </w:r>
          </w:p>
        </w:tc>
        <w:tc>
          <w:tcPr>
            <w:tcW w:w="4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82,465</w:t>
            </w:r>
          </w:p>
        </w:tc>
        <w:tc>
          <w:tcPr>
            <w:tcW w:w="360" w:type="dxa"/>
            <w:vAlign w:val="bottom"/>
          </w:tcPr>
          <w:p>
            <w:pPr>
              <w:spacing w:after="0"/>
              <w:rPr>
                <w:sz w:val="14"/>
                <w:szCs w:val="14"/>
                <w:color w:val="auto"/>
              </w:rPr>
            </w:pPr>
          </w:p>
        </w:tc>
        <w:tc>
          <w:tcPr>
            <w:tcW w:w="680" w:type="dxa"/>
            <w:vAlign w:val="bottom"/>
          </w:tcPr>
          <w:p>
            <w:pPr>
              <w:jc w:val="right"/>
              <w:ind w:right="12"/>
              <w:spacing w:after="0"/>
              <w:rPr>
                <w:sz w:val="20"/>
                <w:szCs w:val="20"/>
                <w:color w:val="auto"/>
              </w:rPr>
            </w:pPr>
            <w:r>
              <w:rPr>
                <w:rFonts w:ascii="Arial" w:cs="Arial" w:eastAsia="Arial" w:hAnsi="Arial"/>
                <w:sz w:val="14"/>
                <w:szCs w:val="14"/>
                <w:color w:val="auto"/>
              </w:rPr>
              <w:t>17,296</w:t>
            </w:r>
          </w:p>
        </w:tc>
        <w:tc>
          <w:tcPr>
            <w:tcW w:w="14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(26,264)</w:t>
            </w:r>
          </w:p>
        </w:tc>
        <w:tc>
          <w:tcPr>
            <w:tcW w:w="400" w:type="dxa"/>
            <w:vAlign w:val="bottom"/>
          </w:tcPr>
          <w:p>
            <w:pPr>
              <w:spacing w:after="0"/>
              <w:rPr>
                <w:sz w:val="14"/>
                <w:szCs w:val="14"/>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4"/>
                <w:szCs w:val="14"/>
                <w:color w:val="auto"/>
              </w:rPr>
              <w:t>181,469</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4"/>
                <w:szCs w:val="14"/>
                <w:color w:val="auto"/>
              </w:rPr>
              <w:t>Segment assets</w:t>
            </w:r>
          </w:p>
        </w:tc>
        <w:tc>
          <w:tcPr>
            <w:tcW w:w="6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9"/>
              <w:spacing w:after="0"/>
              <w:rPr>
                <w:sz w:val="20"/>
                <w:szCs w:val="20"/>
                <w:color w:val="auto"/>
              </w:rPr>
            </w:pPr>
            <w:r>
              <w:rPr>
                <w:rFonts w:ascii="Arial" w:cs="Arial" w:eastAsia="Arial" w:hAnsi="Arial"/>
                <w:sz w:val="14"/>
                <w:szCs w:val="14"/>
                <w:color w:val="auto"/>
              </w:rPr>
              <w:t>351,270</w:t>
            </w:r>
          </w:p>
        </w:tc>
        <w:tc>
          <w:tcPr>
            <w:tcW w:w="24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240,661</w:t>
            </w:r>
          </w:p>
        </w:tc>
        <w:tc>
          <w:tcPr>
            <w:tcW w:w="4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462,311</w:t>
            </w:r>
          </w:p>
        </w:tc>
        <w:tc>
          <w:tcPr>
            <w:tcW w:w="36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356,264</w:t>
            </w:r>
          </w:p>
        </w:tc>
        <w:tc>
          <w:tcPr>
            <w:tcW w:w="1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9"/>
              <w:spacing w:after="0"/>
              <w:rPr>
                <w:sz w:val="20"/>
                <w:szCs w:val="20"/>
                <w:color w:val="auto"/>
              </w:rPr>
            </w:pPr>
            <w:r>
              <w:rPr>
                <w:rFonts w:ascii="Arial" w:cs="Arial" w:eastAsia="Arial" w:hAnsi="Arial"/>
                <w:sz w:val="14"/>
                <w:szCs w:val="14"/>
                <w:color w:val="auto"/>
              </w:rPr>
              <w:t>54,171</w:t>
            </w:r>
          </w:p>
        </w:tc>
        <w:tc>
          <w:tcPr>
            <w:tcW w:w="4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w w:val="99"/>
              </w:rPr>
              <w:t>1,464,677</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520" w:type="dxa"/>
            <w:vAlign w:val="bottom"/>
          </w:tcPr>
          <w:p>
            <w:pPr>
              <w:spacing w:after="0"/>
              <w:rPr>
                <w:sz w:val="20"/>
                <w:szCs w:val="20"/>
                <w:color w:val="auto"/>
              </w:rPr>
            </w:pPr>
            <w:r>
              <w:rPr>
                <w:rFonts w:ascii="Arial" w:cs="Arial" w:eastAsia="Arial" w:hAnsi="Arial"/>
                <w:sz w:val="14"/>
                <w:szCs w:val="14"/>
                <w:color w:val="auto"/>
              </w:rPr>
              <w:t>Capital expenditures</w:t>
            </w: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gridSpan w:val="2"/>
          </w:tcPr>
          <w:p>
            <w:pPr>
              <w:jc w:val="right"/>
              <w:ind w:right="29"/>
              <w:spacing w:after="0"/>
              <w:rPr>
                <w:sz w:val="20"/>
                <w:szCs w:val="20"/>
                <w:color w:val="auto"/>
              </w:rPr>
            </w:pPr>
            <w:r>
              <w:rPr>
                <w:rFonts w:ascii="Arial" w:cs="Arial" w:eastAsia="Arial" w:hAnsi="Arial"/>
                <w:sz w:val="14"/>
                <w:szCs w:val="14"/>
                <w:color w:val="auto"/>
              </w:rPr>
              <w:t>23,026</w:t>
            </w:r>
          </w:p>
        </w:tc>
        <w:tc>
          <w:tcPr>
            <w:tcW w:w="240" w:type="dxa"/>
            <w:vAlign w:val="bottom"/>
          </w:tcPr>
          <w:p>
            <w:pPr>
              <w:spacing w:after="0"/>
              <w:rPr>
                <w:sz w:val="15"/>
                <w:szCs w:val="15"/>
                <w:color w:val="auto"/>
              </w:rPr>
            </w:pP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12,286</w:t>
            </w:r>
          </w:p>
        </w:tc>
        <w:tc>
          <w:tcPr>
            <w:tcW w:w="4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23,212</w:t>
            </w:r>
          </w:p>
        </w:tc>
        <w:tc>
          <w:tcPr>
            <w:tcW w:w="360" w:type="dxa"/>
            <w:vAlign w:val="bottom"/>
          </w:tcPr>
          <w:p>
            <w:pPr>
              <w:spacing w:after="0"/>
              <w:rPr>
                <w:sz w:val="15"/>
                <w:szCs w:val="15"/>
                <w:color w:val="auto"/>
              </w:rPr>
            </w:pPr>
          </w:p>
        </w:tc>
        <w:tc>
          <w:tcPr>
            <w:tcW w:w="680" w:type="dxa"/>
            <w:vAlign w:val="bottom"/>
          </w:tcPr>
          <w:p>
            <w:pPr>
              <w:jc w:val="right"/>
              <w:ind w:right="12"/>
              <w:spacing w:after="0"/>
              <w:rPr>
                <w:sz w:val="20"/>
                <w:szCs w:val="20"/>
                <w:color w:val="auto"/>
              </w:rPr>
            </w:pPr>
            <w:r>
              <w:rPr>
                <w:rFonts w:ascii="Arial" w:cs="Arial" w:eastAsia="Arial" w:hAnsi="Arial"/>
                <w:sz w:val="14"/>
                <w:szCs w:val="14"/>
                <w:color w:val="auto"/>
              </w:rPr>
              <w:t>9,865</w:t>
            </w:r>
          </w:p>
        </w:tc>
        <w:tc>
          <w:tcPr>
            <w:tcW w:w="140" w:type="dxa"/>
            <w:vAlign w:val="bottom"/>
          </w:tcPr>
          <w:p>
            <w:pPr>
              <w:spacing w:after="0"/>
              <w:rPr>
                <w:sz w:val="15"/>
                <w:szCs w:val="15"/>
                <w:color w:val="auto"/>
              </w:rPr>
            </w:pPr>
          </w:p>
        </w:tc>
        <w:tc>
          <w:tcPr>
            <w:tcW w:w="780" w:type="dxa"/>
            <w:vAlign w:val="bottom"/>
            <w:gridSpan w:val="2"/>
          </w:tcPr>
          <w:p>
            <w:pPr>
              <w:jc w:val="right"/>
              <w:ind w:right="9"/>
              <w:spacing w:after="0"/>
              <w:rPr>
                <w:sz w:val="20"/>
                <w:szCs w:val="20"/>
                <w:color w:val="auto"/>
              </w:rPr>
            </w:pPr>
            <w:r>
              <w:rPr>
                <w:rFonts w:ascii="Arial" w:cs="Arial" w:eastAsia="Arial" w:hAnsi="Arial"/>
                <w:sz w:val="14"/>
                <w:szCs w:val="14"/>
                <w:color w:val="auto"/>
              </w:rPr>
              <w:t>2,727</w:t>
            </w:r>
          </w:p>
        </w:tc>
        <w:tc>
          <w:tcPr>
            <w:tcW w:w="400" w:type="dxa"/>
            <w:vAlign w:val="bottom"/>
          </w:tcPr>
          <w:p>
            <w:pPr>
              <w:spacing w:after="0"/>
              <w:rPr>
                <w:sz w:val="15"/>
                <w:szCs w:val="15"/>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4"/>
                <w:szCs w:val="14"/>
                <w:color w:val="auto"/>
              </w:rPr>
              <w:t>71,116</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2"/>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25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gridSpan w:val="2"/>
          </w:tcPr>
          <w:p>
            <w:pPr>
              <w:jc w:val="right"/>
              <w:ind w:right="133"/>
              <w:spacing w:after="0" w:line="107" w:lineRule="exact"/>
              <w:rPr>
                <w:sz w:val="20"/>
                <w:szCs w:val="20"/>
                <w:color w:val="auto"/>
              </w:rPr>
            </w:pPr>
            <w:r>
              <w:rPr>
                <w:rFonts w:ascii="Arial" w:cs="Arial" w:eastAsia="Arial" w:hAnsi="Arial"/>
                <w:sz w:val="11"/>
                <w:szCs w:val="11"/>
                <w:b w:val="1"/>
                <w:bCs w:val="1"/>
                <w:color w:val="auto"/>
              </w:rPr>
              <w:t>2016</w:t>
            </w:r>
          </w:p>
        </w:tc>
        <w:tc>
          <w:tcPr>
            <w:tcW w:w="68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25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gridSpan w:val="2"/>
            <w:vMerge w:val="restart"/>
          </w:tcPr>
          <w:p>
            <w:pPr>
              <w:jc w:val="right"/>
              <w:ind w:right="309"/>
              <w:spacing w:after="0"/>
              <w:rPr>
                <w:sz w:val="20"/>
                <w:szCs w:val="20"/>
                <w:color w:val="auto"/>
              </w:rPr>
            </w:pPr>
            <w:r>
              <w:rPr>
                <w:rFonts w:ascii="Arial" w:cs="Arial" w:eastAsia="Arial" w:hAnsi="Arial"/>
                <w:sz w:val="11"/>
                <w:szCs w:val="11"/>
                <w:b w:val="1"/>
                <w:bCs w:val="1"/>
                <w:color w:val="auto"/>
              </w:rPr>
              <w:t>North</w:t>
            </w:r>
          </w:p>
        </w:tc>
        <w:tc>
          <w:tcPr>
            <w:tcW w:w="240" w:type="dxa"/>
            <w:vAlign w:val="bottom"/>
          </w:tcPr>
          <w:p>
            <w:pPr>
              <w:spacing w:after="0"/>
              <w:rPr>
                <w:sz w:val="8"/>
                <w:szCs w:val="8"/>
                <w:color w:val="auto"/>
              </w:rPr>
            </w:pPr>
          </w:p>
        </w:tc>
        <w:tc>
          <w:tcPr>
            <w:tcW w:w="400" w:type="dxa"/>
            <w:vAlign w:val="bottom"/>
            <w:vMerge w:val="restart"/>
          </w:tcPr>
          <w:p>
            <w:pPr>
              <w:ind w:left="120"/>
              <w:spacing w:after="0"/>
              <w:rPr>
                <w:sz w:val="20"/>
                <w:szCs w:val="20"/>
                <w:color w:val="auto"/>
              </w:rPr>
            </w:pPr>
            <w:r>
              <w:rPr>
                <w:rFonts w:ascii="Arial" w:cs="Arial" w:eastAsia="Arial" w:hAnsi="Arial"/>
                <w:sz w:val="11"/>
                <w:szCs w:val="11"/>
                <w:b w:val="1"/>
                <w:bCs w:val="1"/>
                <w:color w:val="auto"/>
                <w:w w:val="83"/>
              </w:rPr>
              <w:t>South</w:t>
            </w: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580" w:type="dxa"/>
            <w:vAlign w:val="bottom"/>
            <w:vMerge w:val="restart"/>
          </w:tcPr>
          <w:p>
            <w:pPr>
              <w:jc w:val="right"/>
              <w:ind w:right="232"/>
              <w:spacing w:after="0"/>
              <w:rPr>
                <w:sz w:val="20"/>
                <w:szCs w:val="20"/>
                <w:color w:val="auto"/>
              </w:rPr>
            </w:pPr>
            <w:r>
              <w:rPr>
                <w:rFonts w:ascii="Arial" w:cs="Arial" w:eastAsia="Arial" w:hAnsi="Arial"/>
                <w:sz w:val="11"/>
                <w:szCs w:val="11"/>
                <w:b w:val="1"/>
                <w:bCs w:val="1"/>
                <w:color w:val="auto"/>
                <w:w w:val="98"/>
              </w:rPr>
              <w:t>West</w:t>
            </w:r>
          </w:p>
        </w:tc>
        <w:tc>
          <w:tcPr>
            <w:tcW w:w="360" w:type="dxa"/>
            <w:vAlign w:val="bottom"/>
          </w:tcPr>
          <w:p>
            <w:pPr>
              <w:spacing w:after="0"/>
              <w:rPr>
                <w:sz w:val="8"/>
                <w:szCs w:val="8"/>
                <w:color w:val="auto"/>
              </w:rPr>
            </w:pPr>
          </w:p>
        </w:tc>
        <w:tc>
          <w:tcPr>
            <w:tcW w:w="680" w:type="dxa"/>
            <w:vAlign w:val="bottom"/>
          </w:tcPr>
          <w:p>
            <w:pPr>
              <w:jc w:val="center"/>
              <w:ind w:right="152"/>
              <w:spacing w:after="0" w:line="100" w:lineRule="exact"/>
              <w:rPr>
                <w:sz w:val="20"/>
                <w:szCs w:val="20"/>
                <w:color w:val="auto"/>
              </w:rPr>
            </w:pPr>
            <w:r>
              <w:rPr>
                <w:rFonts w:ascii="Arial" w:cs="Arial" w:eastAsia="Arial" w:hAnsi="Arial"/>
                <w:sz w:val="11"/>
                <w:szCs w:val="11"/>
                <w:b w:val="1"/>
                <w:bCs w:val="1"/>
                <w:color w:val="auto"/>
                <w:w w:val="99"/>
              </w:rPr>
              <w:t>All</w:t>
            </w:r>
          </w:p>
        </w:tc>
        <w:tc>
          <w:tcPr>
            <w:tcW w:w="140" w:type="dxa"/>
            <w:vAlign w:val="bottom"/>
          </w:tcPr>
          <w:p>
            <w:pPr>
              <w:spacing w:after="0"/>
              <w:rPr>
                <w:sz w:val="8"/>
                <w:szCs w:val="8"/>
                <w:color w:val="auto"/>
              </w:rPr>
            </w:pPr>
          </w:p>
        </w:tc>
        <w:tc>
          <w:tcPr>
            <w:tcW w:w="780" w:type="dxa"/>
            <w:vAlign w:val="bottom"/>
            <w:gridSpan w:val="2"/>
            <w:vMerge w:val="restart"/>
          </w:tcPr>
          <w:p>
            <w:pPr>
              <w:jc w:val="right"/>
              <w:ind w:right="109"/>
              <w:spacing w:after="0"/>
              <w:rPr>
                <w:sz w:val="20"/>
                <w:szCs w:val="20"/>
                <w:color w:val="auto"/>
              </w:rPr>
            </w:pPr>
            <w:r>
              <w:rPr>
                <w:rFonts w:ascii="Arial" w:cs="Arial" w:eastAsia="Arial" w:hAnsi="Arial"/>
                <w:sz w:val="11"/>
                <w:szCs w:val="11"/>
                <w:b w:val="1"/>
                <w:bCs w:val="1"/>
                <w:color w:val="auto"/>
              </w:rPr>
              <w:t>Corporate</w:t>
            </w:r>
          </w:p>
        </w:tc>
        <w:tc>
          <w:tcPr>
            <w:tcW w:w="400" w:type="dxa"/>
            <w:vAlign w:val="bottom"/>
          </w:tcPr>
          <w:p>
            <w:pPr>
              <w:spacing w:after="0"/>
              <w:rPr>
                <w:sz w:val="8"/>
                <w:szCs w:val="8"/>
                <w:color w:val="auto"/>
              </w:rPr>
            </w:pPr>
          </w:p>
        </w:tc>
        <w:tc>
          <w:tcPr>
            <w:tcW w:w="820" w:type="dxa"/>
            <w:vAlign w:val="bottom"/>
            <w:gridSpan w:val="3"/>
            <w:vMerge w:val="restart"/>
          </w:tcPr>
          <w:p>
            <w:pPr>
              <w:ind w:left="80"/>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jc w:val="center"/>
              <w:ind w:right="132"/>
              <w:spacing w:after="0"/>
              <w:rPr>
                <w:sz w:val="20"/>
                <w:szCs w:val="20"/>
                <w:color w:val="auto"/>
              </w:rPr>
            </w:pPr>
            <w:r>
              <w:rPr>
                <w:rFonts w:ascii="Arial" w:cs="Arial" w:eastAsia="Arial" w:hAnsi="Arial"/>
                <w:sz w:val="11"/>
                <w:szCs w:val="11"/>
                <w:b w:val="1"/>
                <w:bCs w:val="1"/>
                <w:color w:val="auto"/>
                <w:w w:val="95"/>
              </w:rPr>
              <w:t>Other</w:t>
            </w:r>
          </w:p>
        </w:tc>
        <w:tc>
          <w:tcPr>
            <w:tcW w:w="14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400" w:type="dxa"/>
            <w:vAlign w:val="bottom"/>
          </w:tcPr>
          <w:p>
            <w:pPr>
              <w:spacing w:after="0"/>
              <w:rPr>
                <w:sz w:val="11"/>
                <w:szCs w:val="11"/>
                <w:color w:val="auto"/>
              </w:rPr>
            </w:pPr>
          </w:p>
        </w:tc>
        <w:tc>
          <w:tcPr>
            <w:tcW w:w="82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color w:val="auto"/>
              </w:rPr>
              <w:t>Net sales to outside customers</w:t>
            </w:r>
          </w:p>
        </w:tc>
        <w:tc>
          <w:tcPr>
            <w:tcW w:w="6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tcBorders>
            <w:gridSpan w:val="2"/>
            <w:shd w:val="clear" w:color="auto" w:fill="CCEEFF"/>
          </w:tcPr>
          <w:p>
            <w:pPr>
              <w:jc w:val="right"/>
              <w:ind w:right="29"/>
              <w:spacing w:after="0"/>
              <w:rPr>
                <w:sz w:val="20"/>
                <w:szCs w:val="20"/>
                <w:color w:val="auto"/>
              </w:rPr>
            </w:pPr>
            <w:r>
              <w:rPr>
                <w:rFonts w:ascii="Arial" w:cs="Arial" w:eastAsia="Arial" w:hAnsi="Arial"/>
                <w:sz w:val="14"/>
                <w:szCs w:val="14"/>
                <w:color w:val="auto"/>
              </w:rPr>
              <w:t>1,000,426</w:t>
            </w:r>
          </w:p>
        </w:tc>
        <w:tc>
          <w:tcPr>
            <w:tcW w:w="24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711,862</w:t>
            </w:r>
          </w:p>
        </w:tc>
        <w:tc>
          <w:tcPr>
            <w:tcW w:w="480" w:type="dxa"/>
            <w:vAlign w:val="bottom"/>
            <w:tcBorders>
              <w:top w:val="single" w:sz="8" w:color="auto"/>
            </w:tcBorders>
            <w:shd w:val="clear" w:color="auto" w:fill="CCEEFF"/>
          </w:tcPr>
          <w:p>
            <w:pPr>
              <w:jc w:val="right"/>
              <w:ind w:right="171"/>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89"/>
              </w:rPr>
              <w:t>1,251,093</w:t>
            </w:r>
          </w:p>
        </w:tc>
        <w:tc>
          <w:tcPr>
            <w:tcW w:w="360" w:type="dxa"/>
            <w:vAlign w:val="bottom"/>
            <w:tcBorders>
              <w:top w:val="single" w:sz="8" w:color="auto"/>
            </w:tcBorders>
            <w:shd w:val="clear" w:color="auto" w:fill="CCEEFF"/>
          </w:tcPr>
          <w:p>
            <w:pPr>
              <w:jc w:val="center"/>
              <w:ind w:left="33"/>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rPr>
              <w:t>277,112</w:t>
            </w:r>
          </w:p>
        </w:tc>
        <w:tc>
          <w:tcPr>
            <w:tcW w:w="680" w:type="dxa"/>
            <w:vAlign w:val="bottom"/>
            <w:tcBorders>
              <w:top w:val="single" w:sz="8" w:color="auto"/>
            </w:tcBorders>
            <w:gridSpan w:val="2"/>
            <w:shd w:val="clear" w:color="auto" w:fill="CCEEFF"/>
          </w:tcPr>
          <w:p>
            <w:pPr>
              <w:jc w:val="right"/>
              <w:ind w:right="431"/>
              <w:spacing w:after="0"/>
              <w:rPr>
                <w:sz w:val="20"/>
                <w:szCs w:val="20"/>
                <w:color w:val="auto"/>
              </w:rPr>
            </w:pPr>
            <w:r>
              <w:rPr>
                <w:rFonts w:ascii="Arial" w:cs="Arial" w:eastAsia="Arial" w:hAnsi="Arial"/>
                <w:sz w:val="14"/>
                <w:szCs w:val="14"/>
                <w:color w:val="auto"/>
              </w:rPr>
              <w:t>$</w:t>
            </w:r>
          </w:p>
        </w:tc>
        <w:tc>
          <w:tcPr>
            <w:tcW w:w="24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w w:val="99"/>
              </w:rPr>
              <w:t>—</w:t>
            </w:r>
          </w:p>
        </w:tc>
        <w:tc>
          <w:tcPr>
            <w:tcW w:w="400" w:type="dxa"/>
            <w:vAlign w:val="bottom"/>
            <w:tcBorders>
              <w:top w:val="single" w:sz="8" w:color="auto"/>
            </w:tcBorders>
            <w:shd w:val="clear" w:color="auto" w:fill="CCEEFF"/>
          </w:tcPr>
          <w:p>
            <w:pPr>
              <w:jc w:val="right"/>
              <w:ind w:right="151"/>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w w:val="99"/>
              </w:rPr>
              <w:t>3,240,493</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520" w:type="dxa"/>
            <w:vAlign w:val="bottom"/>
          </w:tcPr>
          <w:p>
            <w:pPr>
              <w:spacing w:after="0"/>
              <w:rPr>
                <w:sz w:val="20"/>
                <w:szCs w:val="20"/>
                <w:color w:val="auto"/>
              </w:rPr>
            </w:pPr>
            <w:r>
              <w:rPr>
                <w:rFonts w:ascii="Arial" w:cs="Arial" w:eastAsia="Arial" w:hAnsi="Arial"/>
                <w:sz w:val="14"/>
                <w:szCs w:val="14"/>
                <w:color w:val="auto"/>
              </w:rPr>
              <w:t>Intersegment net sales</w:t>
            </w: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2"/>
          </w:tcPr>
          <w:p>
            <w:pPr>
              <w:jc w:val="right"/>
              <w:ind w:right="29"/>
              <w:spacing w:after="0"/>
              <w:rPr>
                <w:sz w:val="20"/>
                <w:szCs w:val="20"/>
                <w:color w:val="auto"/>
              </w:rPr>
            </w:pPr>
            <w:r>
              <w:rPr>
                <w:rFonts w:ascii="Arial" w:cs="Arial" w:eastAsia="Arial" w:hAnsi="Arial"/>
                <w:sz w:val="14"/>
                <w:szCs w:val="14"/>
                <w:color w:val="auto"/>
              </w:rPr>
              <w:t>57,770</w:t>
            </w:r>
          </w:p>
        </w:tc>
        <w:tc>
          <w:tcPr>
            <w:tcW w:w="240" w:type="dxa"/>
            <w:vAlign w:val="bottom"/>
          </w:tcPr>
          <w:p>
            <w:pPr>
              <w:spacing w:after="0"/>
              <w:rPr>
                <w:sz w:val="14"/>
                <w:szCs w:val="14"/>
                <w:color w:val="auto"/>
              </w:rPr>
            </w:pP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38,641</w:t>
            </w:r>
          </w:p>
        </w:tc>
        <w:tc>
          <w:tcPr>
            <w:tcW w:w="4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88,311</w:t>
            </w:r>
          </w:p>
        </w:tc>
        <w:tc>
          <w:tcPr>
            <w:tcW w:w="360" w:type="dxa"/>
            <w:vAlign w:val="bottom"/>
          </w:tcPr>
          <w:p>
            <w:pPr>
              <w:spacing w:after="0"/>
              <w:rPr>
                <w:sz w:val="14"/>
                <w:szCs w:val="14"/>
                <w:color w:val="auto"/>
              </w:rPr>
            </w:pPr>
          </w:p>
        </w:tc>
        <w:tc>
          <w:tcPr>
            <w:tcW w:w="680" w:type="dxa"/>
            <w:vAlign w:val="bottom"/>
          </w:tcPr>
          <w:p>
            <w:pPr>
              <w:jc w:val="right"/>
              <w:ind w:right="12"/>
              <w:spacing w:after="0"/>
              <w:rPr>
                <w:sz w:val="20"/>
                <w:szCs w:val="20"/>
                <w:color w:val="auto"/>
              </w:rPr>
            </w:pPr>
            <w:r>
              <w:rPr>
                <w:rFonts w:ascii="Arial" w:cs="Arial" w:eastAsia="Arial" w:hAnsi="Arial"/>
                <w:sz w:val="14"/>
                <w:szCs w:val="14"/>
                <w:color w:val="auto"/>
              </w:rPr>
              <w:t>19,322</w:t>
            </w: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jc w:val="right"/>
              <w:ind w:right="9"/>
              <w:spacing w:after="0"/>
              <w:rPr>
                <w:sz w:val="20"/>
                <w:szCs w:val="20"/>
                <w:color w:val="auto"/>
              </w:rPr>
            </w:pPr>
            <w:r>
              <w:rPr>
                <w:rFonts w:ascii="Arial" w:cs="Arial" w:eastAsia="Arial" w:hAnsi="Arial"/>
                <w:sz w:val="14"/>
                <w:szCs w:val="14"/>
                <w:color w:val="auto"/>
                <w:w w:val="99"/>
              </w:rPr>
              <w:t>—</w:t>
            </w:r>
          </w:p>
        </w:tc>
        <w:tc>
          <w:tcPr>
            <w:tcW w:w="400" w:type="dxa"/>
            <w:vAlign w:val="bottom"/>
          </w:tcPr>
          <w:p>
            <w:pPr>
              <w:spacing w:after="0"/>
              <w:rPr>
                <w:sz w:val="14"/>
                <w:szCs w:val="14"/>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4"/>
                <w:szCs w:val="14"/>
                <w:color w:val="auto"/>
              </w:rPr>
              <w:t>204,044</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4"/>
                <w:szCs w:val="14"/>
                <w:color w:val="auto"/>
              </w:rPr>
              <w:t>Interest expense</w:t>
            </w:r>
          </w:p>
        </w:tc>
        <w:tc>
          <w:tcPr>
            <w:tcW w:w="6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9"/>
              <w:spacing w:after="0"/>
              <w:rPr>
                <w:sz w:val="20"/>
                <w:szCs w:val="20"/>
                <w:color w:val="auto"/>
              </w:rPr>
            </w:pPr>
            <w:r>
              <w:rPr>
                <w:rFonts w:ascii="Arial" w:cs="Arial" w:eastAsia="Arial" w:hAnsi="Arial"/>
                <w:sz w:val="14"/>
                <w:szCs w:val="14"/>
                <w:color w:val="auto"/>
              </w:rPr>
              <w:t>1</w:t>
            </w:r>
          </w:p>
        </w:tc>
        <w:tc>
          <w:tcPr>
            <w:tcW w:w="2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307</w:t>
            </w:r>
          </w:p>
        </w:tc>
        <w:tc>
          <w:tcPr>
            <w:tcW w:w="4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387</w:t>
            </w:r>
          </w:p>
        </w:tc>
        <w:tc>
          <w:tcPr>
            <w:tcW w:w="36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143</w:t>
            </w:r>
          </w:p>
        </w:tc>
        <w:tc>
          <w:tcPr>
            <w:tcW w:w="1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9"/>
              <w:spacing w:after="0"/>
              <w:rPr>
                <w:sz w:val="20"/>
                <w:szCs w:val="20"/>
                <w:color w:val="auto"/>
              </w:rPr>
            </w:pPr>
            <w:r>
              <w:rPr>
                <w:rFonts w:ascii="Arial" w:cs="Arial" w:eastAsia="Arial" w:hAnsi="Arial"/>
                <w:sz w:val="14"/>
                <w:szCs w:val="14"/>
                <w:color w:val="auto"/>
              </w:rPr>
              <w:t>3,737</w:t>
            </w:r>
          </w:p>
        </w:tc>
        <w:tc>
          <w:tcPr>
            <w:tcW w:w="4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4,575</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520" w:type="dxa"/>
            <w:vAlign w:val="bottom"/>
          </w:tcPr>
          <w:p>
            <w:pPr>
              <w:spacing w:after="0"/>
              <w:rPr>
                <w:sz w:val="20"/>
                <w:szCs w:val="20"/>
                <w:color w:val="auto"/>
              </w:rPr>
            </w:pPr>
            <w:r>
              <w:rPr>
                <w:rFonts w:ascii="Arial" w:cs="Arial" w:eastAsia="Arial" w:hAnsi="Arial"/>
                <w:sz w:val="14"/>
                <w:szCs w:val="14"/>
                <w:color w:val="auto"/>
              </w:rPr>
              <w:t>Amortization expense</w:t>
            </w: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2"/>
          </w:tcPr>
          <w:p>
            <w:pPr>
              <w:jc w:val="right"/>
              <w:ind w:right="29"/>
              <w:spacing w:after="0"/>
              <w:rPr>
                <w:sz w:val="20"/>
                <w:szCs w:val="20"/>
                <w:color w:val="auto"/>
              </w:rPr>
            </w:pPr>
            <w:r>
              <w:rPr>
                <w:rFonts w:ascii="Arial" w:cs="Arial" w:eastAsia="Arial" w:hAnsi="Arial"/>
                <w:sz w:val="14"/>
                <w:szCs w:val="14"/>
                <w:color w:val="auto"/>
              </w:rPr>
              <w:t>115</w:t>
            </w: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1,858</w:t>
            </w:r>
          </w:p>
        </w:tc>
        <w:tc>
          <w:tcPr>
            <w:tcW w:w="360" w:type="dxa"/>
            <w:vAlign w:val="bottom"/>
          </w:tcPr>
          <w:p>
            <w:pPr>
              <w:spacing w:after="0"/>
              <w:rPr>
                <w:sz w:val="14"/>
                <w:szCs w:val="14"/>
                <w:color w:val="auto"/>
              </w:rPr>
            </w:pPr>
          </w:p>
        </w:tc>
        <w:tc>
          <w:tcPr>
            <w:tcW w:w="680" w:type="dxa"/>
            <w:vAlign w:val="bottom"/>
          </w:tcPr>
          <w:p>
            <w:pPr>
              <w:jc w:val="right"/>
              <w:ind w:right="12"/>
              <w:spacing w:after="0"/>
              <w:rPr>
                <w:sz w:val="20"/>
                <w:szCs w:val="20"/>
                <w:color w:val="auto"/>
              </w:rPr>
            </w:pPr>
            <w:r>
              <w:rPr>
                <w:rFonts w:ascii="Arial" w:cs="Arial" w:eastAsia="Arial" w:hAnsi="Arial"/>
                <w:sz w:val="14"/>
                <w:szCs w:val="14"/>
                <w:color w:val="auto"/>
              </w:rPr>
              <w:t>822</w:t>
            </w: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jc w:val="right"/>
              <w:ind w:right="9"/>
              <w:spacing w:after="0"/>
              <w:rPr>
                <w:sz w:val="20"/>
                <w:szCs w:val="20"/>
                <w:color w:val="auto"/>
              </w:rPr>
            </w:pPr>
            <w:r>
              <w:rPr>
                <w:rFonts w:ascii="Arial" w:cs="Arial" w:eastAsia="Arial" w:hAnsi="Arial"/>
                <w:sz w:val="14"/>
                <w:szCs w:val="14"/>
                <w:color w:val="auto"/>
                <w:w w:val="99"/>
              </w:rPr>
              <w:t>—</w:t>
            </w:r>
          </w:p>
        </w:tc>
        <w:tc>
          <w:tcPr>
            <w:tcW w:w="400" w:type="dxa"/>
            <w:vAlign w:val="bottom"/>
          </w:tcPr>
          <w:p>
            <w:pPr>
              <w:spacing w:after="0"/>
              <w:rPr>
                <w:sz w:val="14"/>
                <w:szCs w:val="14"/>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4"/>
                <w:szCs w:val="14"/>
                <w:color w:val="auto"/>
              </w:rPr>
              <w:t>2,795</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4"/>
                <w:szCs w:val="14"/>
                <w:color w:val="auto"/>
              </w:rPr>
              <w:t>Depreciation expense</w:t>
            </w:r>
          </w:p>
        </w:tc>
        <w:tc>
          <w:tcPr>
            <w:tcW w:w="6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9"/>
              <w:spacing w:after="0"/>
              <w:rPr>
                <w:sz w:val="20"/>
                <w:szCs w:val="20"/>
                <w:color w:val="auto"/>
              </w:rPr>
            </w:pPr>
            <w:r>
              <w:rPr>
                <w:rFonts w:ascii="Arial" w:cs="Arial" w:eastAsia="Arial" w:hAnsi="Arial"/>
                <w:sz w:val="14"/>
                <w:szCs w:val="14"/>
                <w:color w:val="auto"/>
              </w:rPr>
              <w:t>8,948</w:t>
            </w:r>
          </w:p>
        </w:tc>
        <w:tc>
          <w:tcPr>
            <w:tcW w:w="24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6,190</w:t>
            </w:r>
          </w:p>
        </w:tc>
        <w:tc>
          <w:tcPr>
            <w:tcW w:w="4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13,326</w:t>
            </w:r>
          </w:p>
        </w:tc>
        <w:tc>
          <w:tcPr>
            <w:tcW w:w="36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4,531</w:t>
            </w:r>
          </w:p>
        </w:tc>
        <w:tc>
          <w:tcPr>
            <w:tcW w:w="1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9"/>
              <w:spacing w:after="0"/>
              <w:rPr>
                <w:sz w:val="20"/>
                <w:szCs w:val="20"/>
                <w:color w:val="auto"/>
              </w:rPr>
            </w:pPr>
            <w:r>
              <w:rPr>
                <w:rFonts w:ascii="Arial" w:cs="Arial" w:eastAsia="Arial" w:hAnsi="Arial"/>
                <w:sz w:val="14"/>
                <w:szCs w:val="14"/>
                <w:color w:val="auto"/>
              </w:rPr>
              <w:t>7,828</w:t>
            </w:r>
          </w:p>
        </w:tc>
        <w:tc>
          <w:tcPr>
            <w:tcW w:w="4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40,823</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520" w:type="dxa"/>
            <w:vAlign w:val="bottom"/>
          </w:tcPr>
          <w:p>
            <w:pPr>
              <w:spacing w:after="0"/>
              <w:rPr>
                <w:sz w:val="20"/>
                <w:szCs w:val="20"/>
                <w:color w:val="auto"/>
              </w:rPr>
            </w:pPr>
            <w:r>
              <w:rPr>
                <w:rFonts w:ascii="Arial" w:cs="Arial" w:eastAsia="Arial" w:hAnsi="Arial"/>
                <w:sz w:val="14"/>
                <w:szCs w:val="14"/>
                <w:color w:val="auto"/>
              </w:rPr>
              <w:t>Segment earnings from operations</w:t>
            </w: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2"/>
          </w:tcPr>
          <w:p>
            <w:pPr>
              <w:jc w:val="right"/>
              <w:ind w:right="29"/>
              <w:spacing w:after="0"/>
              <w:rPr>
                <w:sz w:val="20"/>
                <w:szCs w:val="20"/>
                <w:color w:val="auto"/>
              </w:rPr>
            </w:pPr>
            <w:r>
              <w:rPr>
                <w:rFonts w:ascii="Arial" w:cs="Arial" w:eastAsia="Arial" w:hAnsi="Arial"/>
                <w:sz w:val="14"/>
                <w:szCs w:val="14"/>
                <w:color w:val="auto"/>
              </w:rPr>
              <w:t>59,408</w:t>
            </w:r>
          </w:p>
        </w:tc>
        <w:tc>
          <w:tcPr>
            <w:tcW w:w="240" w:type="dxa"/>
            <w:vAlign w:val="bottom"/>
          </w:tcPr>
          <w:p>
            <w:pPr>
              <w:spacing w:after="0"/>
              <w:rPr>
                <w:sz w:val="14"/>
                <w:szCs w:val="14"/>
                <w:color w:val="auto"/>
              </w:rPr>
            </w:pP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47,146</w:t>
            </w:r>
          </w:p>
        </w:tc>
        <w:tc>
          <w:tcPr>
            <w:tcW w:w="4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76,875</w:t>
            </w:r>
          </w:p>
        </w:tc>
        <w:tc>
          <w:tcPr>
            <w:tcW w:w="360" w:type="dxa"/>
            <w:vAlign w:val="bottom"/>
          </w:tcPr>
          <w:p>
            <w:pPr>
              <w:spacing w:after="0"/>
              <w:rPr>
                <w:sz w:val="14"/>
                <w:szCs w:val="14"/>
                <w:color w:val="auto"/>
              </w:rPr>
            </w:pPr>
          </w:p>
        </w:tc>
        <w:tc>
          <w:tcPr>
            <w:tcW w:w="680" w:type="dxa"/>
            <w:vAlign w:val="bottom"/>
          </w:tcPr>
          <w:p>
            <w:pPr>
              <w:jc w:val="right"/>
              <w:ind w:right="12"/>
              <w:spacing w:after="0"/>
              <w:rPr>
                <w:sz w:val="20"/>
                <w:szCs w:val="20"/>
                <w:color w:val="auto"/>
              </w:rPr>
            </w:pPr>
            <w:r>
              <w:rPr>
                <w:rFonts w:ascii="Arial" w:cs="Arial" w:eastAsia="Arial" w:hAnsi="Arial"/>
                <w:sz w:val="14"/>
                <w:szCs w:val="14"/>
                <w:color w:val="auto"/>
              </w:rPr>
              <w:t>16,639</w:t>
            </w:r>
          </w:p>
        </w:tc>
        <w:tc>
          <w:tcPr>
            <w:tcW w:w="14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(35,630)</w:t>
            </w:r>
          </w:p>
        </w:tc>
        <w:tc>
          <w:tcPr>
            <w:tcW w:w="400" w:type="dxa"/>
            <w:vAlign w:val="bottom"/>
          </w:tcPr>
          <w:p>
            <w:pPr>
              <w:spacing w:after="0"/>
              <w:rPr>
                <w:sz w:val="14"/>
                <w:szCs w:val="14"/>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4"/>
                <w:szCs w:val="14"/>
                <w:color w:val="auto"/>
              </w:rPr>
              <w:t>164,438</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4"/>
                <w:szCs w:val="14"/>
                <w:color w:val="auto"/>
              </w:rPr>
              <w:t>Segment assets</w:t>
            </w:r>
          </w:p>
        </w:tc>
        <w:tc>
          <w:tcPr>
            <w:tcW w:w="6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9"/>
              <w:spacing w:after="0"/>
              <w:rPr>
                <w:sz w:val="20"/>
                <w:szCs w:val="20"/>
                <w:color w:val="auto"/>
              </w:rPr>
            </w:pPr>
            <w:r>
              <w:rPr>
                <w:rFonts w:ascii="Arial" w:cs="Arial" w:eastAsia="Arial" w:hAnsi="Arial"/>
                <w:sz w:val="14"/>
                <w:szCs w:val="14"/>
                <w:color w:val="auto"/>
              </w:rPr>
              <w:t>302,009</w:t>
            </w:r>
          </w:p>
        </w:tc>
        <w:tc>
          <w:tcPr>
            <w:tcW w:w="24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192,085</w:t>
            </w:r>
          </w:p>
        </w:tc>
        <w:tc>
          <w:tcPr>
            <w:tcW w:w="4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438,674</w:t>
            </w:r>
          </w:p>
        </w:tc>
        <w:tc>
          <w:tcPr>
            <w:tcW w:w="36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313,304</w:t>
            </w:r>
          </w:p>
        </w:tc>
        <w:tc>
          <w:tcPr>
            <w:tcW w:w="1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9"/>
              <w:spacing w:after="0"/>
              <w:rPr>
                <w:sz w:val="20"/>
                <w:szCs w:val="20"/>
                <w:color w:val="auto"/>
              </w:rPr>
            </w:pPr>
            <w:r>
              <w:rPr>
                <w:rFonts w:ascii="Arial" w:cs="Arial" w:eastAsia="Arial" w:hAnsi="Arial"/>
                <w:sz w:val="14"/>
                <w:szCs w:val="14"/>
                <w:color w:val="auto"/>
              </w:rPr>
              <w:t>45,986</w:t>
            </w:r>
          </w:p>
        </w:tc>
        <w:tc>
          <w:tcPr>
            <w:tcW w:w="4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w w:val="99"/>
              </w:rPr>
              <w:t>1,292,058</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520" w:type="dxa"/>
            <w:vAlign w:val="bottom"/>
          </w:tcPr>
          <w:p>
            <w:pPr>
              <w:spacing w:after="0"/>
              <w:rPr>
                <w:sz w:val="20"/>
                <w:szCs w:val="20"/>
                <w:color w:val="auto"/>
              </w:rPr>
            </w:pPr>
            <w:r>
              <w:rPr>
                <w:rFonts w:ascii="Arial" w:cs="Arial" w:eastAsia="Arial" w:hAnsi="Arial"/>
                <w:sz w:val="14"/>
                <w:szCs w:val="14"/>
                <w:color w:val="auto"/>
              </w:rPr>
              <w:t>Capital expenditures</w:t>
            </w: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gridSpan w:val="2"/>
          </w:tcPr>
          <w:p>
            <w:pPr>
              <w:jc w:val="right"/>
              <w:ind w:right="29"/>
              <w:spacing w:after="0"/>
              <w:rPr>
                <w:sz w:val="20"/>
                <w:szCs w:val="20"/>
                <w:color w:val="auto"/>
              </w:rPr>
            </w:pPr>
            <w:r>
              <w:rPr>
                <w:rFonts w:ascii="Arial" w:cs="Arial" w:eastAsia="Arial" w:hAnsi="Arial"/>
                <w:sz w:val="14"/>
                <w:szCs w:val="14"/>
                <w:color w:val="auto"/>
              </w:rPr>
              <w:t>10,902</w:t>
            </w:r>
          </w:p>
        </w:tc>
        <w:tc>
          <w:tcPr>
            <w:tcW w:w="240" w:type="dxa"/>
            <w:vAlign w:val="bottom"/>
          </w:tcPr>
          <w:p>
            <w:pPr>
              <w:spacing w:after="0"/>
              <w:rPr>
                <w:sz w:val="15"/>
                <w:szCs w:val="15"/>
                <w:color w:val="auto"/>
              </w:rPr>
            </w:pP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5,571</w:t>
            </w:r>
          </w:p>
        </w:tc>
        <w:tc>
          <w:tcPr>
            <w:tcW w:w="4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19,648</w:t>
            </w:r>
          </w:p>
        </w:tc>
        <w:tc>
          <w:tcPr>
            <w:tcW w:w="360" w:type="dxa"/>
            <w:vAlign w:val="bottom"/>
          </w:tcPr>
          <w:p>
            <w:pPr>
              <w:spacing w:after="0"/>
              <w:rPr>
                <w:sz w:val="15"/>
                <w:szCs w:val="15"/>
                <w:color w:val="auto"/>
              </w:rPr>
            </w:pPr>
          </w:p>
        </w:tc>
        <w:tc>
          <w:tcPr>
            <w:tcW w:w="680" w:type="dxa"/>
            <w:vAlign w:val="bottom"/>
          </w:tcPr>
          <w:p>
            <w:pPr>
              <w:jc w:val="right"/>
              <w:ind w:right="12"/>
              <w:spacing w:after="0"/>
              <w:rPr>
                <w:sz w:val="20"/>
                <w:szCs w:val="20"/>
                <w:color w:val="auto"/>
              </w:rPr>
            </w:pPr>
            <w:r>
              <w:rPr>
                <w:rFonts w:ascii="Arial" w:cs="Arial" w:eastAsia="Arial" w:hAnsi="Arial"/>
                <w:sz w:val="14"/>
                <w:szCs w:val="14"/>
                <w:color w:val="auto"/>
              </w:rPr>
              <w:t>6,037</w:t>
            </w:r>
          </w:p>
        </w:tc>
        <w:tc>
          <w:tcPr>
            <w:tcW w:w="140" w:type="dxa"/>
            <w:vAlign w:val="bottom"/>
          </w:tcPr>
          <w:p>
            <w:pPr>
              <w:spacing w:after="0"/>
              <w:rPr>
                <w:sz w:val="15"/>
                <w:szCs w:val="15"/>
                <w:color w:val="auto"/>
              </w:rPr>
            </w:pPr>
          </w:p>
        </w:tc>
        <w:tc>
          <w:tcPr>
            <w:tcW w:w="780" w:type="dxa"/>
            <w:vAlign w:val="bottom"/>
            <w:gridSpan w:val="2"/>
          </w:tcPr>
          <w:p>
            <w:pPr>
              <w:jc w:val="right"/>
              <w:ind w:right="9"/>
              <w:spacing w:after="0"/>
              <w:rPr>
                <w:sz w:val="20"/>
                <w:szCs w:val="20"/>
                <w:color w:val="auto"/>
              </w:rPr>
            </w:pPr>
            <w:r>
              <w:rPr>
                <w:rFonts w:ascii="Arial" w:cs="Arial" w:eastAsia="Arial" w:hAnsi="Arial"/>
                <w:sz w:val="14"/>
                <w:szCs w:val="14"/>
                <w:color w:val="auto"/>
              </w:rPr>
              <w:t>11,604</w:t>
            </w:r>
          </w:p>
        </w:tc>
        <w:tc>
          <w:tcPr>
            <w:tcW w:w="400" w:type="dxa"/>
            <w:vAlign w:val="bottom"/>
          </w:tcPr>
          <w:p>
            <w:pPr>
              <w:spacing w:after="0"/>
              <w:rPr>
                <w:sz w:val="15"/>
                <w:szCs w:val="15"/>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4"/>
                <w:szCs w:val="14"/>
                <w:color w:val="auto"/>
              </w:rPr>
              <w:t>53,762</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69"/>
        </w:trPr>
        <w:tc>
          <w:tcPr>
            <w:tcW w:w="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ind w:left="120"/>
              <w:spacing w:after="0"/>
              <w:rPr>
                <w:sz w:val="20"/>
                <w:szCs w:val="20"/>
                <w:color w:val="auto"/>
              </w:rPr>
            </w:pPr>
            <w:r>
              <w:rPr>
                <w:rFonts w:ascii="Arial" w:cs="Arial" w:eastAsia="Arial" w:hAnsi="Arial"/>
                <w:sz w:val="14"/>
                <w:szCs w:val="14"/>
                <w:color w:val="auto"/>
              </w:rPr>
              <w:t>52</w:t>
            </w: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20" w:type="dxa"/>
            <w:vAlign w:val="bottom"/>
            <w:tcBorders>
              <w:bottom w:val="single" w:sz="8" w:color="auto"/>
            </w:tcBorders>
          </w:tcPr>
          <w:p>
            <w:pPr>
              <w:spacing w:after="0"/>
              <w:rPr>
                <w:sz w:val="8"/>
                <w:szCs w:val="8"/>
                <w:color w:val="auto"/>
              </w:rPr>
            </w:pPr>
          </w:p>
        </w:tc>
        <w:tc>
          <w:tcPr>
            <w:tcW w:w="25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9240"/>
          </w:cols>
          <w:pgMar w:left="1400" w:top="129" w:right="1259" w:bottom="1440" w:gutter="0" w:footer="0" w:header="0"/>
        </w:sectPr>
      </w:pPr>
    </w:p>
    <w:bookmarkStart w:id="95" w:name="page96"/>
    <w:bookmarkEnd w:id="95"/>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200" w:lineRule="exact"/>
        <w:rPr>
          <w:sz w:val="20"/>
          <w:szCs w:val="20"/>
          <w:color w:val="auto"/>
        </w:rPr>
      </w:pPr>
    </w:p>
    <w:p>
      <w:pPr>
        <w:spacing w:after="0" w:line="234" w:lineRule="exact"/>
        <w:rPr>
          <w:sz w:val="20"/>
          <w:szCs w:val="20"/>
          <w:color w:val="auto"/>
        </w:rPr>
      </w:pPr>
    </w:p>
    <w:p>
      <w:pPr>
        <w:ind w:left="520"/>
        <w:spacing w:after="0"/>
        <w:rPr>
          <w:sz w:val="20"/>
          <w:szCs w:val="20"/>
          <w:color w:val="auto"/>
        </w:rPr>
      </w:pPr>
      <w:r>
        <w:rPr>
          <w:rFonts w:ascii="Arial" w:cs="Arial" w:eastAsia="Arial" w:hAnsi="Arial"/>
          <w:sz w:val="14"/>
          <w:szCs w:val="14"/>
          <w:color w:val="auto"/>
        </w:rPr>
        <w:t>Information regarding principal geographic areas was as follows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2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1"/>
                <w:szCs w:val="11"/>
                <w:b w:val="1"/>
                <w:bCs w:val="1"/>
                <w:color w:val="auto"/>
              </w:rPr>
              <w:t>2018</w:t>
            </w:r>
          </w:p>
        </w:tc>
        <w:tc>
          <w:tcPr>
            <w:tcW w:w="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1"/>
                <w:szCs w:val="11"/>
                <w:b w:val="1"/>
                <w:bCs w:val="1"/>
                <w:color w:val="auto"/>
              </w:rPr>
              <w:t>2017</w:t>
            </w: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b w:val="1"/>
                <w:bCs w:val="1"/>
                <w:color w:val="auto"/>
              </w:rPr>
              <w:t>2016</w:t>
            </w: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9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jc w:val="center"/>
              <w:ind w:right="16"/>
              <w:spacing w:after="0" w:line="100" w:lineRule="exact"/>
              <w:rPr>
                <w:sz w:val="20"/>
                <w:szCs w:val="20"/>
                <w:color w:val="auto"/>
              </w:rPr>
            </w:pPr>
            <w:r>
              <w:rPr>
                <w:rFonts w:ascii="Arial" w:cs="Arial" w:eastAsia="Arial" w:hAnsi="Arial"/>
                <w:sz w:val="11"/>
                <w:szCs w:val="11"/>
                <w:b w:val="1"/>
                <w:bCs w:val="1"/>
                <w:color w:val="auto"/>
                <w:w w:val="94"/>
              </w:rPr>
              <w:t>Long-Lived</w:t>
            </w: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jc w:val="center"/>
              <w:ind w:right="36"/>
              <w:spacing w:after="0" w:line="100" w:lineRule="exact"/>
              <w:rPr>
                <w:sz w:val="20"/>
                <w:szCs w:val="20"/>
                <w:color w:val="auto"/>
              </w:rPr>
            </w:pPr>
            <w:r>
              <w:rPr>
                <w:rFonts w:ascii="Arial" w:cs="Arial" w:eastAsia="Arial" w:hAnsi="Arial"/>
                <w:sz w:val="11"/>
                <w:szCs w:val="11"/>
                <w:b w:val="1"/>
                <w:bCs w:val="1"/>
                <w:color w:val="auto"/>
                <w:w w:val="97"/>
              </w:rPr>
              <w:t>Long-Lived</w:t>
            </w: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jc w:val="center"/>
              <w:ind w:right="36"/>
              <w:spacing w:after="0" w:line="100" w:lineRule="exact"/>
              <w:rPr>
                <w:sz w:val="20"/>
                <w:szCs w:val="20"/>
                <w:color w:val="auto"/>
              </w:rPr>
            </w:pPr>
            <w:r>
              <w:rPr>
                <w:rFonts w:ascii="Arial" w:cs="Arial" w:eastAsia="Arial" w:hAnsi="Arial"/>
                <w:sz w:val="11"/>
                <w:szCs w:val="11"/>
                <w:b w:val="1"/>
                <w:bCs w:val="1"/>
                <w:color w:val="auto"/>
                <w:w w:val="94"/>
              </w:rPr>
              <w:t>Long-Lived</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gridSpan w:val="2"/>
            <w:vMerge w:val="restart"/>
          </w:tcPr>
          <w:p>
            <w:pPr>
              <w:jc w:val="right"/>
              <w:ind w:right="400"/>
              <w:spacing w:after="0"/>
              <w:rPr>
                <w:sz w:val="20"/>
                <w:szCs w:val="20"/>
                <w:color w:val="auto"/>
              </w:rPr>
            </w:pPr>
            <w:r>
              <w:rPr>
                <w:rFonts w:ascii="Arial" w:cs="Arial" w:eastAsia="Arial" w:hAnsi="Arial"/>
                <w:sz w:val="11"/>
                <w:szCs w:val="11"/>
                <w:b w:val="1"/>
                <w:bCs w:val="1"/>
                <w:color w:val="auto"/>
              </w:rPr>
              <w:t>Net Sales</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jc w:val="center"/>
              <w:ind w:right="36"/>
              <w:spacing w:after="0" w:line="117" w:lineRule="exact"/>
              <w:rPr>
                <w:sz w:val="20"/>
                <w:szCs w:val="20"/>
                <w:color w:val="auto"/>
              </w:rPr>
            </w:pPr>
            <w:r>
              <w:rPr>
                <w:rFonts w:ascii="Arial" w:cs="Arial" w:eastAsia="Arial" w:hAnsi="Arial"/>
                <w:sz w:val="11"/>
                <w:szCs w:val="11"/>
                <w:b w:val="1"/>
                <w:bCs w:val="1"/>
                <w:color w:val="auto"/>
                <w:w w:val="92"/>
              </w:rPr>
              <w:t>Tangible</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gridSpan w:val="2"/>
            <w:vMerge w:val="restart"/>
          </w:tcPr>
          <w:p>
            <w:pPr>
              <w:jc w:val="right"/>
              <w:ind w:right="380"/>
              <w:spacing w:after="0"/>
              <w:rPr>
                <w:sz w:val="20"/>
                <w:szCs w:val="20"/>
                <w:color w:val="auto"/>
              </w:rPr>
            </w:pPr>
            <w:r>
              <w:rPr>
                <w:rFonts w:ascii="Arial" w:cs="Arial" w:eastAsia="Arial" w:hAnsi="Arial"/>
                <w:sz w:val="11"/>
                <w:szCs w:val="11"/>
                <w:b w:val="1"/>
                <w:bCs w:val="1"/>
                <w:color w:val="auto"/>
              </w:rPr>
              <w:t>Net Sales</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jc w:val="center"/>
              <w:ind w:right="36"/>
              <w:spacing w:after="0" w:line="117" w:lineRule="exact"/>
              <w:rPr>
                <w:sz w:val="20"/>
                <w:szCs w:val="20"/>
                <w:color w:val="auto"/>
              </w:rPr>
            </w:pPr>
            <w:r>
              <w:rPr>
                <w:rFonts w:ascii="Arial" w:cs="Arial" w:eastAsia="Arial" w:hAnsi="Arial"/>
                <w:sz w:val="11"/>
                <w:szCs w:val="11"/>
                <w:b w:val="1"/>
                <w:bCs w:val="1"/>
                <w:color w:val="auto"/>
                <w:w w:val="92"/>
              </w:rPr>
              <w:t>Tangible</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gridSpan w:val="2"/>
            <w:vMerge w:val="restart"/>
          </w:tcPr>
          <w:p>
            <w:pPr>
              <w:jc w:val="right"/>
              <w:ind w:right="380"/>
              <w:spacing w:after="0"/>
              <w:rPr>
                <w:sz w:val="20"/>
                <w:szCs w:val="20"/>
                <w:color w:val="auto"/>
              </w:rPr>
            </w:pPr>
            <w:r>
              <w:rPr>
                <w:rFonts w:ascii="Arial" w:cs="Arial" w:eastAsia="Arial" w:hAnsi="Arial"/>
                <w:sz w:val="11"/>
                <w:szCs w:val="11"/>
                <w:b w:val="1"/>
                <w:bCs w:val="1"/>
                <w:color w:val="auto"/>
              </w:rPr>
              <w:t>Net Sales</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jc w:val="center"/>
              <w:ind w:right="36"/>
              <w:spacing w:after="0" w:line="117" w:lineRule="exact"/>
              <w:rPr>
                <w:sz w:val="20"/>
                <w:szCs w:val="20"/>
                <w:color w:val="auto"/>
              </w:rPr>
            </w:pPr>
            <w:r>
              <w:rPr>
                <w:rFonts w:ascii="Arial" w:cs="Arial" w:eastAsia="Arial" w:hAnsi="Arial"/>
                <w:sz w:val="11"/>
                <w:szCs w:val="11"/>
                <w:b w:val="1"/>
                <w:bCs w:val="1"/>
                <w:color w:val="auto"/>
                <w:w w:val="88"/>
              </w:rPr>
              <w:t>Tangible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center"/>
              <w:ind w:right="36"/>
              <w:spacing w:after="0"/>
              <w:rPr>
                <w:sz w:val="20"/>
                <w:szCs w:val="20"/>
                <w:color w:val="auto"/>
              </w:rPr>
            </w:pPr>
            <w:r>
              <w:rPr>
                <w:rFonts w:ascii="Arial" w:cs="Arial" w:eastAsia="Arial" w:hAnsi="Arial"/>
                <w:sz w:val="11"/>
                <w:szCs w:val="11"/>
                <w:b w:val="1"/>
                <w:bCs w:val="1"/>
                <w:color w:val="auto"/>
                <w:w w:val="83"/>
              </w:rPr>
              <w:t>Assets</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center"/>
              <w:ind w:right="36"/>
              <w:spacing w:after="0"/>
              <w:rPr>
                <w:sz w:val="20"/>
                <w:szCs w:val="20"/>
                <w:color w:val="auto"/>
              </w:rPr>
            </w:pPr>
            <w:r>
              <w:rPr>
                <w:rFonts w:ascii="Arial" w:cs="Arial" w:eastAsia="Arial" w:hAnsi="Arial"/>
                <w:sz w:val="11"/>
                <w:szCs w:val="11"/>
                <w:b w:val="1"/>
                <w:bCs w:val="1"/>
                <w:color w:val="auto"/>
                <w:w w:val="83"/>
              </w:rPr>
              <w:t>Assets</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center"/>
              <w:ind w:right="16"/>
              <w:spacing w:after="0"/>
              <w:rPr>
                <w:sz w:val="20"/>
                <w:szCs w:val="20"/>
                <w:color w:val="auto"/>
              </w:rPr>
            </w:pPr>
            <w:r>
              <w:rPr>
                <w:rFonts w:ascii="Arial" w:cs="Arial" w:eastAsia="Arial" w:hAnsi="Arial"/>
                <w:sz w:val="11"/>
                <w:szCs w:val="11"/>
                <w:b w:val="1"/>
                <w:bCs w:val="1"/>
                <w:color w:val="auto"/>
                <w:w w:val="83"/>
              </w:rPr>
              <w:t>Assets</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920" w:type="dxa"/>
            <w:vAlign w:val="bottom"/>
            <w:shd w:val="clear" w:color="auto" w:fill="CCEEFF"/>
          </w:tcPr>
          <w:p>
            <w:pPr>
              <w:spacing w:after="0"/>
              <w:rPr>
                <w:sz w:val="20"/>
                <w:szCs w:val="20"/>
                <w:color w:val="auto"/>
              </w:rPr>
            </w:pPr>
            <w:r>
              <w:rPr>
                <w:rFonts w:ascii="Arial" w:cs="Arial" w:eastAsia="Arial" w:hAnsi="Arial"/>
                <w:sz w:val="14"/>
                <w:szCs w:val="14"/>
                <w:color w:val="auto"/>
              </w:rPr>
              <w:t>United States</w:t>
            </w:r>
          </w:p>
        </w:tc>
        <w:tc>
          <w:tcPr>
            <w:tcW w:w="1340" w:type="dxa"/>
            <w:vAlign w:val="bottom"/>
            <w:gridSpan w:val="2"/>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4,382,356</w:t>
            </w:r>
          </w:p>
        </w:tc>
        <w:tc>
          <w:tcPr>
            <w:tcW w:w="120" w:type="dxa"/>
            <w:vAlign w:val="bottom"/>
            <w:shd w:val="clear" w:color="auto" w:fill="CCEEFF"/>
          </w:tcPr>
          <w:p>
            <w:pPr>
              <w:spacing w:after="0"/>
              <w:rPr>
                <w:sz w:val="14"/>
                <w:szCs w:val="14"/>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342,326</w:t>
            </w:r>
          </w:p>
        </w:tc>
        <w:tc>
          <w:tcPr>
            <w:tcW w:w="300" w:type="dxa"/>
            <w:vAlign w:val="bottom"/>
            <w:gridSpan w:val="2"/>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3,821,366</w:t>
            </w:r>
          </w:p>
        </w:tc>
        <w:tc>
          <w:tcPr>
            <w:tcW w:w="120" w:type="dxa"/>
            <w:vAlign w:val="bottom"/>
            <w:shd w:val="clear" w:color="auto" w:fill="CCEEFF"/>
          </w:tcPr>
          <w:p>
            <w:pPr>
              <w:spacing w:after="0"/>
              <w:rPr>
                <w:sz w:val="14"/>
                <w:szCs w:val="14"/>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313,976</w:t>
            </w:r>
          </w:p>
        </w:tc>
        <w:tc>
          <w:tcPr>
            <w:tcW w:w="300" w:type="dxa"/>
            <w:vAlign w:val="bottom"/>
            <w:gridSpan w:val="2"/>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3,162,331</w:t>
            </w:r>
          </w:p>
        </w:tc>
        <w:tc>
          <w:tcPr>
            <w:tcW w:w="120" w:type="dxa"/>
            <w:vAlign w:val="bottom"/>
            <w:shd w:val="clear" w:color="auto" w:fill="CCEEFF"/>
          </w:tcPr>
          <w:p>
            <w:pPr>
              <w:spacing w:after="0"/>
              <w:rPr>
                <w:sz w:val="14"/>
                <w:szCs w:val="14"/>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280,362</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92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Foreign</w:t>
            </w:r>
          </w:p>
        </w:tc>
        <w:tc>
          <w:tcPr>
            <w:tcW w:w="11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106,824</w:t>
            </w:r>
          </w:p>
        </w:tc>
        <w:tc>
          <w:tcPr>
            <w:tcW w:w="12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34,312</w:t>
            </w:r>
          </w:p>
        </w:tc>
        <w:tc>
          <w:tcPr>
            <w:tcW w:w="1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119,816</w:t>
            </w:r>
          </w:p>
        </w:tc>
        <w:tc>
          <w:tcPr>
            <w:tcW w:w="1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30,380</w:t>
            </w:r>
          </w:p>
        </w:tc>
        <w:tc>
          <w:tcPr>
            <w:tcW w:w="1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78,162</w:t>
            </w:r>
          </w:p>
        </w:tc>
        <w:tc>
          <w:tcPr>
            <w:tcW w:w="1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26,106</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Total</w:t>
            </w:r>
          </w:p>
        </w:tc>
        <w:tc>
          <w:tcPr>
            <w:tcW w:w="118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4,489,180</w:t>
            </w:r>
          </w:p>
        </w:tc>
        <w:tc>
          <w:tcPr>
            <w:tcW w:w="12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376,638</w:t>
            </w:r>
          </w:p>
        </w:tc>
        <w:tc>
          <w:tcPr>
            <w:tcW w:w="16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3,941,182</w:t>
            </w:r>
          </w:p>
        </w:tc>
        <w:tc>
          <w:tcPr>
            <w:tcW w:w="1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344,356</w:t>
            </w:r>
          </w:p>
        </w:tc>
        <w:tc>
          <w:tcPr>
            <w:tcW w:w="14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3,240,493</w:t>
            </w:r>
          </w:p>
        </w:tc>
        <w:tc>
          <w:tcPr>
            <w:tcW w:w="1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306,468</w:t>
            </w:r>
          </w:p>
        </w:tc>
        <w:tc>
          <w:tcPr>
            <w:tcW w:w="0" w:type="dxa"/>
            <w:vAlign w:val="bottom"/>
          </w:tcPr>
          <w:p>
            <w:pPr>
              <w:spacing w:after="0"/>
              <w:rPr>
                <w:sz w:val="1"/>
                <w:szCs w:val="1"/>
                <w:color w:val="auto"/>
              </w:rPr>
            </w:pPr>
          </w:p>
        </w:tc>
      </w:tr>
    </w:tbl>
    <w:p>
      <w:pPr>
        <w:spacing w:after="0" w:line="159" w:lineRule="exact"/>
        <w:rPr>
          <w:sz w:val="20"/>
          <w:szCs w:val="20"/>
          <w:color w:val="auto"/>
        </w:rPr>
      </w:pPr>
    </w:p>
    <w:p>
      <w:pPr>
        <w:ind w:left="520"/>
        <w:spacing w:after="0"/>
        <w:rPr>
          <w:sz w:val="20"/>
          <w:szCs w:val="20"/>
          <w:color w:val="auto"/>
        </w:rPr>
      </w:pPr>
      <w:r>
        <w:rPr>
          <w:rFonts w:ascii="Arial" w:cs="Arial" w:eastAsia="Arial" w:hAnsi="Arial"/>
          <w:sz w:val="14"/>
          <w:szCs w:val="14"/>
          <w:color w:val="auto"/>
        </w:rPr>
        <w:t>Sales generated in Canada and Mexico are primarily to customers in the United States of America.</w:t>
      </w:r>
    </w:p>
    <w:p>
      <w:pPr>
        <w:spacing w:after="0" w:line="179"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following table presents, for the periods indicated, our gross sales (in thousands) by major product classification.</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29"/>
        </w:trPr>
        <w:tc>
          <w:tcPr>
            <w:tcW w:w="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860" w:type="dxa"/>
            <w:vAlign w:val="bottom"/>
            <w:tcBorders>
              <w:top w:val="single" w:sz="8" w:color="auto"/>
              <w:bottom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840" w:type="dxa"/>
            <w:vAlign w:val="bottom"/>
            <w:tcBorders>
              <w:top w:val="single" w:sz="8" w:color="auto"/>
              <w:bottom w:val="single" w:sz="8" w:color="auto"/>
            </w:tcBorders>
          </w:tcPr>
          <w:p>
            <w:pPr>
              <w:jc w:val="center"/>
              <w:ind w:right="51"/>
              <w:spacing w:after="0"/>
              <w:rPr>
                <w:sz w:val="20"/>
                <w:szCs w:val="20"/>
                <w:color w:val="auto"/>
              </w:rPr>
            </w:pPr>
            <w:r>
              <w:rPr>
                <w:rFonts w:ascii="Arial" w:cs="Arial" w:eastAsia="Arial" w:hAnsi="Arial"/>
                <w:sz w:val="11"/>
                <w:szCs w:val="11"/>
                <w:b w:val="1"/>
                <w:bCs w:val="1"/>
                <w:color w:val="auto"/>
                <w:w w:val="92"/>
              </w:rPr>
              <w:t>Year Ended</w:t>
            </w:r>
          </w:p>
        </w:tc>
        <w:tc>
          <w:tcPr>
            <w:tcW w:w="140" w:type="dxa"/>
            <w:vAlign w:val="bottom"/>
            <w:tcBorders>
              <w:top w:val="single" w:sz="8" w:color="auto"/>
              <w:bottom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840" w:type="dxa"/>
            <w:vAlign w:val="bottom"/>
            <w:tcBorders>
              <w:top w:val="single" w:sz="8" w:color="auto"/>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60" w:type="dxa"/>
            <w:vAlign w:val="bottom"/>
          </w:tcPr>
          <w:p>
            <w:pPr>
              <w:spacing w:after="0"/>
              <w:rPr>
                <w:sz w:val="8"/>
                <w:szCs w:val="8"/>
                <w:color w:val="auto"/>
              </w:rPr>
            </w:pPr>
          </w:p>
        </w:tc>
        <w:tc>
          <w:tcPr>
            <w:tcW w:w="1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jc w:val="right"/>
              <w:ind w:right="90"/>
              <w:spacing w:after="0" w:line="100" w:lineRule="exact"/>
              <w:rPr>
                <w:sz w:val="20"/>
                <w:szCs w:val="20"/>
                <w:color w:val="auto"/>
              </w:rPr>
            </w:pPr>
            <w:r>
              <w:rPr>
                <w:rFonts w:ascii="Arial" w:cs="Arial" w:eastAsia="Arial" w:hAnsi="Arial"/>
                <w:sz w:val="11"/>
                <w:szCs w:val="11"/>
                <w:b w:val="1"/>
                <w:bCs w:val="1"/>
                <w:color w:val="auto"/>
                <w:w w:val="94"/>
              </w:rPr>
              <w:t>December 29,</w:t>
            </w: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jc w:val="center"/>
              <w:ind w:right="31"/>
              <w:spacing w:after="0" w:line="100" w:lineRule="exact"/>
              <w:rPr>
                <w:sz w:val="20"/>
                <w:szCs w:val="20"/>
                <w:color w:val="auto"/>
              </w:rPr>
            </w:pPr>
            <w:r>
              <w:rPr>
                <w:rFonts w:ascii="Arial" w:cs="Arial" w:eastAsia="Arial" w:hAnsi="Arial"/>
                <w:sz w:val="11"/>
                <w:szCs w:val="11"/>
                <w:b w:val="1"/>
                <w:bCs w:val="1"/>
                <w:color w:val="auto"/>
                <w:w w:val="92"/>
              </w:rPr>
              <w:t>December 30,</w:t>
            </w: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jc w:val="right"/>
              <w:ind w:right="70"/>
              <w:spacing w:after="0" w:line="100" w:lineRule="exact"/>
              <w:rPr>
                <w:sz w:val="20"/>
                <w:szCs w:val="20"/>
                <w:color w:val="auto"/>
              </w:rPr>
            </w:pPr>
            <w:r>
              <w:rPr>
                <w:rFonts w:ascii="Arial" w:cs="Arial" w:eastAsia="Arial" w:hAnsi="Arial"/>
                <w:sz w:val="11"/>
                <w:szCs w:val="11"/>
                <w:b w:val="1"/>
                <w:bCs w:val="1"/>
                <w:color w:val="auto"/>
                <w:w w:val="94"/>
              </w:rPr>
              <w:t>December 31,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60" w:type="dxa"/>
            <w:vAlign w:val="bottom"/>
            <w:tcBorders>
              <w:bottom w:val="single" w:sz="8" w:color="CCEEFF"/>
            </w:tcBorders>
          </w:tcPr>
          <w:p>
            <w:pPr>
              <w:spacing w:after="0"/>
              <w:rPr>
                <w:sz w:val="11"/>
                <w:szCs w:val="11"/>
                <w:color w:val="auto"/>
              </w:rPr>
            </w:pPr>
          </w:p>
        </w:tc>
        <w:tc>
          <w:tcPr>
            <w:tcW w:w="340" w:type="dxa"/>
            <w:vAlign w:val="bottom"/>
            <w:tcBorders>
              <w:bottom w:val="single" w:sz="8" w:color="CCEEFF"/>
            </w:tcBorders>
          </w:tcPr>
          <w:p>
            <w:pPr>
              <w:spacing w:after="0"/>
              <w:rPr>
                <w:sz w:val="11"/>
                <w:szCs w:val="11"/>
                <w:color w:val="auto"/>
              </w:rPr>
            </w:pPr>
          </w:p>
        </w:tc>
        <w:tc>
          <w:tcPr>
            <w:tcW w:w="2660" w:type="dxa"/>
            <w:vAlign w:val="bottom"/>
            <w:tcBorders>
              <w:bottom w:val="single" w:sz="8" w:color="CCEEFF"/>
            </w:tcBorders>
          </w:tcPr>
          <w:p>
            <w:pPr>
              <w:spacing w:after="0"/>
              <w:rPr>
                <w:sz w:val="11"/>
                <w:szCs w:val="11"/>
                <w:color w:val="auto"/>
              </w:rPr>
            </w:pPr>
          </w:p>
        </w:tc>
        <w:tc>
          <w:tcPr>
            <w:tcW w:w="190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1"/>
                <w:szCs w:val="11"/>
                <w:b w:val="1"/>
                <w:bCs w:val="1"/>
                <w:color w:val="auto"/>
              </w:rPr>
              <w:t>2018</w:t>
            </w:r>
          </w:p>
        </w:tc>
        <w:tc>
          <w:tcPr>
            <w:tcW w:w="14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center"/>
              <w:ind w:right="31"/>
              <w:spacing w:after="0"/>
              <w:rPr>
                <w:sz w:val="20"/>
                <w:szCs w:val="20"/>
                <w:color w:val="auto"/>
              </w:rPr>
            </w:pPr>
            <w:r>
              <w:rPr>
                <w:rFonts w:ascii="Arial" w:cs="Arial" w:eastAsia="Arial" w:hAnsi="Arial"/>
                <w:sz w:val="11"/>
                <w:szCs w:val="11"/>
                <w:b w:val="1"/>
                <w:bCs w:val="1"/>
                <w:color w:val="auto"/>
                <w:w w:val="89"/>
              </w:rPr>
              <w:t>2017</w:t>
            </w:r>
          </w:p>
        </w:tc>
        <w:tc>
          <w:tcPr>
            <w:tcW w:w="14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1"/>
                <w:szCs w:val="11"/>
                <w:b w:val="1"/>
                <w:bCs w:val="1"/>
                <w:color w:val="auto"/>
              </w:rPr>
              <w:t>2016</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4060" w:type="dxa"/>
            <w:vAlign w:val="bottom"/>
            <w:gridSpan w:val="3"/>
            <w:shd w:val="clear" w:color="auto" w:fill="CCEEFF"/>
          </w:tcPr>
          <w:p>
            <w:pPr>
              <w:spacing w:after="0" w:line="138" w:lineRule="exact"/>
              <w:rPr>
                <w:sz w:val="20"/>
                <w:szCs w:val="20"/>
                <w:color w:val="auto"/>
              </w:rPr>
            </w:pPr>
            <w:r>
              <w:rPr>
                <w:rFonts w:ascii="Arial" w:cs="Arial" w:eastAsia="Arial" w:hAnsi="Arial"/>
                <w:sz w:val="14"/>
                <w:szCs w:val="14"/>
                <w:color w:val="auto"/>
              </w:rPr>
              <w:t>Value-Added Sales</w:t>
            </w:r>
          </w:p>
        </w:tc>
        <w:tc>
          <w:tcPr>
            <w:tcW w:w="1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auto"/>
            </w:tcBorders>
            <w:vMerge w:val="restart"/>
          </w:tcPr>
          <w:p>
            <w:pPr>
              <w:spacing w:after="0" w:line="20" w:lineRule="exact"/>
              <w:rPr>
                <w:sz w:val="1"/>
                <w:szCs w:val="1"/>
                <w:color w:val="auto"/>
              </w:rPr>
            </w:pPr>
          </w:p>
        </w:tc>
        <w:tc>
          <w:tcPr>
            <w:tcW w:w="1060" w:type="dxa"/>
            <w:vAlign w:val="bottom"/>
            <w:tcBorders>
              <w:top w:val="single" w:sz="8" w:color="auto"/>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660" w:type="dxa"/>
            <w:vAlign w:val="bottom"/>
            <w:tcBorders>
              <w:top w:val="single" w:sz="8" w:color="CCEEFF"/>
            </w:tcBorders>
            <w:shd w:val="clear" w:color="auto" w:fill="CCEEFF"/>
          </w:tcPr>
          <w:p>
            <w:pPr>
              <w:spacing w:after="0" w:line="20" w:lineRule="exact"/>
              <w:rPr>
                <w:sz w:val="1"/>
                <w:szCs w:val="1"/>
                <w:color w:val="auto"/>
              </w:rPr>
            </w:pPr>
          </w:p>
        </w:tc>
        <w:tc>
          <w:tcPr>
            <w:tcW w:w="19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vMerge w:val="continue"/>
          </w:tcPr>
          <w:p>
            <w:pPr>
              <w:spacing w:after="0"/>
              <w:rPr>
                <w:sz w:val="14"/>
                <w:szCs w:val="14"/>
                <w:color w:val="auto"/>
              </w:rPr>
            </w:pPr>
          </w:p>
        </w:tc>
        <w:tc>
          <w:tcPr>
            <w:tcW w:w="4060" w:type="dxa"/>
            <w:vAlign w:val="bottom"/>
            <w:gridSpan w:val="3"/>
          </w:tcPr>
          <w:p>
            <w:pPr>
              <w:spacing w:after="0"/>
              <w:rPr>
                <w:sz w:val="20"/>
                <w:szCs w:val="20"/>
                <w:color w:val="auto"/>
              </w:rPr>
            </w:pPr>
            <w:r>
              <w:rPr>
                <w:rFonts w:ascii="Arial" w:cs="Arial" w:eastAsia="Arial" w:hAnsi="Arial"/>
                <w:sz w:val="14"/>
                <w:szCs w:val="14"/>
                <w:color w:val="auto"/>
              </w:rPr>
              <w:t>Trusses – residential, modular and manufactured housing</w:t>
            </w:r>
          </w:p>
        </w:tc>
        <w:tc>
          <w:tcPr>
            <w:tcW w:w="20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421,996</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368,591</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334,956</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06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Fencing</w:t>
            </w:r>
          </w:p>
        </w:tc>
        <w:tc>
          <w:tcPr>
            <w:tcW w:w="1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179,037</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187,905</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176,668</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060" w:type="dxa"/>
            <w:vAlign w:val="bottom"/>
            <w:gridSpan w:val="3"/>
          </w:tcPr>
          <w:p>
            <w:pPr>
              <w:spacing w:after="0"/>
              <w:rPr>
                <w:sz w:val="20"/>
                <w:szCs w:val="20"/>
                <w:color w:val="auto"/>
              </w:rPr>
            </w:pPr>
            <w:r>
              <w:rPr>
                <w:rFonts w:ascii="Arial" w:cs="Arial" w:eastAsia="Arial" w:hAnsi="Arial"/>
                <w:sz w:val="14"/>
                <w:szCs w:val="14"/>
                <w:color w:val="auto"/>
              </w:rPr>
              <w:t>Decking and railing – composite, wood and other</w:t>
            </w:r>
          </w:p>
        </w:tc>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271,499</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244,910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200,004</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06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Turn-key framing and installed sales</w:t>
            </w:r>
          </w:p>
        </w:tc>
        <w:tc>
          <w:tcPr>
            <w:tcW w:w="1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151,260</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149,520</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141,474</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060" w:type="dxa"/>
            <w:vAlign w:val="bottom"/>
            <w:gridSpan w:val="3"/>
          </w:tcPr>
          <w:p>
            <w:pPr>
              <w:spacing w:after="0"/>
              <w:rPr>
                <w:sz w:val="20"/>
                <w:szCs w:val="20"/>
                <w:color w:val="auto"/>
              </w:rPr>
            </w:pPr>
            <w:r>
              <w:rPr>
                <w:rFonts w:ascii="Arial" w:cs="Arial" w:eastAsia="Arial" w:hAnsi="Arial"/>
                <w:sz w:val="14"/>
                <w:szCs w:val="14"/>
                <w:color w:val="auto"/>
              </w:rPr>
              <w:t>Industrial packaging and components</w:t>
            </w:r>
          </w:p>
        </w:tc>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581,622</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471,262</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391,610</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06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Engineered wood products (eg. LVL; i-joist)</w:t>
            </w:r>
          </w:p>
        </w:tc>
        <w:tc>
          <w:tcPr>
            <w:tcW w:w="1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83,212</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76,507</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76,503</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060" w:type="dxa"/>
            <w:vAlign w:val="bottom"/>
            <w:gridSpan w:val="3"/>
          </w:tcPr>
          <w:p>
            <w:pPr>
              <w:spacing w:after="0"/>
              <w:rPr>
                <w:sz w:val="20"/>
                <w:szCs w:val="20"/>
                <w:color w:val="auto"/>
              </w:rPr>
            </w:pPr>
            <w:r>
              <w:rPr>
                <w:rFonts w:ascii="Arial" w:cs="Arial" w:eastAsia="Arial" w:hAnsi="Arial"/>
                <w:sz w:val="14"/>
                <w:szCs w:val="14"/>
                <w:color w:val="auto"/>
              </w:rPr>
              <w:t>In-store fixtures</w:t>
            </w:r>
          </w:p>
        </w:tc>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252,341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260,174</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87,262</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06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Manufactured brite and other lumber</w:t>
            </w:r>
          </w:p>
        </w:tc>
        <w:tc>
          <w:tcPr>
            <w:tcW w:w="1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102,333</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78,638</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68,517</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060" w:type="dxa"/>
            <w:vAlign w:val="bottom"/>
            <w:gridSpan w:val="3"/>
          </w:tcPr>
          <w:p>
            <w:pPr>
              <w:spacing w:after="0"/>
              <w:rPr>
                <w:sz w:val="20"/>
                <w:szCs w:val="20"/>
                <w:color w:val="auto"/>
              </w:rPr>
            </w:pPr>
            <w:r>
              <w:rPr>
                <w:rFonts w:ascii="Arial" w:cs="Arial" w:eastAsia="Arial" w:hAnsi="Arial"/>
                <w:sz w:val="14"/>
                <w:szCs w:val="14"/>
                <w:color w:val="auto"/>
              </w:rPr>
              <w:t>Wall panels</w:t>
            </w:r>
          </w:p>
        </w:tc>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69,889</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61,226</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53,279</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06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Outdoor DIY products (eg. stakes; landscape ties)</w:t>
            </w:r>
          </w:p>
        </w:tc>
        <w:tc>
          <w:tcPr>
            <w:tcW w:w="1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124,907</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110,327</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106,284</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060" w:type="dxa"/>
            <w:vAlign w:val="bottom"/>
            <w:gridSpan w:val="3"/>
          </w:tcPr>
          <w:p>
            <w:pPr>
              <w:spacing w:after="0"/>
              <w:rPr>
                <w:sz w:val="20"/>
                <w:szCs w:val="20"/>
                <w:color w:val="auto"/>
              </w:rPr>
            </w:pPr>
            <w:r>
              <w:rPr>
                <w:rFonts w:ascii="Arial" w:cs="Arial" w:eastAsia="Arial" w:hAnsi="Arial"/>
                <w:sz w:val="14"/>
                <w:szCs w:val="14"/>
                <w:color w:val="auto"/>
              </w:rPr>
              <w:t>Construction and building materials (eg. door packages; drywall)</w:t>
            </w:r>
          </w:p>
        </w:tc>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305,374</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265,048</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204,732</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06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Lattice – plastic and wood</w:t>
            </w:r>
          </w:p>
        </w:tc>
        <w:tc>
          <w:tcPr>
            <w:tcW w:w="1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48,614</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48,736</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50,556</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060" w:type="dxa"/>
            <w:vAlign w:val="bottom"/>
            <w:gridSpan w:val="3"/>
          </w:tcPr>
          <w:p>
            <w:pPr>
              <w:spacing w:after="0"/>
              <w:rPr>
                <w:sz w:val="20"/>
                <w:szCs w:val="20"/>
                <w:color w:val="auto"/>
              </w:rPr>
            </w:pPr>
            <w:r>
              <w:rPr>
                <w:rFonts w:ascii="Arial" w:cs="Arial" w:eastAsia="Arial" w:hAnsi="Arial"/>
                <w:sz w:val="14"/>
                <w:szCs w:val="14"/>
                <w:color w:val="auto"/>
              </w:rPr>
              <w:t>Manufactured brite and other panels</w:t>
            </w:r>
          </w:p>
        </w:tc>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97,314</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75,742</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60,753</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06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Siding, trim and moulding</w:t>
            </w:r>
          </w:p>
        </w:tc>
        <w:tc>
          <w:tcPr>
            <w:tcW w:w="1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98,370</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85,016</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66,048</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060" w:type="dxa"/>
            <w:vAlign w:val="bottom"/>
            <w:gridSpan w:val="3"/>
          </w:tcPr>
          <w:p>
            <w:pPr>
              <w:spacing w:after="0"/>
              <w:rPr>
                <w:sz w:val="20"/>
                <w:szCs w:val="20"/>
                <w:color w:val="auto"/>
              </w:rPr>
            </w:pPr>
            <w:r>
              <w:rPr>
                <w:rFonts w:ascii="Arial" w:cs="Arial" w:eastAsia="Arial" w:hAnsi="Arial"/>
                <w:sz w:val="14"/>
                <w:szCs w:val="14"/>
                <w:color w:val="auto"/>
              </w:rPr>
              <w:t>Hardware</w:t>
            </w:r>
          </w:p>
        </w:tc>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24,662</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21,218</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20,713</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06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Manufactured treated lumber</w:t>
            </w:r>
          </w:p>
        </w:tc>
        <w:tc>
          <w:tcPr>
            <w:tcW w:w="1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20,889</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17,584</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17,412</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060" w:type="dxa"/>
            <w:vAlign w:val="bottom"/>
            <w:tcBorders>
              <w:bottom w:val="single" w:sz="8" w:color="CCEEFF"/>
            </w:tcBorders>
            <w:gridSpan w:val="3"/>
          </w:tcPr>
          <w:p>
            <w:pPr>
              <w:spacing w:after="0"/>
              <w:rPr>
                <w:sz w:val="20"/>
                <w:szCs w:val="20"/>
                <w:color w:val="auto"/>
              </w:rPr>
            </w:pPr>
            <w:r>
              <w:rPr>
                <w:rFonts w:ascii="Arial" w:cs="Arial" w:eastAsia="Arial" w:hAnsi="Arial"/>
                <w:sz w:val="14"/>
                <w:szCs w:val="14"/>
                <w:color w:val="auto"/>
              </w:rPr>
              <w:t>Other</w:t>
            </w:r>
          </w:p>
        </w:tc>
        <w:tc>
          <w:tcPr>
            <w:tcW w:w="19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21,342</w:t>
            </w: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12,604</w:t>
            </w: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10,967</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06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Total Value-Added Sales</w:t>
            </w:r>
          </w:p>
        </w:tc>
        <w:tc>
          <w:tcPr>
            <w:tcW w:w="19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2,854,661</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2,535,008</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2,067,738</w:t>
            </w:r>
          </w:p>
        </w:tc>
        <w:tc>
          <w:tcPr>
            <w:tcW w:w="0" w:type="dxa"/>
            <w:vAlign w:val="bottom"/>
          </w:tcPr>
          <w:p>
            <w:pPr>
              <w:spacing w:after="0"/>
              <w:rPr>
                <w:sz w:val="1"/>
                <w:szCs w:val="1"/>
                <w:color w:val="auto"/>
              </w:rPr>
            </w:pPr>
          </w:p>
        </w:tc>
      </w:tr>
      <w:tr>
        <w:trPr>
          <w:trHeight w:val="170"/>
        </w:trPr>
        <w:tc>
          <w:tcPr>
            <w:tcW w:w="20" w:type="dxa"/>
            <w:vAlign w:val="bottom"/>
            <w:vMerge w:val="restart"/>
          </w:tcPr>
          <w:p>
            <w:pPr>
              <w:spacing w:after="0"/>
              <w:rPr>
                <w:sz w:val="14"/>
                <w:szCs w:val="14"/>
                <w:color w:val="auto"/>
              </w:rPr>
            </w:pPr>
          </w:p>
        </w:tc>
        <w:tc>
          <w:tcPr>
            <w:tcW w:w="1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20" w:type="dxa"/>
            <w:vAlign w:val="bottom"/>
            <w:tcBorders>
              <w:bottom w:val="single" w:sz="8" w:color="auto"/>
            </w:tcBorders>
            <w:vMerge w:val="continue"/>
          </w:tcPr>
          <w:p>
            <w:pPr>
              <w:spacing w:after="0"/>
              <w:rPr>
                <w:sz w:val="13"/>
                <w:szCs w:val="13"/>
                <w:color w:val="auto"/>
              </w:rPr>
            </w:pPr>
          </w:p>
        </w:tc>
        <w:tc>
          <w:tcPr>
            <w:tcW w:w="1400" w:type="dxa"/>
            <w:vAlign w:val="bottom"/>
            <w:tcBorders>
              <w:bottom w:val="single" w:sz="8" w:color="auto"/>
            </w:tcBorders>
            <w:gridSpan w:val="2"/>
            <w:shd w:val="clear" w:color="auto" w:fill="CCEEFF"/>
          </w:tcPr>
          <w:p>
            <w:pPr>
              <w:spacing w:after="0" w:line="138" w:lineRule="exact"/>
              <w:rPr>
                <w:sz w:val="20"/>
                <w:szCs w:val="20"/>
                <w:color w:val="auto"/>
              </w:rPr>
            </w:pPr>
            <w:r>
              <w:rPr>
                <w:rFonts w:ascii="Arial" w:cs="Arial" w:eastAsia="Arial" w:hAnsi="Arial"/>
                <w:sz w:val="14"/>
                <w:szCs w:val="14"/>
                <w:color w:val="auto"/>
                <w:w w:val="89"/>
              </w:rPr>
              <w:t>Commodity-Based Sales</w:t>
            </w:r>
          </w:p>
        </w:tc>
        <w:tc>
          <w:tcPr>
            <w:tcW w:w="2660" w:type="dxa"/>
            <w:vAlign w:val="bottom"/>
            <w:tcBorders>
              <w:bottom w:val="single" w:sz="8" w:color="CCEEFF"/>
            </w:tcBorders>
            <w:shd w:val="clear" w:color="auto" w:fill="CCEEFF"/>
          </w:tcPr>
          <w:p>
            <w:pPr>
              <w:spacing w:after="0"/>
              <w:rPr>
                <w:sz w:val="13"/>
                <w:szCs w:val="13"/>
                <w:color w:val="auto"/>
              </w:rPr>
            </w:pPr>
          </w:p>
        </w:tc>
        <w:tc>
          <w:tcPr>
            <w:tcW w:w="19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060" w:type="dxa"/>
            <w:vAlign w:val="bottom"/>
            <w:gridSpan w:val="3"/>
          </w:tcPr>
          <w:p>
            <w:pPr>
              <w:spacing w:after="0"/>
              <w:rPr>
                <w:sz w:val="20"/>
                <w:szCs w:val="20"/>
                <w:color w:val="auto"/>
              </w:rPr>
            </w:pPr>
            <w:r>
              <w:rPr>
                <w:rFonts w:ascii="Arial" w:cs="Arial" w:eastAsia="Arial" w:hAnsi="Arial"/>
                <w:sz w:val="14"/>
                <w:szCs w:val="14"/>
                <w:color w:val="auto"/>
              </w:rPr>
              <w:t>Non-manufactured brite and other lumber</w:t>
            </w:r>
          </w:p>
        </w:tc>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718,456</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576,374</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469,042</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06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Non-manufactured treated lumber</w:t>
            </w:r>
          </w:p>
        </w:tc>
        <w:tc>
          <w:tcPr>
            <w:tcW w:w="1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647,222</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575,505</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479,333</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060" w:type="dxa"/>
            <w:vAlign w:val="bottom"/>
            <w:gridSpan w:val="3"/>
          </w:tcPr>
          <w:p>
            <w:pPr>
              <w:spacing w:after="0"/>
              <w:rPr>
                <w:sz w:val="20"/>
                <w:szCs w:val="20"/>
                <w:color w:val="auto"/>
              </w:rPr>
            </w:pPr>
            <w:r>
              <w:rPr>
                <w:rFonts w:ascii="Arial" w:cs="Arial" w:eastAsia="Arial" w:hAnsi="Arial"/>
                <w:sz w:val="14"/>
                <w:szCs w:val="14"/>
                <w:color w:val="auto"/>
              </w:rPr>
              <w:t>Non-manufactured brite and other panels</w:t>
            </w:r>
          </w:p>
        </w:tc>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285,888</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271,310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238,806</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06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Non-manufactured treated panels</w:t>
            </w:r>
          </w:p>
        </w:tc>
        <w:tc>
          <w:tcPr>
            <w:tcW w:w="1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39,768</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34,970</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30,374</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060" w:type="dxa"/>
            <w:vAlign w:val="bottom"/>
            <w:tcBorders>
              <w:bottom w:val="single" w:sz="8" w:color="CCEEFF"/>
            </w:tcBorders>
            <w:gridSpan w:val="3"/>
          </w:tcPr>
          <w:p>
            <w:pPr>
              <w:spacing w:after="0"/>
              <w:rPr>
                <w:sz w:val="20"/>
                <w:szCs w:val="20"/>
                <w:color w:val="auto"/>
              </w:rPr>
            </w:pPr>
            <w:r>
              <w:rPr>
                <w:rFonts w:ascii="Arial" w:cs="Arial" w:eastAsia="Arial" w:hAnsi="Arial"/>
                <w:sz w:val="14"/>
                <w:szCs w:val="14"/>
                <w:color w:val="auto"/>
              </w:rPr>
              <w:t>Other</w:t>
            </w:r>
          </w:p>
        </w:tc>
        <w:tc>
          <w:tcPr>
            <w:tcW w:w="19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19,754</w:t>
            </w: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13,036</w:t>
            </w: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12,084</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0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4"/>
                <w:szCs w:val="14"/>
                <w:color w:val="auto"/>
              </w:rPr>
              <w:t>Total Commodity-Based Sales</w:t>
            </w:r>
          </w:p>
        </w:tc>
        <w:tc>
          <w:tcPr>
            <w:tcW w:w="19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1,711,088</w:t>
            </w:r>
          </w:p>
        </w:tc>
        <w:tc>
          <w:tcPr>
            <w:tcW w:w="1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1,471,195</w:t>
            </w:r>
          </w:p>
        </w:tc>
        <w:tc>
          <w:tcPr>
            <w:tcW w:w="1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1,229,639</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4060" w:type="dxa"/>
            <w:vAlign w:val="bottom"/>
            <w:gridSpan w:val="3"/>
          </w:tcPr>
          <w:p>
            <w:pPr>
              <w:spacing w:after="0" w:line="151" w:lineRule="exact"/>
              <w:rPr>
                <w:sz w:val="20"/>
                <w:szCs w:val="20"/>
                <w:color w:val="auto"/>
              </w:rPr>
            </w:pPr>
            <w:r>
              <w:rPr>
                <w:rFonts w:ascii="Arial" w:cs="Arial" w:eastAsia="Arial" w:hAnsi="Arial"/>
                <w:sz w:val="14"/>
                <w:szCs w:val="14"/>
                <w:color w:val="auto"/>
              </w:rPr>
              <w:t>Total Gross Sales</w:t>
            </w:r>
          </w:p>
        </w:tc>
        <w:tc>
          <w:tcPr>
            <w:tcW w:w="19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spacing w:after="0" w:line="151" w:lineRule="exact"/>
              <w:rPr>
                <w:sz w:val="20"/>
                <w:szCs w:val="20"/>
                <w:color w:val="auto"/>
              </w:rPr>
            </w:pPr>
            <w:r>
              <w:rPr>
                <w:rFonts w:ascii="Arial" w:cs="Arial" w:eastAsia="Arial" w:hAnsi="Arial"/>
                <w:sz w:val="14"/>
                <w:szCs w:val="14"/>
                <w:color w:val="auto"/>
              </w:rPr>
              <w:t>4,565,749</w:t>
            </w:r>
          </w:p>
        </w:tc>
        <w:tc>
          <w:tcPr>
            <w:tcW w:w="140" w:type="dxa"/>
            <w:vAlign w:val="bottom"/>
          </w:tcPr>
          <w:p>
            <w:pPr>
              <w:spacing w:after="0"/>
              <w:rPr>
                <w:sz w:val="13"/>
                <w:szCs w:val="13"/>
                <w:color w:val="auto"/>
              </w:rPr>
            </w:pPr>
          </w:p>
        </w:tc>
        <w:tc>
          <w:tcPr>
            <w:tcW w:w="100" w:type="dxa"/>
            <w:vAlign w:val="bottom"/>
          </w:tcPr>
          <w:p>
            <w:pPr>
              <w:jc w:val="right"/>
              <w:spacing w:after="0" w:line="151" w:lineRule="exact"/>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line="151" w:lineRule="exact"/>
              <w:rPr>
                <w:sz w:val="20"/>
                <w:szCs w:val="20"/>
                <w:color w:val="auto"/>
              </w:rPr>
            </w:pPr>
            <w:r>
              <w:rPr>
                <w:rFonts w:ascii="Arial" w:cs="Arial" w:eastAsia="Arial" w:hAnsi="Arial"/>
                <w:sz w:val="14"/>
                <w:szCs w:val="14"/>
                <w:color w:val="auto"/>
              </w:rPr>
              <w:t>4,006,203</w:t>
            </w:r>
          </w:p>
        </w:tc>
        <w:tc>
          <w:tcPr>
            <w:tcW w:w="140" w:type="dxa"/>
            <w:vAlign w:val="bottom"/>
          </w:tcPr>
          <w:p>
            <w:pPr>
              <w:spacing w:after="0"/>
              <w:rPr>
                <w:sz w:val="13"/>
                <w:szCs w:val="13"/>
                <w:color w:val="auto"/>
              </w:rPr>
            </w:pPr>
          </w:p>
        </w:tc>
        <w:tc>
          <w:tcPr>
            <w:tcW w:w="100" w:type="dxa"/>
            <w:vAlign w:val="bottom"/>
          </w:tcPr>
          <w:p>
            <w:pPr>
              <w:jc w:val="right"/>
              <w:spacing w:after="0" w:line="151" w:lineRule="exact"/>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line="151" w:lineRule="exact"/>
              <w:rPr>
                <w:sz w:val="20"/>
                <w:szCs w:val="20"/>
                <w:color w:val="auto"/>
              </w:rPr>
            </w:pPr>
            <w:r>
              <w:rPr>
                <w:rFonts w:ascii="Arial" w:cs="Arial" w:eastAsia="Arial" w:hAnsi="Arial"/>
                <w:sz w:val="14"/>
                <w:szCs w:val="14"/>
                <w:color w:val="auto"/>
              </w:rPr>
              <w:t>3,297,377</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0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4"/>
                <w:szCs w:val="14"/>
                <w:color w:val="auto"/>
              </w:rPr>
              <w:t>Sales allowances</w:t>
            </w:r>
          </w:p>
        </w:tc>
        <w:tc>
          <w:tcPr>
            <w:tcW w:w="19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(76,569)</w:t>
            </w:r>
          </w:p>
        </w:tc>
        <w:tc>
          <w:tcPr>
            <w:tcW w:w="1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(65,021)</w:t>
            </w:r>
          </w:p>
        </w:tc>
        <w:tc>
          <w:tcPr>
            <w:tcW w:w="1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(56,884)</w:t>
            </w:r>
          </w:p>
        </w:tc>
        <w:tc>
          <w:tcPr>
            <w:tcW w:w="0" w:type="dxa"/>
            <w:vAlign w:val="bottom"/>
          </w:tcPr>
          <w:p>
            <w:pPr>
              <w:spacing w:after="0"/>
              <w:rPr>
                <w:sz w:val="1"/>
                <w:szCs w:val="1"/>
                <w:color w:val="auto"/>
              </w:rPr>
            </w:pPr>
          </w:p>
        </w:tc>
      </w:tr>
      <w:tr>
        <w:trPr>
          <w:trHeight w:val="152"/>
        </w:trPr>
        <w:tc>
          <w:tcPr>
            <w:tcW w:w="4080" w:type="dxa"/>
            <w:vAlign w:val="bottom"/>
            <w:gridSpan w:val="4"/>
          </w:tcPr>
          <w:p>
            <w:pPr>
              <w:spacing w:after="0" w:line="151" w:lineRule="exact"/>
              <w:rPr>
                <w:sz w:val="20"/>
                <w:szCs w:val="20"/>
                <w:color w:val="auto"/>
              </w:rPr>
            </w:pPr>
            <w:r>
              <w:rPr>
                <w:rFonts w:ascii="Arial" w:cs="Arial" w:eastAsia="Arial" w:hAnsi="Arial"/>
                <w:sz w:val="14"/>
                <w:szCs w:val="14"/>
                <w:color w:val="auto"/>
              </w:rPr>
              <w:t>Total Net Sales</w:t>
            </w:r>
          </w:p>
        </w:tc>
        <w:tc>
          <w:tcPr>
            <w:tcW w:w="1900" w:type="dxa"/>
            <w:vAlign w:val="bottom"/>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4,489,180</w:t>
            </w:r>
          </w:p>
        </w:tc>
        <w:tc>
          <w:tcPr>
            <w:tcW w:w="140" w:type="dxa"/>
            <w:vAlign w:val="bottom"/>
          </w:tcPr>
          <w:p>
            <w:pPr>
              <w:spacing w:after="0"/>
              <w:rPr>
                <w:sz w:val="13"/>
                <w:szCs w:val="13"/>
                <w:color w:val="auto"/>
              </w:rPr>
            </w:pPr>
          </w:p>
        </w:tc>
        <w:tc>
          <w:tcPr>
            <w:tcW w:w="10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3,941,182</w:t>
            </w:r>
          </w:p>
        </w:tc>
        <w:tc>
          <w:tcPr>
            <w:tcW w:w="140" w:type="dxa"/>
            <w:vAlign w:val="bottom"/>
          </w:tcPr>
          <w:p>
            <w:pPr>
              <w:spacing w:after="0"/>
              <w:rPr>
                <w:sz w:val="13"/>
                <w:szCs w:val="13"/>
                <w:color w:val="auto"/>
              </w:rPr>
            </w:pPr>
          </w:p>
        </w:tc>
        <w:tc>
          <w:tcPr>
            <w:tcW w:w="10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3,240,493</w:t>
            </w:r>
          </w:p>
        </w:tc>
        <w:tc>
          <w:tcPr>
            <w:tcW w:w="0" w:type="dxa"/>
            <w:vAlign w:val="bottom"/>
          </w:tcPr>
          <w:p>
            <w:pPr>
              <w:spacing w:after="0"/>
              <w:rPr>
                <w:sz w:val="1"/>
                <w:szCs w:val="1"/>
                <w:color w:val="auto"/>
              </w:rPr>
            </w:pPr>
          </w:p>
        </w:tc>
      </w:tr>
      <w:tr>
        <w:trPr>
          <w:trHeight w:val="690"/>
        </w:trPr>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900" w:type="dxa"/>
            <w:vAlign w:val="bottom"/>
          </w:tcPr>
          <w:p>
            <w:pPr>
              <w:jc w:val="right"/>
              <w:ind w:right="1289"/>
              <w:spacing w:after="0"/>
              <w:rPr>
                <w:sz w:val="20"/>
                <w:szCs w:val="20"/>
                <w:color w:val="auto"/>
              </w:rPr>
            </w:pPr>
            <w:r>
              <w:rPr>
                <w:rFonts w:ascii="Arial" w:cs="Arial" w:eastAsia="Arial" w:hAnsi="Arial"/>
                <w:sz w:val="14"/>
                <w:szCs w:val="14"/>
                <w:color w:val="auto"/>
              </w:rPr>
              <w:t>53</w:t>
            </w: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2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2660" w:type="dxa"/>
            <w:vAlign w:val="bottom"/>
            <w:tcBorders>
              <w:bottom w:val="single" w:sz="8" w:color="auto"/>
            </w:tcBorders>
          </w:tcPr>
          <w:p>
            <w:pPr>
              <w:spacing w:after="0"/>
              <w:rPr>
                <w:sz w:val="8"/>
                <w:szCs w:val="8"/>
                <w:color w:val="auto"/>
              </w:rPr>
            </w:pPr>
          </w:p>
        </w:tc>
        <w:tc>
          <w:tcPr>
            <w:tcW w:w="19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9100"/>
          </w:cols>
          <w:pgMar w:left="1400" w:top="129" w:right="1399" w:bottom="1440" w:gutter="0" w:footer="0" w:header="0"/>
        </w:sectPr>
      </w:pPr>
    </w:p>
    <w:bookmarkStart w:id="96" w:name="page97"/>
    <w:bookmarkEnd w:id="96"/>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90" w:lineRule="exact"/>
        <w:rPr>
          <w:sz w:val="20"/>
          <w:szCs w:val="20"/>
          <w:color w:val="auto"/>
        </w:rPr>
      </w:pPr>
    </w:p>
    <w:p>
      <w:pPr>
        <w:ind w:left="660" w:hanging="656"/>
        <w:spacing w:after="0"/>
        <w:tabs>
          <w:tab w:leader="none" w:pos="660" w:val="left"/>
        </w:tabs>
        <w:numPr>
          <w:ilvl w:val="0"/>
          <w:numId w:val="60"/>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QUARTERLY FINANCIAL INFORMATION (UNAUDITED)</w:t>
      </w:r>
    </w:p>
    <w:p>
      <w:pPr>
        <w:spacing w:after="0" w:line="183" w:lineRule="exact"/>
        <w:rPr>
          <w:sz w:val="20"/>
          <w:szCs w:val="20"/>
          <w:color w:val="auto"/>
        </w:rPr>
      </w:pPr>
    </w:p>
    <w:p>
      <w:pPr>
        <w:ind w:firstLine="510"/>
        <w:spacing w:after="0" w:line="281" w:lineRule="auto"/>
        <w:rPr>
          <w:sz w:val="20"/>
          <w:szCs w:val="20"/>
          <w:color w:val="auto"/>
        </w:rPr>
      </w:pPr>
      <w:r>
        <w:rPr>
          <w:rFonts w:ascii="Arial" w:cs="Arial" w:eastAsia="Arial" w:hAnsi="Arial"/>
          <w:sz w:val="14"/>
          <w:szCs w:val="14"/>
          <w:color w:val="auto"/>
        </w:rPr>
        <w:t>The following table sets forth selected financial information for all of the quarters, consisting of 13 and 14 weeks during the years ended December 29, 2018 and December 30, 2017, respectively, (in thousands, except per share data):</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0" w:type="dxa"/>
            <w:vAlign w:val="bottom"/>
            <w:tcBorders>
              <w:bottom w:val="single" w:sz="8" w:color="auto"/>
            </w:tcBorders>
            <w:gridSpan w:val="3"/>
          </w:tcPr>
          <w:p>
            <w:pPr>
              <w:jc w:val="right"/>
              <w:ind w:right="416"/>
              <w:spacing w:after="0"/>
              <w:rPr>
                <w:sz w:val="20"/>
                <w:szCs w:val="20"/>
                <w:color w:val="auto"/>
              </w:rPr>
            </w:pPr>
            <w:r>
              <w:rPr>
                <w:rFonts w:ascii="Arial" w:cs="Arial" w:eastAsia="Arial" w:hAnsi="Arial"/>
                <w:sz w:val="13"/>
                <w:szCs w:val="13"/>
                <w:b w:val="1"/>
                <w:bCs w:val="1"/>
                <w:color w:val="auto"/>
              </w:rPr>
              <w:t>First</w:t>
            </w:r>
          </w:p>
        </w:tc>
        <w:tc>
          <w:tcPr>
            <w:tcW w:w="140" w:type="dxa"/>
            <w:vAlign w:val="bottom"/>
          </w:tcPr>
          <w:p>
            <w:pPr>
              <w:spacing w:after="0"/>
              <w:rPr>
                <w:sz w:val="14"/>
                <w:szCs w:val="14"/>
                <w:color w:val="auto"/>
              </w:rPr>
            </w:pPr>
          </w:p>
        </w:tc>
        <w:tc>
          <w:tcPr>
            <w:tcW w:w="1400" w:type="dxa"/>
            <w:vAlign w:val="bottom"/>
            <w:tcBorders>
              <w:bottom w:val="single" w:sz="8" w:color="auto"/>
            </w:tcBorders>
            <w:gridSpan w:val="3"/>
          </w:tcPr>
          <w:p>
            <w:pPr>
              <w:jc w:val="right"/>
              <w:ind w:right="456"/>
              <w:spacing w:after="0"/>
              <w:rPr>
                <w:sz w:val="20"/>
                <w:szCs w:val="20"/>
                <w:color w:val="auto"/>
              </w:rPr>
            </w:pPr>
            <w:r>
              <w:rPr>
                <w:rFonts w:ascii="Arial" w:cs="Arial" w:eastAsia="Arial" w:hAnsi="Arial"/>
                <w:sz w:val="13"/>
                <w:szCs w:val="13"/>
                <w:b w:val="1"/>
                <w:bCs w:val="1"/>
                <w:color w:val="auto"/>
              </w:rPr>
              <w:t>Second</w:t>
            </w:r>
          </w:p>
        </w:tc>
        <w:tc>
          <w:tcPr>
            <w:tcW w:w="120" w:type="dxa"/>
            <w:vAlign w:val="bottom"/>
          </w:tcPr>
          <w:p>
            <w:pPr>
              <w:spacing w:after="0"/>
              <w:rPr>
                <w:sz w:val="14"/>
                <w:szCs w:val="14"/>
                <w:color w:val="auto"/>
              </w:rPr>
            </w:pPr>
          </w:p>
        </w:tc>
        <w:tc>
          <w:tcPr>
            <w:tcW w:w="1400" w:type="dxa"/>
            <w:vAlign w:val="bottom"/>
            <w:tcBorders>
              <w:bottom w:val="single" w:sz="8" w:color="auto"/>
            </w:tcBorders>
            <w:gridSpan w:val="3"/>
          </w:tcPr>
          <w:p>
            <w:pPr>
              <w:jc w:val="right"/>
              <w:ind w:right="476"/>
              <w:spacing w:after="0"/>
              <w:rPr>
                <w:sz w:val="20"/>
                <w:szCs w:val="20"/>
                <w:color w:val="auto"/>
              </w:rPr>
            </w:pPr>
            <w:r>
              <w:rPr>
                <w:rFonts w:ascii="Arial" w:cs="Arial" w:eastAsia="Arial" w:hAnsi="Arial"/>
                <w:sz w:val="13"/>
                <w:szCs w:val="13"/>
                <w:b w:val="1"/>
                <w:bCs w:val="1"/>
                <w:color w:val="auto"/>
              </w:rPr>
              <w:t>Third</w:t>
            </w:r>
          </w:p>
        </w:tc>
        <w:tc>
          <w:tcPr>
            <w:tcW w:w="140" w:type="dxa"/>
            <w:vAlign w:val="bottom"/>
          </w:tcPr>
          <w:p>
            <w:pPr>
              <w:spacing w:after="0"/>
              <w:rPr>
                <w:sz w:val="14"/>
                <w:szCs w:val="14"/>
                <w:color w:val="auto"/>
              </w:rPr>
            </w:pPr>
          </w:p>
        </w:tc>
        <w:tc>
          <w:tcPr>
            <w:tcW w:w="1200" w:type="dxa"/>
            <w:vAlign w:val="bottom"/>
            <w:tcBorders>
              <w:bottom w:val="single" w:sz="8" w:color="auto"/>
            </w:tcBorders>
            <w:gridSpan w:val="3"/>
          </w:tcPr>
          <w:p>
            <w:pPr>
              <w:jc w:val="right"/>
              <w:ind w:right="356"/>
              <w:spacing w:after="0"/>
              <w:rPr>
                <w:sz w:val="20"/>
                <w:szCs w:val="20"/>
                <w:color w:val="auto"/>
              </w:rPr>
            </w:pPr>
            <w:r>
              <w:rPr>
                <w:rFonts w:ascii="Arial" w:cs="Arial" w:eastAsia="Arial" w:hAnsi="Arial"/>
                <w:sz w:val="13"/>
                <w:szCs w:val="13"/>
                <w:b w:val="1"/>
                <w:bCs w:val="1"/>
                <w:color w:val="auto"/>
              </w:rPr>
              <w:t>Fourth</w:t>
            </w:r>
          </w:p>
        </w:tc>
      </w:tr>
      <w:tr>
        <w:trPr>
          <w:trHeight w:val="161"/>
        </w:trPr>
        <w:tc>
          <w:tcPr>
            <w:tcW w:w="2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jc w:val="right"/>
              <w:ind w:right="76"/>
              <w:spacing w:after="0"/>
              <w:rPr>
                <w:sz w:val="20"/>
                <w:szCs w:val="20"/>
                <w:color w:val="auto"/>
              </w:rPr>
            </w:pPr>
            <w:r>
              <w:rPr>
                <w:rFonts w:ascii="Arial" w:cs="Arial" w:eastAsia="Arial" w:hAnsi="Arial"/>
                <w:sz w:val="13"/>
                <w:szCs w:val="13"/>
                <w:b w:val="1"/>
                <w:bCs w:val="1"/>
                <w:color w:val="auto"/>
              </w:rPr>
              <w:t>2018</w:t>
            </w:r>
          </w:p>
        </w:tc>
        <w:tc>
          <w:tcPr>
            <w:tcW w:w="660" w:type="dxa"/>
            <w:vAlign w:val="bottom"/>
            <w:gridSpan w:val="2"/>
          </w:tcPr>
          <w:p>
            <w:pPr>
              <w:jc w:val="right"/>
              <w:ind w:right="76"/>
              <w:spacing w:after="0"/>
              <w:rPr>
                <w:sz w:val="20"/>
                <w:szCs w:val="20"/>
                <w:color w:val="auto"/>
              </w:rPr>
            </w:pPr>
            <w:r>
              <w:rPr>
                <w:rFonts w:ascii="Arial" w:cs="Arial" w:eastAsia="Arial" w:hAnsi="Arial"/>
                <w:sz w:val="13"/>
                <w:szCs w:val="13"/>
                <w:b w:val="1"/>
                <w:bCs w:val="1"/>
                <w:color w:val="auto"/>
              </w:rPr>
              <w:t>2017</w:t>
            </w:r>
          </w:p>
        </w:tc>
        <w:tc>
          <w:tcPr>
            <w:tcW w:w="140" w:type="dxa"/>
            <w:vAlign w:val="bottom"/>
          </w:tcPr>
          <w:p>
            <w:pPr>
              <w:spacing w:after="0"/>
              <w:rPr>
                <w:sz w:val="13"/>
                <w:szCs w:val="13"/>
                <w:color w:val="auto"/>
              </w:rPr>
            </w:pPr>
          </w:p>
        </w:tc>
        <w:tc>
          <w:tcPr>
            <w:tcW w:w="640" w:type="dxa"/>
            <w:vAlign w:val="bottom"/>
          </w:tcPr>
          <w:p>
            <w:pPr>
              <w:jc w:val="right"/>
              <w:ind w:right="136"/>
              <w:spacing w:after="0"/>
              <w:rPr>
                <w:sz w:val="20"/>
                <w:szCs w:val="20"/>
                <w:color w:val="auto"/>
              </w:rPr>
            </w:pPr>
            <w:r>
              <w:rPr>
                <w:rFonts w:ascii="Arial" w:cs="Arial" w:eastAsia="Arial" w:hAnsi="Arial"/>
                <w:sz w:val="13"/>
                <w:szCs w:val="13"/>
                <w:b w:val="1"/>
                <w:bCs w:val="1"/>
                <w:color w:val="auto"/>
              </w:rPr>
              <w:t>2018</w:t>
            </w:r>
          </w:p>
        </w:tc>
        <w:tc>
          <w:tcPr>
            <w:tcW w:w="760" w:type="dxa"/>
            <w:vAlign w:val="bottom"/>
            <w:gridSpan w:val="2"/>
          </w:tcPr>
          <w:p>
            <w:pPr>
              <w:jc w:val="right"/>
              <w:ind w:right="136"/>
              <w:spacing w:after="0"/>
              <w:rPr>
                <w:sz w:val="20"/>
                <w:szCs w:val="20"/>
                <w:color w:val="auto"/>
              </w:rPr>
            </w:pPr>
            <w:r>
              <w:rPr>
                <w:rFonts w:ascii="Arial" w:cs="Arial" w:eastAsia="Arial" w:hAnsi="Arial"/>
                <w:sz w:val="13"/>
                <w:szCs w:val="13"/>
                <w:b w:val="1"/>
                <w:bCs w:val="1"/>
                <w:color w:val="auto"/>
              </w:rPr>
              <w:t>2017</w:t>
            </w:r>
          </w:p>
        </w:tc>
        <w:tc>
          <w:tcPr>
            <w:tcW w:w="120" w:type="dxa"/>
            <w:vAlign w:val="bottom"/>
          </w:tcPr>
          <w:p>
            <w:pPr>
              <w:spacing w:after="0"/>
              <w:rPr>
                <w:sz w:val="13"/>
                <w:szCs w:val="13"/>
                <w:color w:val="auto"/>
              </w:rPr>
            </w:pPr>
          </w:p>
        </w:tc>
        <w:tc>
          <w:tcPr>
            <w:tcW w:w="640" w:type="dxa"/>
            <w:vAlign w:val="bottom"/>
          </w:tcPr>
          <w:p>
            <w:pPr>
              <w:jc w:val="right"/>
              <w:ind w:right="136"/>
              <w:spacing w:after="0"/>
              <w:rPr>
                <w:sz w:val="20"/>
                <w:szCs w:val="20"/>
                <w:color w:val="auto"/>
              </w:rPr>
            </w:pPr>
            <w:r>
              <w:rPr>
                <w:rFonts w:ascii="Arial" w:cs="Arial" w:eastAsia="Arial" w:hAnsi="Arial"/>
                <w:sz w:val="13"/>
                <w:szCs w:val="13"/>
                <w:b w:val="1"/>
                <w:bCs w:val="1"/>
                <w:color w:val="auto"/>
              </w:rPr>
              <w:t>2018</w:t>
            </w:r>
          </w:p>
        </w:tc>
        <w:tc>
          <w:tcPr>
            <w:tcW w:w="760" w:type="dxa"/>
            <w:vAlign w:val="bottom"/>
            <w:gridSpan w:val="2"/>
          </w:tcPr>
          <w:p>
            <w:pPr>
              <w:jc w:val="right"/>
              <w:ind w:right="136"/>
              <w:spacing w:after="0"/>
              <w:rPr>
                <w:sz w:val="20"/>
                <w:szCs w:val="20"/>
                <w:color w:val="auto"/>
              </w:rPr>
            </w:pPr>
            <w:r>
              <w:rPr>
                <w:rFonts w:ascii="Arial" w:cs="Arial" w:eastAsia="Arial" w:hAnsi="Arial"/>
                <w:sz w:val="13"/>
                <w:szCs w:val="13"/>
                <w:b w:val="1"/>
                <w:bCs w:val="1"/>
                <w:color w:val="auto"/>
              </w:rPr>
              <w:t>2017</w:t>
            </w:r>
          </w:p>
        </w:tc>
        <w:tc>
          <w:tcPr>
            <w:tcW w:w="140" w:type="dxa"/>
            <w:vAlign w:val="bottom"/>
          </w:tcPr>
          <w:p>
            <w:pPr>
              <w:spacing w:after="0"/>
              <w:rPr>
                <w:sz w:val="13"/>
                <w:szCs w:val="13"/>
                <w:color w:val="auto"/>
              </w:rPr>
            </w:pPr>
          </w:p>
        </w:tc>
        <w:tc>
          <w:tcPr>
            <w:tcW w:w="540" w:type="dxa"/>
            <w:vAlign w:val="bottom"/>
          </w:tcPr>
          <w:p>
            <w:pPr>
              <w:jc w:val="right"/>
              <w:ind w:right="96"/>
              <w:spacing w:after="0"/>
              <w:rPr>
                <w:sz w:val="20"/>
                <w:szCs w:val="20"/>
                <w:color w:val="auto"/>
              </w:rPr>
            </w:pPr>
            <w:r>
              <w:rPr>
                <w:rFonts w:ascii="Arial" w:cs="Arial" w:eastAsia="Arial" w:hAnsi="Arial"/>
                <w:sz w:val="13"/>
                <w:szCs w:val="13"/>
                <w:b w:val="1"/>
                <w:bCs w:val="1"/>
                <w:color w:val="auto"/>
              </w:rPr>
              <w:t>2018</w:t>
            </w:r>
          </w:p>
        </w:tc>
        <w:tc>
          <w:tcPr>
            <w:tcW w:w="660" w:type="dxa"/>
            <w:vAlign w:val="bottom"/>
            <w:gridSpan w:val="2"/>
          </w:tcPr>
          <w:p>
            <w:pPr>
              <w:jc w:val="right"/>
              <w:ind w:right="76"/>
              <w:spacing w:after="0"/>
              <w:rPr>
                <w:sz w:val="20"/>
                <w:szCs w:val="20"/>
                <w:color w:val="auto"/>
              </w:rPr>
            </w:pPr>
            <w:r>
              <w:rPr>
                <w:rFonts w:ascii="Arial" w:cs="Arial" w:eastAsia="Arial" w:hAnsi="Arial"/>
                <w:sz w:val="13"/>
                <w:szCs w:val="13"/>
                <w:b w:val="1"/>
                <w:bCs w:val="1"/>
                <w:color w:val="auto"/>
              </w:rPr>
              <w:t>2017</w:t>
            </w:r>
          </w:p>
        </w:tc>
      </w:tr>
      <w:tr>
        <w:trPr>
          <w:trHeight w:val="159"/>
        </w:trPr>
        <w:tc>
          <w:tcPr>
            <w:tcW w:w="20" w:type="dxa"/>
            <w:vAlign w:val="bottom"/>
          </w:tcPr>
          <w:p>
            <w:pPr>
              <w:spacing w:after="0"/>
              <w:rPr>
                <w:sz w:val="13"/>
                <w:szCs w:val="13"/>
                <w:color w:val="auto"/>
              </w:rPr>
            </w:pPr>
          </w:p>
        </w:tc>
        <w:tc>
          <w:tcPr>
            <w:tcW w:w="2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color w:val="auto"/>
              </w:rPr>
              <w:t>Net sales</w:t>
            </w:r>
          </w:p>
        </w:tc>
        <w:tc>
          <w:tcPr>
            <w:tcW w:w="560" w:type="dxa"/>
            <w:vAlign w:val="bottom"/>
            <w:tcBorders>
              <w:top w:val="single" w:sz="8" w:color="CCEEFF"/>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$ 993,857</w:t>
            </w:r>
          </w:p>
        </w:tc>
        <w:tc>
          <w:tcPr>
            <w:tcW w:w="120" w:type="dxa"/>
            <w:vAlign w:val="bottom"/>
            <w:tcBorders>
              <w:top w:val="single" w:sz="8" w:color="CCEEFF"/>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$ 846,130</w:t>
            </w:r>
          </w:p>
        </w:tc>
        <w:tc>
          <w:tcPr>
            <w:tcW w:w="140" w:type="dxa"/>
            <w:vAlign w:val="bottom"/>
            <w:tcBorders>
              <w:top w:val="single" w:sz="8" w:color="CCEEFF"/>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1"/>
              </w:rPr>
              <w:t>$ 1,294,440</w:t>
            </w:r>
          </w:p>
        </w:tc>
        <w:tc>
          <w:tcPr>
            <w:tcW w:w="120" w:type="dxa"/>
            <w:vAlign w:val="bottom"/>
            <w:tcBorders>
              <w:top w:val="single" w:sz="8" w:color="CCEEFF"/>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1"/>
              </w:rPr>
              <w:t>$ 1,072,375</w:t>
            </w:r>
          </w:p>
        </w:tc>
        <w:tc>
          <w:tcPr>
            <w:tcW w:w="120" w:type="dxa"/>
            <w:vAlign w:val="bottom"/>
            <w:tcBorders>
              <w:top w:val="single" w:sz="8" w:color="CCEEFF"/>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4"/>
              </w:rPr>
              <w:t>$ 1,212,702</w:t>
            </w:r>
          </w:p>
        </w:tc>
        <w:tc>
          <w:tcPr>
            <w:tcW w:w="120" w:type="dxa"/>
            <w:vAlign w:val="bottom"/>
            <w:tcBorders>
              <w:top w:val="single" w:sz="8" w:color="CCEEFF"/>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4"/>
              </w:rPr>
              <w:t>$ 1,056,586</w:t>
            </w:r>
          </w:p>
        </w:tc>
        <w:tc>
          <w:tcPr>
            <w:tcW w:w="140" w:type="dxa"/>
            <w:vAlign w:val="bottom"/>
            <w:tcBorders>
              <w:top w:val="single" w:sz="8" w:color="CCEEFF"/>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79"/>
              </w:rPr>
              <w:t>$ 988,179</w:t>
            </w:r>
          </w:p>
        </w:tc>
        <w:tc>
          <w:tcPr>
            <w:tcW w:w="120" w:type="dxa"/>
            <w:vAlign w:val="bottom"/>
            <w:tcBorders>
              <w:top w:val="single" w:sz="8" w:color="CCEEFF"/>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$ 966,091</w:t>
            </w:r>
          </w:p>
        </w:tc>
      </w:tr>
      <w:tr>
        <w:trPr>
          <w:trHeight w:val="159"/>
        </w:trPr>
        <w:tc>
          <w:tcPr>
            <w:tcW w:w="20" w:type="dxa"/>
            <w:vAlign w:val="bottom"/>
          </w:tcPr>
          <w:p>
            <w:pPr>
              <w:spacing w:after="0"/>
              <w:rPr>
                <w:sz w:val="13"/>
                <w:szCs w:val="13"/>
                <w:color w:val="auto"/>
              </w:rPr>
            </w:pPr>
          </w:p>
        </w:tc>
        <w:tc>
          <w:tcPr>
            <w:tcW w:w="2920" w:type="dxa"/>
            <w:vAlign w:val="bottom"/>
          </w:tcPr>
          <w:p>
            <w:pPr>
              <w:spacing w:after="0"/>
              <w:rPr>
                <w:sz w:val="20"/>
                <w:szCs w:val="20"/>
                <w:color w:val="auto"/>
              </w:rPr>
            </w:pPr>
            <w:r>
              <w:rPr>
                <w:rFonts w:ascii="Arial" w:cs="Arial" w:eastAsia="Arial" w:hAnsi="Arial"/>
                <w:sz w:val="13"/>
                <w:szCs w:val="13"/>
                <w:color w:val="auto"/>
              </w:rPr>
              <w:t>Gross profit</w:t>
            </w:r>
          </w:p>
        </w:tc>
        <w:tc>
          <w:tcPr>
            <w:tcW w:w="1100" w:type="dxa"/>
            <w:vAlign w:val="bottom"/>
            <w:gridSpan w:val="2"/>
          </w:tcPr>
          <w:p>
            <w:pPr>
              <w:jc w:val="right"/>
              <w:spacing w:after="0"/>
              <w:rPr>
                <w:sz w:val="20"/>
                <w:szCs w:val="20"/>
                <w:color w:val="auto"/>
              </w:rPr>
            </w:pPr>
            <w:r>
              <w:rPr>
                <w:rFonts w:ascii="Arial" w:cs="Arial" w:eastAsia="Arial" w:hAnsi="Arial"/>
                <w:sz w:val="13"/>
                <w:szCs w:val="13"/>
                <w:color w:val="auto"/>
              </w:rPr>
              <w:t>130,889</w:t>
            </w: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120,740</w:t>
            </w:r>
          </w:p>
        </w:tc>
        <w:tc>
          <w:tcPr>
            <w:tcW w:w="780" w:type="dxa"/>
            <w:vAlign w:val="bottom"/>
            <w:gridSpan w:val="2"/>
          </w:tcPr>
          <w:p>
            <w:pPr>
              <w:jc w:val="right"/>
              <w:spacing w:after="0"/>
              <w:rPr>
                <w:sz w:val="20"/>
                <w:szCs w:val="20"/>
                <w:color w:val="auto"/>
              </w:rPr>
            </w:pPr>
            <w:r>
              <w:rPr>
                <w:rFonts w:ascii="Arial" w:cs="Arial" w:eastAsia="Arial" w:hAnsi="Arial"/>
                <w:sz w:val="13"/>
                <w:szCs w:val="13"/>
                <w:color w:val="auto"/>
              </w:rPr>
              <w:t>165,689</w:t>
            </w:r>
          </w:p>
        </w:tc>
        <w:tc>
          <w:tcPr>
            <w:tcW w:w="760" w:type="dxa"/>
            <w:vAlign w:val="bottom"/>
            <w:gridSpan w:val="2"/>
          </w:tcPr>
          <w:p>
            <w:pPr>
              <w:jc w:val="right"/>
              <w:spacing w:after="0"/>
              <w:rPr>
                <w:sz w:val="20"/>
                <w:szCs w:val="20"/>
                <w:color w:val="auto"/>
              </w:rPr>
            </w:pPr>
            <w:r>
              <w:rPr>
                <w:rFonts w:ascii="Arial" w:cs="Arial" w:eastAsia="Arial" w:hAnsi="Arial"/>
                <w:sz w:val="13"/>
                <w:szCs w:val="13"/>
                <w:color w:val="auto"/>
              </w:rPr>
              <w:t>148,240</w:t>
            </w:r>
          </w:p>
        </w:tc>
        <w:tc>
          <w:tcPr>
            <w:tcW w:w="760" w:type="dxa"/>
            <w:vAlign w:val="bottom"/>
            <w:gridSpan w:val="2"/>
          </w:tcPr>
          <w:p>
            <w:pPr>
              <w:jc w:val="right"/>
              <w:spacing w:after="0"/>
              <w:rPr>
                <w:sz w:val="20"/>
                <w:szCs w:val="20"/>
                <w:color w:val="auto"/>
              </w:rPr>
            </w:pPr>
            <w:r>
              <w:rPr>
                <w:rFonts w:ascii="Arial" w:cs="Arial" w:eastAsia="Arial" w:hAnsi="Arial"/>
                <w:sz w:val="13"/>
                <w:szCs w:val="13"/>
                <w:color w:val="auto"/>
              </w:rPr>
              <w:t>158,673</w:t>
            </w:r>
          </w:p>
        </w:tc>
        <w:tc>
          <w:tcPr>
            <w:tcW w:w="760" w:type="dxa"/>
            <w:vAlign w:val="bottom"/>
            <w:gridSpan w:val="2"/>
          </w:tcPr>
          <w:p>
            <w:pPr>
              <w:jc w:val="right"/>
              <w:spacing w:after="0"/>
              <w:rPr>
                <w:sz w:val="20"/>
                <w:szCs w:val="20"/>
                <w:color w:val="auto"/>
              </w:rPr>
            </w:pPr>
            <w:r>
              <w:rPr>
                <w:rFonts w:ascii="Arial" w:cs="Arial" w:eastAsia="Arial" w:hAnsi="Arial"/>
                <w:sz w:val="13"/>
                <w:szCs w:val="13"/>
                <w:color w:val="auto"/>
              </w:rPr>
              <w:t>144,687</w:t>
            </w:r>
          </w:p>
        </w:tc>
        <w:tc>
          <w:tcPr>
            <w:tcW w:w="680" w:type="dxa"/>
            <w:vAlign w:val="bottom"/>
            <w:gridSpan w:val="2"/>
          </w:tcPr>
          <w:p>
            <w:pPr>
              <w:jc w:val="right"/>
              <w:spacing w:after="0"/>
              <w:rPr>
                <w:sz w:val="20"/>
                <w:szCs w:val="20"/>
                <w:color w:val="auto"/>
              </w:rPr>
            </w:pPr>
            <w:r>
              <w:rPr>
                <w:rFonts w:ascii="Arial" w:cs="Arial" w:eastAsia="Arial" w:hAnsi="Arial"/>
                <w:sz w:val="13"/>
                <w:szCs w:val="13"/>
                <w:color w:val="auto"/>
              </w:rPr>
              <w:t>137,643</w:t>
            </w: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129,159</w:t>
            </w:r>
          </w:p>
        </w:tc>
      </w:tr>
      <w:tr>
        <w:trPr>
          <w:trHeight w:val="159"/>
        </w:trPr>
        <w:tc>
          <w:tcPr>
            <w:tcW w:w="20" w:type="dxa"/>
            <w:vAlign w:val="bottom"/>
          </w:tcPr>
          <w:p>
            <w:pPr>
              <w:spacing w:after="0"/>
              <w:rPr>
                <w:sz w:val="13"/>
                <w:szCs w:val="13"/>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3"/>
                <w:szCs w:val="13"/>
                <w:color w:val="auto"/>
              </w:rPr>
              <w:t>Net earnings</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33,582</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21,634</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45,130</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34,574</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42,068</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34,669</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31,633</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33,162</w:t>
            </w:r>
          </w:p>
        </w:tc>
      </w:tr>
      <w:tr>
        <w:trPr>
          <w:trHeight w:val="159"/>
        </w:trPr>
        <w:tc>
          <w:tcPr>
            <w:tcW w:w="20" w:type="dxa"/>
            <w:vAlign w:val="bottom"/>
          </w:tcPr>
          <w:p>
            <w:pPr>
              <w:spacing w:after="0"/>
              <w:rPr>
                <w:sz w:val="13"/>
                <w:szCs w:val="13"/>
                <w:color w:val="auto"/>
              </w:rPr>
            </w:pPr>
          </w:p>
        </w:tc>
        <w:tc>
          <w:tcPr>
            <w:tcW w:w="2920" w:type="dxa"/>
            <w:vAlign w:val="bottom"/>
          </w:tcPr>
          <w:p>
            <w:pPr>
              <w:spacing w:after="0"/>
              <w:rPr>
                <w:sz w:val="20"/>
                <w:szCs w:val="20"/>
                <w:color w:val="auto"/>
              </w:rPr>
            </w:pPr>
            <w:r>
              <w:rPr>
                <w:rFonts w:ascii="Arial" w:cs="Arial" w:eastAsia="Arial" w:hAnsi="Arial"/>
                <w:sz w:val="13"/>
                <w:szCs w:val="13"/>
                <w:color w:val="auto"/>
              </w:rPr>
              <w:t>Net earnings attributable to controlling interest</w:t>
            </w:r>
          </w:p>
        </w:tc>
        <w:tc>
          <w:tcPr>
            <w:tcW w:w="1100" w:type="dxa"/>
            <w:vAlign w:val="bottom"/>
            <w:gridSpan w:val="2"/>
          </w:tcPr>
          <w:p>
            <w:pPr>
              <w:jc w:val="right"/>
              <w:spacing w:after="0"/>
              <w:rPr>
                <w:sz w:val="20"/>
                <w:szCs w:val="20"/>
                <w:color w:val="auto"/>
              </w:rPr>
            </w:pPr>
            <w:r>
              <w:rPr>
                <w:rFonts w:ascii="Arial" w:cs="Arial" w:eastAsia="Arial" w:hAnsi="Arial"/>
                <w:sz w:val="13"/>
                <w:szCs w:val="13"/>
                <w:color w:val="auto"/>
              </w:rPr>
              <w:t>32,833</w:t>
            </w: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21,062</w:t>
            </w:r>
          </w:p>
        </w:tc>
        <w:tc>
          <w:tcPr>
            <w:tcW w:w="780" w:type="dxa"/>
            <w:vAlign w:val="bottom"/>
            <w:gridSpan w:val="2"/>
          </w:tcPr>
          <w:p>
            <w:pPr>
              <w:jc w:val="right"/>
              <w:spacing w:after="0"/>
              <w:rPr>
                <w:sz w:val="20"/>
                <w:szCs w:val="20"/>
                <w:color w:val="auto"/>
              </w:rPr>
            </w:pPr>
            <w:r>
              <w:rPr>
                <w:rFonts w:ascii="Arial" w:cs="Arial" w:eastAsia="Arial" w:hAnsi="Arial"/>
                <w:sz w:val="13"/>
                <w:szCs w:val="13"/>
                <w:color w:val="auto"/>
              </w:rPr>
              <w:t>44,044</w:t>
            </w:r>
          </w:p>
        </w:tc>
        <w:tc>
          <w:tcPr>
            <w:tcW w:w="760" w:type="dxa"/>
            <w:vAlign w:val="bottom"/>
            <w:gridSpan w:val="2"/>
          </w:tcPr>
          <w:p>
            <w:pPr>
              <w:jc w:val="right"/>
              <w:spacing w:after="0"/>
              <w:rPr>
                <w:sz w:val="20"/>
                <w:szCs w:val="20"/>
                <w:color w:val="auto"/>
              </w:rPr>
            </w:pPr>
            <w:r>
              <w:rPr>
                <w:rFonts w:ascii="Arial" w:cs="Arial" w:eastAsia="Arial" w:hAnsi="Arial"/>
                <w:sz w:val="13"/>
                <w:szCs w:val="13"/>
                <w:color w:val="auto"/>
              </w:rPr>
              <w:t>33,642</w:t>
            </w:r>
          </w:p>
        </w:tc>
        <w:tc>
          <w:tcPr>
            <w:tcW w:w="760" w:type="dxa"/>
            <w:vAlign w:val="bottom"/>
            <w:gridSpan w:val="2"/>
          </w:tcPr>
          <w:p>
            <w:pPr>
              <w:jc w:val="right"/>
              <w:spacing w:after="0"/>
              <w:rPr>
                <w:sz w:val="20"/>
                <w:szCs w:val="20"/>
                <w:color w:val="auto"/>
              </w:rPr>
            </w:pPr>
            <w:r>
              <w:rPr>
                <w:rFonts w:ascii="Arial" w:cs="Arial" w:eastAsia="Arial" w:hAnsi="Arial"/>
                <w:sz w:val="13"/>
                <w:szCs w:val="13"/>
                <w:color w:val="auto"/>
              </w:rPr>
              <w:t>41,219</w:t>
            </w:r>
          </w:p>
        </w:tc>
        <w:tc>
          <w:tcPr>
            <w:tcW w:w="760" w:type="dxa"/>
            <w:vAlign w:val="bottom"/>
            <w:gridSpan w:val="2"/>
          </w:tcPr>
          <w:p>
            <w:pPr>
              <w:jc w:val="right"/>
              <w:spacing w:after="0"/>
              <w:rPr>
                <w:sz w:val="20"/>
                <w:szCs w:val="20"/>
                <w:color w:val="auto"/>
              </w:rPr>
            </w:pPr>
            <w:r>
              <w:rPr>
                <w:rFonts w:ascii="Arial" w:cs="Arial" w:eastAsia="Arial" w:hAnsi="Arial"/>
                <w:sz w:val="13"/>
                <w:szCs w:val="13"/>
                <w:color w:val="auto"/>
              </w:rPr>
              <w:t>33,693</w:t>
            </w:r>
          </w:p>
        </w:tc>
        <w:tc>
          <w:tcPr>
            <w:tcW w:w="680" w:type="dxa"/>
            <w:vAlign w:val="bottom"/>
            <w:gridSpan w:val="2"/>
          </w:tcPr>
          <w:p>
            <w:pPr>
              <w:jc w:val="right"/>
              <w:spacing w:after="0"/>
              <w:rPr>
                <w:sz w:val="20"/>
                <w:szCs w:val="20"/>
                <w:color w:val="auto"/>
              </w:rPr>
            </w:pPr>
            <w:r>
              <w:rPr>
                <w:rFonts w:ascii="Arial" w:cs="Arial" w:eastAsia="Arial" w:hAnsi="Arial"/>
                <w:sz w:val="13"/>
                <w:szCs w:val="13"/>
                <w:color w:val="auto"/>
              </w:rPr>
              <w:t>30,502</w:t>
            </w: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31,115</w:t>
            </w:r>
          </w:p>
        </w:tc>
      </w:tr>
      <w:tr>
        <w:trPr>
          <w:trHeight w:val="159"/>
        </w:trPr>
        <w:tc>
          <w:tcPr>
            <w:tcW w:w="20" w:type="dxa"/>
            <w:vAlign w:val="bottom"/>
          </w:tcPr>
          <w:p>
            <w:pPr>
              <w:spacing w:after="0"/>
              <w:rPr>
                <w:sz w:val="13"/>
                <w:szCs w:val="13"/>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3"/>
                <w:szCs w:val="13"/>
                <w:color w:val="auto"/>
              </w:rPr>
              <w:t>Basic earnings per share</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0.53</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0.34</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0.71</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0.55</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0.67</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0.55</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0.50</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0.51</w:t>
            </w:r>
          </w:p>
        </w:tc>
      </w:tr>
      <w:tr>
        <w:trPr>
          <w:trHeight w:val="162"/>
        </w:trPr>
        <w:tc>
          <w:tcPr>
            <w:tcW w:w="20" w:type="dxa"/>
            <w:vAlign w:val="bottom"/>
          </w:tcPr>
          <w:p>
            <w:pPr>
              <w:spacing w:after="0"/>
              <w:rPr>
                <w:sz w:val="14"/>
                <w:szCs w:val="14"/>
                <w:color w:val="auto"/>
              </w:rPr>
            </w:pPr>
          </w:p>
        </w:tc>
        <w:tc>
          <w:tcPr>
            <w:tcW w:w="2920" w:type="dxa"/>
            <w:vAlign w:val="bottom"/>
          </w:tcPr>
          <w:p>
            <w:pPr>
              <w:spacing w:after="0"/>
              <w:rPr>
                <w:sz w:val="20"/>
                <w:szCs w:val="20"/>
                <w:color w:val="auto"/>
              </w:rPr>
            </w:pPr>
            <w:r>
              <w:rPr>
                <w:rFonts w:ascii="Arial" w:cs="Arial" w:eastAsia="Arial" w:hAnsi="Arial"/>
                <w:sz w:val="13"/>
                <w:szCs w:val="13"/>
                <w:color w:val="auto"/>
              </w:rPr>
              <w:t>Diluted earnings per share</w:t>
            </w:r>
          </w:p>
        </w:tc>
        <w:tc>
          <w:tcPr>
            <w:tcW w:w="1100" w:type="dxa"/>
            <w:vAlign w:val="bottom"/>
            <w:gridSpan w:val="2"/>
          </w:tcPr>
          <w:p>
            <w:pPr>
              <w:jc w:val="right"/>
              <w:spacing w:after="0"/>
              <w:rPr>
                <w:sz w:val="20"/>
                <w:szCs w:val="20"/>
                <w:color w:val="auto"/>
              </w:rPr>
            </w:pPr>
            <w:r>
              <w:rPr>
                <w:rFonts w:ascii="Arial" w:cs="Arial" w:eastAsia="Arial" w:hAnsi="Arial"/>
                <w:sz w:val="13"/>
                <w:szCs w:val="13"/>
                <w:color w:val="auto"/>
              </w:rPr>
              <w:t>0.53</w:t>
            </w: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0.34</w:t>
            </w:r>
          </w:p>
        </w:tc>
        <w:tc>
          <w:tcPr>
            <w:tcW w:w="780" w:type="dxa"/>
            <w:vAlign w:val="bottom"/>
            <w:gridSpan w:val="2"/>
          </w:tcPr>
          <w:p>
            <w:pPr>
              <w:jc w:val="right"/>
              <w:spacing w:after="0"/>
              <w:rPr>
                <w:sz w:val="20"/>
                <w:szCs w:val="20"/>
                <w:color w:val="auto"/>
              </w:rPr>
            </w:pPr>
            <w:r>
              <w:rPr>
                <w:rFonts w:ascii="Arial" w:cs="Arial" w:eastAsia="Arial" w:hAnsi="Arial"/>
                <w:sz w:val="13"/>
                <w:szCs w:val="13"/>
                <w:color w:val="auto"/>
              </w:rPr>
              <w:t>0.71</w:t>
            </w:r>
          </w:p>
        </w:tc>
        <w:tc>
          <w:tcPr>
            <w:tcW w:w="760" w:type="dxa"/>
            <w:vAlign w:val="bottom"/>
            <w:gridSpan w:val="2"/>
          </w:tcPr>
          <w:p>
            <w:pPr>
              <w:jc w:val="right"/>
              <w:spacing w:after="0"/>
              <w:rPr>
                <w:sz w:val="20"/>
                <w:szCs w:val="20"/>
                <w:color w:val="auto"/>
              </w:rPr>
            </w:pPr>
            <w:r>
              <w:rPr>
                <w:rFonts w:ascii="Arial" w:cs="Arial" w:eastAsia="Arial" w:hAnsi="Arial"/>
                <w:sz w:val="13"/>
                <w:szCs w:val="13"/>
                <w:color w:val="auto"/>
              </w:rPr>
              <w:t>0.55</w:t>
            </w:r>
          </w:p>
        </w:tc>
        <w:tc>
          <w:tcPr>
            <w:tcW w:w="760" w:type="dxa"/>
            <w:vAlign w:val="bottom"/>
            <w:gridSpan w:val="2"/>
          </w:tcPr>
          <w:p>
            <w:pPr>
              <w:jc w:val="right"/>
              <w:spacing w:after="0"/>
              <w:rPr>
                <w:sz w:val="20"/>
                <w:szCs w:val="20"/>
                <w:color w:val="auto"/>
              </w:rPr>
            </w:pPr>
            <w:r>
              <w:rPr>
                <w:rFonts w:ascii="Arial" w:cs="Arial" w:eastAsia="Arial" w:hAnsi="Arial"/>
                <w:sz w:val="13"/>
                <w:szCs w:val="13"/>
                <w:color w:val="auto"/>
              </w:rPr>
              <w:t>0.66</w:t>
            </w:r>
          </w:p>
        </w:tc>
        <w:tc>
          <w:tcPr>
            <w:tcW w:w="760" w:type="dxa"/>
            <w:vAlign w:val="bottom"/>
            <w:gridSpan w:val="2"/>
          </w:tcPr>
          <w:p>
            <w:pPr>
              <w:jc w:val="right"/>
              <w:spacing w:after="0"/>
              <w:rPr>
                <w:sz w:val="20"/>
                <w:szCs w:val="20"/>
                <w:color w:val="auto"/>
              </w:rPr>
            </w:pPr>
            <w:r>
              <w:rPr>
                <w:rFonts w:ascii="Arial" w:cs="Arial" w:eastAsia="Arial" w:hAnsi="Arial"/>
                <w:sz w:val="13"/>
                <w:szCs w:val="13"/>
                <w:color w:val="auto"/>
              </w:rPr>
              <w:t>0.55</w:t>
            </w:r>
          </w:p>
        </w:tc>
        <w:tc>
          <w:tcPr>
            <w:tcW w:w="680" w:type="dxa"/>
            <w:vAlign w:val="bottom"/>
            <w:gridSpan w:val="2"/>
          </w:tcPr>
          <w:p>
            <w:pPr>
              <w:jc w:val="right"/>
              <w:spacing w:after="0"/>
              <w:rPr>
                <w:sz w:val="20"/>
                <w:szCs w:val="20"/>
                <w:color w:val="auto"/>
              </w:rPr>
            </w:pPr>
            <w:r>
              <w:rPr>
                <w:rFonts w:ascii="Arial" w:cs="Arial" w:eastAsia="Arial" w:hAnsi="Arial"/>
                <w:sz w:val="13"/>
                <w:szCs w:val="13"/>
                <w:color w:val="auto"/>
              </w:rPr>
              <w:t>0.50</w:t>
            </w: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0.51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66675</wp:posOffset>
            </wp:positionV>
            <wp:extent cx="5779135" cy="2032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8">
                      <a:extLst>
                        <a:ext uri="{28A0092B-C50C-407E-A947-70E740481C1C}"/>
                      </a:extLst>
                    </a:blip>
                    <a:srcRect/>
                    <a:stretch>
                      <a:fillRect/>
                    </a:stretch>
                  </pic:blipFill>
                  <pic:spPr bwMode="auto">
                    <a:xfrm>
                      <a:off x="0" y="0"/>
                      <a:ext cx="5779135" cy="20320"/>
                    </a:xfrm>
                    <a:prstGeom prst="rect">
                      <a:avLst/>
                    </a:prstGeom>
                    <a:noFill/>
                  </pic:spPr>
                </pic:pic>
              </a:graphicData>
            </a:graphic>
          </wp:anchor>
        </w:drawing>
      </w:r>
    </w:p>
    <w:p>
      <w:pPr>
        <w:sectPr>
          <w:pgSz w:w="11900" w:h="16838" w:orient="portrait"/>
          <w:cols w:equalWidth="0" w:num="1">
            <w:col w:w="9100"/>
          </w:cols>
          <w:pgMar w:left="1400" w:top="129" w:right="1399" w:bottom="1440" w:gutter="0" w:footer="0" w:header="0"/>
        </w:sectPr>
      </w:pPr>
    </w:p>
    <w:bookmarkStart w:id="97" w:name="page98"/>
    <w:bookmarkEnd w:id="97"/>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90" w:lineRule="exact"/>
        <w:rPr>
          <w:sz w:val="20"/>
          <w:szCs w:val="20"/>
          <w:color w:val="auto"/>
        </w:rPr>
      </w:pPr>
    </w:p>
    <w:p>
      <w:pPr>
        <w:ind w:left="2720"/>
        <w:spacing w:after="0"/>
        <w:rPr>
          <w:sz w:val="20"/>
          <w:szCs w:val="20"/>
          <w:color w:val="auto"/>
        </w:rPr>
      </w:pPr>
      <w:r>
        <w:rPr>
          <w:rFonts w:ascii="Arial" w:cs="Arial" w:eastAsia="Arial" w:hAnsi="Arial"/>
          <w:sz w:val="14"/>
          <w:szCs w:val="14"/>
          <w:b w:val="1"/>
          <w:bCs w:val="1"/>
          <w:u w:val="single" w:color="auto"/>
          <w:color w:val="auto"/>
        </w:rPr>
        <w:t>MARKET INFORMATION FOR OUR COMMON STOCK</w:t>
      </w:r>
    </w:p>
    <w:p>
      <w:pPr>
        <w:spacing w:after="0" w:line="183" w:lineRule="exact"/>
        <w:rPr>
          <w:sz w:val="20"/>
          <w:szCs w:val="20"/>
          <w:color w:val="auto"/>
        </w:rPr>
      </w:pPr>
    </w:p>
    <w:p>
      <w:pPr>
        <w:ind w:left="520"/>
        <w:spacing w:after="0"/>
        <w:rPr>
          <w:sz w:val="20"/>
          <w:szCs w:val="20"/>
          <w:color w:val="auto"/>
        </w:rPr>
      </w:pPr>
      <w:r>
        <w:rPr>
          <w:rFonts w:ascii="Arial" w:cs="Arial" w:eastAsia="Arial" w:hAnsi="Arial"/>
          <w:sz w:val="14"/>
          <w:szCs w:val="14"/>
          <w:color w:val="auto"/>
        </w:rPr>
        <w:t>Our common stock trades on The Nasdaq Stock Market (“NASDAQ”) under the symbol UFPI.</w:t>
      </w:r>
    </w:p>
    <w:p>
      <w:pPr>
        <w:spacing w:after="0" w:line="349" w:lineRule="exact"/>
        <w:rPr>
          <w:sz w:val="20"/>
          <w:szCs w:val="20"/>
          <w:color w:val="auto"/>
        </w:rPr>
      </w:pPr>
    </w:p>
    <w:p>
      <w:pPr>
        <w:jc w:val="center"/>
        <w:ind w:right="-40"/>
        <w:spacing w:after="0"/>
        <w:rPr>
          <w:sz w:val="20"/>
          <w:szCs w:val="20"/>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66675</wp:posOffset>
            </wp:positionV>
            <wp:extent cx="5779135" cy="2032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9">
                      <a:extLst>
                        <a:ext uri="{28A0092B-C50C-407E-A947-70E740481C1C}"/>
                      </a:extLst>
                    </a:blip>
                    <a:srcRect/>
                    <a:stretch>
                      <a:fillRect/>
                    </a:stretch>
                  </pic:blipFill>
                  <pic:spPr bwMode="auto">
                    <a:xfrm>
                      <a:off x="0" y="0"/>
                      <a:ext cx="5779135" cy="20320"/>
                    </a:xfrm>
                    <a:prstGeom prst="rect">
                      <a:avLst/>
                    </a:prstGeom>
                    <a:noFill/>
                  </pic:spPr>
                </pic:pic>
              </a:graphicData>
            </a:graphic>
          </wp:anchor>
        </w:drawing>
      </w:r>
    </w:p>
    <w:p>
      <w:pPr>
        <w:sectPr>
          <w:pgSz w:w="11900" w:h="16838" w:orient="portrait"/>
          <w:cols w:equalWidth="0" w:num="1">
            <w:col w:w="9059"/>
          </w:cols>
          <w:pgMar w:left="1400" w:top="129" w:right="1440" w:bottom="1440" w:gutter="0" w:footer="0" w:header="0"/>
        </w:sectPr>
      </w:pPr>
    </w:p>
    <w:bookmarkStart w:id="98" w:name="page99"/>
    <w:bookmarkEnd w:id="98"/>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90" w:lineRule="exact"/>
        <w:rPr>
          <w:sz w:val="20"/>
          <w:szCs w:val="20"/>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STOCK PERFORMANCE GRAPH</w:t>
      </w:r>
    </w:p>
    <w:p>
      <w:pPr>
        <w:spacing w:after="0" w:line="183" w:lineRule="exact"/>
        <w:rPr>
          <w:sz w:val="20"/>
          <w:szCs w:val="20"/>
          <w:color w:val="auto"/>
        </w:rPr>
      </w:pPr>
    </w:p>
    <w:p>
      <w:pPr>
        <w:jc w:val="both"/>
        <w:ind w:firstLine="510"/>
        <w:spacing w:after="0" w:line="267" w:lineRule="auto"/>
        <w:rPr>
          <w:sz w:val="20"/>
          <w:szCs w:val="20"/>
          <w:color w:val="auto"/>
        </w:rPr>
      </w:pPr>
      <w:r>
        <w:rPr>
          <w:rFonts w:ascii="Arial" w:cs="Arial" w:eastAsia="Arial" w:hAnsi="Arial"/>
          <w:sz w:val="14"/>
          <w:szCs w:val="14"/>
          <w:color w:val="auto"/>
        </w:rPr>
        <w:t>The following graph depicts the cumulative total return on our common stock compared to the cumulative total return on the indices for The Nasdaq Stock Market (all U.S. companies) and an industry peer group we selected. The graph assumes an investment of $100 on December 28, 2013, and reinvestment of dividends in all cases.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629285</wp:posOffset>
            </wp:positionH>
            <wp:positionV relativeFrom="paragraph">
              <wp:posOffset>97155</wp:posOffset>
            </wp:positionV>
            <wp:extent cx="4524375" cy="221170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0">
                      <a:extLst>
                        <a:ext uri="{28A0092B-C50C-407E-A947-70E740481C1C}"/>
                      </a:extLst>
                    </a:blip>
                    <a:srcRect/>
                    <a:stretch>
                      <a:fillRect/>
                    </a:stretch>
                  </pic:blipFill>
                  <pic:spPr bwMode="auto">
                    <a:xfrm>
                      <a:off x="0" y="0"/>
                      <a:ext cx="4524375" cy="2211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companies included in our self-determined industry peer group are as follows:</w:t>
      </w:r>
    </w:p>
    <w:p>
      <w:pPr>
        <w:sectPr>
          <w:pgSz w:w="11900" w:h="16838" w:orient="portrait"/>
          <w:cols w:equalWidth="0" w:num="1">
            <w:col w:w="9100"/>
          </w:cols>
          <w:pgMar w:left="1400" w:top="129" w:right="1399" w:bottom="1440" w:gutter="0" w:footer="0" w:header="0"/>
        </w:sectPr>
      </w:pPr>
    </w:p>
    <w:p>
      <w:pPr>
        <w:spacing w:after="0" w:line="359" w:lineRule="exact"/>
        <w:rPr>
          <w:sz w:val="20"/>
          <w:szCs w:val="20"/>
          <w:color w:val="auto"/>
        </w:rPr>
      </w:pPr>
    </w:p>
    <w:p>
      <w:pPr>
        <w:spacing w:after="0"/>
        <w:rPr>
          <w:sz w:val="20"/>
          <w:szCs w:val="20"/>
          <w:color w:val="auto"/>
        </w:rPr>
      </w:pPr>
      <w:r>
        <w:rPr>
          <w:rFonts w:ascii="Arial" w:cs="Arial" w:eastAsia="Arial" w:hAnsi="Arial"/>
          <w:sz w:val="13"/>
          <w:szCs w:val="13"/>
          <w:color w:val="auto"/>
        </w:rPr>
        <w:t>American Woodmark Corporation</w:t>
      </w:r>
    </w:p>
    <w:p>
      <w:pPr>
        <w:spacing w:after="0" w:line="20" w:lineRule="exact"/>
        <w:rPr>
          <w:sz w:val="20"/>
          <w:szCs w:val="20"/>
          <w:color w:val="auto"/>
        </w:rPr>
      </w:pPr>
      <w:r>
        <w:rPr>
          <w:sz w:val="20"/>
          <w:szCs w:val="20"/>
          <w:color w:val="auto"/>
        </w:rPr>
        <w:br w:type="column"/>
      </w:r>
    </w:p>
    <w:p>
      <w:pPr>
        <w:spacing w:after="0" w:line="339" w:lineRule="exact"/>
        <w:rPr>
          <w:sz w:val="20"/>
          <w:szCs w:val="20"/>
          <w:color w:val="auto"/>
        </w:rPr>
      </w:pPr>
    </w:p>
    <w:p>
      <w:pPr>
        <w:jc w:val="center"/>
        <w:ind w:right="2820"/>
        <w:spacing w:after="0"/>
        <w:rPr>
          <w:sz w:val="20"/>
          <w:szCs w:val="20"/>
          <w:color w:val="auto"/>
        </w:rPr>
      </w:pPr>
      <w:r>
        <w:rPr>
          <w:rFonts w:ascii="Arial" w:cs="Arial" w:eastAsia="Arial" w:hAnsi="Arial"/>
          <w:sz w:val="13"/>
          <w:szCs w:val="13"/>
          <w:color w:val="auto"/>
        </w:rPr>
        <w:t>Louisiana-Pacific Corporation</w:t>
      </w:r>
    </w:p>
    <w:p>
      <w:pPr>
        <w:spacing w:after="0" w:line="190" w:lineRule="exact"/>
        <w:rPr>
          <w:sz w:val="20"/>
          <w:szCs w:val="20"/>
          <w:color w:val="auto"/>
        </w:rPr>
      </w:pPr>
    </w:p>
    <w:p>
      <w:pPr>
        <w:sectPr>
          <w:pgSz w:w="11900" w:h="16838" w:orient="portrait"/>
          <w:cols w:equalWidth="0" w:num="2">
            <w:col w:w="3840" w:space="720"/>
            <w:col w:w="4540"/>
          </w:cols>
          <w:pgMar w:left="1400" w:top="129" w:right="1399" w:bottom="1440" w:gutter="0" w:footer="0" w:header="0"/>
          <w:type w:val="continuous"/>
        </w:sectPr>
      </w:pPr>
    </w:p>
    <w:p>
      <w:pPr>
        <w:spacing w:after="0"/>
        <w:rPr>
          <w:sz w:val="20"/>
          <w:szCs w:val="20"/>
          <w:color w:val="auto"/>
        </w:rPr>
      </w:pPr>
      <w:r>
        <w:rPr>
          <w:rFonts w:ascii="Arial" w:cs="Arial" w:eastAsia="Arial" w:hAnsi="Arial"/>
          <w:sz w:val="13"/>
          <w:szCs w:val="13"/>
          <w:color w:val="auto"/>
        </w:rPr>
        <w:t>Bemis Company, Inc.</w:t>
      </w:r>
    </w:p>
    <w:p>
      <w:pPr>
        <w:spacing w:after="0" w:line="20" w:lineRule="exact"/>
        <w:rPr>
          <w:sz w:val="20"/>
          <w:szCs w:val="20"/>
          <w:color w:val="auto"/>
        </w:rPr>
      </w:pPr>
      <w:r>
        <w:rPr>
          <w:sz w:val="20"/>
          <w:szCs w:val="20"/>
          <w:color w:val="auto"/>
        </w:rPr>
        <w:br w:type="column"/>
      </w:r>
    </w:p>
    <w:p>
      <w:pPr>
        <w:jc w:val="center"/>
        <w:ind w:right="3440"/>
        <w:spacing w:after="0"/>
        <w:rPr>
          <w:sz w:val="20"/>
          <w:szCs w:val="20"/>
          <w:color w:val="auto"/>
        </w:rPr>
      </w:pPr>
      <w:r>
        <w:rPr>
          <w:rFonts w:ascii="Arial" w:cs="Arial" w:eastAsia="Arial" w:hAnsi="Arial"/>
          <w:sz w:val="13"/>
          <w:szCs w:val="13"/>
          <w:color w:val="auto"/>
        </w:rPr>
        <w:t>Masco Corporation</w:t>
      </w:r>
    </w:p>
    <w:p>
      <w:pPr>
        <w:spacing w:after="0" w:line="190" w:lineRule="exact"/>
        <w:rPr>
          <w:sz w:val="20"/>
          <w:szCs w:val="20"/>
          <w:color w:val="auto"/>
        </w:rPr>
      </w:pPr>
    </w:p>
    <w:p>
      <w:pPr>
        <w:sectPr>
          <w:pgSz w:w="11900" w:h="16838" w:orient="portrait"/>
          <w:cols w:equalWidth="0" w:num="2">
            <w:col w:w="3840" w:space="720"/>
            <w:col w:w="4540"/>
          </w:cols>
          <w:pgMar w:left="1400" w:top="129" w:right="1399" w:bottom="1440" w:gutter="0" w:footer="0" w:header="0"/>
          <w:type w:val="continuous"/>
        </w:sectPr>
      </w:pPr>
    </w:p>
    <w:p>
      <w:pPr>
        <w:spacing w:after="0"/>
        <w:rPr>
          <w:sz w:val="20"/>
          <w:szCs w:val="20"/>
          <w:color w:val="auto"/>
        </w:rPr>
      </w:pPr>
      <w:r>
        <w:rPr>
          <w:rFonts w:ascii="Arial" w:cs="Arial" w:eastAsia="Arial" w:hAnsi="Arial"/>
          <w:sz w:val="13"/>
          <w:szCs w:val="13"/>
          <w:color w:val="auto"/>
        </w:rPr>
        <w:t>BlueLinx Holdings, Inc.</w:t>
      </w:r>
    </w:p>
    <w:p>
      <w:pPr>
        <w:spacing w:after="0" w:line="20" w:lineRule="exact"/>
        <w:rPr>
          <w:sz w:val="20"/>
          <w:szCs w:val="20"/>
          <w:color w:val="auto"/>
        </w:rPr>
      </w:pPr>
      <w:r>
        <w:rPr>
          <w:sz w:val="20"/>
          <w:szCs w:val="20"/>
          <w:color w:val="auto"/>
        </w:rPr>
        <w:br w:type="column"/>
      </w:r>
    </w:p>
    <w:p>
      <w:pPr>
        <w:jc w:val="center"/>
        <w:ind w:right="2980"/>
        <w:spacing w:after="0"/>
        <w:rPr>
          <w:sz w:val="20"/>
          <w:szCs w:val="20"/>
          <w:color w:val="auto"/>
        </w:rPr>
      </w:pPr>
      <w:r>
        <w:rPr>
          <w:rFonts w:ascii="Arial" w:cs="Arial" w:eastAsia="Arial" w:hAnsi="Arial"/>
          <w:sz w:val="13"/>
          <w:szCs w:val="13"/>
          <w:color w:val="auto"/>
        </w:rPr>
        <w:t>NCI Building Systems, Inc.</w:t>
      </w:r>
    </w:p>
    <w:p>
      <w:pPr>
        <w:spacing w:after="0" w:line="190" w:lineRule="exact"/>
        <w:rPr>
          <w:sz w:val="20"/>
          <w:szCs w:val="20"/>
          <w:color w:val="auto"/>
        </w:rPr>
      </w:pPr>
    </w:p>
    <w:p>
      <w:pPr>
        <w:sectPr>
          <w:pgSz w:w="11900" w:h="16838" w:orient="portrait"/>
          <w:cols w:equalWidth="0" w:num="2">
            <w:col w:w="3840" w:space="720"/>
            <w:col w:w="4540"/>
          </w:cols>
          <w:pgMar w:left="1400" w:top="129" w:right="1399" w:bottom="1440" w:gutter="0" w:footer="0" w:header="0"/>
          <w:type w:val="continuous"/>
        </w:sectPr>
      </w:pPr>
    </w:p>
    <w:p>
      <w:pPr>
        <w:spacing w:after="0"/>
        <w:rPr>
          <w:sz w:val="20"/>
          <w:szCs w:val="20"/>
          <w:color w:val="auto"/>
        </w:rPr>
      </w:pPr>
      <w:r>
        <w:rPr>
          <w:rFonts w:ascii="Arial" w:cs="Arial" w:eastAsia="Arial" w:hAnsi="Arial"/>
          <w:sz w:val="13"/>
          <w:szCs w:val="13"/>
          <w:color w:val="auto"/>
        </w:rPr>
        <w:t>BMC Stock Holdings,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Simpson Manufacturing Company,Inc.</w:t>
      </w:r>
    </w:p>
    <w:p>
      <w:pPr>
        <w:spacing w:after="0" w:line="201" w:lineRule="exact"/>
        <w:rPr>
          <w:sz w:val="20"/>
          <w:szCs w:val="20"/>
          <w:color w:val="auto"/>
        </w:rPr>
      </w:pPr>
    </w:p>
    <w:p>
      <w:pPr>
        <w:sectPr>
          <w:pgSz w:w="11900" w:h="16838" w:orient="portrait"/>
          <w:cols w:equalWidth="0" w:num="2">
            <w:col w:w="3840" w:space="720"/>
            <w:col w:w="4540"/>
          </w:cols>
          <w:pgMar w:left="1400" w:top="129" w:right="1399" w:bottom="1440" w:gutter="0" w:footer="0" w:header="0"/>
          <w:type w:val="continuous"/>
        </w:sectPr>
      </w:pPr>
    </w:p>
    <w:p>
      <w:pPr>
        <w:spacing w:after="0"/>
        <w:rPr>
          <w:sz w:val="20"/>
          <w:szCs w:val="20"/>
          <w:color w:val="auto"/>
        </w:rPr>
      </w:pPr>
      <w:r>
        <w:rPr>
          <w:rFonts w:ascii="Arial" w:cs="Arial" w:eastAsia="Arial" w:hAnsi="Arial"/>
          <w:sz w:val="12"/>
          <w:szCs w:val="12"/>
          <w:color w:val="auto"/>
        </w:rPr>
        <w:t>Boise Cascade,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Sonoco Products Company</w:t>
      </w:r>
    </w:p>
    <w:p>
      <w:pPr>
        <w:spacing w:after="0" w:line="200" w:lineRule="exact"/>
        <w:rPr>
          <w:sz w:val="20"/>
          <w:szCs w:val="20"/>
          <w:color w:val="auto"/>
        </w:rPr>
      </w:pPr>
    </w:p>
    <w:p>
      <w:pPr>
        <w:sectPr>
          <w:pgSz w:w="11900" w:h="16838" w:orient="portrait"/>
          <w:cols w:equalWidth="0" w:num="2">
            <w:col w:w="3840" w:space="720"/>
            <w:col w:w="4540"/>
          </w:cols>
          <w:pgMar w:left="1400" w:top="129" w:right="1399" w:bottom="1440" w:gutter="0" w:footer="0" w:header="0"/>
          <w:type w:val="continuous"/>
        </w:sectPr>
      </w:pPr>
    </w:p>
    <w:p>
      <w:pPr>
        <w:spacing w:after="0" w:line="2" w:lineRule="exact"/>
        <w:rPr>
          <w:sz w:val="20"/>
          <w:szCs w:val="20"/>
          <w:color w:val="auto"/>
        </w:rPr>
      </w:pPr>
    </w:p>
    <w:p>
      <w:pPr>
        <w:spacing w:after="0"/>
        <w:rPr>
          <w:sz w:val="20"/>
          <w:szCs w:val="20"/>
          <w:color w:val="auto"/>
        </w:rPr>
      </w:pPr>
      <w:r>
        <w:rPr>
          <w:rFonts w:ascii="Arial" w:cs="Arial" w:eastAsia="Arial" w:hAnsi="Arial"/>
          <w:sz w:val="13"/>
          <w:szCs w:val="13"/>
          <w:color w:val="auto"/>
        </w:rPr>
        <w:t>Builders FirstSource, Inc.</w:t>
      </w:r>
    </w:p>
    <w:p>
      <w:pPr>
        <w:spacing w:after="0" w:line="20" w:lineRule="exact"/>
        <w:rPr>
          <w:sz w:val="20"/>
          <w:szCs w:val="20"/>
          <w:color w:val="auto"/>
        </w:rPr>
      </w:pPr>
      <w:r>
        <w:rPr>
          <w:sz w:val="20"/>
          <w:szCs w:val="20"/>
          <w:color w:val="auto"/>
        </w:rPr>
        <w:br w:type="column"/>
      </w:r>
    </w:p>
    <w:p>
      <w:pPr>
        <w:jc w:val="center"/>
        <w:ind w:right="3420"/>
        <w:spacing w:after="0"/>
        <w:rPr>
          <w:sz w:val="20"/>
          <w:szCs w:val="20"/>
          <w:color w:val="auto"/>
        </w:rPr>
      </w:pPr>
      <w:r>
        <w:rPr>
          <w:rFonts w:ascii="Arial" w:cs="Arial" w:eastAsia="Arial" w:hAnsi="Arial"/>
          <w:sz w:val="12"/>
          <w:szCs w:val="12"/>
          <w:color w:val="auto"/>
        </w:rPr>
        <w:t>Trex Company, Inc.</w:t>
      </w:r>
    </w:p>
    <w:p>
      <w:pPr>
        <w:spacing w:after="0" w:line="201" w:lineRule="exact"/>
        <w:rPr>
          <w:sz w:val="20"/>
          <w:szCs w:val="20"/>
          <w:color w:val="auto"/>
        </w:rPr>
      </w:pPr>
    </w:p>
    <w:p>
      <w:pPr>
        <w:sectPr>
          <w:pgSz w:w="11900" w:h="16838" w:orient="portrait"/>
          <w:cols w:equalWidth="0" w:num="2">
            <w:col w:w="3840" w:space="720"/>
            <w:col w:w="4540"/>
          </w:cols>
          <w:pgMar w:left="1400" w:top="129" w:right="1399" w:bottom="1440" w:gutter="0" w:footer="0" w:header="0"/>
          <w:type w:val="continuous"/>
        </w:sectPr>
      </w:pPr>
    </w:p>
    <w:p>
      <w:pPr>
        <w:spacing w:after="0"/>
        <w:rPr>
          <w:sz w:val="20"/>
          <w:szCs w:val="20"/>
          <w:color w:val="auto"/>
        </w:rPr>
      </w:pPr>
      <w:r>
        <w:rPr>
          <w:rFonts w:ascii="Arial" w:cs="Arial" w:eastAsia="Arial" w:hAnsi="Arial"/>
          <w:sz w:val="13"/>
          <w:szCs w:val="13"/>
          <w:color w:val="auto"/>
        </w:rPr>
        <w:t>Gibraltar Industries, Inc.</w:t>
      </w:r>
    </w:p>
    <w:p>
      <w:pPr>
        <w:spacing w:after="0" w:line="20" w:lineRule="exact"/>
        <w:rPr>
          <w:sz w:val="20"/>
          <w:szCs w:val="20"/>
          <w:color w:val="auto"/>
        </w:rPr>
      </w:pPr>
      <w:r>
        <w:rPr>
          <w:sz w:val="20"/>
          <w:szCs w:val="20"/>
          <w:color w:val="auto"/>
        </w:rPr>
        <w:br w:type="column"/>
      </w:r>
    </w:p>
    <w:p>
      <w:pPr>
        <w:jc w:val="center"/>
        <w:ind w:right="3420"/>
        <w:spacing w:after="0"/>
        <w:rPr>
          <w:sz w:val="20"/>
          <w:szCs w:val="20"/>
          <w:color w:val="auto"/>
        </w:rPr>
      </w:pPr>
      <w:r>
        <w:rPr>
          <w:rFonts w:ascii="Arial" w:cs="Arial" w:eastAsia="Arial" w:hAnsi="Arial"/>
          <w:sz w:val="12"/>
          <w:szCs w:val="12"/>
          <w:color w:val="auto"/>
        </w:rPr>
        <w:t>Westrock Company</w:t>
      </w:r>
    </w:p>
    <w:p>
      <w:pPr>
        <w:spacing w:after="0" w:line="201" w:lineRule="exact"/>
        <w:rPr>
          <w:sz w:val="20"/>
          <w:szCs w:val="20"/>
          <w:color w:val="auto"/>
        </w:rPr>
      </w:pPr>
    </w:p>
    <w:p>
      <w:pPr>
        <w:sectPr>
          <w:pgSz w:w="11900" w:h="16838" w:orient="portrait"/>
          <w:cols w:equalWidth="0" w:num="2">
            <w:col w:w="3840" w:space="720"/>
            <w:col w:w="4540"/>
          </w:cols>
          <w:pgMar w:left="1400" w:top="129" w:right="1399" w:bottom="1440" w:gutter="0" w:footer="0" w:header="0"/>
          <w:type w:val="continuous"/>
        </w:sectPr>
      </w:pPr>
    </w:p>
    <w:p>
      <w:pPr>
        <w:spacing w:after="0"/>
        <w:rPr>
          <w:sz w:val="20"/>
          <w:szCs w:val="20"/>
          <w:color w:val="auto"/>
        </w:rPr>
      </w:pPr>
      <w:r>
        <w:rPr>
          <w:rFonts w:ascii="Arial" w:cs="Arial" w:eastAsia="Arial" w:hAnsi="Arial"/>
          <w:sz w:val="13"/>
          <w:szCs w:val="13"/>
          <w:color w:val="auto"/>
        </w:rPr>
        <w:t>Greif Bros. Corporation</w:t>
      </w:r>
    </w:p>
    <w:p>
      <w:pPr>
        <w:sectPr>
          <w:pgSz w:w="11900" w:h="16838" w:orient="portrait"/>
          <w:cols w:equalWidth="0" w:num="1">
            <w:col w:w="9100"/>
          </w:cols>
          <w:pgMar w:left="1400" w:top="129" w:right="1399" w:bottom="1440" w:gutter="0" w:footer="0" w:header="0"/>
          <w:type w:val="continuous"/>
        </w:sectPr>
      </w:pPr>
    </w:p>
    <w:p>
      <w:pPr>
        <w:spacing w:after="0" w:line="360" w:lineRule="exact"/>
        <w:rPr>
          <w:sz w:val="20"/>
          <w:szCs w:val="20"/>
          <w:color w:val="auto"/>
        </w:rPr>
      </w:pPr>
    </w:p>
    <w:p>
      <w:pPr>
        <w:jc w:val="both"/>
        <w:ind w:firstLine="510"/>
        <w:spacing w:after="0" w:line="297" w:lineRule="auto"/>
        <w:rPr>
          <w:sz w:val="20"/>
          <w:szCs w:val="20"/>
          <w:color w:val="auto"/>
        </w:rPr>
      </w:pPr>
      <w:r>
        <w:rPr>
          <w:rFonts w:ascii="Arial" w:cs="Arial" w:eastAsia="Arial" w:hAnsi="Arial"/>
          <w:sz w:val="13"/>
          <w:szCs w:val="13"/>
          <w:color w:val="auto"/>
        </w:rPr>
        <w:t>The returns of each company included in the self-determined peer group are weighted according to each respective company’s stock market capitalization at the beginning of each period presented in the graph above. In determining the members of our peer group, we considered companies who selected UFPI as a member of their peer group, and looked for similarly sized companies or companies that are a good fit with the markets we serve.</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66675</wp:posOffset>
            </wp:positionV>
            <wp:extent cx="5779135" cy="2032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1">
                      <a:extLst>
                        <a:ext uri="{28A0092B-C50C-407E-A947-70E740481C1C}"/>
                      </a:extLst>
                    </a:blip>
                    <a:srcRect/>
                    <a:stretch>
                      <a:fillRect/>
                    </a:stretch>
                  </pic:blipFill>
                  <pic:spPr bwMode="auto">
                    <a:xfrm>
                      <a:off x="0" y="0"/>
                      <a:ext cx="5779135" cy="20320"/>
                    </a:xfrm>
                    <a:prstGeom prst="rect">
                      <a:avLst/>
                    </a:prstGeom>
                    <a:noFill/>
                  </pic:spPr>
                </pic:pic>
              </a:graphicData>
            </a:graphic>
          </wp:anchor>
        </w:drawing>
      </w:r>
    </w:p>
    <w:p>
      <w:pPr>
        <w:sectPr>
          <w:pgSz w:w="11900" w:h="16838" w:orient="portrait"/>
          <w:cols w:equalWidth="0" w:num="1">
            <w:col w:w="9100"/>
          </w:cols>
          <w:pgMar w:left="1400" w:top="129" w:right="1399" w:bottom="1440" w:gutter="0" w:footer="0" w:header="0"/>
          <w:type w:val="continuous"/>
        </w:sectPr>
      </w:pPr>
    </w:p>
    <w:bookmarkStart w:id="99" w:name="page100"/>
    <w:bookmarkEnd w:id="99"/>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860" w:type="dxa"/>
            <w:vAlign w:val="bottom"/>
          </w:tcPr>
          <w:p>
            <w:pPr>
              <w:spacing w:after="0"/>
              <w:rPr>
                <w:sz w:val="16"/>
                <w:szCs w:val="16"/>
                <w:color w:val="auto"/>
              </w:rPr>
            </w:pPr>
          </w:p>
        </w:tc>
        <w:tc>
          <w:tcPr>
            <w:tcW w:w="3860" w:type="dxa"/>
            <w:vAlign w:val="bottom"/>
          </w:tcPr>
          <w:p>
            <w:pPr>
              <w:ind w:left="700"/>
              <w:spacing w:after="0"/>
              <w:rPr>
                <w:sz w:val="20"/>
                <w:szCs w:val="20"/>
                <w:color w:val="auto"/>
              </w:rPr>
            </w:pPr>
            <w:r>
              <w:rPr>
                <w:rFonts w:ascii="Arial" w:cs="Arial" w:eastAsia="Arial" w:hAnsi="Arial"/>
                <w:sz w:val="14"/>
                <w:szCs w:val="14"/>
                <w:b w:val="1"/>
                <w:bCs w:val="1"/>
                <w:color w:val="auto"/>
              </w:rPr>
              <w:t>Directors and Executive Officers</w:t>
            </w:r>
          </w:p>
        </w:tc>
        <w:tc>
          <w:tcPr>
            <w:tcW w:w="0" w:type="dxa"/>
            <w:vAlign w:val="bottom"/>
          </w:tcPr>
          <w:p>
            <w:pPr>
              <w:spacing w:after="0"/>
              <w:rPr>
                <w:sz w:val="1"/>
                <w:szCs w:val="1"/>
                <w:color w:val="auto"/>
              </w:rPr>
            </w:pPr>
          </w:p>
        </w:tc>
      </w:tr>
      <w:tr>
        <w:trPr>
          <w:trHeight w:val="350"/>
        </w:trPr>
        <w:tc>
          <w:tcPr>
            <w:tcW w:w="2860" w:type="dxa"/>
            <w:vAlign w:val="bottom"/>
          </w:tcPr>
          <w:p>
            <w:pPr>
              <w:spacing w:after="0"/>
              <w:rPr>
                <w:sz w:val="20"/>
                <w:szCs w:val="20"/>
                <w:color w:val="auto"/>
              </w:rPr>
            </w:pPr>
            <w:r>
              <w:rPr>
                <w:rFonts w:ascii="Arial" w:cs="Arial" w:eastAsia="Arial" w:hAnsi="Arial"/>
                <w:sz w:val="14"/>
                <w:szCs w:val="14"/>
                <w:b w:val="1"/>
                <w:bCs w:val="1"/>
                <w:color w:val="auto"/>
              </w:rPr>
              <w:t>BOARD OF DIRECTORS</w:t>
            </w:r>
          </w:p>
        </w:tc>
        <w:tc>
          <w:tcPr>
            <w:tcW w:w="3860" w:type="dxa"/>
            <w:vAlign w:val="bottom"/>
          </w:tcPr>
          <w:p>
            <w:pPr>
              <w:ind w:left="1700"/>
              <w:spacing w:after="0"/>
              <w:rPr>
                <w:sz w:val="20"/>
                <w:szCs w:val="20"/>
                <w:color w:val="auto"/>
              </w:rPr>
            </w:pPr>
            <w:r>
              <w:rPr>
                <w:rFonts w:ascii="Arial" w:cs="Arial" w:eastAsia="Arial" w:hAnsi="Arial"/>
                <w:sz w:val="14"/>
                <w:szCs w:val="14"/>
                <w:b w:val="1"/>
                <w:bCs w:val="1"/>
                <w:color w:val="auto"/>
              </w:rPr>
              <w:t>EXECUTIVE OFFICERS</w:t>
            </w:r>
          </w:p>
        </w:tc>
        <w:tc>
          <w:tcPr>
            <w:tcW w:w="0" w:type="dxa"/>
            <w:vAlign w:val="bottom"/>
          </w:tcPr>
          <w:p>
            <w:pPr>
              <w:spacing w:after="0"/>
              <w:rPr>
                <w:sz w:val="1"/>
                <w:szCs w:val="1"/>
                <w:color w:val="auto"/>
              </w:rPr>
            </w:pPr>
          </w:p>
        </w:tc>
      </w:tr>
      <w:tr>
        <w:trPr>
          <w:trHeight w:val="330"/>
        </w:trPr>
        <w:tc>
          <w:tcPr>
            <w:tcW w:w="2860" w:type="dxa"/>
            <w:vAlign w:val="bottom"/>
          </w:tcPr>
          <w:p>
            <w:pPr>
              <w:spacing w:after="0"/>
              <w:rPr>
                <w:sz w:val="20"/>
                <w:szCs w:val="20"/>
                <w:color w:val="auto"/>
              </w:rPr>
            </w:pPr>
            <w:r>
              <w:rPr>
                <w:rFonts w:ascii="Arial" w:cs="Arial" w:eastAsia="Arial" w:hAnsi="Arial"/>
                <w:sz w:val="14"/>
                <w:szCs w:val="14"/>
                <w:color w:val="auto"/>
              </w:rPr>
              <w:t>William G. Currie</w:t>
            </w:r>
          </w:p>
        </w:tc>
        <w:tc>
          <w:tcPr>
            <w:tcW w:w="3860" w:type="dxa"/>
            <w:vAlign w:val="bottom"/>
          </w:tcPr>
          <w:p>
            <w:pPr>
              <w:ind w:left="1700"/>
              <w:spacing w:after="0"/>
              <w:rPr>
                <w:sz w:val="20"/>
                <w:szCs w:val="20"/>
                <w:color w:val="auto"/>
              </w:rPr>
            </w:pPr>
            <w:r>
              <w:rPr>
                <w:rFonts w:ascii="Arial" w:cs="Arial" w:eastAsia="Arial" w:hAnsi="Arial"/>
                <w:sz w:val="14"/>
                <w:szCs w:val="14"/>
                <w:color w:val="auto"/>
              </w:rPr>
              <w:t>Matthew J. Missad</w:t>
            </w:r>
          </w:p>
        </w:tc>
        <w:tc>
          <w:tcPr>
            <w:tcW w:w="0" w:type="dxa"/>
            <w:vAlign w:val="bottom"/>
          </w:tcPr>
          <w:p>
            <w:pPr>
              <w:spacing w:after="0"/>
              <w:rPr>
                <w:sz w:val="1"/>
                <w:szCs w:val="1"/>
                <w:color w:val="auto"/>
              </w:rPr>
            </w:pPr>
          </w:p>
        </w:tc>
      </w:tr>
      <w:tr>
        <w:trPr>
          <w:trHeight w:val="170"/>
        </w:trPr>
        <w:tc>
          <w:tcPr>
            <w:tcW w:w="2860" w:type="dxa"/>
            <w:vAlign w:val="bottom"/>
          </w:tcPr>
          <w:p>
            <w:pPr>
              <w:spacing w:after="0"/>
              <w:rPr>
                <w:sz w:val="20"/>
                <w:szCs w:val="20"/>
                <w:color w:val="auto"/>
              </w:rPr>
            </w:pPr>
            <w:r>
              <w:rPr>
                <w:rFonts w:ascii="Arial" w:cs="Arial" w:eastAsia="Arial" w:hAnsi="Arial"/>
                <w:sz w:val="14"/>
                <w:szCs w:val="14"/>
                <w:color w:val="auto"/>
              </w:rPr>
              <w:t>Chairman of the Board</w:t>
            </w:r>
          </w:p>
        </w:tc>
        <w:tc>
          <w:tcPr>
            <w:tcW w:w="3860" w:type="dxa"/>
            <w:vAlign w:val="bottom"/>
          </w:tcPr>
          <w:p>
            <w:pPr>
              <w:ind w:left="1700"/>
              <w:spacing w:after="0"/>
              <w:rPr>
                <w:sz w:val="20"/>
                <w:szCs w:val="20"/>
                <w:color w:val="auto"/>
              </w:rPr>
            </w:pPr>
            <w:r>
              <w:rPr>
                <w:rFonts w:ascii="Arial" w:cs="Arial" w:eastAsia="Arial" w:hAnsi="Arial"/>
                <w:sz w:val="14"/>
                <w:szCs w:val="14"/>
                <w:color w:val="auto"/>
              </w:rPr>
              <w:t>Chief Executive Officer</w:t>
            </w:r>
          </w:p>
        </w:tc>
        <w:tc>
          <w:tcPr>
            <w:tcW w:w="0" w:type="dxa"/>
            <w:vAlign w:val="bottom"/>
          </w:tcPr>
          <w:p>
            <w:pPr>
              <w:spacing w:after="0"/>
              <w:rPr>
                <w:sz w:val="1"/>
                <w:szCs w:val="1"/>
                <w:color w:val="auto"/>
              </w:rPr>
            </w:pPr>
          </w:p>
        </w:tc>
      </w:tr>
      <w:tr>
        <w:trPr>
          <w:trHeight w:val="180"/>
        </w:trPr>
        <w:tc>
          <w:tcPr>
            <w:tcW w:w="2860" w:type="dxa"/>
            <w:vAlign w:val="bottom"/>
          </w:tcPr>
          <w:p>
            <w:pPr>
              <w:spacing w:after="0"/>
              <w:rPr>
                <w:sz w:val="20"/>
                <w:szCs w:val="20"/>
                <w:color w:val="auto"/>
              </w:rPr>
            </w:pPr>
            <w:r>
              <w:rPr>
                <w:rFonts w:ascii="Arial" w:cs="Arial" w:eastAsia="Arial" w:hAnsi="Arial"/>
                <w:sz w:val="14"/>
                <w:szCs w:val="14"/>
                <w:color w:val="auto"/>
              </w:rPr>
              <w:t>Universal Forest Products, Inc.</w:t>
            </w:r>
          </w:p>
        </w:tc>
        <w:tc>
          <w:tcPr>
            <w:tcW w:w="3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0"/>
        </w:trPr>
        <w:tc>
          <w:tcPr>
            <w:tcW w:w="2860" w:type="dxa"/>
            <w:vAlign w:val="bottom"/>
          </w:tcPr>
          <w:p>
            <w:pPr>
              <w:spacing w:after="0"/>
              <w:rPr>
                <w:sz w:val="20"/>
                <w:szCs w:val="20"/>
                <w:color w:val="auto"/>
              </w:rPr>
            </w:pPr>
            <w:r>
              <w:rPr>
                <w:rFonts w:ascii="Arial" w:cs="Arial" w:eastAsia="Arial" w:hAnsi="Arial"/>
                <w:sz w:val="14"/>
                <w:szCs w:val="14"/>
                <w:color w:val="auto"/>
              </w:rPr>
              <w:t>Matthew J. Missad</w:t>
            </w:r>
          </w:p>
        </w:tc>
        <w:tc>
          <w:tcPr>
            <w:tcW w:w="3860" w:type="dxa"/>
            <w:vAlign w:val="bottom"/>
          </w:tcPr>
          <w:p>
            <w:pPr>
              <w:ind w:left="1700"/>
              <w:spacing w:after="0"/>
              <w:rPr>
                <w:sz w:val="20"/>
                <w:szCs w:val="20"/>
                <w:color w:val="auto"/>
              </w:rPr>
            </w:pPr>
            <w:r>
              <w:rPr>
                <w:rFonts w:ascii="Arial" w:cs="Arial" w:eastAsia="Arial" w:hAnsi="Arial"/>
                <w:sz w:val="14"/>
                <w:szCs w:val="14"/>
                <w:color w:val="auto"/>
              </w:rPr>
              <w:t>Patrick M. Webster</w:t>
            </w:r>
          </w:p>
        </w:tc>
        <w:tc>
          <w:tcPr>
            <w:tcW w:w="0" w:type="dxa"/>
            <w:vAlign w:val="bottom"/>
          </w:tcPr>
          <w:p>
            <w:pPr>
              <w:spacing w:after="0"/>
              <w:rPr>
                <w:sz w:val="1"/>
                <w:szCs w:val="1"/>
                <w:color w:val="auto"/>
              </w:rPr>
            </w:pPr>
          </w:p>
        </w:tc>
      </w:tr>
      <w:tr>
        <w:trPr>
          <w:trHeight w:val="170"/>
        </w:trPr>
        <w:tc>
          <w:tcPr>
            <w:tcW w:w="2860" w:type="dxa"/>
            <w:vAlign w:val="bottom"/>
          </w:tcPr>
          <w:p>
            <w:pPr>
              <w:spacing w:after="0"/>
              <w:rPr>
                <w:sz w:val="20"/>
                <w:szCs w:val="20"/>
                <w:color w:val="auto"/>
              </w:rPr>
            </w:pPr>
            <w:r>
              <w:rPr>
                <w:rFonts w:ascii="Arial" w:cs="Arial" w:eastAsia="Arial" w:hAnsi="Arial"/>
                <w:sz w:val="14"/>
                <w:szCs w:val="14"/>
                <w:color w:val="auto"/>
              </w:rPr>
              <w:t>Chief Executive Officer</w:t>
            </w:r>
          </w:p>
        </w:tc>
        <w:tc>
          <w:tcPr>
            <w:tcW w:w="3860" w:type="dxa"/>
            <w:vAlign w:val="bottom"/>
          </w:tcPr>
          <w:p>
            <w:pPr>
              <w:ind w:left="1700"/>
              <w:spacing w:after="0"/>
              <w:rPr>
                <w:sz w:val="20"/>
                <w:szCs w:val="20"/>
                <w:color w:val="auto"/>
              </w:rPr>
            </w:pPr>
            <w:r>
              <w:rPr>
                <w:rFonts w:ascii="Arial" w:cs="Arial" w:eastAsia="Arial" w:hAnsi="Arial"/>
                <w:sz w:val="14"/>
                <w:szCs w:val="14"/>
                <w:color w:val="auto"/>
                <w:w w:val="91"/>
              </w:rPr>
              <w:t>President and Chief Operating Officer</w:t>
            </w:r>
          </w:p>
        </w:tc>
        <w:tc>
          <w:tcPr>
            <w:tcW w:w="0" w:type="dxa"/>
            <w:vAlign w:val="bottom"/>
          </w:tcPr>
          <w:p>
            <w:pPr>
              <w:spacing w:after="0"/>
              <w:rPr>
                <w:sz w:val="1"/>
                <w:szCs w:val="1"/>
                <w:color w:val="auto"/>
              </w:rPr>
            </w:pPr>
          </w:p>
        </w:tc>
      </w:tr>
      <w:tr>
        <w:trPr>
          <w:trHeight w:val="180"/>
        </w:trPr>
        <w:tc>
          <w:tcPr>
            <w:tcW w:w="2860" w:type="dxa"/>
            <w:vAlign w:val="bottom"/>
          </w:tcPr>
          <w:p>
            <w:pPr>
              <w:spacing w:after="0"/>
              <w:rPr>
                <w:sz w:val="20"/>
                <w:szCs w:val="20"/>
                <w:color w:val="auto"/>
              </w:rPr>
            </w:pPr>
            <w:r>
              <w:rPr>
                <w:rFonts w:ascii="Arial" w:cs="Arial" w:eastAsia="Arial" w:hAnsi="Arial"/>
                <w:sz w:val="14"/>
                <w:szCs w:val="14"/>
                <w:color w:val="auto"/>
              </w:rPr>
              <w:t>Universal Forest Products, Inc.</w:t>
            </w:r>
          </w:p>
        </w:tc>
        <w:tc>
          <w:tcPr>
            <w:tcW w:w="3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0"/>
        </w:trPr>
        <w:tc>
          <w:tcPr>
            <w:tcW w:w="2860" w:type="dxa"/>
            <w:vAlign w:val="bottom"/>
          </w:tcPr>
          <w:p>
            <w:pPr>
              <w:spacing w:after="0"/>
              <w:rPr>
                <w:sz w:val="20"/>
                <w:szCs w:val="20"/>
                <w:color w:val="auto"/>
              </w:rPr>
            </w:pPr>
            <w:r>
              <w:rPr>
                <w:rFonts w:ascii="Arial" w:cs="Arial" w:eastAsia="Arial" w:hAnsi="Arial"/>
                <w:sz w:val="14"/>
                <w:szCs w:val="14"/>
                <w:color w:val="auto"/>
              </w:rPr>
              <w:t>John M. Engler</w:t>
            </w:r>
          </w:p>
        </w:tc>
        <w:tc>
          <w:tcPr>
            <w:tcW w:w="3860" w:type="dxa"/>
            <w:vAlign w:val="bottom"/>
          </w:tcPr>
          <w:p>
            <w:pPr>
              <w:ind w:left="1700"/>
              <w:spacing w:after="0"/>
              <w:rPr>
                <w:sz w:val="20"/>
                <w:szCs w:val="20"/>
                <w:color w:val="auto"/>
              </w:rPr>
            </w:pPr>
            <w:r>
              <w:rPr>
                <w:rFonts w:ascii="Arial" w:cs="Arial" w:eastAsia="Arial" w:hAnsi="Arial"/>
                <w:sz w:val="14"/>
                <w:szCs w:val="14"/>
                <w:color w:val="auto"/>
              </w:rPr>
              <w:t>Michael R. Cole</w:t>
            </w:r>
          </w:p>
        </w:tc>
        <w:tc>
          <w:tcPr>
            <w:tcW w:w="0" w:type="dxa"/>
            <w:vAlign w:val="bottom"/>
          </w:tcPr>
          <w:p>
            <w:pPr>
              <w:spacing w:after="0"/>
              <w:rPr>
                <w:sz w:val="1"/>
                <w:szCs w:val="1"/>
                <w:color w:val="auto"/>
              </w:rPr>
            </w:pPr>
          </w:p>
        </w:tc>
      </w:tr>
      <w:tr>
        <w:trPr>
          <w:trHeight w:val="180"/>
        </w:trPr>
        <w:tc>
          <w:tcPr>
            <w:tcW w:w="2860" w:type="dxa"/>
            <w:vAlign w:val="bottom"/>
          </w:tcPr>
          <w:p>
            <w:pPr>
              <w:spacing w:after="0"/>
              <w:rPr>
                <w:sz w:val="15"/>
                <w:szCs w:val="15"/>
                <w:color w:val="auto"/>
              </w:rPr>
            </w:pPr>
          </w:p>
        </w:tc>
        <w:tc>
          <w:tcPr>
            <w:tcW w:w="3860" w:type="dxa"/>
            <w:vAlign w:val="bottom"/>
          </w:tcPr>
          <w:p>
            <w:pPr>
              <w:ind w:left="1700"/>
              <w:spacing w:after="0"/>
              <w:rPr>
                <w:sz w:val="20"/>
                <w:szCs w:val="20"/>
                <w:color w:val="auto"/>
              </w:rPr>
            </w:pPr>
            <w:r>
              <w:rPr>
                <w:rFonts w:ascii="Arial" w:cs="Arial" w:eastAsia="Arial" w:hAnsi="Arial"/>
                <w:sz w:val="14"/>
                <w:szCs w:val="14"/>
                <w:color w:val="auto"/>
                <w:w w:val="93"/>
              </w:rPr>
              <w:t>Chief Financial Officer and Treasurer</w:t>
            </w:r>
          </w:p>
        </w:tc>
        <w:tc>
          <w:tcPr>
            <w:tcW w:w="0" w:type="dxa"/>
            <w:vAlign w:val="bottom"/>
          </w:tcPr>
          <w:p>
            <w:pPr>
              <w:spacing w:after="0"/>
              <w:rPr>
                <w:sz w:val="1"/>
                <w:szCs w:val="1"/>
                <w:color w:val="auto"/>
              </w:rPr>
            </w:pPr>
          </w:p>
        </w:tc>
      </w:tr>
      <w:tr>
        <w:trPr>
          <w:trHeight w:val="330"/>
        </w:trPr>
        <w:tc>
          <w:tcPr>
            <w:tcW w:w="2860" w:type="dxa"/>
            <w:vAlign w:val="bottom"/>
          </w:tcPr>
          <w:p>
            <w:pPr>
              <w:spacing w:after="0"/>
              <w:rPr>
                <w:sz w:val="20"/>
                <w:szCs w:val="20"/>
                <w:color w:val="auto"/>
              </w:rPr>
            </w:pPr>
            <w:r>
              <w:rPr>
                <w:rFonts w:ascii="Arial" w:cs="Arial" w:eastAsia="Arial" w:hAnsi="Arial"/>
                <w:sz w:val="14"/>
                <w:szCs w:val="14"/>
                <w:color w:val="auto"/>
              </w:rPr>
              <w:t>Thomas W. Rhodes</w:t>
            </w:r>
          </w:p>
        </w:tc>
        <w:tc>
          <w:tcPr>
            <w:tcW w:w="3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2860" w:type="dxa"/>
            <w:vAlign w:val="bottom"/>
          </w:tcPr>
          <w:p>
            <w:pPr>
              <w:spacing w:after="0"/>
              <w:rPr>
                <w:sz w:val="20"/>
                <w:szCs w:val="20"/>
                <w:color w:val="auto"/>
              </w:rPr>
            </w:pPr>
            <w:r>
              <w:rPr>
                <w:rFonts w:ascii="Arial" w:cs="Arial" w:eastAsia="Arial" w:hAnsi="Arial"/>
                <w:sz w:val="14"/>
                <w:szCs w:val="14"/>
                <w:color w:val="auto"/>
              </w:rPr>
              <w:t>President and Chief Executive Officer</w:t>
            </w:r>
          </w:p>
        </w:tc>
        <w:tc>
          <w:tcPr>
            <w:tcW w:w="3860" w:type="dxa"/>
            <w:vAlign w:val="bottom"/>
          </w:tcPr>
          <w:p>
            <w:pPr>
              <w:ind w:left="1700"/>
              <w:spacing w:after="0"/>
              <w:rPr>
                <w:sz w:val="20"/>
                <w:szCs w:val="20"/>
                <w:color w:val="auto"/>
              </w:rPr>
            </w:pPr>
            <w:r>
              <w:rPr>
                <w:rFonts w:ascii="Arial" w:cs="Arial" w:eastAsia="Arial" w:hAnsi="Arial"/>
                <w:sz w:val="14"/>
                <w:szCs w:val="14"/>
                <w:color w:val="auto"/>
              </w:rPr>
              <w:t>Allen T. Peters</w:t>
            </w:r>
          </w:p>
        </w:tc>
        <w:tc>
          <w:tcPr>
            <w:tcW w:w="0" w:type="dxa"/>
            <w:vAlign w:val="bottom"/>
          </w:tcPr>
          <w:p>
            <w:pPr>
              <w:spacing w:after="0"/>
              <w:rPr>
                <w:sz w:val="1"/>
                <w:szCs w:val="1"/>
                <w:color w:val="auto"/>
              </w:rPr>
            </w:pPr>
          </w:p>
        </w:tc>
      </w:tr>
      <w:tr>
        <w:trPr>
          <w:trHeight w:val="170"/>
        </w:trPr>
        <w:tc>
          <w:tcPr>
            <w:tcW w:w="2860" w:type="dxa"/>
            <w:vAlign w:val="bottom"/>
          </w:tcPr>
          <w:p>
            <w:pPr>
              <w:spacing w:after="0"/>
              <w:rPr>
                <w:sz w:val="20"/>
                <w:szCs w:val="20"/>
                <w:color w:val="auto"/>
              </w:rPr>
            </w:pPr>
            <w:r>
              <w:rPr>
                <w:rFonts w:ascii="Arial" w:cs="Arial" w:eastAsia="Arial" w:hAnsi="Arial"/>
                <w:sz w:val="14"/>
                <w:szCs w:val="14"/>
                <w:color w:val="auto"/>
              </w:rPr>
              <w:t>TWR Enterprises, Inc.</w:t>
            </w:r>
          </w:p>
        </w:tc>
        <w:tc>
          <w:tcPr>
            <w:tcW w:w="3860" w:type="dxa"/>
            <w:vAlign w:val="bottom"/>
          </w:tcPr>
          <w:p>
            <w:pPr>
              <w:ind w:left="1700"/>
              <w:spacing w:after="0"/>
              <w:rPr>
                <w:sz w:val="20"/>
                <w:szCs w:val="20"/>
                <w:color w:val="auto"/>
              </w:rPr>
            </w:pPr>
            <w:r>
              <w:rPr>
                <w:rFonts w:ascii="Arial" w:cs="Arial" w:eastAsia="Arial" w:hAnsi="Arial"/>
                <w:sz w:val="14"/>
                <w:szCs w:val="14"/>
                <w:color w:val="auto"/>
              </w:rPr>
              <w:t>President</w:t>
            </w:r>
          </w:p>
        </w:tc>
        <w:tc>
          <w:tcPr>
            <w:tcW w:w="0" w:type="dxa"/>
            <w:vAlign w:val="bottom"/>
          </w:tcPr>
          <w:p>
            <w:pPr>
              <w:spacing w:after="0"/>
              <w:rPr>
                <w:sz w:val="1"/>
                <w:szCs w:val="1"/>
                <w:color w:val="auto"/>
              </w:rPr>
            </w:pPr>
          </w:p>
        </w:tc>
      </w:tr>
      <w:tr>
        <w:trPr>
          <w:trHeight w:val="180"/>
        </w:trPr>
        <w:tc>
          <w:tcPr>
            <w:tcW w:w="2860" w:type="dxa"/>
            <w:vAlign w:val="bottom"/>
            <w:vMerge w:val="restart"/>
          </w:tcPr>
          <w:p>
            <w:pPr>
              <w:spacing w:after="0"/>
              <w:rPr>
                <w:sz w:val="20"/>
                <w:szCs w:val="20"/>
                <w:color w:val="auto"/>
              </w:rPr>
            </w:pPr>
            <w:r>
              <w:rPr>
                <w:rFonts w:ascii="Arial" w:cs="Arial" w:eastAsia="Arial" w:hAnsi="Arial"/>
                <w:sz w:val="14"/>
                <w:szCs w:val="14"/>
                <w:color w:val="auto"/>
              </w:rPr>
              <w:t>Bruce A. Merino</w:t>
            </w:r>
          </w:p>
        </w:tc>
        <w:tc>
          <w:tcPr>
            <w:tcW w:w="3860" w:type="dxa"/>
            <w:vAlign w:val="bottom"/>
          </w:tcPr>
          <w:p>
            <w:pPr>
              <w:ind w:left="1700"/>
              <w:spacing w:after="0"/>
              <w:rPr>
                <w:sz w:val="20"/>
                <w:szCs w:val="20"/>
                <w:color w:val="auto"/>
              </w:rPr>
            </w:pPr>
            <w:r>
              <w:rPr>
                <w:rFonts w:ascii="Arial" w:cs="Arial" w:eastAsia="Arial" w:hAnsi="Arial"/>
                <w:sz w:val="14"/>
                <w:szCs w:val="14"/>
                <w:color w:val="auto"/>
              </w:rPr>
              <w:t>UFP Western Division</w:t>
            </w:r>
          </w:p>
        </w:tc>
        <w:tc>
          <w:tcPr>
            <w:tcW w:w="0" w:type="dxa"/>
            <w:vAlign w:val="bottom"/>
          </w:tcPr>
          <w:p>
            <w:pPr>
              <w:spacing w:after="0"/>
              <w:rPr>
                <w:sz w:val="1"/>
                <w:szCs w:val="1"/>
                <w:color w:val="auto"/>
              </w:rPr>
            </w:pPr>
          </w:p>
        </w:tc>
      </w:tr>
      <w:tr>
        <w:trPr>
          <w:trHeight w:val="170"/>
        </w:trPr>
        <w:tc>
          <w:tcPr>
            <w:tcW w:w="2860" w:type="dxa"/>
            <w:vAlign w:val="bottom"/>
            <w:vMerge w:val="continue"/>
          </w:tcPr>
          <w:p>
            <w:pPr>
              <w:spacing w:after="0"/>
              <w:rPr>
                <w:sz w:val="14"/>
                <w:szCs w:val="14"/>
                <w:color w:val="auto"/>
              </w:rPr>
            </w:pPr>
          </w:p>
        </w:tc>
        <w:tc>
          <w:tcPr>
            <w:tcW w:w="3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0"/>
        </w:trPr>
        <w:tc>
          <w:tcPr>
            <w:tcW w:w="2860" w:type="dxa"/>
            <w:vAlign w:val="bottom"/>
          </w:tcPr>
          <w:p>
            <w:pPr>
              <w:spacing w:after="0"/>
              <w:rPr>
                <w:sz w:val="20"/>
                <w:szCs w:val="20"/>
                <w:color w:val="auto"/>
              </w:rPr>
            </w:pPr>
            <w:r>
              <w:rPr>
                <w:rFonts w:ascii="Arial" w:cs="Arial" w:eastAsia="Arial" w:hAnsi="Arial"/>
                <w:sz w:val="14"/>
                <w:szCs w:val="14"/>
                <w:color w:val="auto"/>
              </w:rPr>
              <w:t>Mary E. Tuuk</w:t>
            </w:r>
          </w:p>
        </w:tc>
        <w:tc>
          <w:tcPr>
            <w:tcW w:w="3860" w:type="dxa"/>
            <w:vAlign w:val="bottom"/>
          </w:tcPr>
          <w:p>
            <w:pPr>
              <w:ind w:left="1700"/>
              <w:spacing w:after="0"/>
              <w:rPr>
                <w:sz w:val="20"/>
                <w:szCs w:val="20"/>
                <w:color w:val="auto"/>
              </w:rPr>
            </w:pPr>
            <w:r>
              <w:rPr>
                <w:rFonts w:ascii="Arial" w:cs="Arial" w:eastAsia="Arial" w:hAnsi="Arial"/>
                <w:sz w:val="14"/>
                <w:szCs w:val="14"/>
                <w:color w:val="auto"/>
              </w:rPr>
              <w:t>Patrick Benton</w:t>
            </w:r>
          </w:p>
        </w:tc>
        <w:tc>
          <w:tcPr>
            <w:tcW w:w="0" w:type="dxa"/>
            <w:vAlign w:val="bottom"/>
          </w:tcPr>
          <w:p>
            <w:pPr>
              <w:spacing w:after="0"/>
              <w:rPr>
                <w:sz w:val="1"/>
                <w:szCs w:val="1"/>
                <w:color w:val="auto"/>
              </w:rPr>
            </w:pPr>
          </w:p>
        </w:tc>
      </w:tr>
      <w:tr>
        <w:trPr>
          <w:trHeight w:val="170"/>
        </w:trPr>
        <w:tc>
          <w:tcPr>
            <w:tcW w:w="2860" w:type="dxa"/>
            <w:vAlign w:val="bottom"/>
          </w:tcPr>
          <w:p>
            <w:pPr>
              <w:spacing w:after="0"/>
              <w:rPr>
                <w:sz w:val="20"/>
                <w:szCs w:val="20"/>
                <w:color w:val="auto"/>
              </w:rPr>
            </w:pPr>
            <w:r>
              <w:rPr>
                <w:rFonts w:ascii="Arial" w:cs="Arial" w:eastAsia="Arial" w:hAnsi="Arial"/>
                <w:sz w:val="14"/>
                <w:szCs w:val="14"/>
                <w:color w:val="auto"/>
              </w:rPr>
              <w:t>President and Chief Executive Officer</w:t>
            </w:r>
          </w:p>
        </w:tc>
        <w:tc>
          <w:tcPr>
            <w:tcW w:w="3860" w:type="dxa"/>
            <w:vAlign w:val="bottom"/>
          </w:tcPr>
          <w:p>
            <w:pPr>
              <w:ind w:left="1700"/>
              <w:spacing w:after="0"/>
              <w:rPr>
                <w:sz w:val="20"/>
                <w:szCs w:val="20"/>
                <w:color w:val="auto"/>
              </w:rPr>
            </w:pPr>
            <w:r>
              <w:rPr>
                <w:rFonts w:ascii="Arial" w:cs="Arial" w:eastAsia="Arial" w:hAnsi="Arial"/>
                <w:sz w:val="14"/>
                <w:szCs w:val="14"/>
                <w:color w:val="auto"/>
              </w:rPr>
              <w:t>President</w:t>
            </w:r>
          </w:p>
        </w:tc>
        <w:tc>
          <w:tcPr>
            <w:tcW w:w="0" w:type="dxa"/>
            <w:vAlign w:val="bottom"/>
          </w:tcPr>
          <w:p>
            <w:pPr>
              <w:spacing w:after="0"/>
              <w:rPr>
                <w:sz w:val="1"/>
                <w:szCs w:val="1"/>
                <w:color w:val="auto"/>
              </w:rPr>
            </w:pPr>
          </w:p>
        </w:tc>
      </w:tr>
      <w:tr>
        <w:trPr>
          <w:trHeight w:val="180"/>
        </w:trPr>
        <w:tc>
          <w:tcPr>
            <w:tcW w:w="2860" w:type="dxa"/>
            <w:vAlign w:val="bottom"/>
          </w:tcPr>
          <w:p>
            <w:pPr>
              <w:spacing w:after="0"/>
              <w:rPr>
                <w:sz w:val="20"/>
                <w:szCs w:val="20"/>
                <w:color w:val="auto"/>
              </w:rPr>
            </w:pPr>
            <w:r>
              <w:rPr>
                <w:rFonts w:ascii="Arial" w:cs="Arial" w:eastAsia="Arial" w:hAnsi="Arial"/>
                <w:sz w:val="14"/>
                <w:szCs w:val="14"/>
                <w:color w:val="auto"/>
              </w:rPr>
              <w:t>Grand Rapids Symphony</w:t>
            </w:r>
          </w:p>
        </w:tc>
        <w:tc>
          <w:tcPr>
            <w:tcW w:w="3860" w:type="dxa"/>
            <w:vAlign w:val="bottom"/>
          </w:tcPr>
          <w:p>
            <w:pPr>
              <w:ind w:left="1700"/>
              <w:spacing w:after="0"/>
              <w:rPr>
                <w:sz w:val="20"/>
                <w:szCs w:val="20"/>
                <w:color w:val="auto"/>
              </w:rPr>
            </w:pPr>
            <w:r>
              <w:rPr>
                <w:rFonts w:ascii="Arial" w:cs="Arial" w:eastAsia="Arial" w:hAnsi="Arial"/>
                <w:sz w:val="14"/>
                <w:szCs w:val="14"/>
                <w:color w:val="auto"/>
              </w:rPr>
              <w:t>UFP Northern Division</w:t>
            </w:r>
          </w:p>
        </w:tc>
        <w:tc>
          <w:tcPr>
            <w:tcW w:w="0" w:type="dxa"/>
            <w:vAlign w:val="bottom"/>
          </w:tcPr>
          <w:p>
            <w:pPr>
              <w:spacing w:after="0"/>
              <w:rPr>
                <w:sz w:val="1"/>
                <w:szCs w:val="1"/>
                <w:color w:val="auto"/>
              </w:rPr>
            </w:pPr>
          </w:p>
        </w:tc>
      </w:tr>
      <w:tr>
        <w:trPr>
          <w:trHeight w:val="330"/>
        </w:trPr>
        <w:tc>
          <w:tcPr>
            <w:tcW w:w="2860" w:type="dxa"/>
            <w:vAlign w:val="bottom"/>
          </w:tcPr>
          <w:p>
            <w:pPr>
              <w:spacing w:after="0"/>
              <w:rPr>
                <w:sz w:val="20"/>
                <w:szCs w:val="20"/>
                <w:color w:val="auto"/>
              </w:rPr>
            </w:pPr>
            <w:r>
              <w:rPr>
                <w:rFonts w:ascii="Arial" w:cs="Arial" w:eastAsia="Arial" w:hAnsi="Arial"/>
                <w:sz w:val="14"/>
                <w:szCs w:val="14"/>
                <w:color w:val="auto"/>
              </w:rPr>
              <w:t>Brian C. Walker</w:t>
            </w:r>
          </w:p>
        </w:tc>
        <w:tc>
          <w:tcPr>
            <w:tcW w:w="3860" w:type="dxa"/>
            <w:vAlign w:val="bottom"/>
          </w:tcPr>
          <w:p>
            <w:pPr>
              <w:ind w:left="1700"/>
              <w:spacing w:after="0"/>
              <w:rPr>
                <w:sz w:val="20"/>
                <w:szCs w:val="20"/>
                <w:color w:val="auto"/>
              </w:rPr>
            </w:pPr>
            <w:r>
              <w:rPr>
                <w:rFonts w:ascii="Arial" w:cs="Arial" w:eastAsia="Arial" w:hAnsi="Arial"/>
                <w:sz w:val="14"/>
                <w:szCs w:val="14"/>
                <w:color w:val="auto"/>
              </w:rPr>
              <w:t>Jonathan West</w:t>
            </w:r>
          </w:p>
        </w:tc>
        <w:tc>
          <w:tcPr>
            <w:tcW w:w="0" w:type="dxa"/>
            <w:vAlign w:val="bottom"/>
          </w:tcPr>
          <w:p>
            <w:pPr>
              <w:spacing w:after="0"/>
              <w:rPr>
                <w:sz w:val="1"/>
                <w:szCs w:val="1"/>
                <w:color w:val="auto"/>
              </w:rPr>
            </w:pPr>
          </w:p>
        </w:tc>
      </w:tr>
      <w:tr>
        <w:trPr>
          <w:trHeight w:val="170"/>
        </w:trPr>
        <w:tc>
          <w:tcPr>
            <w:tcW w:w="2860" w:type="dxa"/>
            <w:vAlign w:val="bottom"/>
          </w:tcPr>
          <w:p>
            <w:pPr>
              <w:spacing w:after="0"/>
              <w:rPr>
                <w:sz w:val="20"/>
                <w:szCs w:val="20"/>
                <w:color w:val="auto"/>
              </w:rPr>
            </w:pPr>
            <w:r>
              <w:rPr>
                <w:rFonts w:ascii="Arial" w:cs="Arial" w:eastAsia="Arial" w:hAnsi="Arial"/>
                <w:sz w:val="14"/>
                <w:szCs w:val="14"/>
                <w:color w:val="auto"/>
              </w:rPr>
              <w:t>Partner-Strategic Leadership</w:t>
            </w:r>
          </w:p>
        </w:tc>
        <w:tc>
          <w:tcPr>
            <w:tcW w:w="3860" w:type="dxa"/>
            <w:vAlign w:val="bottom"/>
          </w:tcPr>
          <w:p>
            <w:pPr>
              <w:ind w:left="1700"/>
              <w:spacing w:after="0"/>
              <w:rPr>
                <w:sz w:val="20"/>
                <w:szCs w:val="20"/>
                <w:color w:val="auto"/>
              </w:rPr>
            </w:pPr>
            <w:r>
              <w:rPr>
                <w:rFonts w:ascii="Arial" w:cs="Arial" w:eastAsia="Arial" w:hAnsi="Arial"/>
                <w:sz w:val="14"/>
                <w:szCs w:val="14"/>
                <w:color w:val="auto"/>
              </w:rPr>
              <w:t>President</w:t>
            </w:r>
          </w:p>
        </w:tc>
        <w:tc>
          <w:tcPr>
            <w:tcW w:w="0" w:type="dxa"/>
            <w:vAlign w:val="bottom"/>
          </w:tcPr>
          <w:p>
            <w:pPr>
              <w:spacing w:after="0"/>
              <w:rPr>
                <w:sz w:val="1"/>
                <w:szCs w:val="1"/>
                <w:color w:val="auto"/>
              </w:rPr>
            </w:pPr>
          </w:p>
        </w:tc>
      </w:tr>
      <w:tr>
        <w:trPr>
          <w:trHeight w:val="180"/>
        </w:trPr>
        <w:tc>
          <w:tcPr>
            <w:tcW w:w="2860" w:type="dxa"/>
            <w:vAlign w:val="bottom"/>
          </w:tcPr>
          <w:p>
            <w:pPr>
              <w:spacing w:after="0"/>
              <w:rPr>
                <w:sz w:val="20"/>
                <w:szCs w:val="20"/>
                <w:color w:val="auto"/>
              </w:rPr>
            </w:pPr>
            <w:r>
              <w:rPr>
                <w:rFonts w:ascii="Arial" w:cs="Arial" w:eastAsia="Arial" w:hAnsi="Arial"/>
                <w:sz w:val="14"/>
                <w:szCs w:val="14"/>
                <w:color w:val="auto"/>
              </w:rPr>
              <w:t>Huron Capital</w:t>
            </w:r>
          </w:p>
        </w:tc>
        <w:tc>
          <w:tcPr>
            <w:tcW w:w="3860" w:type="dxa"/>
            <w:vAlign w:val="bottom"/>
          </w:tcPr>
          <w:p>
            <w:pPr>
              <w:ind w:left="1700"/>
              <w:spacing w:after="0"/>
              <w:rPr>
                <w:sz w:val="20"/>
                <w:szCs w:val="20"/>
                <w:color w:val="auto"/>
              </w:rPr>
            </w:pPr>
            <w:r>
              <w:rPr>
                <w:rFonts w:ascii="Arial" w:cs="Arial" w:eastAsia="Arial" w:hAnsi="Arial"/>
                <w:sz w:val="14"/>
                <w:szCs w:val="14"/>
                <w:color w:val="auto"/>
              </w:rPr>
              <w:t>UFP Southern Division</w:t>
            </w:r>
          </w:p>
        </w:tc>
        <w:tc>
          <w:tcPr>
            <w:tcW w:w="0" w:type="dxa"/>
            <w:vAlign w:val="bottom"/>
          </w:tcPr>
          <w:p>
            <w:pPr>
              <w:spacing w:after="0"/>
              <w:rPr>
                <w:sz w:val="1"/>
                <w:szCs w:val="1"/>
                <w:color w:val="auto"/>
              </w:rPr>
            </w:pPr>
          </w:p>
        </w:tc>
      </w:tr>
      <w:tr>
        <w:trPr>
          <w:trHeight w:val="330"/>
        </w:trPr>
        <w:tc>
          <w:tcPr>
            <w:tcW w:w="2860" w:type="dxa"/>
            <w:vAlign w:val="bottom"/>
          </w:tcPr>
          <w:p>
            <w:pPr>
              <w:spacing w:after="0"/>
              <w:rPr>
                <w:sz w:val="20"/>
                <w:szCs w:val="20"/>
                <w:color w:val="auto"/>
              </w:rPr>
            </w:pPr>
            <w:r>
              <w:rPr>
                <w:rFonts w:ascii="Arial" w:cs="Arial" w:eastAsia="Arial" w:hAnsi="Arial"/>
                <w:sz w:val="14"/>
                <w:szCs w:val="14"/>
                <w:color w:val="auto"/>
              </w:rPr>
              <w:t>Michael G. Wooldridge</w:t>
            </w:r>
          </w:p>
        </w:tc>
        <w:tc>
          <w:tcPr>
            <w:tcW w:w="3860" w:type="dxa"/>
            <w:vAlign w:val="bottom"/>
          </w:tcPr>
          <w:p>
            <w:pPr>
              <w:ind w:left="1700"/>
              <w:spacing w:after="0"/>
              <w:rPr>
                <w:sz w:val="20"/>
                <w:szCs w:val="20"/>
                <w:color w:val="auto"/>
              </w:rPr>
            </w:pPr>
            <w:r>
              <w:rPr>
                <w:rFonts w:ascii="Arial" w:cs="Arial" w:eastAsia="Arial" w:hAnsi="Arial"/>
                <w:sz w:val="14"/>
                <w:szCs w:val="14"/>
                <w:color w:val="auto"/>
              </w:rPr>
              <w:t>Robert D. Coleman</w:t>
            </w:r>
          </w:p>
        </w:tc>
        <w:tc>
          <w:tcPr>
            <w:tcW w:w="0" w:type="dxa"/>
            <w:vAlign w:val="bottom"/>
          </w:tcPr>
          <w:p>
            <w:pPr>
              <w:spacing w:after="0"/>
              <w:rPr>
                <w:sz w:val="1"/>
                <w:szCs w:val="1"/>
                <w:color w:val="auto"/>
              </w:rPr>
            </w:pPr>
          </w:p>
        </w:tc>
      </w:tr>
      <w:tr>
        <w:trPr>
          <w:trHeight w:val="170"/>
        </w:trPr>
        <w:tc>
          <w:tcPr>
            <w:tcW w:w="2860" w:type="dxa"/>
            <w:vAlign w:val="bottom"/>
          </w:tcPr>
          <w:p>
            <w:pPr>
              <w:spacing w:after="0"/>
              <w:rPr>
                <w:sz w:val="20"/>
                <w:szCs w:val="20"/>
                <w:color w:val="auto"/>
              </w:rPr>
            </w:pPr>
            <w:r>
              <w:rPr>
                <w:rFonts w:ascii="Arial" w:cs="Arial" w:eastAsia="Arial" w:hAnsi="Arial"/>
                <w:sz w:val="14"/>
                <w:szCs w:val="14"/>
                <w:color w:val="auto"/>
              </w:rPr>
              <w:t>Partner</w:t>
            </w:r>
          </w:p>
        </w:tc>
        <w:tc>
          <w:tcPr>
            <w:tcW w:w="3860" w:type="dxa"/>
            <w:vAlign w:val="bottom"/>
          </w:tcPr>
          <w:p>
            <w:pPr>
              <w:ind w:left="1700"/>
              <w:spacing w:after="0"/>
              <w:rPr>
                <w:sz w:val="20"/>
                <w:szCs w:val="20"/>
                <w:color w:val="auto"/>
              </w:rPr>
            </w:pPr>
            <w:r>
              <w:rPr>
                <w:rFonts w:ascii="Arial" w:cs="Arial" w:eastAsia="Arial" w:hAnsi="Arial"/>
                <w:sz w:val="14"/>
                <w:szCs w:val="14"/>
                <w:color w:val="auto"/>
              </w:rPr>
              <w:t>Executive Vice President</w:t>
            </w:r>
          </w:p>
        </w:tc>
        <w:tc>
          <w:tcPr>
            <w:tcW w:w="0" w:type="dxa"/>
            <w:vAlign w:val="bottom"/>
          </w:tcPr>
          <w:p>
            <w:pPr>
              <w:spacing w:after="0"/>
              <w:rPr>
                <w:sz w:val="1"/>
                <w:szCs w:val="1"/>
                <w:color w:val="auto"/>
              </w:rPr>
            </w:pPr>
          </w:p>
        </w:tc>
      </w:tr>
      <w:tr>
        <w:trPr>
          <w:trHeight w:val="180"/>
        </w:trPr>
        <w:tc>
          <w:tcPr>
            <w:tcW w:w="2860" w:type="dxa"/>
            <w:vAlign w:val="bottom"/>
          </w:tcPr>
          <w:p>
            <w:pPr>
              <w:spacing w:after="0"/>
              <w:rPr>
                <w:sz w:val="20"/>
                <w:szCs w:val="20"/>
                <w:color w:val="auto"/>
              </w:rPr>
            </w:pPr>
            <w:r>
              <w:rPr>
                <w:rFonts w:ascii="Arial" w:cs="Arial" w:eastAsia="Arial" w:hAnsi="Arial"/>
                <w:sz w:val="14"/>
                <w:szCs w:val="14"/>
                <w:color w:val="auto"/>
              </w:rPr>
              <w:t>Varnum, LLP</w:t>
            </w:r>
          </w:p>
        </w:tc>
        <w:tc>
          <w:tcPr>
            <w:tcW w:w="3860" w:type="dxa"/>
            <w:vAlign w:val="bottom"/>
          </w:tcPr>
          <w:p>
            <w:pPr>
              <w:ind w:left="1700"/>
              <w:spacing w:after="0"/>
              <w:rPr>
                <w:sz w:val="20"/>
                <w:szCs w:val="20"/>
                <w:color w:val="auto"/>
              </w:rPr>
            </w:pPr>
            <w:r>
              <w:rPr>
                <w:rFonts w:ascii="Arial" w:cs="Arial" w:eastAsia="Arial" w:hAnsi="Arial"/>
                <w:sz w:val="14"/>
                <w:szCs w:val="14"/>
                <w:color w:val="auto"/>
              </w:rPr>
              <w:t>Manufacturing</w:t>
            </w:r>
          </w:p>
        </w:tc>
        <w:tc>
          <w:tcPr>
            <w:tcW w:w="0" w:type="dxa"/>
            <w:vAlign w:val="bottom"/>
          </w:tcPr>
          <w:p>
            <w:pPr>
              <w:spacing w:after="0"/>
              <w:rPr>
                <w:sz w:val="1"/>
                <w:szCs w:val="1"/>
                <w:color w:val="auto"/>
              </w:rPr>
            </w:pPr>
          </w:p>
        </w:tc>
      </w:tr>
      <w:tr>
        <w:trPr>
          <w:trHeight w:val="330"/>
        </w:trPr>
        <w:tc>
          <w:tcPr>
            <w:tcW w:w="2860" w:type="dxa"/>
            <w:vAlign w:val="bottom"/>
          </w:tcPr>
          <w:p>
            <w:pPr>
              <w:spacing w:after="0"/>
              <w:rPr>
                <w:sz w:val="20"/>
                <w:szCs w:val="20"/>
                <w:color w:val="auto"/>
              </w:rPr>
            </w:pPr>
            <w:r>
              <w:rPr>
                <w:rFonts w:ascii="Arial" w:cs="Arial" w:eastAsia="Arial" w:hAnsi="Arial"/>
                <w:sz w:val="14"/>
                <w:szCs w:val="14"/>
                <w:color w:val="auto"/>
              </w:rPr>
              <w:t>Joan A. Budden</w:t>
            </w:r>
          </w:p>
        </w:tc>
        <w:tc>
          <w:tcPr>
            <w:tcW w:w="3860" w:type="dxa"/>
            <w:vAlign w:val="bottom"/>
          </w:tcPr>
          <w:p>
            <w:pPr>
              <w:ind w:left="1700"/>
              <w:spacing w:after="0"/>
              <w:rPr>
                <w:sz w:val="20"/>
                <w:szCs w:val="20"/>
                <w:color w:val="auto"/>
              </w:rPr>
            </w:pPr>
            <w:r>
              <w:rPr>
                <w:rFonts w:ascii="Arial" w:cs="Arial" w:eastAsia="Arial" w:hAnsi="Arial"/>
                <w:sz w:val="14"/>
                <w:szCs w:val="14"/>
                <w:color w:val="auto"/>
              </w:rPr>
              <w:t>C. Scott Greene</w:t>
            </w:r>
          </w:p>
        </w:tc>
        <w:tc>
          <w:tcPr>
            <w:tcW w:w="0" w:type="dxa"/>
            <w:vAlign w:val="bottom"/>
          </w:tcPr>
          <w:p>
            <w:pPr>
              <w:spacing w:after="0"/>
              <w:rPr>
                <w:sz w:val="1"/>
                <w:szCs w:val="1"/>
                <w:color w:val="auto"/>
              </w:rPr>
            </w:pPr>
          </w:p>
        </w:tc>
      </w:tr>
      <w:tr>
        <w:trPr>
          <w:trHeight w:val="170"/>
        </w:trPr>
        <w:tc>
          <w:tcPr>
            <w:tcW w:w="2860" w:type="dxa"/>
            <w:vAlign w:val="bottom"/>
          </w:tcPr>
          <w:p>
            <w:pPr>
              <w:spacing w:after="0"/>
              <w:rPr>
                <w:sz w:val="20"/>
                <w:szCs w:val="20"/>
                <w:color w:val="auto"/>
              </w:rPr>
            </w:pPr>
            <w:r>
              <w:rPr>
                <w:rFonts w:ascii="Arial" w:cs="Arial" w:eastAsia="Arial" w:hAnsi="Arial"/>
                <w:sz w:val="14"/>
                <w:szCs w:val="14"/>
                <w:color w:val="auto"/>
              </w:rPr>
              <w:t>President</w:t>
            </w:r>
          </w:p>
        </w:tc>
        <w:tc>
          <w:tcPr>
            <w:tcW w:w="3860" w:type="dxa"/>
            <w:vAlign w:val="bottom"/>
          </w:tcPr>
          <w:p>
            <w:pPr>
              <w:ind w:left="1700"/>
              <w:spacing w:after="0"/>
              <w:rPr>
                <w:sz w:val="20"/>
                <w:szCs w:val="20"/>
                <w:color w:val="auto"/>
              </w:rPr>
            </w:pPr>
            <w:r>
              <w:rPr>
                <w:rFonts w:ascii="Arial" w:cs="Arial" w:eastAsia="Arial" w:hAnsi="Arial"/>
                <w:sz w:val="14"/>
                <w:szCs w:val="14"/>
                <w:color w:val="auto"/>
              </w:rPr>
              <w:t>Executive Vice President</w:t>
            </w:r>
          </w:p>
        </w:tc>
        <w:tc>
          <w:tcPr>
            <w:tcW w:w="0" w:type="dxa"/>
            <w:vAlign w:val="bottom"/>
          </w:tcPr>
          <w:p>
            <w:pPr>
              <w:spacing w:after="0"/>
              <w:rPr>
                <w:sz w:val="1"/>
                <w:szCs w:val="1"/>
                <w:color w:val="auto"/>
              </w:rPr>
            </w:pPr>
          </w:p>
        </w:tc>
      </w:tr>
      <w:tr>
        <w:trPr>
          <w:trHeight w:val="180"/>
        </w:trPr>
        <w:tc>
          <w:tcPr>
            <w:tcW w:w="2860" w:type="dxa"/>
            <w:vAlign w:val="bottom"/>
          </w:tcPr>
          <w:p>
            <w:pPr>
              <w:spacing w:after="0"/>
              <w:rPr>
                <w:sz w:val="20"/>
                <w:szCs w:val="20"/>
                <w:color w:val="auto"/>
              </w:rPr>
            </w:pPr>
            <w:r>
              <w:rPr>
                <w:rFonts w:ascii="Arial" w:cs="Arial" w:eastAsia="Arial" w:hAnsi="Arial"/>
                <w:sz w:val="14"/>
                <w:szCs w:val="14"/>
                <w:color w:val="auto"/>
              </w:rPr>
              <w:t>Priority Health</w:t>
            </w:r>
          </w:p>
        </w:tc>
        <w:tc>
          <w:tcPr>
            <w:tcW w:w="3860" w:type="dxa"/>
            <w:vAlign w:val="bottom"/>
          </w:tcPr>
          <w:p>
            <w:pPr>
              <w:ind w:left="1700"/>
              <w:spacing w:after="0"/>
              <w:rPr>
                <w:sz w:val="20"/>
                <w:szCs w:val="20"/>
                <w:color w:val="auto"/>
              </w:rPr>
            </w:pPr>
            <w:r>
              <w:rPr>
                <w:rFonts w:ascii="Arial" w:cs="Arial" w:eastAsia="Arial" w:hAnsi="Arial"/>
                <w:sz w:val="14"/>
                <w:szCs w:val="14"/>
                <w:color w:val="auto"/>
              </w:rPr>
              <w:t>Strategy &amp; Development</w:t>
            </w:r>
          </w:p>
        </w:tc>
        <w:tc>
          <w:tcPr>
            <w:tcW w:w="0" w:type="dxa"/>
            <w:vAlign w:val="bottom"/>
          </w:tcPr>
          <w:p>
            <w:pPr>
              <w:spacing w:after="0"/>
              <w:rPr>
                <w:sz w:val="1"/>
                <w:szCs w:val="1"/>
                <w:color w:val="auto"/>
              </w:rPr>
            </w:pPr>
          </w:p>
        </w:tc>
      </w:tr>
      <w:tr>
        <w:trPr>
          <w:trHeight w:val="330"/>
        </w:trPr>
        <w:tc>
          <w:tcPr>
            <w:tcW w:w="2860" w:type="dxa"/>
            <w:vAlign w:val="bottom"/>
          </w:tcPr>
          <w:p>
            <w:pPr>
              <w:spacing w:after="0"/>
              <w:rPr>
                <w:sz w:val="24"/>
                <w:szCs w:val="24"/>
                <w:color w:val="auto"/>
              </w:rPr>
            </w:pPr>
          </w:p>
        </w:tc>
        <w:tc>
          <w:tcPr>
            <w:tcW w:w="3860" w:type="dxa"/>
            <w:vAlign w:val="bottom"/>
          </w:tcPr>
          <w:p>
            <w:pPr>
              <w:ind w:left="1700"/>
              <w:spacing w:after="0"/>
              <w:rPr>
                <w:sz w:val="20"/>
                <w:szCs w:val="20"/>
                <w:color w:val="auto"/>
              </w:rPr>
            </w:pPr>
            <w:r>
              <w:rPr>
                <w:rFonts w:ascii="Arial" w:cs="Arial" w:eastAsia="Arial" w:hAnsi="Arial"/>
                <w:sz w:val="14"/>
                <w:szCs w:val="14"/>
                <w:color w:val="auto"/>
              </w:rPr>
              <w:t>Donald L. James</w:t>
            </w:r>
          </w:p>
        </w:tc>
        <w:tc>
          <w:tcPr>
            <w:tcW w:w="0" w:type="dxa"/>
            <w:vAlign w:val="bottom"/>
          </w:tcPr>
          <w:p>
            <w:pPr>
              <w:spacing w:after="0"/>
              <w:rPr>
                <w:sz w:val="1"/>
                <w:szCs w:val="1"/>
                <w:color w:val="auto"/>
              </w:rPr>
            </w:pPr>
          </w:p>
        </w:tc>
      </w:tr>
      <w:tr>
        <w:trPr>
          <w:trHeight w:val="170"/>
        </w:trPr>
        <w:tc>
          <w:tcPr>
            <w:tcW w:w="2860" w:type="dxa"/>
            <w:vAlign w:val="bottom"/>
          </w:tcPr>
          <w:p>
            <w:pPr>
              <w:spacing w:after="0"/>
              <w:rPr>
                <w:sz w:val="14"/>
                <w:szCs w:val="14"/>
                <w:color w:val="auto"/>
              </w:rPr>
            </w:pPr>
          </w:p>
        </w:tc>
        <w:tc>
          <w:tcPr>
            <w:tcW w:w="3860" w:type="dxa"/>
            <w:vAlign w:val="bottom"/>
          </w:tcPr>
          <w:p>
            <w:pPr>
              <w:ind w:left="1700"/>
              <w:spacing w:after="0"/>
              <w:rPr>
                <w:sz w:val="20"/>
                <w:szCs w:val="20"/>
                <w:color w:val="auto"/>
              </w:rPr>
            </w:pPr>
            <w:r>
              <w:rPr>
                <w:rFonts w:ascii="Arial" w:cs="Arial" w:eastAsia="Arial" w:hAnsi="Arial"/>
                <w:sz w:val="14"/>
                <w:szCs w:val="14"/>
                <w:color w:val="auto"/>
              </w:rPr>
              <w:t>Executive Vice President</w:t>
            </w:r>
          </w:p>
        </w:tc>
        <w:tc>
          <w:tcPr>
            <w:tcW w:w="0" w:type="dxa"/>
            <w:vAlign w:val="bottom"/>
          </w:tcPr>
          <w:p>
            <w:pPr>
              <w:spacing w:after="0"/>
              <w:rPr>
                <w:sz w:val="1"/>
                <w:szCs w:val="1"/>
                <w:color w:val="auto"/>
              </w:rPr>
            </w:pPr>
          </w:p>
        </w:tc>
      </w:tr>
      <w:tr>
        <w:trPr>
          <w:trHeight w:val="180"/>
        </w:trPr>
        <w:tc>
          <w:tcPr>
            <w:tcW w:w="2860" w:type="dxa"/>
            <w:vAlign w:val="bottom"/>
          </w:tcPr>
          <w:p>
            <w:pPr>
              <w:spacing w:after="0"/>
              <w:rPr>
                <w:sz w:val="15"/>
                <w:szCs w:val="15"/>
                <w:color w:val="auto"/>
              </w:rPr>
            </w:pPr>
          </w:p>
        </w:tc>
        <w:tc>
          <w:tcPr>
            <w:tcW w:w="3860" w:type="dxa"/>
            <w:vAlign w:val="bottom"/>
          </w:tcPr>
          <w:p>
            <w:pPr>
              <w:ind w:left="1700"/>
              <w:spacing w:after="0"/>
              <w:rPr>
                <w:sz w:val="20"/>
                <w:szCs w:val="20"/>
                <w:color w:val="auto"/>
              </w:rPr>
            </w:pPr>
            <w:r>
              <w:rPr>
                <w:rFonts w:ascii="Arial" w:cs="Arial" w:eastAsia="Arial" w:hAnsi="Arial"/>
                <w:sz w:val="14"/>
                <w:szCs w:val="14"/>
                <w:color w:val="auto"/>
              </w:rPr>
              <w:t>National Sales</w:t>
            </w:r>
          </w:p>
        </w:tc>
        <w:tc>
          <w:tcPr>
            <w:tcW w:w="0" w:type="dxa"/>
            <w:vAlign w:val="bottom"/>
          </w:tcPr>
          <w:p>
            <w:pPr>
              <w:spacing w:after="0"/>
              <w:rPr>
                <w:sz w:val="1"/>
                <w:szCs w:val="1"/>
                <w:color w:val="auto"/>
              </w:rPr>
            </w:pPr>
          </w:p>
        </w:tc>
      </w:tr>
      <w:tr>
        <w:trPr>
          <w:trHeight w:val="330"/>
        </w:trPr>
        <w:tc>
          <w:tcPr>
            <w:tcW w:w="2860" w:type="dxa"/>
            <w:vAlign w:val="bottom"/>
          </w:tcPr>
          <w:p>
            <w:pPr>
              <w:spacing w:after="0"/>
              <w:rPr>
                <w:sz w:val="24"/>
                <w:szCs w:val="24"/>
                <w:color w:val="auto"/>
              </w:rPr>
            </w:pPr>
          </w:p>
        </w:tc>
        <w:tc>
          <w:tcPr>
            <w:tcW w:w="3860" w:type="dxa"/>
            <w:vAlign w:val="bottom"/>
          </w:tcPr>
          <w:p>
            <w:pPr>
              <w:ind w:left="1700"/>
              <w:spacing w:after="0"/>
              <w:rPr>
                <w:sz w:val="20"/>
                <w:szCs w:val="20"/>
                <w:color w:val="auto"/>
              </w:rPr>
            </w:pPr>
            <w:r>
              <w:rPr>
                <w:rFonts w:ascii="Arial" w:cs="Arial" w:eastAsia="Arial" w:hAnsi="Arial"/>
                <w:sz w:val="14"/>
                <w:szCs w:val="14"/>
                <w:color w:val="auto"/>
              </w:rPr>
              <w:t>Michael F. Mordell</w:t>
            </w:r>
          </w:p>
        </w:tc>
        <w:tc>
          <w:tcPr>
            <w:tcW w:w="0" w:type="dxa"/>
            <w:vAlign w:val="bottom"/>
          </w:tcPr>
          <w:p>
            <w:pPr>
              <w:spacing w:after="0"/>
              <w:rPr>
                <w:sz w:val="1"/>
                <w:szCs w:val="1"/>
                <w:color w:val="auto"/>
              </w:rPr>
            </w:pPr>
          </w:p>
        </w:tc>
      </w:tr>
      <w:tr>
        <w:trPr>
          <w:trHeight w:val="170"/>
        </w:trPr>
        <w:tc>
          <w:tcPr>
            <w:tcW w:w="2860" w:type="dxa"/>
            <w:vAlign w:val="bottom"/>
          </w:tcPr>
          <w:p>
            <w:pPr>
              <w:spacing w:after="0"/>
              <w:rPr>
                <w:sz w:val="14"/>
                <w:szCs w:val="14"/>
                <w:color w:val="auto"/>
              </w:rPr>
            </w:pPr>
          </w:p>
        </w:tc>
        <w:tc>
          <w:tcPr>
            <w:tcW w:w="3860" w:type="dxa"/>
            <w:vAlign w:val="bottom"/>
          </w:tcPr>
          <w:p>
            <w:pPr>
              <w:ind w:left="1700"/>
              <w:spacing w:after="0"/>
              <w:rPr>
                <w:sz w:val="20"/>
                <w:szCs w:val="20"/>
                <w:color w:val="auto"/>
              </w:rPr>
            </w:pPr>
            <w:r>
              <w:rPr>
                <w:rFonts w:ascii="Arial" w:cs="Arial" w:eastAsia="Arial" w:hAnsi="Arial"/>
                <w:sz w:val="14"/>
                <w:szCs w:val="14"/>
                <w:color w:val="auto"/>
              </w:rPr>
              <w:t>Executive Vice President</w:t>
            </w:r>
          </w:p>
        </w:tc>
        <w:tc>
          <w:tcPr>
            <w:tcW w:w="0" w:type="dxa"/>
            <w:vAlign w:val="bottom"/>
          </w:tcPr>
          <w:p>
            <w:pPr>
              <w:spacing w:after="0"/>
              <w:rPr>
                <w:sz w:val="1"/>
                <w:szCs w:val="1"/>
                <w:color w:val="auto"/>
              </w:rPr>
            </w:pPr>
          </w:p>
        </w:tc>
      </w:tr>
      <w:tr>
        <w:trPr>
          <w:trHeight w:val="180"/>
        </w:trPr>
        <w:tc>
          <w:tcPr>
            <w:tcW w:w="2860" w:type="dxa"/>
            <w:vAlign w:val="bottom"/>
          </w:tcPr>
          <w:p>
            <w:pPr>
              <w:spacing w:after="0"/>
              <w:rPr>
                <w:sz w:val="15"/>
                <w:szCs w:val="15"/>
                <w:color w:val="auto"/>
              </w:rPr>
            </w:pPr>
          </w:p>
        </w:tc>
        <w:tc>
          <w:tcPr>
            <w:tcW w:w="3860" w:type="dxa"/>
            <w:vAlign w:val="bottom"/>
          </w:tcPr>
          <w:p>
            <w:pPr>
              <w:ind w:left="1700"/>
              <w:spacing w:after="0"/>
              <w:rPr>
                <w:sz w:val="20"/>
                <w:szCs w:val="20"/>
                <w:color w:val="auto"/>
              </w:rPr>
            </w:pPr>
            <w:r>
              <w:rPr>
                <w:rFonts w:ascii="Arial" w:cs="Arial" w:eastAsia="Arial" w:hAnsi="Arial"/>
                <w:sz w:val="14"/>
                <w:szCs w:val="14"/>
                <w:color w:val="auto"/>
              </w:rPr>
              <w:t>International Operations</w:t>
            </w:r>
          </w:p>
        </w:tc>
        <w:tc>
          <w:tcPr>
            <w:tcW w:w="0" w:type="dxa"/>
            <w:vAlign w:val="bottom"/>
          </w:tcPr>
          <w:p>
            <w:pPr>
              <w:spacing w:after="0"/>
              <w:rPr>
                <w:sz w:val="1"/>
                <w:szCs w:val="1"/>
                <w:color w:val="auto"/>
              </w:rPr>
            </w:pPr>
          </w:p>
        </w:tc>
      </w:tr>
      <w:tr>
        <w:trPr>
          <w:trHeight w:val="330"/>
        </w:trPr>
        <w:tc>
          <w:tcPr>
            <w:tcW w:w="2860" w:type="dxa"/>
            <w:vAlign w:val="bottom"/>
          </w:tcPr>
          <w:p>
            <w:pPr>
              <w:spacing w:after="0"/>
              <w:rPr>
                <w:sz w:val="24"/>
                <w:szCs w:val="24"/>
                <w:color w:val="auto"/>
              </w:rPr>
            </w:pPr>
          </w:p>
        </w:tc>
        <w:tc>
          <w:tcPr>
            <w:tcW w:w="3860" w:type="dxa"/>
            <w:vAlign w:val="bottom"/>
          </w:tcPr>
          <w:p>
            <w:pPr>
              <w:ind w:left="1700"/>
              <w:spacing w:after="0"/>
              <w:rPr>
                <w:sz w:val="20"/>
                <w:szCs w:val="20"/>
                <w:color w:val="auto"/>
              </w:rPr>
            </w:pPr>
            <w:r>
              <w:rPr>
                <w:rFonts w:ascii="Arial" w:cs="Arial" w:eastAsia="Arial" w:hAnsi="Arial"/>
                <w:sz w:val="14"/>
                <w:szCs w:val="14"/>
                <w:color w:val="auto"/>
              </w:rPr>
              <w:t>Chad C. Uhlig Eastin</w:t>
            </w:r>
          </w:p>
        </w:tc>
        <w:tc>
          <w:tcPr>
            <w:tcW w:w="0" w:type="dxa"/>
            <w:vAlign w:val="bottom"/>
          </w:tcPr>
          <w:p>
            <w:pPr>
              <w:spacing w:after="0"/>
              <w:rPr>
                <w:sz w:val="1"/>
                <w:szCs w:val="1"/>
                <w:color w:val="auto"/>
              </w:rPr>
            </w:pPr>
          </w:p>
        </w:tc>
      </w:tr>
      <w:tr>
        <w:trPr>
          <w:trHeight w:val="170"/>
        </w:trPr>
        <w:tc>
          <w:tcPr>
            <w:tcW w:w="2860" w:type="dxa"/>
            <w:vAlign w:val="bottom"/>
          </w:tcPr>
          <w:p>
            <w:pPr>
              <w:spacing w:after="0"/>
              <w:rPr>
                <w:sz w:val="14"/>
                <w:szCs w:val="14"/>
                <w:color w:val="auto"/>
              </w:rPr>
            </w:pPr>
          </w:p>
        </w:tc>
        <w:tc>
          <w:tcPr>
            <w:tcW w:w="3860" w:type="dxa"/>
            <w:vAlign w:val="bottom"/>
          </w:tcPr>
          <w:p>
            <w:pPr>
              <w:ind w:left="1700"/>
              <w:spacing w:after="0"/>
              <w:rPr>
                <w:sz w:val="20"/>
                <w:szCs w:val="20"/>
                <w:color w:val="auto"/>
              </w:rPr>
            </w:pPr>
            <w:r>
              <w:rPr>
                <w:rFonts w:ascii="Arial" w:cs="Arial" w:eastAsia="Arial" w:hAnsi="Arial"/>
                <w:sz w:val="14"/>
                <w:szCs w:val="14"/>
                <w:color w:val="auto"/>
              </w:rPr>
              <w:t>Executive Vice President</w:t>
            </w:r>
          </w:p>
        </w:tc>
        <w:tc>
          <w:tcPr>
            <w:tcW w:w="0" w:type="dxa"/>
            <w:vAlign w:val="bottom"/>
          </w:tcPr>
          <w:p>
            <w:pPr>
              <w:spacing w:after="0"/>
              <w:rPr>
                <w:sz w:val="1"/>
                <w:szCs w:val="1"/>
                <w:color w:val="auto"/>
              </w:rPr>
            </w:pPr>
          </w:p>
        </w:tc>
      </w:tr>
      <w:tr>
        <w:trPr>
          <w:trHeight w:val="180"/>
        </w:trPr>
        <w:tc>
          <w:tcPr>
            <w:tcW w:w="2860" w:type="dxa"/>
            <w:vAlign w:val="bottom"/>
          </w:tcPr>
          <w:p>
            <w:pPr>
              <w:spacing w:after="0"/>
              <w:rPr>
                <w:sz w:val="15"/>
                <w:szCs w:val="15"/>
                <w:color w:val="auto"/>
              </w:rPr>
            </w:pPr>
          </w:p>
        </w:tc>
        <w:tc>
          <w:tcPr>
            <w:tcW w:w="3860" w:type="dxa"/>
            <w:vAlign w:val="bottom"/>
          </w:tcPr>
          <w:p>
            <w:pPr>
              <w:ind w:left="1700"/>
              <w:spacing w:after="0"/>
              <w:rPr>
                <w:sz w:val="20"/>
                <w:szCs w:val="20"/>
                <w:color w:val="auto"/>
              </w:rPr>
            </w:pPr>
            <w:r>
              <w:rPr>
                <w:rFonts w:ascii="Arial" w:cs="Arial" w:eastAsia="Arial" w:hAnsi="Arial"/>
                <w:sz w:val="14"/>
                <w:szCs w:val="14"/>
                <w:color w:val="auto"/>
              </w:rPr>
              <w:t>Purchasing</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40"/>
        <w:spacing w:after="0"/>
        <w:rPr>
          <w:sz w:val="20"/>
          <w:szCs w:val="20"/>
          <w:color w:val="auto"/>
        </w:rPr>
      </w:pPr>
      <w:r>
        <w:rPr>
          <w:rFonts w:ascii="Arial" w:cs="Arial" w:eastAsia="Arial" w:hAnsi="Arial"/>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66675</wp:posOffset>
            </wp:positionV>
            <wp:extent cx="5779135" cy="2032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2">
                      <a:extLst>
                        <a:ext uri="{28A0092B-C50C-407E-A947-70E740481C1C}"/>
                      </a:extLst>
                    </a:blip>
                    <a:srcRect/>
                    <a:stretch>
                      <a:fillRect/>
                    </a:stretch>
                  </pic:blipFill>
                  <pic:spPr bwMode="auto">
                    <a:xfrm>
                      <a:off x="0" y="0"/>
                      <a:ext cx="5779135" cy="20320"/>
                    </a:xfrm>
                    <a:prstGeom prst="rect">
                      <a:avLst/>
                    </a:prstGeom>
                    <a:noFill/>
                  </pic:spPr>
                </pic:pic>
              </a:graphicData>
            </a:graphic>
          </wp:anchor>
        </w:drawing>
      </w:r>
    </w:p>
    <w:p>
      <w:pPr>
        <w:sectPr>
          <w:pgSz w:w="11900" w:h="16838" w:orient="portrait"/>
          <w:cols w:equalWidth="0" w:num="1">
            <w:col w:w="9059"/>
          </w:cols>
          <w:pgMar w:left="1400" w:top="129" w:right="1440" w:bottom="1440" w:gutter="0" w:footer="0" w:header="0"/>
        </w:sectPr>
      </w:pPr>
    </w:p>
    <w:bookmarkStart w:id="100" w:name="page101"/>
    <w:bookmarkEnd w:id="100"/>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9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Shareholder Information</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ANNUAL MEETING</w:t>
      </w:r>
    </w:p>
    <w:p>
      <w:pPr>
        <w:spacing w:after="0" w:line="183" w:lineRule="exact"/>
        <w:rPr>
          <w:sz w:val="20"/>
          <w:szCs w:val="20"/>
          <w:color w:val="auto"/>
        </w:rPr>
      </w:pPr>
    </w:p>
    <w:p>
      <w:pPr>
        <w:spacing w:after="0"/>
        <w:rPr>
          <w:sz w:val="20"/>
          <w:szCs w:val="20"/>
          <w:color w:val="auto"/>
        </w:rPr>
      </w:pPr>
      <w:r>
        <w:rPr>
          <w:rFonts w:ascii="Arial" w:cs="Arial" w:eastAsia="Arial" w:hAnsi="Arial"/>
          <w:sz w:val="13"/>
          <w:szCs w:val="13"/>
          <w:color w:val="auto"/>
        </w:rPr>
        <w:t>The annual meeting of Universal Forest Products, Inc. will be held at 8:30 a.m. on April 24, 2019, at 2880 East Beltline Lane NE, Grand Rapids, MI 49525.</w:t>
      </w:r>
    </w:p>
    <w:p>
      <w:pPr>
        <w:spacing w:after="0" w:line="18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SHAREHOLDER INFORMATION</w:t>
      </w:r>
    </w:p>
    <w:p>
      <w:pPr>
        <w:spacing w:after="0" w:line="183" w:lineRule="exact"/>
        <w:rPr>
          <w:sz w:val="20"/>
          <w:szCs w:val="20"/>
          <w:color w:val="auto"/>
        </w:rPr>
      </w:pPr>
    </w:p>
    <w:p>
      <w:pPr>
        <w:spacing w:after="0" w:line="150" w:lineRule="exact"/>
        <w:rPr>
          <w:sz w:val="20"/>
          <w:szCs w:val="20"/>
          <w:color w:val="auto"/>
        </w:rPr>
      </w:pPr>
      <w:r>
        <w:rPr>
          <w:rFonts w:ascii="Arial" w:cs="Arial" w:eastAsia="Arial" w:hAnsi="Arial"/>
          <w:sz w:val="13"/>
          <w:szCs w:val="13"/>
          <w:color w:val="auto"/>
        </w:rPr>
        <w:t>Shares of the Company’s stock are traded under the symbol UFPI on the NASDAQ Stock Market. The Company’s 10</w:t>
      </w:r>
      <w:r>
        <w:rPr>
          <w:rFonts w:ascii="MS PGothic" w:cs="MS PGothic" w:eastAsia="MS PGothic" w:hAnsi="MS PGothic"/>
          <w:sz w:val="13"/>
          <w:szCs w:val="13"/>
          <w:color w:val="auto"/>
        </w:rPr>
        <w:t>‑</w:t>
      </w:r>
      <w:r>
        <w:rPr>
          <w:rFonts w:ascii="Arial" w:cs="Arial" w:eastAsia="Arial" w:hAnsi="Arial"/>
          <w:sz w:val="13"/>
          <w:szCs w:val="13"/>
          <w:color w:val="auto"/>
        </w:rPr>
        <w:t>K report, filed with the Securities and</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Exchange Commission, will be provided free of charge to any shareholder upon written request. For more information contact:</w:t>
      </w:r>
    </w:p>
    <w:p>
      <w:pPr>
        <w:spacing w:after="0" w:line="169" w:lineRule="exact"/>
        <w:rPr>
          <w:sz w:val="20"/>
          <w:szCs w:val="20"/>
          <w:color w:val="auto"/>
        </w:rPr>
      </w:pPr>
    </w:p>
    <w:p>
      <w:pPr>
        <w:spacing w:after="0"/>
        <w:rPr>
          <w:sz w:val="20"/>
          <w:szCs w:val="20"/>
          <w:color w:val="auto"/>
        </w:rPr>
      </w:pPr>
      <w:r>
        <w:rPr>
          <w:rFonts w:ascii="Arial" w:cs="Arial" w:eastAsia="Arial" w:hAnsi="Arial"/>
          <w:sz w:val="14"/>
          <w:szCs w:val="14"/>
          <w:color w:val="auto"/>
        </w:rPr>
        <w:t>Investor Relations Department</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Universal Forest Products, Inc.</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2801 East Beltline NE</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Grand Rapids, MI 49525</w:t>
      </w:r>
    </w:p>
    <w:p>
      <w:pPr>
        <w:spacing w:after="0" w:line="9" w:lineRule="exact"/>
        <w:rPr>
          <w:sz w:val="20"/>
          <w:szCs w:val="20"/>
          <w:color w:val="auto"/>
        </w:rPr>
      </w:pPr>
    </w:p>
    <w:p>
      <w:pPr>
        <w:spacing w:after="0" w:line="161" w:lineRule="exact"/>
        <w:rPr>
          <w:sz w:val="20"/>
          <w:szCs w:val="20"/>
          <w:color w:val="auto"/>
        </w:rPr>
      </w:pPr>
      <w:r>
        <w:rPr>
          <w:rFonts w:ascii="Arial" w:cs="Arial" w:eastAsia="Arial" w:hAnsi="Arial"/>
          <w:sz w:val="14"/>
          <w:szCs w:val="14"/>
          <w:color w:val="auto"/>
        </w:rPr>
        <w:t>Telephone: (616) 364</w:t>
      </w:r>
      <w:r>
        <w:rPr>
          <w:rFonts w:ascii="MS PGothic" w:cs="MS PGothic" w:eastAsia="MS PGothic" w:hAnsi="MS PGothic"/>
          <w:sz w:val="14"/>
          <w:szCs w:val="14"/>
          <w:color w:val="auto"/>
        </w:rPr>
        <w:t>‑</w:t>
      </w:r>
      <w:r>
        <w:rPr>
          <w:rFonts w:ascii="Arial" w:cs="Arial" w:eastAsia="Arial" w:hAnsi="Arial"/>
          <w:sz w:val="14"/>
          <w:szCs w:val="14"/>
          <w:color w:val="auto"/>
        </w:rPr>
        <w:t>6161</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Web: www.ufpi.com</w:t>
      </w:r>
    </w:p>
    <w:p>
      <w:pPr>
        <w:spacing w:after="0" w:line="16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SECURITIES COUNSEL</w:t>
      </w:r>
    </w:p>
    <w:p>
      <w:pPr>
        <w:spacing w:after="0" w:line="183" w:lineRule="exact"/>
        <w:rPr>
          <w:sz w:val="20"/>
          <w:szCs w:val="20"/>
          <w:color w:val="auto"/>
        </w:rPr>
      </w:pPr>
    </w:p>
    <w:p>
      <w:pPr>
        <w:spacing w:after="0"/>
        <w:rPr>
          <w:sz w:val="20"/>
          <w:szCs w:val="20"/>
          <w:color w:val="auto"/>
        </w:rPr>
      </w:pPr>
      <w:r>
        <w:rPr>
          <w:rFonts w:ascii="Arial" w:cs="Arial" w:eastAsia="Arial" w:hAnsi="Arial"/>
          <w:sz w:val="14"/>
          <w:szCs w:val="14"/>
          <w:color w:val="auto"/>
        </w:rPr>
        <w:t>Varnum, LLP</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Grand Rapids, MI</w:t>
      </w:r>
    </w:p>
    <w:p>
      <w:pPr>
        <w:spacing w:after="0" w:line="16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INDEPENDENT REGISTERED PUBLIC ACCOUNTING FIRM</w:t>
      </w:r>
    </w:p>
    <w:p>
      <w:pPr>
        <w:spacing w:after="0" w:line="183" w:lineRule="exact"/>
        <w:rPr>
          <w:sz w:val="20"/>
          <w:szCs w:val="20"/>
          <w:color w:val="auto"/>
        </w:rPr>
      </w:pPr>
    </w:p>
    <w:p>
      <w:pPr>
        <w:spacing w:after="0"/>
        <w:rPr>
          <w:sz w:val="20"/>
          <w:szCs w:val="20"/>
          <w:color w:val="auto"/>
        </w:rPr>
      </w:pPr>
      <w:r>
        <w:rPr>
          <w:rFonts w:ascii="Arial" w:cs="Arial" w:eastAsia="Arial" w:hAnsi="Arial"/>
          <w:sz w:val="14"/>
          <w:szCs w:val="14"/>
          <w:color w:val="auto"/>
        </w:rPr>
        <w:t>Deloitte &amp; Touche LLP</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Grand Rapids, MI</w:t>
      </w:r>
    </w:p>
    <w:p>
      <w:pPr>
        <w:spacing w:after="0" w:line="16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TRANSFER AGENT/SHAREHOLDER INQUIRIES</w:t>
      </w:r>
    </w:p>
    <w:p>
      <w:pPr>
        <w:spacing w:after="0" w:line="183" w:lineRule="exact"/>
        <w:rPr>
          <w:sz w:val="20"/>
          <w:szCs w:val="20"/>
          <w:color w:val="auto"/>
        </w:rPr>
      </w:pPr>
    </w:p>
    <w:p>
      <w:pPr>
        <w:spacing w:after="0" w:line="281" w:lineRule="auto"/>
        <w:rPr>
          <w:sz w:val="20"/>
          <w:szCs w:val="20"/>
          <w:color w:val="auto"/>
        </w:rPr>
      </w:pPr>
      <w:r>
        <w:rPr>
          <w:rFonts w:ascii="Arial" w:cs="Arial" w:eastAsia="Arial" w:hAnsi="Arial"/>
          <w:sz w:val="14"/>
          <w:szCs w:val="14"/>
          <w:color w:val="auto"/>
        </w:rPr>
        <w:t>American Stock Transfer &amp; Trust Company serves as the transfer agent for the Corporation. Inquiries relating to stock transfers, changes of ownership, lost or stolen stock certificates, changes of address, and dividend payments should be addressed to:</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color w:val="auto"/>
        </w:rPr>
        <w:t>American Stock Transfer &amp; Trust Co.</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6201 15th Ave</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Brooklyn, NY 11219</w:t>
      </w:r>
    </w:p>
    <w:p>
      <w:pPr>
        <w:spacing w:after="0" w:line="9" w:lineRule="exact"/>
        <w:rPr>
          <w:sz w:val="20"/>
          <w:szCs w:val="20"/>
          <w:color w:val="auto"/>
        </w:rPr>
      </w:pPr>
    </w:p>
    <w:p>
      <w:pPr>
        <w:spacing w:after="0" w:line="161" w:lineRule="exact"/>
        <w:rPr>
          <w:sz w:val="20"/>
          <w:szCs w:val="20"/>
          <w:color w:val="auto"/>
        </w:rPr>
      </w:pPr>
      <w:r>
        <w:rPr>
          <w:rFonts w:ascii="Arial" w:cs="Arial" w:eastAsia="Arial" w:hAnsi="Arial"/>
          <w:sz w:val="14"/>
          <w:szCs w:val="14"/>
          <w:color w:val="auto"/>
        </w:rPr>
        <w:t>Telephone: (800) 937</w:t>
      </w:r>
      <w:r>
        <w:rPr>
          <w:rFonts w:ascii="MS PGothic" w:cs="MS PGothic" w:eastAsia="MS PGothic" w:hAnsi="MS PGothic"/>
          <w:sz w:val="14"/>
          <w:szCs w:val="14"/>
          <w:color w:val="auto"/>
        </w:rPr>
        <w:t>‑</w:t>
      </w:r>
      <w:r>
        <w:rPr>
          <w:rFonts w:ascii="Arial" w:cs="Arial" w:eastAsia="Arial" w:hAnsi="Arial"/>
          <w:sz w:val="14"/>
          <w:szCs w:val="14"/>
          <w:color w:val="auto"/>
        </w:rPr>
        <w:t>5449</w:t>
      </w:r>
    </w:p>
    <w:p>
      <w:pPr>
        <w:spacing w:after="0" w:line="16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UNIVERSAL FOREST PRODUCTS®, INC., CORPORATE HEADQUARTERS</w:t>
      </w:r>
    </w:p>
    <w:p>
      <w:pPr>
        <w:spacing w:after="0" w:line="183" w:lineRule="exact"/>
        <w:rPr>
          <w:sz w:val="20"/>
          <w:szCs w:val="20"/>
          <w:color w:val="auto"/>
        </w:rPr>
      </w:pPr>
    </w:p>
    <w:p>
      <w:pPr>
        <w:spacing w:after="0"/>
        <w:rPr>
          <w:sz w:val="20"/>
          <w:szCs w:val="20"/>
          <w:color w:val="auto"/>
        </w:rPr>
      </w:pPr>
      <w:r>
        <w:rPr>
          <w:rFonts w:ascii="Arial" w:cs="Arial" w:eastAsia="Arial" w:hAnsi="Arial"/>
          <w:sz w:val="14"/>
          <w:szCs w:val="14"/>
          <w:color w:val="auto"/>
        </w:rPr>
        <w:t>2801 East Beltline NE</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Grand Rapids, MI 49525</w:t>
      </w:r>
    </w:p>
    <w:p>
      <w:pPr>
        <w:spacing w:after="0" w:line="9" w:lineRule="exact"/>
        <w:rPr>
          <w:sz w:val="20"/>
          <w:szCs w:val="20"/>
          <w:color w:val="auto"/>
        </w:rPr>
      </w:pPr>
    </w:p>
    <w:p>
      <w:pPr>
        <w:spacing w:after="0" w:line="161" w:lineRule="exact"/>
        <w:rPr>
          <w:sz w:val="20"/>
          <w:szCs w:val="20"/>
          <w:color w:val="auto"/>
        </w:rPr>
      </w:pPr>
      <w:r>
        <w:rPr>
          <w:rFonts w:ascii="Arial" w:cs="Arial" w:eastAsia="Arial" w:hAnsi="Arial"/>
          <w:sz w:val="14"/>
          <w:szCs w:val="14"/>
          <w:color w:val="auto"/>
        </w:rPr>
        <w:t>Telephone: (616) 364</w:t>
      </w:r>
      <w:r>
        <w:rPr>
          <w:rFonts w:ascii="MS PGothic" w:cs="MS PGothic" w:eastAsia="MS PGothic" w:hAnsi="MS PGothic"/>
          <w:sz w:val="14"/>
          <w:szCs w:val="14"/>
          <w:color w:val="auto"/>
        </w:rPr>
        <w:t>‑</w:t>
      </w:r>
      <w:r>
        <w:rPr>
          <w:rFonts w:ascii="Arial" w:cs="Arial" w:eastAsia="Arial" w:hAnsi="Arial"/>
          <w:sz w:val="14"/>
          <w:szCs w:val="14"/>
          <w:color w:val="auto"/>
        </w:rPr>
        <w:t>6161</w:t>
      </w:r>
    </w:p>
    <w:p>
      <w:pPr>
        <w:spacing w:after="0" w:line="9" w:lineRule="exact"/>
        <w:rPr>
          <w:sz w:val="20"/>
          <w:szCs w:val="20"/>
          <w:color w:val="auto"/>
        </w:rPr>
      </w:pPr>
    </w:p>
    <w:p>
      <w:pPr>
        <w:spacing w:after="0" w:line="161" w:lineRule="exact"/>
        <w:rPr>
          <w:sz w:val="20"/>
          <w:szCs w:val="20"/>
          <w:color w:val="auto"/>
        </w:rPr>
      </w:pPr>
      <w:r>
        <w:rPr>
          <w:rFonts w:ascii="Arial" w:cs="Arial" w:eastAsia="Arial" w:hAnsi="Arial"/>
          <w:sz w:val="14"/>
          <w:szCs w:val="14"/>
          <w:color w:val="auto"/>
        </w:rPr>
        <w:t>Facsimile: (616) 364</w:t>
      </w:r>
      <w:r>
        <w:rPr>
          <w:rFonts w:ascii="MS PGothic" w:cs="MS PGothic" w:eastAsia="MS PGothic" w:hAnsi="MS PGothic"/>
          <w:sz w:val="14"/>
          <w:szCs w:val="14"/>
          <w:color w:val="auto"/>
        </w:rPr>
        <w:t>‑</w:t>
      </w:r>
      <w:r>
        <w:rPr>
          <w:rFonts w:ascii="Arial" w:cs="Arial" w:eastAsia="Arial" w:hAnsi="Arial"/>
          <w:sz w:val="14"/>
          <w:szCs w:val="14"/>
          <w:color w:val="auto"/>
        </w:rPr>
        <w:t>5558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66675</wp:posOffset>
            </wp:positionV>
            <wp:extent cx="5779135" cy="2032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3">
                      <a:extLst>
                        <a:ext uri="{28A0092B-C50C-407E-A947-70E740481C1C}"/>
                      </a:extLst>
                    </a:blip>
                    <a:srcRect/>
                    <a:stretch>
                      <a:fillRect/>
                    </a:stretch>
                  </pic:blipFill>
                  <pic:spPr bwMode="auto">
                    <a:xfrm>
                      <a:off x="0" y="0"/>
                      <a:ext cx="5779135" cy="20320"/>
                    </a:xfrm>
                    <a:prstGeom prst="rect">
                      <a:avLst/>
                    </a:prstGeom>
                    <a:noFill/>
                  </pic:spPr>
                </pic:pic>
              </a:graphicData>
            </a:graphic>
          </wp:anchor>
        </w:drawing>
      </w:r>
    </w:p>
    <w:p>
      <w:pPr>
        <w:sectPr>
          <w:pgSz w:w="11900" w:h="16838" w:orient="portrait"/>
          <w:cols w:equalWidth="0" w:num="1">
            <w:col w:w="9100"/>
          </w:cols>
          <w:pgMar w:left="1400" w:top="129" w:right="1399" w:bottom="1440" w:gutter="0" w:footer="0" w:header="0"/>
        </w:sectPr>
      </w:pPr>
    </w:p>
    <w:bookmarkStart w:id="101" w:name="page102"/>
    <w:bookmarkEnd w:id="101"/>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UNIVERSAL FOREST PRODUCTS®, INC., AND ITS AFFILIATES</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Locations: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40" w:type="dxa"/>
            <w:vAlign w:val="bottom"/>
            <w:shd w:val="clear" w:color="auto" w:fill="CCEEFF"/>
          </w:tcPr>
          <w:p>
            <w:pPr>
              <w:spacing w:after="0"/>
              <w:rPr>
                <w:sz w:val="20"/>
                <w:szCs w:val="20"/>
                <w:color w:val="auto"/>
              </w:rPr>
            </w:pPr>
            <w:r>
              <w:rPr>
                <w:rFonts w:ascii="Arial" w:cs="Arial" w:eastAsia="Arial" w:hAnsi="Arial"/>
                <w:sz w:val="11"/>
                <w:szCs w:val="11"/>
                <w:color w:val="auto"/>
              </w:rPr>
              <w:t>Adairsville, GA</w:t>
            </w:r>
          </w:p>
        </w:tc>
        <w:tc>
          <w:tcPr>
            <w:tcW w:w="3380" w:type="dxa"/>
            <w:vAlign w:val="bottom"/>
            <w:shd w:val="clear" w:color="auto" w:fill="CCEEFF"/>
          </w:tcPr>
          <w:p>
            <w:pPr>
              <w:ind w:left="1060"/>
              <w:spacing w:after="0"/>
              <w:rPr>
                <w:sz w:val="20"/>
                <w:szCs w:val="20"/>
                <w:color w:val="auto"/>
              </w:rPr>
            </w:pPr>
            <w:r>
              <w:rPr>
                <w:rFonts w:ascii="Arial" w:cs="Arial" w:eastAsia="Arial" w:hAnsi="Arial"/>
                <w:sz w:val="11"/>
                <w:szCs w:val="11"/>
                <w:color w:val="auto"/>
              </w:rPr>
              <w:t>Newnan, GA</w:t>
            </w:r>
          </w:p>
        </w:tc>
        <w:tc>
          <w:tcPr>
            <w:tcW w:w="3680" w:type="dxa"/>
            <w:vAlign w:val="bottom"/>
            <w:shd w:val="clear" w:color="auto" w:fill="CCEEFF"/>
          </w:tcPr>
          <w:p>
            <w:pPr>
              <w:ind w:left="760"/>
              <w:spacing w:after="0"/>
              <w:rPr>
                <w:sz w:val="20"/>
                <w:szCs w:val="20"/>
                <w:color w:val="auto"/>
              </w:rPr>
            </w:pPr>
            <w:r>
              <w:rPr>
                <w:rFonts w:ascii="Arial" w:cs="Arial" w:eastAsia="Arial" w:hAnsi="Arial"/>
                <w:sz w:val="11"/>
                <w:szCs w:val="11"/>
                <w:color w:val="auto"/>
              </w:rPr>
              <w:t>Freewater, OR</w:t>
            </w:r>
          </w:p>
        </w:tc>
      </w:tr>
      <w:tr>
        <w:trPr>
          <w:trHeight w:val="117"/>
        </w:trPr>
        <w:tc>
          <w:tcPr>
            <w:tcW w:w="2040" w:type="dxa"/>
            <w:vAlign w:val="bottom"/>
          </w:tcPr>
          <w:p>
            <w:pPr>
              <w:spacing w:after="0" w:line="117" w:lineRule="exact"/>
              <w:rPr>
                <w:sz w:val="20"/>
                <w:szCs w:val="20"/>
                <w:color w:val="auto"/>
              </w:rPr>
            </w:pPr>
            <w:r>
              <w:rPr>
                <w:rFonts w:ascii="Arial" w:cs="Arial" w:eastAsia="Arial" w:hAnsi="Arial"/>
                <w:sz w:val="11"/>
                <w:szCs w:val="11"/>
                <w:color w:val="auto"/>
              </w:rPr>
              <w:t>Ashburn, GA</w:t>
            </w:r>
          </w:p>
        </w:tc>
        <w:tc>
          <w:tcPr>
            <w:tcW w:w="3380" w:type="dxa"/>
            <w:vAlign w:val="bottom"/>
          </w:tcPr>
          <w:p>
            <w:pPr>
              <w:ind w:left="1060"/>
              <w:spacing w:after="0" w:line="117" w:lineRule="exact"/>
              <w:rPr>
                <w:sz w:val="20"/>
                <w:szCs w:val="20"/>
                <w:color w:val="auto"/>
              </w:rPr>
            </w:pPr>
            <w:r>
              <w:rPr>
                <w:rFonts w:ascii="Arial" w:cs="Arial" w:eastAsia="Arial" w:hAnsi="Arial"/>
                <w:sz w:val="11"/>
                <w:szCs w:val="11"/>
                <w:color w:val="auto"/>
              </w:rPr>
              <w:t>Ooltewah, TN</w:t>
            </w:r>
          </w:p>
        </w:tc>
        <w:tc>
          <w:tcPr>
            <w:tcW w:w="3680" w:type="dxa"/>
            <w:vAlign w:val="bottom"/>
          </w:tcPr>
          <w:p>
            <w:pPr>
              <w:ind w:left="760"/>
              <w:spacing w:after="0" w:line="117" w:lineRule="exact"/>
              <w:rPr>
                <w:sz w:val="20"/>
                <w:szCs w:val="20"/>
                <w:color w:val="auto"/>
              </w:rPr>
            </w:pPr>
            <w:r>
              <w:rPr>
                <w:rFonts w:ascii="Arial" w:cs="Arial" w:eastAsia="Arial" w:hAnsi="Arial"/>
                <w:sz w:val="11"/>
                <w:szCs w:val="11"/>
                <w:color w:val="auto"/>
              </w:rPr>
              <w:t>Gainesville, GA</w:t>
            </w:r>
          </w:p>
        </w:tc>
      </w:tr>
      <w:tr>
        <w:trPr>
          <w:trHeight w:val="117"/>
        </w:trPr>
        <w:tc>
          <w:tcPr>
            <w:tcW w:w="2040" w:type="dxa"/>
            <w:vAlign w:val="bottom"/>
            <w:shd w:val="clear" w:color="auto" w:fill="CCEEFF"/>
          </w:tcPr>
          <w:p>
            <w:pPr>
              <w:spacing w:after="0" w:line="117" w:lineRule="exact"/>
              <w:rPr>
                <w:sz w:val="20"/>
                <w:szCs w:val="20"/>
                <w:color w:val="auto"/>
              </w:rPr>
            </w:pPr>
            <w:r>
              <w:rPr>
                <w:rFonts w:ascii="Arial" w:cs="Arial" w:eastAsia="Arial" w:hAnsi="Arial"/>
                <w:sz w:val="11"/>
                <w:szCs w:val="11"/>
                <w:color w:val="auto"/>
              </w:rPr>
              <w:t>Atco, NJ</w:t>
            </w:r>
          </w:p>
        </w:tc>
        <w:tc>
          <w:tcPr>
            <w:tcW w:w="3380" w:type="dxa"/>
            <w:vAlign w:val="bottom"/>
            <w:shd w:val="clear" w:color="auto" w:fill="CCEEFF"/>
          </w:tcPr>
          <w:p>
            <w:pPr>
              <w:ind w:left="1060"/>
              <w:spacing w:after="0" w:line="117" w:lineRule="exact"/>
              <w:rPr>
                <w:sz w:val="20"/>
                <w:szCs w:val="20"/>
                <w:color w:val="auto"/>
              </w:rPr>
            </w:pPr>
            <w:r>
              <w:rPr>
                <w:rFonts w:ascii="Arial" w:cs="Arial" w:eastAsia="Arial" w:hAnsi="Arial"/>
                <w:sz w:val="11"/>
                <w:szCs w:val="11"/>
                <w:color w:val="auto"/>
              </w:rPr>
              <w:t>Parker, PA</w:t>
            </w:r>
          </w:p>
        </w:tc>
        <w:tc>
          <w:tcPr>
            <w:tcW w:w="3680" w:type="dxa"/>
            <w:vAlign w:val="bottom"/>
            <w:shd w:val="clear" w:color="auto" w:fill="CCEEFF"/>
          </w:tcPr>
          <w:p>
            <w:pPr>
              <w:ind w:left="760"/>
              <w:spacing w:after="0" w:line="117" w:lineRule="exact"/>
              <w:rPr>
                <w:sz w:val="20"/>
                <w:szCs w:val="20"/>
                <w:color w:val="auto"/>
              </w:rPr>
            </w:pPr>
            <w:r>
              <w:rPr>
                <w:rFonts w:ascii="Arial" w:cs="Arial" w:eastAsia="Arial" w:hAnsi="Arial"/>
                <w:sz w:val="11"/>
                <w:szCs w:val="11"/>
                <w:color w:val="auto"/>
              </w:rPr>
              <w:t>Gilmer, TX</w:t>
            </w:r>
          </w:p>
        </w:tc>
      </w:tr>
      <w:tr>
        <w:trPr>
          <w:trHeight w:val="117"/>
        </w:trPr>
        <w:tc>
          <w:tcPr>
            <w:tcW w:w="2040" w:type="dxa"/>
            <w:vAlign w:val="bottom"/>
          </w:tcPr>
          <w:p>
            <w:pPr>
              <w:spacing w:after="0" w:line="117" w:lineRule="exact"/>
              <w:rPr>
                <w:sz w:val="20"/>
                <w:szCs w:val="20"/>
                <w:color w:val="auto"/>
              </w:rPr>
            </w:pPr>
            <w:r>
              <w:rPr>
                <w:rFonts w:ascii="Arial" w:cs="Arial" w:eastAsia="Arial" w:hAnsi="Arial"/>
                <w:sz w:val="11"/>
                <w:szCs w:val="11"/>
                <w:color w:val="auto"/>
              </w:rPr>
              <w:t>Auburn , NY</w:t>
            </w:r>
          </w:p>
        </w:tc>
        <w:tc>
          <w:tcPr>
            <w:tcW w:w="3380" w:type="dxa"/>
            <w:vAlign w:val="bottom"/>
          </w:tcPr>
          <w:p>
            <w:pPr>
              <w:ind w:left="1060"/>
              <w:spacing w:after="0" w:line="117" w:lineRule="exact"/>
              <w:rPr>
                <w:sz w:val="20"/>
                <w:szCs w:val="20"/>
                <w:color w:val="auto"/>
              </w:rPr>
            </w:pPr>
            <w:r>
              <w:rPr>
                <w:rFonts w:ascii="Arial" w:cs="Arial" w:eastAsia="Arial" w:hAnsi="Arial"/>
                <w:sz w:val="11"/>
                <w:szCs w:val="11"/>
                <w:color w:val="auto"/>
              </w:rPr>
              <w:t>Pearisburg, VA</w:t>
            </w:r>
          </w:p>
        </w:tc>
        <w:tc>
          <w:tcPr>
            <w:tcW w:w="3680" w:type="dxa"/>
            <w:vAlign w:val="bottom"/>
          </w:tcPr>
          <w:p>
            <w:pPr>
              <w:ind w:left="760"/>
              <w:spacing w:after="0" w:line="117" w:lineRule="exact"/>
              <w:rPr>
                <w:sz w:val="20"/>
                <w:szCs w:val="20"/>
                <w:color w:val="auto"/>
              </w:rPr>
            </w:pPr>
            <w:r>
              <w:rPr>
                <w:rFonts w:ascii="Arial" w:cs="Arial" w:eastAsia="Arial" w:hAnsi="Arial"/>
                <w:sz w:val="11"/>
                <w:szCs w:val="11"/>
                <w:color w:val="auto"/>
              </w:rPr>
              <w:t>Grand Haven, MI</w:t>
            </w:r>
          </w:p>
        </w:tc>
      </w:tr>
      <w:tr>
        <w:trPr>
          <w:trHeight w:val="117"/>
        </w:trPr>
        <w:tc>
          <w:tcPr>
            <w:tcW w:w="2040" w:type="dxa"/>
            <w:vAlign w:val="bottom"/>
            <w:shd w:val="clear" w:color="auto" w:fill="CCEEFF"/>
          </w:tcPr>
          <w:p>
            <w:pPr>
              <w:spacing w:after="0" w:line="117" w:lineRule="exact"/>
              <w:rPr>
                <w:sz w:val="20"/>
                <w:szCs w:val="20"/>
                <w:color w:val="auto"/>
              </w:rPr>
            </w:pPr>
            <w:r>
              <w:rPr>
                <w:rFonts w:ascii="Arial" w:cs="Arial" w:eastAsia="Arial" w:hAnsi="Arial"/>
                <w:sz w:val="11"/>
                <w:szCs w:val="11"/>
                <w:color w:val="auto"/>
              </w:rPr>
              <w:t>Auburndale, FL</w:t>
            </w:r>
          </w:p>
        </w:tc>
        <w:tc>
          <w:tcPr>
            <w:tcW w:w="3380" w:type="dxa"/>
            <w:vAlign w:val="bottom"/>
            <w:shd w:val="clear" w:color="auto" w:fill="CCEEFF"/>
          </w:tcPr>
          <w:p>
            <w:pPr>
              <w:ind w:left="1060"/>
              <w:spacing w:after="0" w:line="117" w:lineRule="exact"/>
              <w:rPr>
                <w:sz w:val="20"/>
                <w:szCs w:val="20"/>
                <w:color w:val="auto"/>
              </w:rPr>
            </w:pPr>
            <w:r>
              <w:rPr>
                <w:rFonts w:ascii="Arial" w:cs="Arial" w:eastAsia="Arial" w:hAnsi="Arial"/>
                <w:sz w:val="11"/>
                <w:szCs w:val="11"/>
                <w:color w:val="auto"/>
              </w:rPr>
              <w:t>Peru, IL</w:t>
            </w:r>
          </w:p>
        </w:tc>
        <w:tc>
          <w:tcPr>
            <w:tcW w:w="3680" w:type="dxa"/>
            <w:vAlign w:val="bottom"/>
            <w:shd w:val="clear" w:color="auto" w:fill="CCEEFF"/>
          </w:tcPr>
          <w:p>
            <w:pPr>
              <w:ind w:left="760"/>
              <w:spacing w:after="0" w:line="117" w:lineRule="exact"/>
              <w:rPr>
                <w:sz w:val="20"/>
                <w:szCs w:val="20"/>
                <w:color w:val="auto"/>
              </w:rPr>
            </w:pPr>
            <w:r>
              <w:rPr>
                <w:rFonts w:ascii="Arial" w:cs="Arial" w:eastAsia="Arial" w:hAnsi="Arial"/>
                <w:sz w:val="11"/>
                <w:szCs w:val="11"/>
                <w:color w:val="auto"/>
              </w:rPr>
              <w:t>Grand Rapids, MI</w:t>
            </w:r>
          </w:p>
        </w:tc>
      </w:tr>
      <w:tr>
        <w:trPr>
          <w:trHeight w:val="117"/>
        </w:trPr>
        <w:tc>
          <w:tcPr>
            <w:tcW w:w="2040" w:type="dxa"/>
            <w:vAlign w:val="bottom"/>
          </w:tcPr>
          <w:p>
            <w:pPr>
              <w:spacing w:after="0" w:line="117" w:lineRule="exact"/>
              <w:rPr>
                <w:sz w:val="20"/>
                <w:szCs w:val="20"/>
                <w:color w:val="auto"/>
              </w:rPr>
            </w:pPr>
            <w:r>
              <w:rPr>
                <w:rFonts w:ascii="Arial" w:cs="Arial" w:eastAsia="Arial" w:hAnsi="Arial"/>
                <w:sz w:val="11"/>
                <w:szCs w:val="11"/>
                <w:color w:val="auto"/>
              </w:rPr>
              <w:t>Belchertown, MA</w:t>
            </w:r>
          </w:p>
        </w:tc>
        <w:tc>
          <w:tcPr>
            <w:tcW w:w="3380" w:type="dxa"/>
            <w:vAlign w:val="bottom"/>
          </w:tcPr>
          <w:p>
            <w:pPr>
              <w:ind w:left="1060"/>
              <w:spacing w:after="0" w:line="117" w:lineRule="exact"/>
              <w:rPr>
                <w:sz w:val="20"/>
                <w:szCs w:val="20"/>
                <w:color w:val="auto"/>
              </w:rPr>
            </w:pPr>
            <w:r>
              <w:rPr>
                <w:rFonts w:ascii="Arial" w:cs="Arial" w:eastAsia="Arial" w:hAnsi="Arial"/>
                <w:sz w:val="11"/>
                <w:szCs w:val="11"/>
                <w:color w:val="auto"/>
              </w:rPr>
              <w:t>Prairie Du Chien, WI</w:t>
            </w:r>
          </w:p>
        </w:tc>
        <w:tc>
          <w:tcPr>
            <w:tcW w:w="3680" w:type="dxa"/>
            <w:vAlign w:val="bottom"/>
          </w:tcPr>
          <w:p>
            <w:pPr>
              <w:ind w:left="760"/>
              <w:spacing w:after="0" w:line="117" w:lineRule="exact"/>
              <w:rPr>
                <w:sz w:val="20"/>
                <w:szCs w:val="20"/>
                <w:color w:val="auto"/>
              </w:rPr>
            </w:pPr>
            <w:r>
              <w:rPr>
                <w:rFonts w:ascii="Arial" w:cs="Arial" w:eastAsia="Arial" w:hAnsi="Arial"/>
                <w:sz w:val="11"/>
                <w:szCs w:val="11"/>
                <w:color w:val="auto"/>
              </w:rPr>
              <w:t>Greene, ME</w:t>
            </w:r>
          </w:p>
        </w:tc>
      </w:tr>
      <w:tr>
        <w:trPr>
          <w:trHeight w:val="117"/>
        </w:trPr>
        <w:tc>
          <w:tcPr>
            <w:tcW w:w="2040" w:type="dxa"/>
            <w:vAlign w:val="bottom"/>
            <w:shd w:val="clear" w:color="auto" w:fill="CCEEFF"/>
          </w:tcPr>
          <w:p>
            <w:pPr>
              <w:spacing w:after="0" w:line="117" w:lineRule="exact"/>
              <w:rPr>
                <w:sz w:val="20"/>
                <w:szCs w:val="20"/>
                <w:color w:val="auto"/>
              </w:rPr>
            </w:pPr>
            <w:r>
              <w:rPr>
                <w:rFonts w:ascii="Arial" w:cs="Arial" w:eastAsia="Arial" w:hAnsi="Arial"/>
                <w:sz w:val="11"/>
                <w:szCs w:val="11"/>
                <w:color w:val="auto"/>
              </w:rPr>
              <w:t>Belle Glade, FL</w:t>
            </w:r>
          </w:p>
        </w:tc>
        <w:tc>
          <w:tcPr>
            <w:tcW w:w="3380" w:type="dxa"/>
            <w:vAlign w:val="bottom"/>
            <w:shd w:val="clear" w:color="auto" w:fill="CCEEFF"/>
          </w:tcPr>
          <w:p>
            <w:pPr>
              <w:ind w:left="1060"/>
              <w:spacing w:after="0" w:line="117" w:lineRule="exact"/>
              <w:rPr>
                <w:sz w:val="20"/>
                <w:szCs w:val="20"/>
                <w:color w:val="auto"/>
              </w:rPr>
            </w:pPr>
            <w:r>
              <w:rPr>
                <w:rFonts w:ascii="Arial" w:cs="Arial" w:eastAsia="Arial" w:hAnsi="Arial"/>
                <w:sz w:val="11"/>
                <w:szCs w:val="11"/>
                <w:color w:val="auto"/>
              </w:rPr>
              <w:t>Ranson, WV</w:t>
            </w:r>
          </w:p>
        </w:tc>
        <w:tc>
          <w:tcPr>
            <w:tcW w:w="3680" w:type="dxa"/>
            <w:vAlign w:val="bottom"/>
            <w:shd w:val="clear" w:color="auto" w:fill="CCEEFF"/>
          </w:tcPr>
          <w:p>
            <w:pPr>
              <w:ind w:left="760"/>
              <w:spacing w:after="0" w:line="117" w:lineRule="exact"/>
              <w:rPr>
                <w:sz w:val="20"/>
                <w:szCs w:val="20"/>
                <w:color w:val="auto"/>
              </w:rPr>
            </w:pPr>
            <w:r>
              <w:rPr>
                <w:rFonts w:ascii="Arial" w:cs="Arial" w:eastAsia="Arial" w:hAnsi="Arial"/>
                <w:sz w:val="11"/>
                <w:szCs w:val="11"/>
                <w:color w:val="auto"/>
              </w:rPr>
              <w:t>Hawkins County, TN</w:t>
            </w:r>
          </w:p>
        </w:tc>
      </w:tr>
      <w:tr>
        <w:trPr>
          <w:trHeight w:val="117"/>
        </w:trPr>
        <w:tc>
          <w:tcPr>
            <w:tcW w:w="2040" w:type="dxa"/>
            <w:vAlign w:val="bottom"/>
          </w:tcPr>
          <w:p>
            <w:pPr>
              <w:spacing w:after="0" w:line="117" w:lineRule="exact"/>
              <w:rPr>
                <w:sz w:val="20"/>
                <w:szCs w:val="20"/>
                <w:color w:val="auto"/>
              </w:rPr>
            </w:pPr>
            <w:r>
              <w:rPr>
                <w:rFonts w:ascii="Arial" w:cs="Arial" w:eastAsia="Arial" w:hAnsi="Arial"/>
                <w:sz w:val="11"/>
                <w:szCs w:val="11"/>
                <w:color w:val="auto"/>
              </w:rPr>
              <w:t>Berlin, NJ</w:t>
            </w:r>
          </w:p>
        </w:tc>
        <w:tc>
          <w:tcPr>
            <w:tcW w:w="3380" w:type="dxa"/>
            <w:vAlign w:val="bottom"/>
          </w:tcPr>
          <w:p>
            <w:pPr>
              <w:ind w:left="1060"/>
              <w:spacing w:after="0" w:line="117" w:lineRule="exact"/>
              <w:rPr>
                <w:sz w:val="20"/>
                <w:szCs w:val="20"/>
                <w:color w:val="auto"/>
              </w:rPr>
            </w:pPr>
            <w:r>
              <w:rPr>
                <w:rFonts w:ascii="Arial" w:cs="Arial" w:eastAsia="Arial" w:hAnsi="Arial"/>
                <w:sz w:val="11"/>
                <w:szCs w:val="11"/>
                <w:color w:val="auto"/>
              </w:rPr>
              <w:t>Riverside, CA</w:t>
            </w:r>
          </w:p>
        </w:tc>
        <w:tc>
          <w:tcPr>
            <w:tcW w:w="3680" w:type="dxa"/>
            <w:vAlign w:val="bottom"/>
          </w:tcPr>
          <w:p>
            <w:pPr>
              <w:ind w:left="760"/>
              <w:spacing w:after="0" w:line="117" w:lineRule="exact"/>
              <w:rPr>
                <w:sz w:val="20"/>
                <w:szCs w:val="20"/>
                <w:color w:val="auto"/>
              </w:rPr>
            </w:pPr>
            <w:r>
              <w:rPr>
                <w:rFonts w:ascii="Arial" w:cs="Arial" w:eastAsia="Arial" w:hAnsi="Arial"/>
                <w:sz w:val="11"/>
                <w:szCs w:val="11"/>
                <w:color w:val="auto"/>
              </w:rPr>
              <w:t>Hendersonville, NC</w:t>
            </w:r>
          </w:p>
        </w:tc>
      </w:tr>
      <w:tr>
        <w:trPr>
          <w:trHeight w:val="117"/>
        </w:trPr>
        <w:tc>
          <w:tcPr>
            <w:tcW w:w="2040" w:type="dxa"/>
            <w:vAlign w:val="bottom"/>
            <w:shd w:val="clear" w:color="auto" w:fill="CCEEFF"/>
          </w:tcPr>
          <w:p>
            <w:pPr>
              <w:spacing w:after="0" w:line="117" w:lineRule="exact"/>
              <w:rPr>
                <w:sz w:val="20"/>
                <w:szCs w:val="20"/>
                <w:color w:val="auto"/>
              </w:rPr>
            </w:pPr>
            <w:r>
              <w:rPr>
                <w:rFonts w:ascii="Arial" w:cs="Arial" w:eastAsia="Arial" w:hAnsi="Arial"/>
                <w:sz w:val="11"/>
                <w:szCs w:val="11"/>
                <w:color w:val="auto"/>
              </w:rPr>
              <w:t>Blanchester, OH</w:t>
            </w:r>
          </w:p>
        </w:tc>
        <w:tc>
          <w:tcPr>
            <w:tcW w:w="3380" w:type="dxa"/>
            <w:vAlign w:val="bottom"/>
            <w:shd w:val="clear" w:color="auto" w:fill="CCEEFF"/>
          </w:tcPr>
          <w:p>
            <w:pPr>
              <w:ind w:left="1060"/>
              <w:spacing w:after="0" w:line="117" w:lineRule="exact"/>
              <w:rPr>
                <w:sz w:val="20"/>
                <w:szCs w:val="20"/>
                <w:color w:val="auto"/>
              </w:rPr>
            </w:pPr>
            <w:r>
              <w:rPr>
                <w:rFonts w:ascii="Arial" w:cs="Arial" w:eastAsia="Arial" w:hAnsi="Arial"/>
                <w:sz w:val="11"/>
                <w:szCs w:val="11"/>
                <w:color w:val="auto"/>
              </w:rPr>
              <w:t>Rowesville, SC</w:t>
            </w:r>
          </w:p>
        </w:tc>
        <w:tc>
          <w:tcPr>
            <w:tcW w:w="3680" w:type="dxa"/>
            <w:vAlign w:val="bottom"/>
            <w:shd w:val="clear" w:color="auto" w:fill="CCEEFF"/>
          </w:tcPr>
          <w:p>
            <w:pPr>
              <w:ind w:left="760"/>
              <w:spacing w:after="0" w:line="117" w:lineRule="exact"/>
              <w:rPr>
                <w:sz w:val="20"/>
                <w:szCs w:val="20"/>
                <w:color w:val="auto"/>
              </w:rPr>
            </w:pPr>
            <w:r>
              <w:rPr>
                <w:rFonts w:ascii="Arial" w:cs="Arial" w:eastAsia="Arial" w:hAnsi="Arial"/>
                <w:sz w:val="11"/>
                <w:szCs w:val="11"/>
                <w:color w:val="auto"/>
              </w:rPr>
              <w:t>Jeffersonville, IN</w:t>
            </w:r>
          </w:p>
        </w:tc>
      </w:tr>
      <w:tr>
        <w:trPr>
          <w:trHeight w:val="117"/>
        </w:trPr>
        <w:tc>
          <w:tcPr>
            <w:tcW w:w="2040" w:type="dxa"/>
            <w:vAlign w:val="bottom"/>
          </w:tcPr>
          <w:p>
            <w:pPr>
              <w:spacing w:after="0" w:line="117" w:lineRule="exact"/>
              <w:rPr>
                <w:sz w:val="20"/>
                <w:szCs w:val="20"/>
                <w:color w:val="auto"/>
              </w:rPr>
            </w:pPr>
            <w:r>
              <w:rPr>
                <w:rFonts w:ascii="Arial" w:cs="Arial" w:eastAsia="Arial" w:hAnsi="Arial"/>
                <w:sz w:val="11"/>
                <w:szCs w:val="11"/>
                <w:color w:val="auto"/>
              </w:rPr>
              <w:t>Blue Island, IL</w:t>
            </w:r>
          </w:p>
        </w:tc>
        <w:tc>
          <w:tcPr>
            <w:tcW w:w="3380" w:type="dxa"/>
            <w:vAlign w:val="bottom"/>
          </w:tcPr>
          <w:p>
            <w:pPr>
              <w:ind w:left="1060"/>
              <w:spacing w:after="0" w:line="117" w:lineRule="exact"/>
              <w:rPr>
                <w:sz w:val="20"/>
                <w:szCs w:val="20"/>
                <w:color w:val="auto"/>
              </w:rPr>
            </w:pPr>
            <w:r>
              <w:rPr>
                <w:rFonts w:ascii="Arial" w:cs="Arial" w:eastAsia="Arial" w:hAnsi="Arial"/>
                <w:sz w:val="11"/>
                <w:szCs w:val="11"/>
                <w:color w:val="auto"/>
              </w:rPr>
              <w:t>Saginaw, TX</w:t>
            </w:r>
          </w:p>
        </w:tc>
        <w:tc>
          <w:tcPr>
            <w:tcW w:w="3680" w:type="dxa"/>
            <w:vAlign w:val="bottom"/>
          </w:tcPr>
          <w:p>
            <w:pPr>
              <w:ind w:left="760"/>
              <w:spacing w:after="0" w:line="117" w:lineRule="exact"/>
              <w:rPr>
                <w:sz w:val="20"/>
                <w:szCs w:val="20"/>
                <w:color w:val="auto"/>
              </w:rPr>
            </w:pPr>
            <w:r>
              <w:rPr>
                <w:rFonts w:ascii="Arial" w:cs="Arial" w:eastAsia="Arial" w:hAnsi="Arial"/>
                <w:sz w:val="11"/>
                <w:szCs w:val="11"/>
                <w:color w:val="auto"/>
              </w:rPr>
              <w:t>Kansas City, MO</w:t>
            </w:r>
          </w:p>
        </w:tc>
      </w:tr>
      <w:tr>
        <w:trPr>
          <w:trHeight w:val="117"/>
        </w:trPr>
        <w:tc>
          <w:tcPr>
            <w:tcW w:w="2040" w:type="dxa"/>
            <w:vAlign w:val="bottom"/>
            <w:shd w:val="clear" w:color="auto" w:fill="CCEEFF"/>
          </w:tcPr>
          <w:p>
            <w:pPr>
              <w:spacing w:after="0" w:line="117" w:lineRule="exact"/>
              <w:rPr>
                <w:sz w:val="20"/>
                <w:szCs w:val="20"/>
                <w:color w:val="auto"/>
              </w:rPr>
            </w:pPr>
            <w:r>
              <w:rPr>
                <w:rFonts w:ascii="Arial" w:cs="Arial" w:eastAsia="Arial" w:hAnsi="Arial"/>
                <w:sz w:val="11"/>
                <w:szCs w:val="11"/>
                <w:color w:val="auto"/>
              </w:rPr>
              <w:t>Bomaderry, Australia</w:t>
            </w:r>
          </w:p>
        </w:tc>
        <w:tc>
          <w:tcPr>
            <w:tcW w:w="3380" w:type="dxa"/>
            <w:vAlign w:val="bottom"/>
            <w:shd w:val="clear" w:color="auto" w:fill="CCEEFF"/>
          </w:tcPr>
          <w:p>
            <w:pPr>
              <w:ind w:left="1060"/>
              <w:spacing w:after="0" w:line="117" w:lineRule="exact"/>
              <w:rPr>
                <w:sz w:val="20"/>
                <w:szCs w:val="20"/>
                <w:color w:val="auto"/>
              </w:rPr>
            </w:pPr>
            <w:r>
              <w:rPr>
                <w:rFonts w:ascii="Arial" w:cs="Arial" w:eastAsia="Arial" w:hAnsi="Arial"/>
                <w:sz w:val="11"/>
                <w:szCs w:val="11"/>
                <w:color w:val="auto"/>
              </w:rPr>
              <w:t>Saint Bernard De Lacolle, Quebec</w:t>
            </w:r>
          </w:p>
        </w:tc>
        <w:tc>
          <w:tcPr>
            <w:tcW w:w="3680" w:type="dxa"/>
            <w:vAlign w:val="bottom"/>
            <w:shd w:val="clear" w:color="auto" w:fill="CCEEFF"/>
          </w:tcPr>
          <w:p>
            <w:pPr>
              <w:ind w:left="760"/>
              <w:spacing w:after="0" w:line="117" w:lineRule="exact"/>
              <w:rPr>
                <w:sz w:val="20"/>
                <w:szCs w:val="20"/>
                <w:color w:val="auto"/>
              </w:rPr>
            </w:pPr>
            <w:r>
              <w:rPr>
                <w:rFonts w:ascii="Arial" w:cs="Arial" w:eastAsia="Arial" w:hAnsi="Arial"/>
                <w:sz w:val="11"/>
                <w:szCs w:val="11"/>
                <w:color w:val="auto"/>
              </w:rPr>
              <w:t>Kearneysville, WV</w:t>
            </w:r>
          </w:p>
        </w:tc>
      </w:tr>
      <w:tr>
        <w:trPr>
          <w:trHeight w:val="117"/>
        </w:trPr>
        <w:tc>
          <w:tcPr>
            <w:tcW w:w="2040" w:type="dxa"/>
            <w:vAlign w:val="bottom"/>
          </w:tcPr>
          <w:p>
            <w:pPr>
              <w:spacing w:after="0" w:line="117" w:lineRule="exact"/>
              <w:rPr>
                <w:sz w:val="20"/>
                <w:szCs w:val="20"/>
                <w:color w:val="auto"/>
              </w:rPr>
            </w:pPr>
            <w:r>
              <w:rPr>
                <w:rFonts w:ascii="Arial" w:cs="Arial" w:eastAsia="Arial" w:hAnsi="Arial"/>
                <w:sz w:val="11"/>
                <w:szCs w:val="11"/>
                <w:color w:val="auto"/>
              </w:rPr>
              <w:t>Burlington, NC</w:t>
            </w:r>
          </w:p>
        </w:tc>
        <w:tc>
          <w:tcPr>
            <w:tcW w:w="3380" w:type="dxa"/>
            <w:vAlign w:val="bottom"/>
          </w:tcPr>
          <w:p>
            <w:pPr>
              <w:ind w:left="1060"/>
              <w:spacing w:after="0" w:line="117" w:lineRule="exact"/>
              <w:rPr>
                <w:sz w:val="20"/>
                <w:szCs w:val="20"/>
                <w:color w:val="auto"/>
              </w:rPr>
            </w:pPr>
            <w:r>
              <w:rPr>
                <w:rFonts w:ascii="Arial" w:cs="Arial" w:eastAsia="Arial" w:hAnsi="Arial"/>
                <w:sz w:val="11"/>
                <w:szCs w:val="11"/>
                <w:color w:val="auto"/>
              </w:rPr>
              <w:t>Salisbury, NC</w:t>
            </w:r>
          </w:p>
        </w:tc>
        <w:tc>
          <w:tcPr>
            <w:tcW w:w="3680" w:type="dxa"/>
            <w:vAlign w:val="bottom"/>
          </w:tcPr>
          <w:p>
            <w:pPr>
              <w:ind w:left="760"/>
              <w:spacing w:after="0" w:line="117" w:lineRule="exact"/>
              <w:rPr>
                <w:sz w:val="20"/>
                <w:szCs w:val="20"/>
                <w:color w:val="auto"/>
              </w:rPr>
            </w:pPr>
            <w:r>
              <w:rPr>
                <w:rFonts w:ascii="Arial" w:cs="Arial" w:eastAsia="Arial" w:hAnsi="Arial"/>
                <w:sz w:val="11"/>
                <w:szCs w:val="11"/>
                <w:color w:val="auto"/>
              </w:rPr>
              <w:t>Kyle, TX</w:t>
            </w:r>
          </w:p>
        </w:tc>
      </w:tr>
      <w:tr>
        <w:trPr>
          <w:trHeight w:val="117"/>
        </w:trPr>
        <w:tc>
          <w:tcPr>
            <w:tcW w:w="2040" w:type="dxa"/>
            <w:vAlign w:val="bottom"/>
            <w:shd w:val="clear" w:color="auto" w:fill="CCEEFF"/>
          </w:tcPr>
          <w:p>
            <w:pPr>
              <w:spacing w:after="0" w:line="117" w:lineRule="exact"/>
              <w:rPr>
                <w:sz w:val="20"/>
                <w:szCs w:val="20"/>
                <w:color w:val="auto"/>
              </w:rPr>
            </w:pPr>
            <w:r>
              <w:rPr>
                <w:rFonts w:ascii="Arial" w:cs="Arial" w:eastAsia="Arial" w:hAnsi="Arial"/>
                <w:sz w:val="11"/>
                <w:szCs w:val="11"/>
                <w:color w:val="auto"/>
              </w:rPr>
              <w:t>Cameron, SC</w:t>
            </w:r>
          </w:p>
        </w:tc>
        <w:tc>
          <w:tcPr>
            <w:tcW w:w="3380" w:type="dxa"/>
            <w:vAlign w:val="bottom"/>
            <w:shd w:val="clear" w:color="auto" w:fill="CCEEFF"/>
          </w:tcPr>
          <w:p>
            <w:pPr>
              <w:ind w:left="1060"/>
              <w:spacing w:after="0" w:line="117" w:lineRule="exact"/>
              <w:rPr>
                <w:sz w:val="20"/>
                <w:szCs w:val="20"/>
                <w:color w:val="auto"/>
              </w:rPr>
            </w:pPr>
            <w:r>
              <w:rPr>
                <w:rFonts w:ascii="Arial" w:cs="Arial" w:eastAsia="Arial" w:hAnsi="Arial"/>
                <w:sz w:val="11"/>
                <w:szCs w:val="11"/>
                <w:color w:val="auto"/>
              </w:rPr>
              <w:t>San Antonio, TX</w:t>
            </w:r>
          </w:p>
        </w:tc>
        <w:tc>
          <w:tcPr>
            <w:tcW w:w="3680" w:type="dxa"/>
            <w:vAlign w:val="bottom"/>
            <w:shd w:val="clear" w:color="auto" w:fill="CCEEFF"/>
          </w:tcPr>
          <w:p>
            <w:pPr>
              <w:ind w:left="760"/>
              <w:spacing w:after="0" w:line="117" w:lineRule="exact"/>
              <w:rPr>
                <w:sz w:val="20"/>
                <w:szCs w:val="20"/>
                <w:color w:val="auto"/>
              </w:rPr>
            </w:pPr>
            <w:r>
              <w:rPr>
                <w:rFonts w:ascii="Arial" w:cs="Arial" w:eastAsia="Arial" w:hAnsi="Arial"/>
                <w:sz w:val="11"/>
                <w:szCs w:val="11"/>
                <w:color w:val="auto"/>
              </w:rPr>
              <w:t>Lockhart, FL</w:t>
            </w:r>
          </w:p>
        </w:tc>
      </w:tr>
      <w:tr>
        <w:trPr>
          <w:trHeight w:val="117"/>
        </w:trPr>
        <w:tc>
          <w:tcPr>
            <w:tcW w:w="2040" w:type="dxa"/>
            <w:vAlign w:val="bottom"/>
          </w:tcPr>
          <w:p>
            <w:pPr>
              <w:spacing w:after="0" w:line="117" w:lineRule="exact"/>
              <w:rPr>
                <w:sz w:val="20"/>
                <w:szCs w:val="20"/>
                <w:color w:val="auto"/>
              </w:rPr>
            </w:pPr>
            <w:r>
              <w:rPr>
                <w:rFonts w:ascii="Arial" w:cs="Arial" w:eastAsia="Arial" w:hAnsi="Arial"/>
                <w:sz w:val="11"/>
                <w:szCs w:val="11"/>
                <w:color w:val="auto"/>
              </w:rPr>
              <w:t>Cedar Hill, TX</w:t>
            </w:r>
          </w:p>
        </w:tc>
        <w:tc>
          <w:tcPr>
            <w:tcW w:w="3380" w:type="dxa"/>
            <w:vAlign w:val="bottom"/>
          </w:tcPr>
          <w:p>
            <w:pPr>
              <w:ind w:left="1060"/>
              <w:spacing w:after="0" w:line="117" w:lineRule="exact"/>
              <w:rPr>
                <w:sz w:val="20"/>
                <w:szCs w:val="20"/>
                <w:color w:val="auto"/>
              </w:rPr>
            </w:pPr>
            <w:r>
              <w:rPr>
                <w:rFonts w:ascii="Arial" w:cs="Arial" w:eastAsia="Arial" w:hAnsi="Arial"/>
                <w:sz w:val="11"/>
                <w:szCs w:val="11"/>
                <w:color w:val="auto"/>
              </w:rPr>
              <w:t>Santee, SC</w:t>
            </w:r>
          </w:p>
        </w:tc>
        <w:tc>
          <w:tcPr>
            <w:tcW w:w="3680" w:type="dxa"/>
            <w:vAlign w:val="bottom"/>
          </w:tcPr>
          <w:p>
            <w:pPr>
              <w:ind w:left="760"/>
              <w:spacing w:after="0" w:line="117" w:lineRule="exact"/>
              <w:rPr>
                <w:sz w:val="20"/>
                <w:szCs w:val="20"/>
                <w:color w:val="auto"/>
              </w:rPr>
            </w:pPr>
            <w:r>
              <w:rPr>
                <w:rFonts w:ascii="Arial" w:cs="Arial" w:eastAsia="Arial" w:hAnsi="Arial"/>
                <w:sz w:val="11"/>
                <w:szCs w:val="11"/>
                <w:color w:val="auto"/>
              </w:rPr>
              <w:t>Maricopa County, AZ</w:t>
            </w:r>
          </w:p>
        </w:tc>
      </w:tr>
      <w:tr>
        <w:trPr>
          <w:trHeight w:val="117"/>
        </w:trPr>
        <w:tc>
          <w:tcPr>
            <w:tcW w:w="2040" w:type="dxa"/>
            <w:vAlign w:val="bottom"/>
            <w:shd w:val="clear" w:color="auto" w:fill="CCEEFF"/>
          </w:tcPr>
          <w:p>
            <w:pPr>
              <w:spacing w:after="0" w:line="117" w:lineRule="exact"/>
              <w:rPr>
                <w:sz w:val="20"/>
                <w:szCs w:val="20"/>
                <w:color w:val="auto"/>
              </w:rPr>
            </w:pPr>
            <w:r>
              <w:rPr>
                <w:rFonts w:ascii="Arial" w:cs="Arial" w:eastAsia="Arial" w:hAnsi="Arial"/>
                <w:sz w:val="11"/>
                <w:szCs w:val="11"/>
                <w:color w:val="auto"/>
              </w:rPr>
              <w:t>Chaffee, NY</w:t>
            </w:r>
          </w:p>
        </w:tc>
        <w:tc>
          <w:tcPr>
            <w:tcW w:w="3380" w:type="dxa"/>
            <w:vAlign w:val="bottom"/>
            <w:shd w:val="clear" w:color="auto" w:fill="CCEEFF"/>
          </w:tcPr>
          <w:p>
            <w:pPr>
              <w:ind w:left="1060"/>
              <w:spacing w:after="0" w:line="117" w:lineRule="exact"/>
              <w:rPr>
                <w:sz w:val="20"/>
                <w:szCs w:val="20"/>
                <w:color w:val="auto"/>
              </w:rPr>
            </w:pPr>
            <w:r>
              <w:rPr>
                <w:rFonts w:ascii="Arial" w:cs="Arial" w:eastAsia="Arial" w:hAnsi="Arial"/>
                <w:sz w:val="11"/>
                <w:szCs w:val="11"/>
                <w:color w:val="auto"/>
              </w:rPr>
              <w:t>Sauk Rapids, MN</w:t>
            </w:r>
          </w:p>
        </w:tc>
        <w:tc>
          <w:tcPr>
            <w:tcW w:w="3680" w:type="dxa"/>
            <w:vAlign w:val="bottom"/>
            <w:shd w:val="clear" w:color="auto" w:fill="CCEEFF"/>
          </w:tcPr>
          <w:p>
            <w:pPr>
              <w:ind w:left="760"/>
              <w:spacing w:after="0" w:line="117" w:lineRule="exact"/>
              <w:rPr>
                <w:sz w:val="20"/>
                <w:szCs w:val="20"/>
                <w:color w:val="auto"/>
              </w:rPr>
            </w:pPr>
            <w:r>
              <w:rPr>
                <w:rFonts w:ascii="Arial" w:cs="Arial" w:eastAsia="Arial" w:hAnsi="Arial"/>
                <w:sz w:val="11"/>
                <w:szCs w:val="11"/>
                <w:color w:val="auto"/>
              </w:rPr>
              <w:t>Marietta, GA</w:t>
            </w:r>
          </w:p>
        </w:tc>
      </w:tr>
      <w:tr>
        <w:trPr>
          <w:trHeight w:val="117"/>
        </w:trPr>
        <w:tc>
          <w:tcPr>
            <w:tcW w:w="2040" w:type="dxa"/>
            <w:vAlign w:val="bottom"/>
          </w:tcPr>
          <w:p>
            <w:pPr>
              <w:spacing w:after="0" w:line="117" w:lineRule="exact"/>
              <w:rPr>
                <w:sz w:val="20"/>
                <w:szCs w:val="20"/>
                <w:color w:val="auto"/>
              </w:rPr>
            </w:pPr>
            <w:r>
              <w:rPr>
                <w:rFonts w:ascii="Arial" w:cs="Arial" w:eastAsia="Arial" w:hAnsi="Arial"/>
                <w:sz w:val="11"/>
                <w:szCs w:val="11"/>
                <w:color w:val="auto"/>
              </w:rPr>
              <w:t>Chandler, AZ</w:t>
            </w:r>
          </w:p>
        </w:tc>
        <w:tc>
          <w:tcPr>
            <w:tcW w:w="3380" w:type="dxa"/>
            <w:vAlign w:val="bottom"/>
          </w:tcPr>
          <w:p>
            <w:pPr>
              <w:ind w:left="1060"/>
              <w:spacing w:after="0" w:line="117" w:lineRule="exact"/>
              <w:rPr>
                <w:sz w:val="20"/>
                <w:szCs w:val="20"/>
                <w:color w:val="auto"/>
              </w:rPr>
            </w:pPr>
            <w:r>
              <w:rPr>
                <w:rFonts w:ascii="Arial" w:cs="Arial" w:eastAsia="Arial" w:hAnsi="Arial"/>
                <w:sz w:val="11"/>
                <w:szCs w:val="11"/>
                <w:color w:val="auto"/>
              </w:rPr>
              <w:t>Schertz, TX</w:t>
            </w:r>
          </w:p>
        </w:tc>
        <w:tc>
          <w:tcPr>
            <w:tcW w:w="3680" w:type="dxa"/>
            <w:vAlign w:val="bottom"/>
          </w:tcPr>
          <w:p>
            <w:pPr>
              <w:ind w:left="760"/>
              <w:spacing w:after="0" w:line="117" w:lineRule="exact"/>
              <w:rPr>
                <w:sz w:val="20"/>
                <w:szCs w:val="20"/>
                <w:color w:val="auto"/>
              </w:rPr>
            </w:pPr>
            <w:r>
              <w:rPr>
                <w:rFonts w:ascii="Arial" w:cs="Arial" w:eastAsia="Arial" w:hAnsi="Arial"/>
                <w:sz w:val="11"/>
                <w:szCs w:val="11"/>
                <w:color w:val="auto"/>
              </w:rPr>
              <w:t>Martin, TN</w:t>
            </w:r>
          </w:p>
        </w:tc>
      </w:tr>
      <w:tr>
        <w:trPr>
          <w:trHeight w:val="117"/>
        </w:trPr>
        <w:tc>
          <w:tcPr>
            <w:tcW w:w="2040" w:type="dxa"/>
            <w:vAlign w:val="bottom"/>
            <w:shd w:val="clear" w:color="auto" w:fill="CCEEFF"/>
          </w:tcPr>
          <w:p>
            <w:pPr>
              <w:spacing w:after="0" w:line="117" w:lineRule="exact"/>
              <w:rPr>
                <w:sz w:val="20"/>
                <w:szCs w:val="20"/>
                <w:color w:val="auto"/>
              </w:rPr>
            </w:pPr>
            <w:r>
              <w:rPr>
                <w:rFonts w:ascii="Arial" w:cs="Arial" w:eastAsia="Arial" w:hAnsi="Arial"/>
                <w:sz w:val="11"/>
                <w:szCs w:val="11"/>
                <w:color w:val="auto"/>
              </w:rPr>
              <w:t>Chesapeake, VA</w:t>
            </w:r>
          </w:p>
        </w:tc>
        <w:tc>
          <w:tcPr>
            <w:tcW w:w="3380" w:type="dxa"/>
            <w:vAlign w:val="bottom"/>
            <w:shd w:val="clear" w:color="auto" w:fill="CCEEFF"/>
          </w:tcPr>
          <w:p>
            <w:pPr>
              <w:ind w:left="1060"/>
              <w:spacing w:after="0" w:line="117" w:lineRule="exact"/>
              <w:rPr>
                <w:sz w:val="20"/>
                <w:szCs w:val="20"/>
                <w:color w:val="auto"/>
              </w:rPr>
            </w:pPr>
            <w:r>
              <w:rPr>
                <w:rFonts w:ascii="Arial" w:cs="Arial" w:eastAsia="Arial" w:hAnsi="Arial"/>
                <w:sz w:val="11"/>
                <w:szCs w:val="11"/>
                <w:color w:val="auto"/>
              </w:rPr>
              <w:t>Selma, AL</w:t>
            </w:r>
          </w:p>
        </w:tc>
        <w:tc>
          <w:tcPr>
            <w:tcW w:w="3680" w:type="dxa"/>
            <w:vAlign w:val="bottom"/>
            <w:shd w:val="clear" w:color="auto" w:fill="CCEEFF"/>
          </w:tcPr>
          <w:p>
            <w:pPr>
              <w:ind w:left="760"/>
              <w:spacing w:after="0" w:line="117" w:lineRule="exact"/>
              <w:rPr>
                <w:sz w:val="20"/>
                <w:szCs w:val="20"/>
                <w:color w:val="auto"/>
              </w:rPr>
            </w:pPr>
            <w:r>
              <w:rPr>
                <w:rFonts w:ascii="Arial" w:cs="Arial" w:eastAsia="Arial" w:hAnsi="Arial"/>
                <w:sz w:val="11"/>
                <w:szCs w:val="11"/>
                <w:color w:val="auto"/>
              </w:rPr>
              <w:t>Mayville, WI</w:t>
            </w:r>
          </w:p>
        </w:tc>
      </w:tr>
      <w:tr>
        <w:trPr>
          <w:trHeight w:val="117"/>
        </w:trPr>
        <w:tc>
          <w:tcPr>
            <w:tcW w:w="2040" w:type="dxa"/>
            <w:vAlign w:val="bottom"/>
          </w:tcPr>
          <w:p>
            <w:pPr>
              <w:spacing w:after="0" w:line="117" w:lineRule="exact"/>
              <w:rPr>
                <w:sz w:val="20"/>
                <w:szCs w:val="20"/>
                <w:color w:val="auto"/>
              </w:rPr>
            </w:pPr>
            <w:r>
              <w:rPr>
                <w:rFonts w:ascii="Arial" w:cs="Arial" w:eastAsia="Arial" w:hAnsi="Arial"/>
                <w:sz w:val="11"/>
                <w:szCs w:val="11"/>
                <w:color w:val="auto"/>
              </w:rPr>
              <w:t>Clinton, NC</w:t>
            </w:r>
          </w:p>
        </w:tc>
        <w:tc>
          <w:tcPr>
            <w:tcW w:w="3380" w:type="dxa"/>
            <w:vAlign w:val="bottom"/>
          </w:tcPr>
          <w:p>
            <w:pPr>
              <w:ind w:left="1060"/>
              <w:spacing w:after="0" w:line="117" w:lineRule="exact"/>
              <w:rPr>
                <w:sz w:val="20"/>
                <w:szCs w:val="20"/>
                <w:color w:val="auto"/>
              </w:rPr>
            </w:pPr>
            <w:r>
              <w:rPr>
                <w:rFonts w:ascii="Arial" w:cs="Arial" w:eastAsia="Arial" w:hAnsi="Arial"/>
                <w:sz w:val="11"/>
                <w:szCs w:val="11"/>
                <w:color w:val="auto"/>
              </w:rPr>
              <w:t>Shawnee, OK</w:t>
            </w:r>
          </w:p>
        </w:tc>
        <w:tc>
          <w:tcPr>
            <w:tcW w:w="3680" w:type="dxa"/>
            <w:vAlign w:val="bottom"/>
          </w:tcPr>
          <w:p>
            <w:pPr>
              <w:ind w:left="760"/>
              <w:spacing w:after="0" w:line="117" w:lineRule="exact"/>
              <w:rPr>
                <w:sz w:val="20"/>
                <w:szCs w:val="20"/>
                <w:color w:val="auto"/>
              </w:rPr>
            </w:pPr>
            <w:r>
              <w:rPr>
                <w:rFonts w:ascii="Arial" w:cs="Arial" w:eastAsia="Arial" w:hAnsi="Arial"/>
                <w:sz w:val="11"/>
                <w:szCs w:val="11"/>
                <w:color w:val="auto"/>
              </w:rPr>
              <w:t>Mcminnville, OR</w:t>
            </w:r>
          </w:p>
        </w:tc>
      </w:tr>
      <w:tr>
        <w:trPr>
          <w:trHeight w:val="117"/>
        </w:trPr>
        <w:tc>
          <w:tcPr>
            <w:tcW w:w="2040" w:type="dxa"/>
            <w:vAlign w:val="bottom"/>
            <w:shd w:val="clear" w:color="auto" w:fill="CCEEFF"/>
          </w:tcPr>
          <w:p>
            <w:pPr>
              <w:spacing w:after="0" w:line="117" w:lineRule="exact"/>
              <w:rPr>
                <w:sz w:val="20"/>
                <w:szCs w:val="20"/>
                <w:color w:val="auto"/>
              </w:rPr>
            </w:pPr>
            <w:r>
              <w:rPr>
                <w:rFonts w:ascii="Arial" w:cs="Arial" w:eastAsia="Arial" w:hAnsi="Arial"/>
                <w:sz w:val="11"/>
                <w:szCs w:val="11"/>
                <w:color w:val="auto"/>
              </w:rPr>
              <w:t>Conway, SC</w:t>
            </w:r>
          </w:p>
        </w:tc>
        <w:tc>
          <w:tcPr>
            <w:tcW w:w="3380" w:type="dxa"/>
            <w:vAlign w:val="bottom"/>
            <w:shd w:val="clear" w:color="auto" w:fill="CCEEFF"/>
          </w:tcPr>
          <w:p>
            <w:pPr>
              <w:ind w:left="1060"/>
              <w:spacing w:after="0" w:line="117" w:lineRule="exact"/>
              <w:rPr>
                <w:sz w:val="20"/>
                <w:szCs w:val="20"/>
                <w:color w:val="auto"/>
              </w:rPr>
            </w:pPr>
            <w:r>
              <w:rPr>
                <w:rFonts w:ascii="Arial" w:cs="Arial" w:eastAsia="Arial" w:hAnsi="Arial"/>
                <w:sz w:val="11"/>
                <w:szCs w:val="11"/>
                <w:color w:val="auto"/>
              </w:rPr>
              <w:t>Sidney , NY</w:t>
            </w:r>
          </w:p>
        </w:tc>
        <w:tc>
          <w:tcPr>
            <w:tcW w:w="3680" w:type="dxa"/>
            <w:vAlign w:val="bottom"/>
            <w:shd w:val="clear" w:color="auto" w:fill="CCEEFF"/>
          </w:tcPr>
          <w:p>
            <w:pPr>
              <w:ind w:left="760"/>
              <w:spacing w:after="0" w:line="117" w:lineRule="exact"/>
              <w:rPr>
                <w:sz w:val="20"/>
                <w:szCs w:val="20"/>
                <w:color w:val="auto"/>
              </w:rPr>
            </w:pPr>
            <w:r>
              <w:rPr>
                <w:rFonts w:ascii="Arial" w:cs="Arial" w:eastAsia="Arial" w:hAnsi="Arial"/>
                <w:sz w:val="11"/>
                <w:szCs w:val="11"/>
                <w:color w:val="auto"/>
              </w:rPr>
              <w:t>Medley, FL</w:t>
            </w:r>
          </w:p>
        </w:tc>
      </w:tr>
      <w:tr>
        <w:trPr>
          <w:trHeight w:val="117"/>
        </w:trPr>
        <w:tc>
          <w:tcPr>
            <w:tcW w:w="2040" w:type="dxa"/>
            <w:vAlign w:val="bottom"/>
          </w:tcPr>
          <w:p>
            <w:pPr>
              <w:spacing w:after="0" w:line="117" w:lineRule="exact"/>
              <w:rPr>
                <w:sz w:val="20"/>
                <w:szCs w:val="20"/>
                <w:color w:val="auto"/>
              </w:rPr>
            </w:pPr>
            <w:r>
              <w:rPr>
                <w:rFonts w:ascii="Arial" w:cs="Arial" w:eastAsia="Arial" w:hAnsi="Arial"/>
                <w:sz w:val="11"/>
                <w:szCs w:val="11"/>
                <w:color w:val="auto"/>
              </w:rPr>
              <w:t>Dayton, OH</w:t>
            </w:r>
          </w:p>
        </w:tc>
        <w:tc>
          <w:tcPr>
            <w:tcW w:w="3380" w:type="dxa"/>
            <w:vAlign w:val="bottom"/>
          </w:tcPr>
          <w:p>
            <w:pPr>
              <w:ind w:left="1060"/>
              <w:spacing w:after="0" w:line="117" w:lineRule="exact"/>
              <w:rPr>
                <w:sz w:val="20"/>
                <w:szCs w:val="20"/>
                <w:color w:val="auto"/>
              </w:rPr>
            </w:pPr>
            <w:r>
              <w:rPr>
                <w:rFonts w:ascii="Arial" w:cs="Arial" w:eastAsia="Arial" w:hAnsi="Arial"/>
                <w:sz w:val="11"/>
                <w:szCs w:val="11"/>
                <w:color w:val="auto"/>
              </w:rPr>
              <w:t>Silsbee, TX</w:t>
            </w:r>
          </w:p>
        </w:tc>
        <w:tc>
          <w:tcPr>
            <w:tcW w:w="3680" w:type="dxa"/>
            <w:vAlign w:val="bottom"/>
          </w:tcPr>
          <w:p>
            <w:pPr>
              <w:ind w:left="760"/>
              <w:spacing w:after="0" w:line="117" w:lineRule="exact"/>
              <w:rPr>
                <w:sz w:val="20"/>
                <w:szCs w:val="20"/>
                <w:color w:val="auto"/>
              </w:rPr>
            </w:pPr>
            <w:r>
              <w:rPr>
                <w:rFonts w:ascii="Arial" w:cs="Arial" w:eastAsia="Arial" w:hAnsi="Arial"/>
                <w:sz w:val="11"/>
                <w:szCs w:val="11"/>
                <w:color w:val="auto"/>
              </w:rPr>
              <w:t>Mexico City, MX</w:t>
            </w:r>
          </w:p>
        </w:tc>
      </w:tr>
      <w:tr>
        <w:trPr>
          <w:trHeight w:val="117"/>
        </w:trPr>
        <w:tc>
          <w:tcPr>
            <w:tcW w:w="2040" w:type="dxa"/>
            <w:vAlign w:val="bottom"/>
            <w:shd w:val="clear" w:color="auto" w:fill="CCEEFF"/>
          </w:tcPr>
          <w:p>
            <w:pPr>
              <w:spacing w:after="0" w:line="117" w:lineRule="exact"/>
              <w:rPr>
                <w:sz w:val="20"/>
                <w:szCs w:val="20"/>
                <w:color w:val="auto"/>
              </w:rPr>
            </w:pPr>
            <w:r>
              <w:rPr>
                <w:rFonts w:ascii="Arial" w:cs="Arial" w:eastAsia="Arial" w:hAnsi="Arial"/>
                <w:sz w:val="11"/>
                <w:szCs w:val="11"/>
                <w:color w:val="auto"/>
              </w:rPr>
              <w:t>Eatonton, GA</w:t>
            </w:r>
          </w:p>
        </w:tc>
        <w:tc>
          <w:tcPr>
            <w:tcW w:w="3380" w:type="dxa"/>
            <w:vAlign w:val="bottom"/>
            <w:shd w:val="clear" w:color="auto" w:fill="CCEEFF"/>
          </w:tcPr>
          <w:p>
            <w:pPr>
              <w:ind w:left="1060"/>
              <w:spacing w:after="0" w:line="117" w:lineRule="exact"/>
              <w:rPr>
                <w:sz w:val="20"/>
                <w:szCs w:val="20"/>
                <w:color w:val="auto"/>
              </w:rPr>
            </w:pPr>
            <w:r>
              <w:rPr>
                <w:rFonts w:ascii="Arial" w:cs="Arial" w:eastAsia="Arial" w:hAnsi="Arial"/>
                <w:sz w:val="11"/>
                <w:szCs w:val="11"/>
                <w:color w:val="auto"/>
              </w:rPr>
              <w:t>Snohomish, WA</w:t>
            </w:r>
          </w:p>
        </w:tc>
        <w:tc>
          <w:tcPr>
            <w:tcW w:w="3680" w:type="dxa"/>
            <w:vAlign w:val="bottom"/>
            <w:shd w:val="clear" w:color="auto" w:fill="CCEEFF"/>
          </w:tcPr>
          <w:p>
            <w:pPr>
              <w:ind w:left="760"/>
              <w:spacing w:after="0" w:line="117" w:lineRule="exact"/>
              <w:rPr>
                <w:sz w:val="20"/>
                <w:szCs w:val="20"/>
                <w:color w:val="auto"/>
              </w:rPr>
            </w:pPr>
            <w:r>
              <w:rPr>
                <w:rFonts w:ascii="Arial" w:cs="Arial" w:eastAsia="Arial" w:hAnsi="Arial"/>
                <w:sz w:val="11"/>
                <w:szCs w:val="11"/>
                <w:color w:val="auto"/>
              </w:rPr>
              <w:t>Morristown, TN</w:t>
            </w:r>
          </w:p>
        </w:tc>
      </w:tr>
      <w:tr>
        <w:trPr>
          <w:trHeight w:val="117"/>
        </w:trPr>
        <w:tc>
          <w:tcPr>
            <w:tcW w:w="2040" w:type="dxa"/>
            <w:vAlign w:val="bottom"/>
          </w:tcPr>
          <w:p>
            <w:pPr>
              <w:spacing w:after="0" w:line="117" w:lineRule="exact"/>
              <w:rPr>
                <w:sz w:val="20"/>
                <w:szCs w:val="20"/>
                <w:color w:val="auto"/>
              </w:rPr>
            </w:pPr>
            <w:r>
              <w:rPr>
                <w:rFonts w:ascii="Arial" w:cs="Arial" w:eastAsia="Arial" w:hAnsi="Arial"/>
                <w:sz w:val="11"/>
                <w:szCs w:val="11"/>
                <w:color w:val="auto"/>
              </w:rPr>
              <w:t>Edwardsburg, MI</w:t>
            </w:r>
          </w:p>
        </w:tc>
        <w:tc>
          <w:tcPr>
            <w:tcW w:w="3380" w:type="dxa"/>
            <w:vAlign w:val="bottom"/>
          </w:tcPr>
          <w:p>
            <w:pPr>
              <w:ind w:left="1060"/>
              <w:spacing w:after="0" w:line="117" w:lineRule="exact"/>
              <w:rPr>
                <w:sz w:val="20"/>
                <w:szCs w:val="20"/>
                <w:color w:val="auto"/>
              </w:rPr>
            </w:pPr>
            <w:r>
              <w:rPr>
                <w:rFonts w:ascii="Arial" w:cs="Arial" w:eastAsia="Arial" w:hAnsi="Arial"/>
                <w:sz w:val="11"/>
                <w:szCs w:val="11"/>
                <w:color w:val="auto"/>
              </w:rPr>
              <w:t>Stanfield , NC</w:t>
            </w:r>
          </w:p>
        </w:tc>
        <w:tc>
          <w:tcPr>
            <w:tcW w:w="3680" w:type="dxa"/>
            <w:vAlign w:val="bottom"/>
          </w:tcPr>
          <w:p>
            <w:pPr>
              <w:ind w:left="760"/>
              <w:spacing w:after="0" w:line="117" w:lineRule="exact"/>
              <w:rPr>
                <w:sz w:val="20"/>
                <w:szCs w:val="20"/>
                <w:color w:val="auto"/>
              </w:rPr>
            </w:pPr>
            <w:r>
              <w:rPr>
                <w:rFonts w:ascii="Arial" w:cs="Arial" w:eastAsia="Arial" w:hAnsi="Arial"/>
                <w:sz w:val="11"/>
                <w:szCs w:val="11"/>
                <w:color w:val="auto"/>
              </w:rPr>
              <w:t>Moultrie, GA</w:t>
            </w:r>
          </w:p>
        </w:tc>
      </w:tr>
      <w:tr>
        <w:trPr>
          <w:trHeight w:val="117"/>
        </w:trPr>
        <w:tc>
          <w:tcPr>
            <w:tcW w:w="2040" w:type="dxa"/>
            <w:vAlign w:val="bottom"/>
            <w:shd w:val="clear" w:color="auto" w:fill="CCEEFF"/>
          </w:tcPr>
          <w:p>
            <w:pPr>
              <w:spacing w:after="0" w:line="117" w:lineRule="exact"/>
              <w:rPr>
                <w:sz w:val="20"/>
                <w:szCs w:val="20"/>
                <w:color w:val="auto"/>
              </w:rPr>
            </w:pPr>
            <w:r>
              <w:rPr>
                <w:rFonts w:ascii="Arial" w:cs="Arial" w:eastAsia="Arial" w:hAnsi="Arial"/>
                <w:sz w:val="11"/>
                <w:szCs w:val="11"/>
                <w:color w:val="auto"/>
              </w:rPr>
              <w:t>Elizabeth City, NC</w:t>
            </w:r>
          </w:p>
        </w:tc>
        <w:tc>
          <w:tcPr>
            <w:tcW w:w="3380" w:type="dxa"/>
            <w:vAlign w:val="bottom"/>
            <w:shd w:val="clear" w:color="auto" w:fill="CCEEFF"/>
          </w:tcPr>
          <w:p>
            <w:pPr>
              <w:ind w:left="1060"/>
              <w:spacing w:after="0" w:line="117" w:lineRule="exact"/>
              <w:rPr>
                <w:sz w:val="20"/>
                <w:szCs w:val="20"/>
                <w:color w:val="auto"/>
              </w:rPr>
            </w:pPr>
            <w:r>
              <w:rPr>
                <w:rFonts w:ascii="Arial" w:cs="Arial" w:eastAsia="Arial" w:hAnsi="Arial"/>
                <w:sz w:val="11"/>
                <w:szCs w:val="11"/>
                <w:color w:val="auto"/>
              </w:rPr>
              <w:t>Stockertown, PA</w:t>
            </w:r>
          </w:p>
        </w:tc>
        <w:tc>
          <w:tcPr>
            <w:tcW w:w="3680" w:type="dxa"/>
            <w:vAlign w:val="bottom"/>
            <w:shd w:val="clear" w:color="auto" w:fill="CCEEFF"/>
          </w:tcPr>
          <w:p>
            <w:pPr>
              <w:ind w:left="760"/>
              <w:spacing w:after="0" w:line="117" w:lineRule="exact"/>
              <w:rPr>
                <w:sz w:val="20"/>
                <w:szCs w:val="20"/>
                <w:color w:val="auto"/>
              </w:rPr>
            </w:pPr>
            <w:r>
              <w:rPr>
                <w:rFonts w:ascii="Arial" w:cs="Arial" w:eastAsia="Arial" w:hAnsi="Arial"/>
                <w:sz w:val="11"/>
                <w:szCs w:val="11"/>
                <w:color w:val="auto"/>
              </w:rPr>
              <w:t>Nampa, ID</w:t>
            </w:r>
          </w:p>
        </w:tc>
      </w:tr>
      <w:tr>
        <w:trPr>
          <w:trHeight w:val="117"/>
        </w:trPr>
        <w:tc>
          <w:tcPr>
            <w:tcW w:w="2040" w:type="dxa"/>
            <w:vAlign w:val="bottom"/>
          </w:tcPr>
          <w:p>
            <w:pPr>
              <w:spacing w:after="0" w:line="117" w:lineRule="exact"/>
              <w:rPr>
                <w:sz w:val="20"/>
                <w:szCs w:val="20"/>
                <w:color w:val="auto"/>
              </w:rPr>
            </w:pPr>
            <w:r>
              <w:rPr>
                <w:rFonts w:ascii="Arial" w:cs="Arial" w:eastAsia="Arial" w:hAnsi="Arial"/>
                <w:sz w:val="11"/>
                <w:szCs w:val="11"/>
                <w:color w:val="auto"/>
              </w:rPr>
              <w:t>Elkhart, IN</w:t>
            </w:r>
          </w:p>
        </w:tc>
        <w:tc>
          <w:tcPr>
            <w:tcW w:w="3380" w:type="dxa"/>
            <w:vAlign w:val="bottom"/>
          </w:tcPr>
          <w:p>
            <w:pPr>
              <w:ind w:left="1060"/>
              <w:spacing w:after="0" w:line="117" w:lineRule="exact"/>
              <w:rPr>
                <w:sz w:val="20"/>
                <w:szCs w:val="20"/>
                <w:color w:val="auto"/>
              </w:rPr>
            </w:pPr>
            <w:r>
              <w:rPr>
                <w:rFonts w:ascii="Arial" w:cs="Arial" w:eastAsia="Arial" w:hAnsi="Arial"/>
                <w:sz w:val="11"/>
                <w:szCs w:val="11"/>
                <w:color w:val="auto"/>
              </w:rPr>
              <w:t>Thornton, CA</w:t>
            </w:r>
          </w:p>
        </w:tc>
        <w:tc>
          <w:tcPr>
            <w:tcW w:w="3680" w:type="dxa"/>
            <w:vAlign w:val="bottom"/>
          </w:tcPr>
          <w:p>
            <w:pPr>
              <w:ind w:left="760"/>
              <w:spacing w:after="0" w:line="117" w:lineRule="exact"/>
              <w:rPr>
                <w:sz w:val="20"/>
                <w:szCs w:val="20"/>
                <w:color w:val="auto"/>
              </w:rPr>
            </w:pPr>
            <w:r>
              <w:rPr>
                <w:rFonts w:ascii="Arial" w:cs="Arial" w:eastAsia="Arial" w:hAnsi="Arial"/>
                <w:sz w:val="11"/>
                <w:szCs w:val="11"/>
                <w:color w:val="auto"/>
              </w:rPr>
              <w:t>Nappanee, IN</w:t>
            </w:r>
          </w:p>
        </w:tc>
      </w:tr>
      <w:tr>
        <w:trPr>
          <w:trHeight w:val="117"/>
        </w:trPr>
        <w:tc>
          <w:tcPr>
            <w:tcW w:w="2040" w:type="dxa"/>
            <w:vAlign w:val="bottom"/>
            <w:shd w:val="clear" w:color="auto" w:fill="CCEEFF"/>
          </w:tcPr>
          <w:p>
            <w:pPr>
              <w:spacing w:after="0" w:line="117" w:lineRule="exact"/>
              <w:rPr>
                <w:sz w:val="20"/>
                <w:szCs w:val="20"/>
                <w:color w:val="auto"/>
              </w:rPr>
            </w:pPr>
            <w:r>
              <w:rPr>
                <w:rFonts w:ascii="Arial" w:cs="Arial" w:eastAsia="Arial" w:hAnsi="Arial"/>
                <w:sz w:val="11"/>
                <w:szCs w:val="11"/>
                <w:color w:val="auto"/>
              </w:rPr>
              <w:t>Fernley, NV</w:t>
            </w:r>
          </w:p>
        </w:tc>
        <w:tc>
          <w:tcPr>
            <w:tcW w:w="3380" w:type="dxa"/>
            <w:vAlign w:val="bottom"/>
            <w:shd w:val="clear" w:color="auto" w:fill="CCEEFF"/>
          </w:tcPr>
          <w:p>
            <w:pPr>
              <w:ind w:left="1060"/>
              <w:spacing w:after="0" w:line="117" w:lineRule="exact"/>
              <w:rPr>
                <w:sz w:val="20"/>
                <w:szCs w:val="20"/>
                <w:color w:val="auto"/>
              </w:rPr>
            </w:pPr>
            <w:r>
              <w:rPr>
                <w:rFonts w:ascii="Arial" w:cs="Arial" w:eastAsia="Arial" w:hAnsi="Arial"/>
                <w:sz w:val="11"/>
                <w:szCs w:val="11"/>
                <w:color w:val="auto"/>
              </w:rPr>
              <w:t>Union City, GA</w:t>
            </w:r>
          </w:p>
        </w:tc>
        <w:tc>
          <w:tcPr>
            <w:tcW w:w="3680" w:type="dxa"/>
            <w:vAlign w:val="bottom"/>
            <w:shd w:val="clear" w:color="auto" w:fill="CCEEFF"/>
          </w:tcPr>
          <w:p>
            <w:pPr>
              <w:ind w:left="760"/>
              <w:spacing w:after="0" w:line="117" w:lineRule="exact"/>
              <w:rPr>
                <w:sz w:val="20"/>
                <w:szCs w:val="20"/>
                <w:color w:val="auto"/>
              </w:rPr>
            </w:pPr>
            <w:r>
              <w:rPr>
                <w:rFonts w:ascii="Arial" w:cs="Arial" w:eastAsia="Arial" w:hAnsi="Arial"/>
                <w:sz w:val="11"/>
                <w:szCs w:val="11"/>
                <w:color w:val="auto"/>
              </w:rPr>
              <w:t>Naugatuck, CT</w:t>
            </w:r>
          </w:p>
        </w:tc>
      </w:tr>
      <w:tr>
        <w:trPr>
          <w:trHeight w:val="117"/>
        </w:trPr>
        <w:tc>
          <w:tcPr>
            <w:tcW w:w="2040" w:type="dxa"/>
            <w:vAlign w:val="bottom"/>
          </w:tcPr>
          <w:p>
            <w:pPr>
              <w:spacing w:after="0" w:line="117" w:lineRule="exact"/>
              <w:rPr>
                <w:sz w:val="20"/>
                <w:szCs w:val="20"/>
                <w:color w:val="auto"/>
              </w:rPr>
            </w:pPr>
            <w:r>
              <w:rPr>
                <w:rFonts w:ascii="Arial" w:cs="Arial" w:eastAsia="Arial" w:hAnsi="Arial"/>
                <w:sz w:val="11"/>
                <w:szCs w:val="11"/>
                <w:color w:val="auto"/>
              </w:rPr>
              <w:t>Folkston, GA</w:t>
            </w:r>
          </w:p>
        </w:tc>
        <w:tc>
          <w:tcPr>
            <w:tcW w:w="3380" w:type="dxa"/>
            <w:vAlign w:val="bottom"/>
          </w:tcPr>
          <w:p>
            <w:pPr>
              <w:ind w:left="1060"/>
              <w:spacing w:after="0" w:line="117" w:lineRule="exact"/>
              <w:rPr>
                <w:sz w:val="20"/>
                <w:szCs w:val="20"/>
                <w:color w:val="auto"/>
              </w:rPr>
            </w:pPr>
            <w:r>
              <w:rPr>
                <w:rFonts w:ascii="Arial" w:cs="Arial" w:eastAsia="Arial" w:hAnsi="Arial"/>
                <w:sz w:val="11"/>
                <w:szCs w:val="11"/>
                <w:color w:val="auto"/>
              </w:rPr>
              <w:t>Warrens, WI</w:t>
            </w:r>
          </w:p>
        </w:tc>
        <w:tc>
          <w:tcPr>
            <w:tcW w:w="3680" w:type="dxa"/>
            <w:vAlign w:val="bottom"/>
          </w:tcPr>
          <w:p>
            <w:pPr>
              <w:ind w:left="760"/>
              <w:spacing w:after="0" w:line="117" w:lineRule="exact"/>
              <w:rPr>
                <w:sz w:val="20"/>
                <w:szCs w:val="20"/>
                <w:color w:val="auto"/>
              </w:rPr>
            </w:pPr>
            <w:r>
              <w:rPr>
                <w:rFonts w:ascii="Arial" w:cs="Arial" w:eastAsia="Arial" w:hAnsi="Arial"/>
                <w:sz w:val="11"/>
                <w:szCs w:val="11"/>
                <w:color w:val="auto"/>
              </w:rPr>
              <w:t>New Delhi, India</w:t>
            </w:r>
          </w:p>
        </w:tc>
      </w:tr>
      <w:tr>
        <w:trPr>
          <w:trHeight w:val="117"/>
        </w:trPr>
        <w:tc>
          <w:tcPr>
            <w:tcW w:w="2040" w:type="dxa"/>
            <w:vAlign w:val="bottom"/>
            <w:shd w:val="clear" w:color="auto" w:fill="CCEEFF"/>
          </w:tcPr>
          <w:p>
            <w:pPr>
              <w:spacing w:after="0" w:line="117" w:lineRule="exact"/>
              <w:rPr>
                <w:sz w:val="20"/>
                <w:szCs w:val="20"/>
                <w:color w:val="auto"/>
              </w:rPr>
            </w:pPr>
            <w:r>
              <w:rPr>
                <w:rFonts w:ascii="Arial" w:cs="Arial" w:eastAsia="Arial" w:hAnsi="Arial"/>
                <w:sz w:val="11"/>
                <w:szCs w:val="11"/>
                <w:color w:val="auto"/>
              </w:rPr>
              <w:t>Franklinton, NC</w:t>
            </w:r>
          </w:p>
        </w:tc>
        <w:tc>
          <w:tcPr>
            <w:tcW w:w="3380" w:type="dxa"/>
            <w:vAlign w:val="bottom"/>
            <w:shd w:val="clear" w:color="auto" w:fill="CCEEFF"/>
          </w:tcPr>
          <w:p>
            <w:pPr>
              <w:ind w:left="1060"/>
              <w:spacing w:after="0" w:line="117" w:lineRule="exact"/>
              <w:rPr>
                <w:sz w:val="20"/>
                <w:szCs w:val="20"/>
                <w:color w:val="auto"/>
              </w:rPr>
            </w:pPr>
            <w:r>
              <w:rPr>
                <w:rFonts w:ascii="Arial" w:cs="Arial" w:eastAsia="Arial" w:hAnsi="Arial"/>
                <w:sz w:val="11"/>
                <w:szCs w:val="11"/>
                <w:color w:val="auto"/>
              </w:rPr>
              <w:t>Washington, NC</w:t>
            </w:r>
          </w:p>
        </w:tc>
        <w:tc>
          <w:tcPr>
            <w:tcW w:w="3680" w:type="dxa"/>
            <w:vAlign w:val="bottom"/>
            <w:shd w:val="clear" w:color="auto" w:fill="CCEEFF"/>
          </w:tcPr>
          <w:p>
            <w:pPr>
              <w:ind w:left="760"/>
              <w:spacing w:after="0" w:line="117" w:lineRule="exact"/>
              <w:rPr>
                <w:sz w:val="20"/>
                <w:szCs w:val="20"/>
                <w:color w:val="auto"/>
              </w:rPr>
            </w:pPr>
            <w:r>
              <w:rPr>
                <w:rFonts w:ascii="Arial" w:cs="Arial" w:eastAsia="Arial" w:hAnsi="Arial"/>
                <w:sz w:val="11"/>
                <w:szCs w:val="11"/>
                <w:color w:val="auto"/>
              </w:rPr>
              <w:t>New Hartford, NY</w:t>
            </w:r>
          </w:p>
        </w:tc>
      </w:tr>
      <w:tr>
        <w:trPr>
          <w:trHeight w:val="117"/>
        </w:trPr>
        <w:tc>
          <w:tcPr>
            <w:tcW w:w="2040" w:type="dxa"/>
            <w:vAlign w:val="bottom"/>
          </w:tcPr>
          <w:p>
            <w:pPr>
              <w:spacing w:after="0" w:line="117" w:lineRule="exact"/>
              <w:rPr>
                <w:sz w:val="20"/>
                <w:szCs w:val="20"/>
                <w:color w:val="auto"/>
              </w:rPr>
            </w:pPr>
            <w:r>
              <w:rPr>
                <w:rFonts w:ascii="Arial" w:cs="Arial" w:eastAsia="Arial" w:hAnsi="Arial"/>
                <w:sz w:val="11"/>
                <w:szCs w:val="11"/>
                <w:color w:val="auto"/>
              </w:rPr>
              <w:t>Fredericksburg, VA</w:t>
            </w:r>
          </w:p>
        </w:tc>
        <w:tc>
          <w:tcPr>
            <w:tcW w:w="3380" w:type="dxa"/>
            <w:vAlign w:val="bottom"/>
          </w:tcPr>
          <w:p>
            <w:pPr>
              <w:ind w:left="1060"/>
              <w:spacing w:after="0" w:line="117" w:lineRule="exact"/>
              <w:rPr>
                <w:sz w:val="20"/>
                <w:szCs w:val="20"/>
                <w:color w:val="auto"/>
              </w:rPr>
            </w:pPr>
            <w:r>
              <w:rPr>
                <w:rFonts w:ascii="Arial" w:cs="Arial" w:eastAsia="Arial" w:hAnsi="Arial"/>
                <w:sz w:val="11"/>
                <w:szCs w:val="11"/>
                <w:color w:val="auto"/>
              </w:rPr>
              <w:t>Waterbury, CT</w:t>
            </w:r>
          </w:p>
        </w:tc>
        <w:tc>
          <w:tcPr>
            <w:tcW w:w="3680" w:type="dxa"/>
            <w:vAlign w:val="bottom"/>
          </w:tcPr>
          <w:p>
            <w:pPr>
              <w:ind w:left="760"/>
              <w:spacing w:after="0" w:line="117" w:lineRule="exact"/>
              <w:rPr>
                <w:sz w:val="20"/>
                <w:szCs w:val="20"/>
                <w:color w:val="auto"/>
              </w:rPr>
            </w:pPr>
            <w:r>
              <w:rPr>
                <w:rFonts w:ascii="Arial" w:cs="Arial" w:eastAsia="Arial" w:hAnsi="Arial"/>
                <w:sz w:val="11"/>
                <w:szCs w:val="11"/>
                <w:color w:val="auto"/>
              </w:rPr>
              <w:t>New York, NY</w:t>
            </w:r>
          </w:p>
        </w:tc>
      </w:tr>
      <w:tr>
        <w:trPr>
          <w:trHeight w:val="117"/>
        </w:trPr>
        <w:tc>
          <w:tcPr>
            <w:tcW w:w="2040" w:type="dxa"/>
            <w:vAlign w:val="bottom"/>
            <w:shd w:val="clear" w:color="auto" w:fill="CCEEFF"/>
          </w:tcPr>
          <w:p>
            <w:pPr>
              <w:spacing w:after="0" w:line="117" w:lineRule="exact"/>
              <w:rPr>
                <w:sz w:val="20"/>
                <w:szCs w:val="20"/>
                <w:color w:val="auto"/>
              </w:rPr>
            </w:pPr>
            <w:r>
              <w:rPr>
                <w:rFonts w:ascii="Arial" w:cs="Arial" w:eastAsia="Arial" w:hAnsi="Arial"/>
                <w:sz w:val="11"/>
                <w:szCs w:val="11"/>
                <w:color w:val="auto"/>
              </w:rPr>
              <w:t>Gilmer, TX</w:t>
            </w:r>
          </w:p>
        </w:tc>
        <w:tc>
          <w:tcPr>
            <w:tcW w:w="3380" w:type="dxa"/>
            <w:vAlign w:val="bottom"/>
            <w:shd w:val="clear" w:color="auto" w:fill="CCEEFF"/>
          </w:tcPr>
          <w:p>
            <w:pPr>
              <w:ind w:left="1060"/>
              <w:spacing w:after="0" w:line="117" w:lineRule="exact"/>
              <w:rPr>
                <w:sz w:val="20"/>
                <w:szCs w:val="20"/>
                <w:color w:val="auto"/>
              </w:rPr>
            </w:pPr>
            <w:r>
              <w:rPr>
                <w:rFonts w:ascii="Arial" w:cs="Arial" w:eastAsia="Arial" w:hAnsi="Arial"/>
                <w:sz w:val="11"/>
                <w:szCs w:val="11"/>
                <w:color w:val="auto"/>
              </w:rPr>
              <w:t>Wenatchee, WA</w:t>
            </w:r>
          </w:p>
        </w:tc>
        <w:tc>
          <w:tcPr>
            <w:tcW w:w="3680" w:type="dxa"/>
            <w:vAlign w:val="bottom"/>
            <w:shd w:val="clear" w:color="auto" w:fill="CCEEFF"/>
          </w:tcPr>
          <w:p>
            <w:pPr>
              <w:ind w:left="760"/>
              <w:spacing w:after="0" w:line="117" w:lineRule="exact"/>
              <w:rPr>
                <w:sz w:val="20"/>
                <w:szCs w:val="20"/>
                <w:color w:val="auto"/>
              </w:rPr>
            </w:pPr>
            <w:r>
              <w:rPr>
                <w:rFonts w:ascii="Arial" w:cs="Arial" w:eastAsia="Arial" w:hAnsi="Arial"/>
                <w:sz w:val="11"/>
                <w:szCs w:val="11"/>
                <w:color w:val="auto"/>
              </w:rPr>
              <w:t>Ontario, CA</w:t>
            </w:r>
          </w:p>
        </w:tc>
      </w:tr>
      <w:tr>
        <w:trPr>
          <w:trHeight w:val="117"/>
        </w:trPr>
        <w:tc>
          <w:tcPr>
            <w:tcW w:w="2040" w:type="dxa"/>
            <w:vAlign w:val="bottom"/>
          </w:tcPr>
          <w:p>
            <w:pPr>
              <w:spacing w:after="0" w:line="117" w:lineRule="exact"/>
              <w:rPr>
                <w:sz w:val="20"/>
                <w:szCs w:val="20"/>
                <w:color w:val="auto"/>
              </w:rPr>
            </w:pPr>
            <w:r>
              <w:rPr>
                <w:rFonts w:ascii="Arial" w:cs="Arial" w:eastAsia="Arial" w:hAnsi="Arial"/>
                <w:sz w:val="11"/>
                <w:szCs w:val="11"/>
                <w:color w:val="auto"/>
              </w:rPr>
              <w:t>Gordon, PA</w:t>
            </w:r>
          </w:p>
        </w:tc>
        <w:tc>
          <w:tcPr>
            <w:tcW w:w="3380" w:type="dxa"/>
            <w:vAlign w:val="bottom"/>
          </w:tcPr>
          <w:p>
            <w:pPr>
              <w:ind w:left="1060"/>
              <w:spacing w:after="0" w:line="117" w:lineRule="exact"/>
              <w:rPr>
                <w:sz w:val="20"/>
                <w:szCs w:val="20"/>
                <w:color w:val="auto"/>
              </w:rPr>
            </w:pPr>
            <w:r>
              <w:rPr>
                <w:rFonts w:ascii="Arial" w:cs="Arial" w:eastAsia="Arial" w:hAnsi="Arial"/>
                <w:sz w:val="11"/>
                <w:szCs w:val="11"/>
                <w:color w:val="auto"/>
              </w:rPr>
              <w:t>White Bear Lake, MN</w:t>
            </w:r>
          </w:p>
        </w:tc>
        <w:tc>
          <w:tcPr>
            <w:tcW w:w="3680" w:type="dxa"/>
            <w:vAlign w:val="bottom"/>
          </w:tcPr>
          <w:p>
            <w:pPr>
              <w:ind w:left="760"/>
              <w:spacing w:after="0" w:line="117" w:lineRule="exact"/>
              <w:rPr>
                <w:sz w:val="20"/>
                <w:szCs w:val="20"/>
                <w:color w:val="auto"/>
              </w:rPr>
            </w:pPr>
            <w:r>
              <w:rPr>
                <w:rFonts w:ascii="Arial" w:cs="Arial" w:eastAsia="Arial" w:hAnsi="Arial"/>
                <w:sz w:val="11"/>
                <w:szCs w:val="11"/>
                <w:color w:val="auto"/>
              </w:rPr>
              <w:t>Orangeburg, SC</w:t>
            </w:r>
          </w:p>
        </w:tc>
      </w:tr>
      <w:tr>
        <w:trPr>
          <w:trHeight w:val="117"/>
        </w:trPr>
        <w:tc>
          <w:tcPr>
            <w:tcW w:w="2040" w:type="dxa"/>
            <w:vAlign w:val="bottom"/>
            <w:shd w:val="clear" w:color="auto" w:fill="CCEEFF"/>
          </w:tcPr>
          <w:p>
            <w:pPr>
              <w:spacing w:after="0" w:line="117" w:lineRule="exact"/>
              <w:rPr>
                <w:sz w:val="20"/>
                <w:szCs w:val="20"/>
                <w:color w:val="auto"/>
              </w:rPr>
            </w:pPr>
            <w:r>
              <w:rPr>
                <w:rFonts w:ascii="Arial" w:cs="Arial" w:eastAsia="Arial" w:hAnsi="Arial"/>
                <w:sz w:val="11"/>
                <w:szCs w:val="11"/>
                <w:color w:val="auto"/>
              </w:rPr>
              <w:t>Grand Rapids, MI</w:t>
            </w:r>
          </w:p>
        </w:tc>
        <w:tc>
          <w:tcPr>
            <w:tcW w:w="3380" w:type="dxa"/>
            <w:vAlign w:val="bottom"/>
            <w:shd w:val="clear" w:color="auto" w:fill="CCEEFF"/>
          </w:tcPr>
          <w:p>
            <w:pPr>
              <w:ind w:left="1060"/>
              <w:spacing w:after="0" w:line="117" w:lineRule="exact"/>
              <w:rPr>
                <w:sz w:val="20"/>
                <w:szCs w:val="20"/>
                <w:color w:val="auto"/>
              </w:rPr>
            </w:pPr>
            <w:r>
              <w:rPr>
                <w:rFonts w:ascii="Arial" w:cs="Arial" w:eastAsia="Arial" w:hAnsi="Arial"/>
                <w:sz w:val="11"/>
                <w:szCs w:val="11"/>
                <w:color w:val="auto"/>
              </w:rPr>
              <w:t>White Pigeon, MI</w:t>
            </w:r>
          </w:p>
        </w:tc>
        <w:tc>
          <w:tcPr>
            <w:tcW w:w="3680" w:type="dxa"/>
            <w:vAlign w:val="bottom"/>
            <w:shd w:val="clear" w:color="auto" w:fill="CCEEFF"/>
          </w:tcPr>
          <w:p>
            <w:pPr>
              <w:ind w:left="760"/>
              <w:spacing w:after="0" w:line="117" w:lineRule="exact"/>
              <w:rPr>
                <w:sz w:val="20"/>
                <w:szCs w:val="20"/>
                <w:color w:val="auto"/>
              </w:rPr>
            </w:pPr>
            <w:r>
              <w:rPr>
                <w:rFonts w:ascii="Arial" w:cs="Arial" w:eastAsia="Arial" w:hAnsi="Arial"/>
                <w:sz w:val="11"/>
                <w:szCs w:val="11"/>
                <w:color w:val="auto"/>
              </w:rPr>
              <w:t>Parker, PA</w:t>
            </w:r>
          </w:p>
        </w:tc>
      </w:tr>
      <w:tr>
        <w:trPr>
          <w:trHeight w:val="117"/>
        </w:trPr>
        <w:tc>
          <w:tcPr>
            <w:tcW w:w="2040" w:type="dxa"/>
            <w:vAlign w:val="bottom"/>
          </w:tcPr>
          <w:p>
            <w:pPr>
              <w:spacing w:after="0" w:line="117" w:lineRule="exact"/>
              <w:rPr>
                <w:sz w:val="20"/>
                <w:szCs w:val="20"/>
                <w:color w:val="auto"/>
              </w:rPr>
            </w:pPr>
            <w:r>
              <w:rPr>
                <w:rFonts w:ascii="Arial" w:cs="Arial" w:eastAsia="Arial" w:hAnsi="Arial"/>
                <w:sz w:val="11"/>
                <w:szCs w:val="11"/>
                <w:color w:val="auto"/>
              </w:rPr>
              <w:t>Grandview, TX</w:t>
            </w:r>
          </w:p>
        </w:tc>
        <w:tc>
          <w:tcPr>
            <w:tcW w:w="3380" w:type="dxa"/>
            <w:vAlign w:val="bottom"/>
          </w:tcPr>
          <w:p>
            <w:pPr>
              <w:ind w:left="1060"/>
              <w:spacing w:after="0" w:line="117" w:lineRule="exact"/>
              <w:rPr>
                <w:sz w:val="20"/>
                <w:szCs w:val="20"/>
                <w:color w:val="auto"/>
              </w:rPr>
            </w:pPr>
            <w:r>
              <w:rPr>
                <w:rFonts w:ascii="Arial" w:cs="Arial" w:eastAsia="Arial" w:hAnsi="Arial"/>
                <w:sz w:val="11"/>
                <w:szCs w:val="11"/>
                <w:color w:val="auto"/>
              </w:rPr>
              <w:t>Windsor, CO</w:t>
            </w:r>
          </w:p>
        </w:tc>
        <w:tc>
          <w:tcPr>
            <w:tcW w:w="3680" w:type="dxa"/>
            <w:vAlign w:val="bottom"/>
          </w:tcPr>
          <w:p>
            <w:pPr>
              <w:ind w:left="760"/>
              <w:spacing w:after="0" w:line="117" w:lineRule="exact"/>
              <w:rPr>
                <w:sz w:val="20"/>
                <w:szCs w:val="20"/>
                <w:color w:val="auto"/>
              </w:rPr>
            </w:pPr>
            <w:r>
              <w:rPr>
                <w:rFonts w:ascii="Arial" w:cs="Arial" w:eastAsia="Arial" w:hAnsi="Arial"/>
                <w:sz w:val="11"/>
                <w:szCs w:val="11"/>
                <w:color w:val="auto"/>
              </w:rPr>
              <w:t>Pitts, GA</w:t>
            </w:r>
          </w:p>
        </w:tc>
      </w:tr>
      <w:tr>
        <w:trPr>
          <w:trHeight w:val="117"/>
        </w:trPr>
        <w:tc>
          <w:tcPr>
            <w:tcW w:w="2040" w:type="dxa"/>
            <w:vAlign w:val="bottom"/>
            <w:shd w:val="clear" w:color="auto" w:fill="CCEEFF"/>
          </w:tcPr>
          <w:p>
            <w:pPr>
              <w:spacing w:after="0" w:line="117" w:lineRule="exact"/>
              <w:rPr>
                <w:sz w:val="20"/>
                <w:szCs w:val="20"/>
                <w:color w:val="auto"/>
              </w:rPr>
            </w:pPr>
            <w:r>
              <w:rPr>
                <w:rFonts w:ascii="Arial" w:cs="Arial" w:eastAsia="Arial" w:hAnsi="Arial"/>
                <w:sz w:val="11"/>
                <w:szCs w:val="11"/>
                <w:color w:val="auto"/>
              </w:rPr>
              <w:t>Granger, IN</w:t>
            </w:r>
          </w:p>
        </w:tc>
        <w:tc>
          <w:tcPr>
            <w:tcW w:w="3380" w:type="dxa"/>
            <w:vAlign w:val="bottom"/>
            <w:shd w:val="clear" w:color="auto" w:fill="CCEEFF"/>
          </w:tcPr>
          <w:p>
            <w:pPr>
              <w:ind w:left="1060"/>
              <w:spacing w:after="0" w:line="117" w:lineRule="exact"/>
              <w:rPr>
                <w:sz w:val="20"/>
                <w:szCs w:val="20"/>
                <w:color w:val="auto"/>
              </w:rPr>
            </w:pPr>
            <w:r>
              <w:rPr>
                <w:rFonts w:ascii="Arial" w:cs="Arial" w:eastAsia="Arial" w:hAnsi="Arial"/>
                <w:sz w:val="11"/>
                <w:szCs w:val="11"/>
                <w:color w:val="auto"/>
              </w:rPr>
              <w:t>Woodburn, OR</w:t>
            </w:r>
          </w:p>
        </w:tc>
        <w:tc>
          <w:tcPr>
            <w:tcW w:w="3680" w:type="dxa"/>
            <w:vAlign w:val="bottom"/>
            <w:shd w:val="clear" w:color="auto" w:fill="CCEEFF"/>
          </w:tcPr>
          <w:p>
            <w:pPr>
              <w:ind w:left="760"/>
              <w:spacing w:after="0" w:line="117" w:lineRule="exact"/>
              <w:rPr>
                <w:sz w:val="20"/>
                <w:szCs w:val="20"/>
                <w:color w:val="auto"/>
              </w:rPr>
            </w:pPr>
            <w:r>
              <w:rPr>
                <w:rFonts w:ascii="Arial" w:cs="Arial" w:eastAsia="Arial" w:hAnsi="Arial"/>
                <w:sz w:val="11"/>
                <w:szCs w:val="11"/>
                <w:color w:val="auto"/>
              </w:rPr>
              <w:t>Plainville, MA</w:t>
            </w:r>
          </w:p>
        </w:tc>
      </w:tr>
      <w:tr>
        <w:trPr>
          <w:trHeight w:val="117"/>
        </w:trPr>
        <w:tc>
          <w:tcPr>
            <w:tcW w:w="2040" w:type="dxa"/>
            <w:vAlign w:val="bottom"/>
          </w:tcPr>
          <w:p>
            <w:pPr>
              <w:spacing w:after="0" w:line="117" w:lineRule="exact"/>
              <w:rPr>
                <w:sz w:val="20"/>
                <w:szCs w:val="20"/>
                <w:color w:val="auto"/>
              </w:rPr>
            </w:pPr>
            <w:r>
              <w:rPr>
                <w:rFonts w:ascii="Arial" w:cs="Arial" w:eastAsia="Arial" w:hAnsi="Arial"/>
                <w:sz w:val="11"/>
                <w:szCs w:val="11"/>
                <w:color w:val="auto"/>
              </w:rPr>
              <w:t>Haleyville, AL</w:t>
            </w:r>
          </w:p>
        </w:tc>
        <w:tc>
          <w:tcPr>
            <w:tcW w:w="3380" w:type="dxa"/>
            <w:vAlign w:val="bottom"/>
          </w:tcPr>
          <w:p>
            <w:pPr>
              <w:ind w:left="1060"/>
              <w:spacing w:after="0" w:line="117" w:lineRule="exact"/>
              <w:rPr>
                <w:sz w:val="20"/>
                <w:szCs w:val="20"/>
                <w:color w:val="auto"/>
              </w:rPr>
            </w:pPr>
            <w:r>
              <w:rPr>
                <w:rFonts w:ascii="Arial" w:cs="Arial" w:eastAsia="Arial" w:hAnsi="Arial"/>
                <w:sz w:val="11"/>
                <w:szCs w:val="11"/>
                <w:color w:val="auto"/>
              </w:rPr>
              <w:t>Yakima, WA</w:t>
            </w:r>
          </w:p>
        </w:tc>
        <w:tc>
          <w:tcPr>
            <w:tcW w:w="3680" w:type="dxa"/>
            <w:vAlign w:val="bottom"/>
          </w:tcPr>
          <w:p>
            <w:pPr>
              <w:ind w:left="760"/>
              <w:spacing w:after="0" w:line="117" w:lineRule="exact"/>
              <w:rPr>
                <w:sz w:val="20"/>
                <w:szCs w:val="20"/>
                <w:color w:val="auto"/>
              </w:rPr>
            </w:pPr>
            <w:r>
              <w:rPr>
                <w:rFonts w:ascii="Arial" w:cs="Arial" w:eastAsia="Arial" w:hAnsi="Arial"/>
                <w:sz w:val="11"/>
                <w:szCs w:val="11"/>
                <w:color w:val="auto"/>
              </w:rPr>
              <w:t>Poulsbo, WA</w:t>
            </w:r>
          </w:p>
        </w:tc>
      </w:tr>
      <w:tr>
        <w:trPr>
          <w:trHeight w:val="117"/>
        </w:trPr>
        <w:tc>
          <w:tcPr>
            <w:tcW w:w="2040" w:type="dxa"/>
            <w:vAlign w:val="bottom"/>
            <w:shd w:val="clear" w:color="auto" w:fill="CCEEFF"/>
          </w:tcPr>
          <w:p>
            <w:pPr>
              <w:spacing w:after="0" w:line="117" w:lineRule="exact"/>
              <w:rPr>
                <w:sz w:val="20"/>
                <w:szCs w:val="20"/>
                <w:color w:val="auto"/>
              </w:rPr>
            </w:pPr>
            <w:r>
              <w:rPr>
                <w:rFonts w:ascii="Arial" w:cs="Arial" w:eastAsia="Arial" w:hAnsi="Arial"/>
                <w:sz w:val="11"/>
                <w:szCs w:val="11"/>
                <w:color w:val="auto"/>
              </w:rPr>
              <w:t>Hamilton, OH</w:t>
            </w:r>
          </w:p>
        </w:tc>
        <w:tc>
          <w:tcPr>
            <w:tcW w:w="3380" w:type="dxa"/>
            <w:vAlign w:val="bottom"/>
            <w:shd w:val="clear" w:color="auto" w:fill="CCEEFF"/>
          </w:tcPr>
          <w:p>
            <w:pPr>
              <w:ind w:left="1060"/>
              <w:spacing w:after="0" w:line="117" w:lineRule="exact"/>
              <w:rPr>
                <w:sz w:val="20"/>
                <w:szCs w:val="20"/>
                <w:color w:val="auto"/>
              </w:rPr>
            </w:pPr>
            <w:r>
              <w:rPr>
                <w:rFonts w:ascii="Arial" w:cs="Arial" w:eastAsia="Arial" w:hAnsi="Arial"/>
                <w:sz w:val="11"/>
                <w:szCs w:val="11"/>
                <w:color w:val="auto"/>
              </w:rPr>
              <w:t>Aiea, HI</w:t>
            </w:r>
          </w:p>
        </w:tc>
        <w:tc>
          <w:tcPr>
            <w:tcW w:w="3680" w:type="dxa"/>
            <w:vAlign w:val="bottom"/>
            <w:shd w:val="clear" w:color="auto" w:fill="CCEEFF"/>
          </w:tcPr>
          <w:p>
            <w:pPr>
              <w:ind w:left="760"/>
              <w:spacing w:after="0" w:line="117" w:lineRule="exact"/>
              <w:rPr>
                <w:sz w:val="20"/>
                <w:szCs w:val="20"/>
                <w:color w:val="auto"/>
              </w:rPr>
            </w:pPr>
            <w:r>
              <w:rPr>
                <w:rFonts w:ascii="Arial" w:cs="Arial" w:eastAsia="Arial" w:hAnsi="Arial"/>
                <w:sz w:val="11"/>
                <w:szCs w:val="11"/>
                <w:color w:val="auto"/>
              </w:rPr>
              <w:t>Prairie Du Chien, WI</w:t>
            </w:r>
          </w:p>
        </w:tc>
      </w:tr>
      <w:tr>
        <w:trPr>
          <w:trHeight w:val="117"/>
        </w:trPr>
        <w:tc>
          <w:tcPr>
            <w:tcW w:w="2040" w:type="dxa"/>
            <w:vAlign w:val="bottom"/>
          </w:tcPr>
          <w:p>
            <w:pPr>
              <w:spacing w:after="0" w:line="117" w:lineRule="exact"/>
              <w:rPr>
                <w:sz w:val="20"/>
                <w:szCs w:val="20"/>
                <w:color w:val="auto"/>
              </w:rPr>
            </w:pPr>
            <w:r>
              <w:rPr>
                <w:rFonts w:ascii="Arial" w:cs="Arial" w:eastAsia="Arial" w:hAnsi="Arial"/>
                <w:sz w:val="11"/>
                <w:szCs w:val="11"/>
                <w:color w:val="auto"/>
              </w:rPr>
              <w:t>Harrisonville, MO</w:t>
            </w:r>
          </w:p>
        </w:tc>
        <w:tc>
          <w:tcPr>
            <w:tcW w:w="3380" w:type="dxa"/>
            <w:vAlign w:val="bottom"/>
          </w:tcPr>
          <w:p>
            <w:pPr>
              <w:ind w:left="1060"/>
              <w:spacing w:after="0" w:line="117" w:lineRule="exact"/>
              <w:rPr>
                <w:sz w:val="20"/>
                <w:szCs w:val="20"/>
                <w:color w:val="auto"/>
              </w:rPr>
            </w:pPr>
            <w:r>
              <w:rPr>
                <w:rFonts w:ascii="Arial" w:cs="Arial" w:eastAsia="Arial" w:hAnsi="Arial"/>
                <w:sz w:val="11"/>
                <w:szCs w:val="11"/>
                <w:color w:val="auto"/>
              </w:rPr>
              <w:t>Athena, OR</w:t>
            </w:r>
          </w:p>
        </w:tc>
        <w:tc>
          <w:tcPr>
            <w:tcW w:w="3680" w:type="dxa"/>
            <w:vAlign w:val="bottom"/>
          </w:tcPr>
          <w:p>
            <w:pPr>
              <w:ind w:left="760"/>
              <w:spacing w:after="0" w:line="117" w:lineRule="exact"/>
              <w:rPr>
                <w:sz w:val="20"/>
                <w:szCs w:val="20"/>
                <w:color w:val="auto"/>
              </w:rPr>
            </w:pPr>
            <w:r>
              <w:rPr>
                <w:rFonts w:ascii="Arial" w:cs="Arial" w:eastAsia="Arial" w:hAnsi="Arial"/>
                <w:sz w:val="11"/>
                <w:szCs w:val="11"/>
                <w:color w:val="auto"/>
              </w:rPr>
              <w:t>Puerto Rico</w:t>
            </w:r>
          </w:p>
        </w:tc>
      </w:tr>
      <w:tr>
        <w:trPr>
          <w:trHeight w:val="117"/>
        </w:trPr>
        <w:tc>
          <w:tcPr>
            <w:tcW w:w="2040" w:type="dxa"/>
            <w:vAlign w:val="bottom"/>
            <w:shd w:val="clear" w:color="auto" w:fill="CCEEFF"/>
          </w:tcPr>
          <w:p>
            <w:pPr>
              <w:spacing w:after="0" w:line="117" w:lineRule="exact"/>
              <w:rPr>
                <w:sz w:val="20"/>
                <w:szCs w:val="20"/>
                <w:color w:val="auto"/>
              </w:rPr>
            </w:pPr>
            <w:r>
              <w:rPr>
                <w:rFonts w:ascii="Arial" w:cs="Arial" w:eastAsia="Arial" w:hAnsi="Arial"/>
                <w:sz w:val="11"/>
                <w:szCs w:val="11"/>
                <w:color w:val="auto"/>
              </w:rPr>
              <w:t>Highland Square, NY</w:t>
            </w:r>
          </w:p>
        </w:tc>
        <w:tc>
          <w:tcPr>
            <w:tcW w:w="3380" w:type="dxa"/>
            <w:vAlign w:val="bottom"/>
            <w:shd w:val="clear" w:color="auto" w:fill="CCEEFF"/>
          </w:tcPr>
          <w:p>
            <w:pPr>
              <w:ind w:left="1060"/>
              <w:spacing w:after="0" w:line="117" w:lineRule="exact"/>
              <w:rPr>
                <w:sz w:val="20"/>
                <w:szCs w:val="20"/>
                <w:color w:val="auto"/>
              </w:rPr>
            </w:pPr>
            <w:r>
              <w:rPr>
                <w:rFonts w:ascii="Arial" w:cs="Arial" w:eastAsia="Arial" w:hAnsi="Arial"/>
                <w:sz w:val="11"/>
                <w:szCs w:val="11"/>
                <w:color w:val="auto"/>
              </w:rPr>
              <w:t>Auburndale, FL</w:t>
            </w:r>
          </w:p>
        </w:tc>
        <w:tc>
          <w:tcPr>
            <w:tcW w:w="3680" w:type="dxa"/>
            <w:vAlign w:val="bottom"/>
            <w:shd w:val="clear" w:color="auto" w:fill="CCEEFF"/>
          </w:tcPr>
          <w:p>
            <w:pPr>
              <w:ind w:left="760"/>
              <w:spacing w:after="0" w:line="117" w:lineRule="exact"/>
              <w:rPr>
                <w:sz w:val="20"/>
                <w:szCs w:val="20"/>
                <w:color w:val="auto"/>
              </w:rPr>
            </w:pPr>
            <w:r>
              <w:rPr>
                <w:rFonts w:ascii="Arial" w:cs="Arial" w:eastAsia="Arial" w:hAnsi="Arial"/>
                <w:sz w:val="11"/>
                <w:szCs w:val="11"/>
                <w:color w:val="auto"/>
              </w:rPr>
              <w:t>Puyallup, WA</w:t>
            </w:r>
          </w:p>
        </w:tc>
      </w:tr>
      <w:tr>
        <w:trPr>
          <w:trHeight w:val="117"/>
        </w:trPr>
        <w:tc>
          <w:tcPr>
            <w:tcW w:w="2040" w:type="dxa"/>
            <w:vAlign w:val="bottom"/>
          </w:tcPr>
          <w:p>
            <w:pPr>
              <w:spacing w:after="0" w:line="117" w:lineRule="exact"/>
              <w:rPr>
                <w:sz w:val="20"/>
                <w:szCs w:val="20"/>
                <w:color w:val="auto"/>
              </w:rPr>
            </w:pPr>
            <w:r>
              <w:rPr>
                <w:rFonts w:ascii="Arial" w:cs="Arial" w:eastAsia="Arial" w:hAnsi="Arial"/>
                <w:sz w:val="11"/>
                <w:szCs w:val="11"/>
                <w:color w:val="auto"/>
              </w:rPr>
              <w:t>Hillsboro, TX</w:t>
            </w:r>
          </w:p>
        </w:tc>
        <w:tc>
          <w:tcPr>
            <w:tcW w:w="3380" w:type="dxa"/>
            <w:vAlign w:val="bottom"/>
          </w:tcPr>
          <w:p>
            <w:pPr>
              <w:ind w:left="1060"/>
              <w:spacing w:after="0" w:line="117" w:lineRule="exact"/>
              <w:rPr>
                <w:sz w:val="20"/>
                <w:szCs w:val="20"/>
                <w:color w:val="auto"/>
              </w:rPr>
            </w:pPr>
            <w:r>
              <w:rPr>
                <w:rFonts w:ascii="Arial" w:cs="Arial" w:eastAsia="Arial" w:hAnsi="Arial"/>
                <w:sz w:val="11"/>
                <w:szCs w:val="11"/>
                <w:color w:val="auto"/>
              </w:rPr>
              <w:t>Aurora, CO</w:t>
            </w:r>
          </w:p>
        </w:tc>
        <w:tc>
          <w:tcPr>
            <w:tcW w:w="3680" w:type="dxa"/>
            <w:vAlign w:val="bottom"/>
          </w:tcPr>
          <w:p>
            <w:pPr>
              <w:ind w:left="760"/>
              <w:spacing w:after="0" w:line="117" w:lineRule="exact"/>
              <w:rPr>
                <w:sz w:val="20"/>
                <w:szCs w:val="20"/>
                <w:color w:val="auto"/>
              </w:rPr>
            </w:pPr>
            <w:r>
              <w:rPr>
                <w:rFonts w:ascii="Arial" w:cs="Arial" w:eastAsia="Arial" w:hAnsi="Arial"/>
                <w:sz w:val="11"/>
                <w:szCs w:val="11"/>
                <w:color w:val="auto"/>
              </w:rPr>
              <w:t>Rockwell, NC</w:t>
            </w:r>
          </w:p>
        </w:tc>
      </w:tr>
      <w:tr>
        <w:trPr>
          <w:trHeight w:val="117"/>
        </w:trPr>
        <w:tc>
          <w:tcPr>
            <w:tcW w:w="2040" w:type="dxa"/>
            <w:vAlign w:val="bottom"/>
            <w:shd w:val="clear" w:color="auto" w:fill="CCEEFF"/>
          </w:tcPr>
          <w:p>
            <w:pPr>
              <w:spacing w:after="0" w:line="117" w:lineRule="exact"/>
              <w:rPr>
                <w:sz w:val="20"/>
                <w:szCs w:val="20"/>
                <w:color w:val="auto"/>
              </w:rPr>
            </w:pPr>
            <w:r>
              <w:rPr>
                <w:rFonts w:ascii="Arial" w:cs="Arial" w:eastAsia="Arial" w:hAnsi="Arial"/>
                <w:sz w:val="11"/>
                <w:szCs w:val="11"/>
                <w:color w:val="auto"/>
              </w:rPr>
              <w:t>Huntsville, TX</w:t>
            </w:r>
          </w:p>
        </w:tc>
        <w:tc>
          <w:tcPr>
            <w:tcW w:w="3380" w:type="dxa"/>
            <w:vAlign w:val="bottom"/>
            <w:shd w:val="clear" w:color="auto" w:fill="CCEEFF"/>
          </w:tcPr>
          <w:p>
            <w:pPr>
              <w:ind w:left="1060"/>
              <w:spacing w:after="0" w:line="117" w:lineRule="exact"/>
              <w:rPr>
                <w:sz w:val="20"/>
                <w:szCs w:val="20"/>
                <w:color w:val="auto"/>
              </w:rPr>
            </w:pPr>
            <w:r>
              <w:rPr>
                <w:rFonts w:ascii="Arial" w:cs="Arial" w:eastAsia="Arial" w:hAnsi="Arial"/>
                <w:sz w:val="11"/>
                <w:szCs w:val="11"/>
                <w:color w:val="auto"/>
              </w:rPr>
              <w:t>Bangalore, India</w:t>
            </w:r>
          </w:p>
        </w:tc>
        <w:tc>
          <w:tcPr>
            <w:tcW w:w="3680" w:type="dxa"/>
            <w:vAlign w:val="bottom"/>
            <w:shd w:val="clear" w:color="auto" w:fill="CCEEFF"/>
          </w:tcPr>
          <w:p>
            <w:pPr>
              <w:ind w:left="760"/>
              <w:spacing w:after="0" w:line="117" w:lineRule="exact"/>
              <w:rPr>
                <w:sz w:val="20"/>
                <w:szCs w:val="20"/>
                <w:color w:val="auto"/>
              </w:rPr>
            </w:pPr>
            <w:r>
              <w:rPr>
                <w:rFonts w:ascii="Arial" w:cs="Arial" w:eastAsia="Arial" w:hAnsi="Arial"/>
                <w:sz w:val="11"/>
                <w:szCs w:val="11"/>
                <w:color w:val="auto"/>
              </w:rPr>
              <w:t>Salina, KS</w:t>
            </w:r>
          </w:p>
        </w:tc>
      </w:tr>
      <w:tr>
        <w:trPr>
          <w:trHeight w:val="117"/>
        </w:trPr>
        <w:tc>
          <w:tcPr>
            <w:tcW w:w="2040" w:type="dxa"/>
            <w:vAlign w:val="bottom"/>
          </w:tcPr>
          <w:p>
            <w:pPr>
              <w:spacing w:after="0" w:line="117" w:lineRule="exact"/>
              <w:rPr>
                <w:sz w:val="20"/>
                <w:szCs w:val="20"/>
                <w:color w:val="auto"/>
              </w:rPr>
            </w:pPr>
            <w:r>
              <w:rPr>
                <w:rFonts w:ascii="Arial" w:cs="Arial" w:eastAsia="Arial" w:hAnsi="Arial"/>
                <w:sz w:val="11"/>
                <w:szCs w:val="11"/>
                <w:color w:val="auto"/>
              </w:rPr>
              <w:t>Janesville, WI</w:t>
            </w:r>
          </w:p>
        </w:tc>
        <w:tc>
          <w:tcPr>
            <w:tcW w:w="3380" w:type="dxa"/>
            <w:vAlign w:val="bottom"/>
          </w:tcPr>
          <w:p>
            <w:pPr>
              <w:ind w:left="1060"/>
              <w:spacing w:after="0" w:line="117" w:lineRule="exact"/>
              <w:rPr>
                <w:sz w:val="20"/>
                <w:szCs w:val="20"/>
                <w:color w:val="auto"/>
              </w:rPr>
            </w:pPr>
            <w:r>
              <w:rPr>
                <w:rFonts w:ascii="Arial" w:cs="Arial" w:eastAsia="Arial" w:hAnsi="Arial"/>
                <w:sz w:val="11"/>
                <w:szCs w:val="11"/>
                <w:color w:val="auto"/>
              </w:rPr>
              <w:t>Barnesville, GA</w:t>
            </w:r>
          </w:p>
        </w:tc>
        <w:tc>
          <w:tcPr>
            <w:tcW w:w="3680" w:type="dxa"/>
            <w:vAlign w:val="bottom"/>
          </w:tcPr>
          <w:p>
            <w:pPr>
              <w:ind w:left="760"/>
              <w:spacing w:after="0" w:line="117" w:lineRule="exact"/>
              <w:rPr>
                <w:sz w:val="20"/>
                <w:szCs w:val="20"/>
                <w:color w:val="auto"/>
              </w:rPr>
            </w:pPr>
            <w:r>
              <w:rPr>
                <w:rFonts w:ascii="Arial" w:cs="Arial" w:eastAsia="Arial" w:hAnsi="Arial"/>
                <w:sz w:val="11"/>
                <w:szCs w:val="11"/>
                <w:color w:val="auto"/>
              </w:rPr>
              <w:t>San Antonio, TX</w:t>
            </w:r>
          </w:p>
        </w:tc>
      </w:tr>
      <w:tr>
        <w:trPr>
          <w:trHeight w:val="117"/>
        </w:trPr>
        <w:tc>
          <w:tcPr>
            <w:tcW w:w="2040" w:type="dxa"/>
            <w:vAlign w:val="bottom"/>
            <w:shd w:val="clear" w:color="auto" w:fill="CCEEFF"/>
          </w:tcPr>
          <w:p>
            <w:pPr>
              <w:spacing w:after="0" w:line="117" w:lineRule="exact"/>
              <w:rPr>
                <w:sz w:val="20"/>
                <w:szCs w:val="20"/>
                <w:color w:val="auto"/>
              </w:rPr>
            </w:pPr>
            <w:r>
              <w:rPr>
                <w:rFonts w:ascii="Arial" w:cs="Arial" w:eastAsia="Arial" w:hAnsi="Arial"/>
                <w:sz w:val="11"/>
                <w:szCs w:val="11"/>
                <w:color w:val="auto"/>
              </w:rPr>
              <w:t>Jefferson, GA</w:t>
            </w:r>
          </w:p>
        </w:tc>
        <w:tc>
          <w:tcPr>
            <w:tcW w:w="3380" w:type="dxa"/>
            <w:vAlign w:val="bottom"/>
            <w:shd w:val="clear" w:color="auto" w:fill="CCEEFF"/>
          </w:tcPr>
          <w:p>
            <w:pPr>
              <w:ind w:left="1060"/>
              <w:spacing w:after="0" w:line="117" w:lineRule="exact"/>
              <w:rPr>
                <w:sz w:val="20"/>
                <w:szCs w:val="20"/>
                <w:color w:val="auto"/>
              </w:rPr>
            </w:pPr>
            <w:r>
              <w:rPr>
                <w:rFonts w:ascii="Arial" w:cs="Arial" w:eastAsia="Arial" w:hAnsi="Arial"/>
                <w:sz w:val="11"/>
                <w:szCs w:val="11"/>
                <w:color w:val="auto"/>
              </w:rPr>
              <w:t>Biscoe, NC</w:t>
            </w:r>
          </w:p>
        </w:tc>
        <w:tc>
          <w:tcPr>
            <w:tcW w:w="3680" w:type="dxa"/>
            <w:vAlign w:val="bottom"/>
            <w:shd w:val="clear" w:color="auto" w:fill="CCEEFF"/>
          </w:tcPr>
          <w:p>
            <w:pPr>
              <w:ind w:left="760"/>
              <w:spacing w:after="0" w:line="117" w:lineRule="exact"/>
              <w:rPr>
                <w:sz w:val="20"/>
                <w:szCs w:val="20"/>
                <w:color w:val="auto"/>
              </w:rPr>
            </w:pPr>
            <w:r>
              <w:rPr>
                <w:rFonts w:ascii="Arial" w:cs="Arial" w:eastAsia="Arial" w:hAnsi="Arial"/>
                <w:sz w:val="11"/>
                <w:szCs w:val="11"/>
                <w:color w:val="auto"/>
              </w:rPr>
              <w:t>Shanghai, China</w:t>
            </w:r>
          </w:p>
        </w:tc>
      </w:tr>
      <w:tr>
        <w:trPr>
          <w:trHeight w:val="117"/>
        </w:trPr>
        <w:tc>
          <w:tcPr>
            <w:tcW w:w="2040" w:type="dxa"/>
            <w:vAlign w:val="bottom"/>
          </w:tcPr>
          <w:p>
            <w:pPr>
              <w:spacing w:after="0" w:line="117" w:lineRule="exact"/>
              <w:rPr>
                <w:sz w:val="20"/>
                <w:szCs w:val="20"/>
                <w:color w:val="auto"/>
              </w:rPr>
            </w:pPr>
            <w:r>
              <w:rPr>
                <w:rFonts w:ascii="Arial" w:cs="Arial" w:eastAsia="Arial" w:hAnsi="Arial"/>
                <w:sz w:val="11"/>
                <w:szCs w:val="11"/>
                <w:color w:val="auto"/>
              </w:rPr>
              <w:t>Kearneysville, WV</w:t>
            </w:r>
          </w:p>
        </w:tc>
        <w:tc>
          <w:tcPr>
            <w:tcW w:w="3380" w:type="dxa"/>
            <w:vAlign w:val="bottom"/>
          </w:tcPr>
          <w:p>
            <w:pPr>
              <w:ind w:left="1060"/>
              <w:spacing w:after="0" w:line="117" w:lineRule="exact"/>
              <w:rPr>
                <w:sz w:val="20"/>
                <w:szCs w:val="20"/>
                <w:color w:val="auto"/>
              </w:rPr>
            </w:pPr>
            <w:r>
              <w:rPr>
                <w:rFonts w:ascii="Arial" w:cs="Arial" w:eastAsia="Arial" w:hAnsi="Arial"/>
                <w:sz w:val="11"/>
                <w:szCs w:val="11"/>
                <w:color w:val="auto"/>
              </w:rPr>
              <w:t>Boise , ID</w:t>
            </w:r>
          </w:p>
        </w:tc>
        <w:tc>
          <w:tcPr>
            <w:tcW w:w="3680" w:type="dxa"/>
            <w:vAlign w:val="bottom"/>
          </w:tcPr>
          <w:p>
            <w:pPr>
              <w:ind w:left="760"/>
              <w:spacing w:after="0" w:line="117" w:lineRule="exact"/>
              <w:rPr>
                <w:sz w:val="20"/>
                <w:szCs w:val="20"/>
                <w:color w:val="auto"/>
              </w:rPr>
            </w:pPr>
            <w:r>
              <w:rPr>
                <w:rFonts w:ascii="Arial" w:cs="Arial" w:eastAsia="Arial" w:hAnsi="Arial"/>
                <w:sz w:val="11"/>
                <w:szCs w:val="11"/>
                <w:color w:val="auto"/>
              </w:rPr>
              <w:t>Sharon, TN</w:t>
            </w:r>
          </w:p>
        </w:tc>
      </w:tr>
      <w:tr>
        <w:trPr>
          <w:trHeight w:val="117"/>
        </w:trPr>
        <w:tc>
          <w:tcPr>
            <w:tcW w:w="2040" w:type="dxa"/>
            <w:vAlign w:val="bottom"/>
            <w:shd w:val="clear" w:color="auto" w:fill="CCEEFF"/>
          </w:tcPr>
          <w:p>
            <w:pPr>
              <w:spacing w:after="0" w:line="117" w:lineRule="exact"/>
              <w:rPr>
                <w:sz w:val="20"/>
                <w:szCs w:val="20"/>
                <w:color w:val="auto"/>
              </w:rPr>
            </w:pPr>
            <w:r>
              <w:rPr>
                <w:rFonts w:ascii="Arial" w:cs="Arial" w:eastAsia="Arial" w:hAnsi="Arial"/>
                <w:sz w:val="11"/>
                <w:szCs w:val="11"/>
                <w:color w:val="auto"/>
              </w:rPr>
              <w:t>Kyle, TX</w:t>
            </w:r>
          </w:p>
        </w:tc>
        <w:tc>
          <w:tcPr>
            <w:tcW w:w="3380" w:type="dxa"/>
            <w:vAlign w:val="bottom"/>
            <w:shd w:val="clear" w:color="auto" w:fill="CCEEFF"/>
          </w:tcPr>
          <w:p>
            <w:pPr>
              <w:ind w:left="1060"/>
              <w:spacing w:after="0" w:line="117" w:lineRule="exact"/>
              <w:rPr>
                <w:sz w:val="20"/>
                <w:szCs w:val="20"/>
                <w:color w:val="auto"/>
              </w:rPr>
            </w:pPr>
            <w:r>
              <w:rPr>
                <w:rFonts w:ascii="Arial" w:cs="Arial" w:eastAsia="Arial" w:hAnsi="Arial"/>
                <w:sz w:val="11"/>
                <w:szCs w:val="11"/>
                <w:color w:val="auto"/>
              </w:rPr>
              <w:t>Bridgeton, MO</w:t>
            </w:r>
          </w:p>
        </w:tc>
        <w:tc>
          <w:tcPr>
            <w:tcW w:w="3680" w:type="dxa"/>
            <w:vAlign w:val="bottom"/>
            <w:shd w:val="clear" w:color="auto" w:fill="CCEEFF"/>
          </w:tcPr>
          <w:p>
            <w:pPr>
              <w:ind w:left="760"/>
              <w:spacing w:after="0" w:line="117" w:lineRule="exact"/>
              <w:rPr>
                <w:sz w:val="20"/>
                <w:szCs w:val="20"/>
                <w:color w:val="auto"/>
              </w:rPr>
            </w:pPr>
            <w:r>
              <w:rPr>
                <w:rFonts w:ascii="Arial" w:cs="Arial" w:eastAsia="Arial" w:hAnsi="Arial"/>
                <w:sz w:val="11"/>
                <w:szCs w:val="11"/>
                <w:color w:val="auto"/>
              </w:rPr>
              <w:t>Shawnee, OK</w:t>
            </w:r>
          </w:p>
        </w:tc>
      </w:tr>
      <w:tr>
        <w:trPr>
          <w:trHeight w:val="117"/>
        </w:trPr>
        <w:tc>
          <w:tcPr>
            <w:tcW w:w="2040" w:type="dxa"/>
            <w:vAlign w:val="bottom"/>
          </w:tcPr>
          <w:p>
            <w:pPr>
              <w:spacing w:after="0" w:line="117" w:lineRule="exact"/>
              <w:rPr>
                <w:sz w:val="20"/>
                <w:szCs w:val="20"/>
                <w:color w:val="auto"/>
              </w:rPr>
            </w:pPr>
            <w:r>
              <w:rPr>
                <w:rFonts w:ascii="Arial" w:cs="Arial" w:eastAsia="Arial" w:hAnsi="Arial"/>
                <w:sz w:val="11"/>
                <w:szCs w:val="11"/>
                <w:color w:val="auto"/>
              </w:rPr>
              <w:t>Lafayette, CO</w:t>
            </w:r>
          </w:p>
        </w:tc>
        <w:tc>
          <w:tcPr>
            <w:tcW w:w="3380" w:type="dxa"/>
            <w:vAlign w:val="bottom"/>
          </w:tcPr>
          <w:p>
            <w:pPr>
              <w:ind w:left="1060"/>
              <w:spacing w:after="0" w:line="117" w:lineRule="exact"/>
              <w:rPr>
                <w:sz w:val="20"/>
                <w:szCs w:val="20"/>
                <w:color w:val="auto"/>
              </w:rPr>
            </w:pPr>
            <w:r>
              <w:rPr>
                <w:rFonts w:ascii="Arial" w:cs="Arial" w:eastAsia="Arial" w:hAnsi="Arial"/>
                <w:sz w:val="11"/>
                <w:szCs w:val="11"/>
                <w:color w:val="auto"/>
              </w:rPr>
              <w:t>Chandler, AZ</w:t>
            </w:r>
          </w:p>
        </w:tc>
        <w:tc>
          <w:tcPr>
            <w:tcW w:w="3680" w:type="dxa"/>
            <w:vAlign w:val="bottom"/>
          </w:tcPr>
          <w:p>
            <w:pPr>
              <w:ind w:left="760"/>
              <w:spacing w:after="0" w:line="117" w:lineRule="exact"/>
              <w:rPr>
                <w:sz w:val="20"/>
                <w:szCs w:val="20"/>
                <w:color w:val="auto"/>
              </w:rPr>
            </w:pPr>
            <w:r>
              <w:rPr>
                <w:rFonts w:ascii="Arial" w:cs="Arial" w:eastAsia="Arial" w:hAnsi="Arial"/>
                <w:sz w:val="11"/>
                <w:szCs w:val="11"/>
                <w:color w:val="auto"/>
              </w:rPr>
              <w:t>South Marston Swindon, Wiltshire</w:t>
            </w:r>
          </w:p>
        </w:tc>
      </w:tr>
      <w:tr>
        <w:trPr>
          <w:trHeight w:val="117"/>
        </w:trPr>
        <w:tc>
          <w:tcPr>
            <w:tcW w:w="2040" w:type="dxa"/>
            <w:vAlign w:val="bottom"/>
            <w:shd w:val="clear" w:color="auto" w:fill="CCEEFF"/>
          </w:tcPr>
          <w:p>
            <w:pPr>
              <w:spacing w:after="0" w:line="117" w:lineRule="exact"/>
              <w:rPr>
                <w:sz w:val="20"/>
                <w:szCs w:val="20"/>
                <w:color w:val="auto"/>
              </w:rPr>
            </w:pPr>
            <w:r>
              <w:rPr>
                <w:rFonts w:ascii="Arial" w:cs="Arial" w:eastAsia="Arial" w:hAnsi="Arial"/>
                <w:sz w:val="11"/>
                <w:szCs w:val="11"/>
                <w:color w:val="auto"/>
              </w:rPr>
              <w:t>Lansing, MI</w:t>
            </w:r>
          </w:p>
        </w:tc>
        <w:tc>
          <w:tcPr>
            <w:tcW w:w="3380" w:type="dxa"/>
            <w:vAlign w:val="bottom"/>
            <w:shd w:val="clear" w:color="auto" w:fill="CCEEFF"/>
          </w:tcPr>
          <w:p>
            <w:pPr>
              <w:ind w:left="1060"/>
              <w:spacing w:after="0" w:line="117" w:lineRule="exact"/>
              <w:rPr>
                <w:sz w:val="20"/>
                <w:szCs w:val="20"/>
                <w:color w:val="auto"/>
              </w:rPr>
            </w:pPr>
            <w:r>
              <w:rPr>
                <w:rFonts w:ascii="Arial" w:cs="Arial" w:eastAsia="Arial" w:hAnsi="Arial"/>
                <w:sz w:val="11"/>
                <w:szCs w:val="11"/>
                <w:color w:val="auto"/>
              </w:rPr>
              <w:t>Chicago, IL</w:t>
            </w:r>
          </w:p>
        </w:tc>
        <w:tc>
          <w:tcPr>
            <w:tcW w:w="3680" w:type="dxa"/>
            <w:vAlign w:val="bottom"/>
            <w:shd w:val="clear" w:color="auto" w:fill="CCEEFF"/>
          </w:tcPr>
          <w:p>
            <w:pPr>
              <w:ind w:left="760"/>
              <w:spacing w:after="0" w:line="117" w:lineRule="exact"/>
              <w:rPr>
                <w:sz w:val="20"/>
                <w:szCs w:val="20"/>
                <w:color w:val="auto"/>
              </w:rPr>
            </w:pPr>
            <w:r>
              <w:rPr>
                <w:rFonts w:ascii="Arial" w:cs="Arial" w:eastAsia="Arial" w:hAnsi="Arial"/>
                <w:sz w:val="11"/>
                <w:szCs w:val="11"/>
                <w:color w:val="auto"/>
              </w:rPr>
              <w:t>Spring Lake, MI</w:t>
            </w:r>
          </w:p>
        </w:tc>
      </w:tr>
      <w:tr>
        <w:trPr>
          <w:trHeight w:val="117"/>
        </w:trPr>
        <w:tc>
          <w:tcPr>
            <w:tcW w:w="2040" w:type="dxa"/>
            <w:vAlign w:val="bottom"/>
          </w:tcPr>
          <w:p>
            <w:pPr>
              <w:spacing w:after="0" w:line="117" w:lineRule="exact"/>
              <w:rPr>
                <w:sz w:val="20"/>
                <w:szCs w:val="20"/>
                <w:color w:val="auto"/>
              </w:rPr>
            </w:pPr>
            <w:r>
              <w:rPr>
                <w:rFonts w:ascii="Arial" w:cs="Arial" w:eastAsia="Arial" w:hAnsi="Arial"/>
                <w:sz w:val="11"/>
                <w:szCs w:val="11"/>
                <w:color w:val="auto"/>
              </w:rPr>
              <w:t>Lawrenceburg, TN</w:t>
            </w:r>
          </w:p>
        </w:tc>
        <w:tc>
          <w:tcPr>
            <w:tcW w:w="3380" w:type="dxa"/>
            <w:vAlign w:val="bottom"/>
          </w:tcPr>
          <w:p>
            <w:pPr>
              <w:ind w:left="1060"/>
              <w:spacing w:after="0" w:line="117" w:lineRule="exact"/>
              <w:rPr>
                <w:sz w:val="20"/>
                <w:szCs w:val="20"/>
                <w:color w:val="auto"/>
              </w:rPr>
            </w:pPr>
            <w:r>
              <w:rPr>
                <w:rFonts w:ascii="Arial" w:cs="Arial" w:eastAsia="Arial" w:hAnsi="Arial"/>
                <w:sz w:val="11"/>
                <w:szCs w:val="11"/>
                <w:color w:val="auto"/>
              </w:rPr>
              <w:t>Chino, CA</w:t>
            </w:r>
          </w:p>
        </w:tc>
        <w:tc>
          <w:tcPr>
            <w:tcW w:w="3680" w:type="dxa"/>
            <w:vAlign w:val="bottom"/>
          </w:tcPr>
          <w:p>
            <w:pPr>
              <w:ind w:left="760"/>
              <w:spacing w:after="0" w:line="117" w:lineRule="exact"/>
              <w:rPr>
                <w:sz w:val="20"/>
                <w:szCs w:val="20"/>
                <w:color w:val="auto"/>
              </w:rPr>
            </w:pPr>
            <w:r>
              <w:rPr>
                <w:rFonts w:ascii="Arial" w:cs="Arial" w:eastAsia="Arial" w:hAnsi="Arial"/>
                <w:sz w:val="11"/>
                <w:szCs w:val="11"/>
                <w:color w:val="auto"/>
              </w:rPr>
              <w:t>St Bernard De Lacolle, Quebec</w:t>
            </w:r>
          </w:p>
        </w:tc>
      </w:tr>
      <w:tr>
        <w:trPr>
          <w:trHeight w:val="117"/>
        </w:trPr>
        <w:tc>
          <w:tcPr>
            <w:tcW w:w="2040" w:type="dxa"/>
            <w:vAlign w:val="bottom"/>
            <w:shd w:val="clear" w:color="auto" w:fill="CCEEFF"/>
          </w:tcPr>
          <w:p>
            <w:pPr>
              <w:spacing w:after="0" w:line="117" w:lineRule="exact"/>
              <w:rPr>
                <w:sz w:val="20"/>
                <w:szCs w:val="20"/>
                <w:color w:val="auto"/>
              </w:rPr>
            </w:pPr>
            <w:r>
              <w:rPr>
                <w:rFonts w:ascii="Arial" w:cs="Arial" w:eastAsia="Arial" w:hAnsi="Arial"/>
                <w:sz w:val="11"/>
                <w:szCs w:val="11"/>
                <w:color w:val="auto"/>
              </w:rPr>
              <w:t>Liberty, NC</w:t>
            </w:r>
          </w:p>
        </w:tc>
        <w:tc>
          <w:tcPr>
            <w:tcW w:w="3380" w:type="dxa"/>
            <w:vAlign w:val="bottom"/>
            <w:shd w:val="clear" w:color="auto" w:fill="CCEEFF"/>
          </w:tcPr>
          <w:p>
            <w:pPr>
              <w:ind w:left="1060"/>
              <w:spacing w:after="0" w:line="117" w:lineRule="exact"/>
              <w:rPr>
                <w:sz w:val="20"/>
                <w:szCs w:val="20"/>
                <w:color w:val="auto"/>
              </w:rPr>
            </w:pPr>
            <w:r>
              <w:rPr>
                <w:rFonts w:ascii="Arial" w:cs="Arial" w:eastAsia="Arial" w:hAnsi="Arial"/>
                <w:sz w:val="11"/>
                <w:szCs w:val="11"/>
                <w:color w:val="auto"/>
              </w:rPr>
              <w:t>Columbia, MD</w:t>
            </w:r>
          </w:p>
        </w:tc>
        <w:tc>
          <w:tcPr>
            <w:tcW w:w="3680" w:type="dxa"/>
            <w:vAlign w:val="bottom"/>
            <w:shd w:val="clear" w:color="auto" w:fill="CCEEFF"/>
          </w:tcPr>
          <w:p>
            <w:pPr>
              <w:ind w:left="760"/>
              <w:spacing w:after="0" w:line="117" w:lineRule="exact"/>
              <w:rPr>
                <w:sz w:val="20"/>
                <w:szCs w:val="20"/>
                <w:color w:val="auto"/>
              </w:rPr>
            </w:pPr>
            <w:r>
              <w:rPr>
                <w:rFonts w:ascii="Arial" w:cs="Arial" w:eastAsia="Arial" w:hAnsi="Arial"/>
                <w:sz w:val="11"/>
                <w:szCs w:val="11"/>
                <w:color w:val="auto"/>
              </w:rPr>
              <w:t>Stevens Point, WI</w:t>
            </w:r>
          </w:p>
        </w:tc>
      </w:tr>
      <w:tr>
        <w:trPr>
          <w:trHeight w:val="117"/>
        </w:trPr>
        <w:tc>
          <w:tcPr>
            <w:tcW w:w="2040" w:type="dxa"/>
            <w:vAlign w:val="bottom"/>
          </w:tcPr>
          <w:p>
            <w:pPr>
              <w:spacing w:after="0" w:line="117" w:lineRule="exact"/>
              <w:rPr>
                <w:sz w:val="20"/>
                <w:szCs w:val="20"/>
                <w:color w:val="auto"/>
              </w:rPr>
            </w:pPr>
            <w:r>
              <w:rPr>
                <w:rFonts w:ascii="Arial" w:cs="Arial" w:eastAsia="Arial" w:hAnsi="Arial"/>
                <w:sz w:val="11"/>
                <w:szCs w:val="11"/>
                <w:color w:val="auto"/>
              </w:rPr>
              <w:t>Locust, NC</w:t>
            </w:r>
          </w:p>
        </w:tc>
        <w:tc>
          <w:tcPr>
            <w:tcW w:w="3380" w:type="dxa"/>
            <w:vAlign w:val="bottom"/>
          </w:tcPr>
          <w:p>
            <w:pPr>
              <w:ind w:left="1060"/>
              <w:spacing w:after="0" w:line="117" w:lineRule="exact"/>
              <w:rPr>
                <w:sz w:val="20"/>
                <w:szCs w:val="20"/>
                <w:color w:val="auto"/>
              </w:rPr>
            </w:pPr>
            <w:r>
              <w:rPr>
                <w:rFonts w:ascii="Arial" w:cs="Arial" w:eastAsia="Arial" w:hAnsi="Arial"/>
                <w:sz w:val="11"/>
                <w:szCs w:val="11"/>
                <w:color w:val="auto"/>
              </w:rPr>
              <w:t>Comal County, TX</w:t>
            </w:r>
          </w:p>
        </w:tc>
        <w:tc>
          <w:tcPr>
            <w:tcW w:w="3680" w:type="dxa"/>
            <w:vAlign w:val="bottom"/>
          </w:tcPr>
          <w:p>
            <w:pPr>
              <w:ind w:left="760"/>
              <w:spacing w:after="0" w:line="117" w:lineRule="exact"/>
              <w:rPr>
                <w:sz w:val="20"/>
                <w:szCs w:val="20"/>
                <w:color w:val="auto"/>
              </w:rPr>
            </w:pPr>
            <w:r>
              <w:rPr>
                <w:rFonts w:ascii="Arial" w:cs="Arial" w:eastAsia="Arial" w:hAnsi="Arial"/>
                <w:sz w:val="11"/>
                <w:szCs w:val="11"/>
                <w:color w:val="auto"/>
              </w:rPr>
              <w:t>Tampa, FL</w:t>
            </w:r>
          </w:p>
        </w:tc>
      </w:tr>
      <w:tr>
        <w:trPr>
          <w:trHeight w:val="117"/>
        </w:trPr>
        <w:tc>
          <w:tcPr>
            <w:tcW w:w="2040" w:type="dxa"/>
            <w:vAlign w:val="bottom"/>
            <w:shd w:val="clear" w:color="auto" w:fill="CCEEFF"/>
          </w:tcPr>
          <w:p>
            <w:pPr>
              <w:spacing w:after="0" w:line="117" w:lineRule="exact"/>
              <w:rPr>
                <w:sz w:val="20"/>
                <w:szCs w:val="20"/>
                <w:color w:val="auto"/>
              </w:rPr>
            </w:pPr>
            <w:r>
              <w:rPr>
                <w:rFonts w:ascii="Arial" w:cs="Arial" w:eastAsia="Arial" w:hAnsi="Arial"/>
                <w:sz w:val="11"/>
                <w:szCs w:val="11"/>
                <w:color w:val="auto"/>
              </w:rPr>
              <w:t>Lodi, OH</w:t>
            </w:r>
          </w:p>
        </w:tc>
        <w:tc>
          <w:tcPr>
            <w:tcW w:w="3380" w:type="dxa"/>
            <w:vAlign w:val="bottom"/>
            <w:shd w:val="clear" w:color="auto" w:fill="CCEEFF"/>
          </w:tcPr>
          <w:p>
            <w:pPr>
              <w:ind w:left="1060"/>
              <w:spacing w:after="0" w:line="117" w:lineRule="exact"/>
              <w:rPr>
                <w:sz w:val="20"/>
                <w:szCs w:val="20"/>
                <w:color w:val="auto"/>
              </w:rPr>
            </w:pPr>
            <w:r>
              <w:rPr>
                <w:rFonts w:ascii="Arial" w:cs="Arial" w:eastAsia="Arial" w:hAnsi="Arial"/>
                <w:sz w:val="11"/>
                <w:szCs w:val="11"/>
                <w:color w:val="auto"/>
              </w:rPr>
              <w:t>Condord, ON</w:t>
            </w:r>
          </w:p>
        </w:tc>
        <w:tc>
          <w:tcPr>
            <w:tcW w:w="3680" w:type="dxa"/>
            <w:vAlign w:val="bottom"/>
            <w:shd w:val="clear" w:color="auto" w:fill="CCEEFF"/>
          </w:tcPr>
          <w:p>
            <w:pPr>
              <w:ind w:left="760"/>
              <w:spacing w:after="0" w:line="117" w:lineRule="exact"/>
              <w:rPr>
                <w:sz w:val="20"/>
                <w:szCs w:val="20"/>
                <w:color w:val="auto"/>
              </w:rPr>
            </w:pPr>
            <w:r>
              <w:rPr>
                <w:rFonts w:ascii="Arial" w:cs="Arial" w:eastAsia="Arial" w:hAnsi="Arial"/>
                <w:sz w:val="11"/>
                <w:szCs w:val="11"/>
                <w:color w:val="auto"/>
              </w:rPr>
              <w:t>Thomaston, GA</w:t>
            </w:r>
          </w:p>
        </w:tc>
      </w:tr>
      <w:tr>
        <w:trPr>
          <w:trHeight w:val="117"/>
        </w:trPr>
        <w:tc>
          <w:tcPr>
            <w:tcW w:w="2040" w:type="dxa"/>
            <w:vAlign w:val="bottom"/>
          </w:tcPr>
          <w:p>
            <w:pPr>
              <w:spacing w:after="0" w:line="117" w:lineRule="exact"/>
              <w:rPr>
                <w:sz w:val="20"/>
                <w:szCs w:val="20"/>
                <w:color w:val="auto"/>
              </w:rPr>
            </w:pPr>
            <w:r>
              <w:rPr>
                <w:rFonts w:ascii="Arial" w:cs="Arial" w:eastAsia="Arial" w:hAnsi="Arial"/>
                <w:sz w:val="11"/>
                <w:szCs w:val="11"/>
                <w:color w:val="auto"/>
              </w:rPr>
              <w:t>Magna, UT</w:t>
            </w:r>
          </w:p>
        </w:tc>
        <w:tc>
          <w:tcPr>
            <w:tcW w:w="3380" w:type="dxa"/>
            <w:vAlign w:val="bottom"/>
          </w:tcPr>
          <w:p>
            <w:pPr>
              <w:ind w:left="1060"/>
              <w:spacing w:after="0" w:line="117" w:lineRule="exact"/>
              <w:rPr>
                <w:sz w:val="20"/>
                <w:szCs w:val="20"/>
                <w:color w:val="auto"/>
              </w:rPr>
            </w:pPr>
            <w:r>
              <w:rPr>
                <w:rFonts w:ascii="Arial" w:cs="Arial" w:eastAsia="Arial" w:hAnsi="Arial"/>
                <w:sz w:val="11"/>
                <w:szCs w:val="11"/>
                <w:color w:val="auto"/>
              </w:rPr>
              <w:t>Cordele, GA</w:t>
            </w:r>
          </w:p>
        </w:tc>
        <w:tc>
          <w:tcPr>
            <w:tcW w:w="3680" w:type="dxa"/>
            <w:vAlign w:val="bottom"/>
          </w:tcPr>
          <w:p>
            <w:pPr>
              <w:ind w:left="760"/>
              <w:spacing w:after="0" w:line="117" w:lineRule="exact"/>
              <w:rPr>
                <w:sz w:val="20"/>
                <w:szCs w:val="20"/>
                <w:color w:val="auto"/>
              </w:rPr>
            </w:pPr>
            <w:r>
              <w:rPr>
                <w:rFonts w:ascii="Arial" w:cs="Arial" w:eastAsia="Arial" w:hAnsi="Arial"/>
                <w:sz w:val="11"/>
                <w:szCs w:val="11"/>
                <w:color w:val="auto"/>
              </w:rPr>
              <w:t>Tokyo, Japan</w:t>
            </w:r>
          </w:p>
        </w:tc>
      </w:tr>
      <w:tr>
        <w:trPr>
          <w:trHeight w:val="117"/>
        </w:trPr>
        <w:tc>
          <w:tcPr>
            <w:tcW w:w="2040" w:type="dxa"/>
            <w:vAlign w:val="bottom"/>
            <w:shd w:val="clear" w:color="auto" w:fill="CCEEFF"/>
          </w:tcPr>
          <w:p>
            <w:pPr>
              <w:spacing w:after="0" w:line="117" w:lineRule="exact"/>
              <w:rPr>
                <w:sz w:val="20"/>
                <w:szCs w:val="20"/>
                <w:color w:val="auto"/>
              </w:rPr>
            </w:pPr>
            <w:r>
              <w:rPr>
                <w:rFonts w:ascii="Arial" w:cs="Arial" w:eastAsia="Arial" w:hAnsi="Arial"/>
                <w:sz w:val="11"/>
                <w:szCs w:val="11"/>
                <w:color w:val="auto"/>
              </w:rPr>
              <w:t>Mcintyre, GA</w:t>
            </w:r>
          </w:p>
        </w:tc>
        <w:tc>
          <w:tcPr>
            <w:tcW w:w="3380" w:type="dxa"/>
            <w:vAlign w:val="bottom"/>
            <w:shd w:val="clear" w:color="auto" w:fill="CCEEFF"/>
          </w:tcPr>
          <w:p>
            <w:pPr>
              <w:ind w:left="1060"/>
              <w:spacing w:after="0" w:line="117" w:lineRule="exact"/>
              <w:rPr>
                <w:sz w:val="20"/>
                <w:szCs w:val="20"/>
                <w:color w:val="auto"/>
              </w:rPr>
            </w:pPr>
            <w:r>
              <w:rPr>
                <w:rFonts w:ascii="Arial" w:cs="Arial" w:eastAsia="Arial" w:hAnsi="Arial"/>
                <w:sz w:val="11"/>
                <w:szCs w:val="11"/>
                <w:color w:val="auto"/>
              </w:rPr>
              <w:t>Dallas, TX</w:t>
            </w:r>
          </w:p>
        </w:tc>
        <w:tc>
          <w:tcPr>
            <w:tcW w:w="3680" w:type="dxa"/>
            <w:vAlign w:val="bottom"/>
            <w:shd w:val="clear" w:color="auto" w:fill="CCEEFF"/>
          </w:tcPr>
          <w:p>
            <w:pPr>
              <w:ind w:left="760"/>
              <w:spacing w:after="0" w:line="117" w:lineRule="exact"/>
              <w:rPr>
                <w:sz w:val="20"/>
                <w:szCs w:val="20"/>
                <w:color w:val="auto"/>
              </w:rPr>
            </w:pPr>
            <w:r>
              <w:rPr>
                <w:rFonts w:ascii="Arial" w:cs="Arial" w:eastAsia="Arial" w:hAnsi="Arial"/>
                <w:sz w:val="11"/>
                <w:szCs w:val="11"/>
                <w:color w:val="auto"/>
              </w:rPr>
              <w:t>Vesper, WI</w:t>
            </w:r>
          </w:p>
        </w:tc>
      </w:tr>
      <w:tr>
        <w:trPr>
          <w:trHeight w:val="117"/>
        </w:trPr>
        <w:tc>
          <w:tcPr>
            <w:tcW w:w="2040" w:type="dxa"/>
            <w:vAlign w:val="bottom"/>
          </w:tcPr>
          <w:p>
            <w:pPr>
              <w:spacing w:after="0" w:line="117" w:lineRule="exact"/>
              <w:rPr>
                <w:sz w:val="20"/>
                <w:szCs w:val="20"/>
                <w:color w:val="auto"/>
              </w:rPr>
            </w:pPr>
            <w:r>
              <w:rPr>
                <w:rFonts w:ascii="Arial" w:cs="Arial" w:eastAsia="Arial" w:hAnsi="Arial"/>
                <w:sz w:val="11"/>
                <w:szCs w:val="11"/>
                <w:color w:val="auto"/>
              </w:rPr>
              <w:t>Mcminnville, OR</w:t>
            </w:r>
          </w:p>
        </w:tc>
        <w:tc>
          <w:tcPr>
            <w:tcW w:w="3380" w:type="dxa"/>
            <w:vAlign w:val="bottom"/>
          </w:tcPr>
          <w:p>
            <w:pPr>
              <w:ind w:left="1060"/>
              <w:spacing w:after="0" w:line="117" w:lineRule="exact"/>
              <w:rPr>
                <w:sz w:val="20"/>
                <w:szCs w:val="20"/>
                <w:color w:val="auto"/>
              </w:rPr>
            </w:pPr>
            <w:r>
              <w:rPr>
                <w:rFonts w:ascii="Arial" w:cs="Arial" w:eastAsia="Arial" w:hAnsi="Arial"/>
                <w:sz w:val="11"/>
                <w:szCs w:val="11"/>
                <w:color w:val="auto"/>
              </w:rPr>
              <w:t>Delano, PA</w:t>
            </w:r>
          </w:p>
        </w:tc>
        <w:tc>
          <w:tcPr>
            <w:tcW w:w="3680" w:type="dxa"/>
            <w:vAlign w:val="bottom"/>
          </w:tcPr>
          <w:p>
            <w:pPr>
              <w:ind w:left="760"/>
              <w:spacing w:after="0" w:line="117" w:lineRule="exact"/>
              <w:rPr>
                <w:sz w:val="20"/>
                <w:szCs w:val="20"/>
                <w:color w:val="auto"/>
              </w:rPr>
            </w:pPr>
            <w:r>
              <w:rPr>
                <w:rFonts w:ascii="Arial" w:cs="Arial" w:eastAsia="Arial" w:hAnsi="Arial"/>
                <w:sz w:val="11"/>
                <w:szCs w:val="11"/>
                <w:color w:val="auto"/>
              </w:rPr>
              <w:t>White Bear Lake, MN</w:t>
            </w:r>
          </w:p>
        </w:tc>
      </w:tr>
      <w:tr>
        <w:trPr>
          <w:trHeight w:val="117"/>
        </w:trPr>
        <w:tc>
          <w:tcPr>
            <w:tcW w:w="2040" w:type="dxa"/>
            <w:vAlign w:val="bottom"/>
            <w:shd w:val="clear" w:color="auto" w:fill="CCEEFF"/>
          </w:tcPr>
          <w:p>
            <w:pPr>
              <w:spacing w:after="0" w:line="117" w:lineRule="exact"/>
              <w:rPr>
                <w:sz w:val="20"/>
                <w:szCs w:val="20"/>
                <w:color w:val="auto"/>
              </w:rPr>
            </w:pPr>
            <w:r>
              <w:rPr>
                <w:rFonts w:ascii="Arial" w:cs="Arial" w:eastAsia="Arial" w:hAnsi="Arial"/>
                <w:sz w:val="11"/>
                <w:szCs w:val="11"/>
                <w:color w:val="auto"/>
              </w:rPr>
              <w:t>Milwaukee, WI</w:t>
            </w:r>
          </w:p>
        </w:tc>
        <w:tc>
          <w:tcPr>
            <w:tcW w:w="3380" w:type="dxa"/>
            <w:vAlign w:val="bottom"/>
            <w:shd w:val="clear" w:color="auto" w:fill="CCEEFF"/>
          </w:tcPr>
          <w:p>
            <w:pPr>
              <w:ind w:left="1060"/>
              <w:spacing w:after="0" w:line="117" w:lineRule="exact"/>
              <w:rPr>
                <w:sz w:val="20"/>
                <w:szCs w:val="20"/>
                <w:color w:val="auto"/>
              </w:rPr>
            </w:pPr>
            <w:r>
              <w:rPr>
                <w:rFonts w:ascii="Arial" w:cs="Arial" w:eastAsia="Arial" w:hAnsi="Arial"/>
                <w:sz w:val="11"/>
                <w:szCs w:val="11"/>
                <w:color w:val="auto"/>
              </w:rPr>
              <w:t>Eagan, MN</w:t>
            </w:r>
          </w:p>
        </w:tc>
        <w:tc>
          <w:tcPr>
            <w:tcW w:w="3680" w:type="dxa"/>
            <w:vAlign w:val="bottom"/>
            <w:shd w:val="clear" w:color="auto" w:fill="CCEEFF"/>
          </w:tcPr>
          <w:p>
            <w:pPr>
              <w:ind w:left="760"/>
              <w:spacing w:after="0" w:line="117" w:lineRule="exact"/>
              <w:rPr>
                <w:sz w:val="20"/>
                <w:szCs w:val="20"/>
                <w:color w:val="auto"/>
              </w:rPr>
            </w:pPr>
            <w:r>
              <w:rPr>
                <w:rFonts w:ascii="Arial" w:cs="Arial" w:eastAsia="Arial" w:hAnsi="Arial"/>
                <w:sz w:val="11"/>
                <w:szCs w:val="11"/>
                <w:color w:val="auto"/>
              </w:rPr>
              <w:t>Wilcox County, GA</w:t>
            </w:r>
          </w:p>
        </w:tc>
      </w:tr>
      <w:tr>
        <w:trPr>
          <w:trHeight w:val="117"/>
        </w:trPr>
        <w:tc>
          <w:tcPr>
            <w:tcW w:w="2040" w:type="dxa"/>
            <w:vAlign w:val="bottom"/>
          </w:tcPr>
          <w:p>
            <w:pPr>
              <w:spacing w:after="0" w:line="117" w:lineRule="exact"/>
              <w:rPr>
                <w:sz w:val="20"/>
                <w:szCs w:val="20"/>
                <w:color w:val="auto"/>
              </w:rPr>
            </w:pPr>
            <w:r>
              <w:rPr>
                <w:rFonts w:ascii="Arial" w:cs="Arial" w:eastAsia="Arial" w:hAnsi="Arial"/>
                <w:sz w:val="11"/>
                <w:szCs w:val="11"/>
                <w:color w:val="auto"/>
              </w:rPr>
              <w:t>Minneota, MN</w:t>
            </w:r>
          </w:p>
        </w:tc>
        <w:tc>
          <w:tcPr>
            <w:tcW w:w="3380" w:type="dxa"/>
            <w:vAlign w:val="bottom"/>
          </w:tcPr>
          <w:p>
            <w:pPr>
              <w:ind w:left="1060"/>
              <w:spacing w:after="0" w:line="117" w:lineRule="exact"/>
              <w:rPr>
                <w:sz w:val="20"/>
                <w:szCs w:val="20"/>
                <w:color w:val="auto"/>
              </w:rPr>
            </w:pPr>
            <w:r>
              <w:rPr>
                <w:rFonts w:ascii="Arial" w:cs="Arial" w:eastAsia="Arial" w:hAnsi="Arial"/>
                <w:sz w:val="11"/>
                <w:szCs w:val="11"/>
                <w:color w:val="auto"/>
              </w:rPr>
              <w:t>Earth City, MO</w:t>
            </w:r>
          </w:p>
        </w:tc>
        <w:tc>
          <w:tcPr>
            <w:tcW w:w="3680" w:type="dxa"/>
            <w:vAlign w:val="bottom"/>
          </w:tcPr>
          <w:p>
            <w:pPr>
              <w:ind w:left="760"/>
              <w:spacing w:after="0" w:line="117" w:lineRule="exact"/>
              <w:rPr>
                <w:sz w:val="20"/>
                <w:szCs w:val="20"/>
                <w:color w:val="auto"/>
              </w:rPr>
            </w:pPr>
            <w:r>
              <w:rPr>
                <w:rFonts w:ascii="Arial" w:cs="Arial" w:eastAsia="Arial" w:hAnsi="Arial"/>
                <w:sz w:val="11"/>
                <w:szCs w:val="11"/>
                <w:color w:val="auto"/>
              </w:rPr>
              <w:t>Windsor, CO</w:t>
            </w:r>
          </w:p>
        </w:tc>
      </w:tr>
      <w:tr>
        <w:trPr>
          <w:trHeight w:val="117"/>
        </w:trPr>
        <w:tc>
          <w:tcPr>
            <w:tcW w:w="2040" w:type="dxa"/>
            <w:vAlign w:val="bottom"/>
            <w:shd w:val="clear" w:color="auto" w:fill="CCEEFF"/>
          </w:tcPr>
          <w:p>
            <w:pPr>
              <w:spacing w:after="0" w:line="117" w:lineRule="exact"/>
              <w:rPr>
                <w:sz w:val="20"/>
                <w:szCs w:val="20"/>
                <w:color w:val="auto"/>
              </w:rPr>
            </w:pPr>
            <w:r>
              <w:rPr>
                <w:rFonts w:ascii="Arial" w:cs="Arial" w:eastAsia="Arial" w:hAnsi="Arial"/>
                <w:sz w:val="11"/>
                <w:szCs w:val="11"/>
                <w:color w:val="auto"/>
              </w:rPr>
              <w:t>Morristown, TN</w:t>
            </w:r>
          </w:p>
        </w:tc>
        <w:tc>
          <w:tcPr>
            <w:tcW w:w="3380" w:type="dxa"/>
            <w:vAlign w:val="bottom"/>
            <w:shd w:val="clear" w:color="auto" w:fill="CCEEFF"/>
          </w:tcPr>
          <w:p>
            <w:pPr>
              <w:ind w:left="1060"/>
              <w:spacing w:after="0" w:line="117" w:lineRule="exact"/>
              <w:rPr>
                <w:sz w:val="20"/>
                <w:szCs w:val="20"/>
                <w:color w:val="auto"/>
              </w:rPr>
            </w:pPr>
            <w:r>
              <w:rPr>
                <w:rFonts w:ascii="Arial" w:cs="Arial" w:eastAsia="Arial" w:hAnsi="Arial"/>
                <w:sz w:val="11"/>
                <w:szCs w:val="11"/>
                <w:color w:val="auto"/>
              </w:rPr>
              <w:t>Edina, MN</w:t>
            </w:r>
          </w:p>
        </w:tc>
        <w:tc>
          <w:tcPr>
            <w:tcW w:w="3680" w:type="dxa"/>
            <w:vAlign w:val="bottom"/>
            <w:shd w:val="clear" w:color="auto" w:fill="CCEEFF"/>
          </w:tcPr>
          <w:p>
            <w:pPr>
              <w:ind w:left="760"/>
              <w:spacing w:after="0" w:line="117" w:lineRule="exact"/>
              <w:rPr>
                <w:sz w:val="20"/>
                <w:szCs w:val="20"/>
                <w:color w:val="auto"/>
              </w:rPr>
            </w:pPr>
            <w:r>
              <w:rPr>
                <w:rFonts w:ascii="Arial" w:cs="Arial" w:eastAsia="Arial" w:hAnsi="Arial"/>
                <w:sz w:val="11"/>
                <w:szCs w:val="11"/>
                <w:color w:val="auto"/>
              </w:rPr>
              <w:t>Wintrop, ME</w:t>
            </w:r>
          </w:p>
        </w:tc>
      </w:tr>
      <w:tr>
        <w:trPr>
          <w:trHeight w:val="117"/>
        </w:trPr>
        <w:tc>
          <w:tcPr>
            <w:tcW w:w="2040" w:type="dxa"/>
            <w:vAlign w:val="bottom"/>
          </w:tcPr>
          <w:p>
            <w:pPr>
              <w:spacing w:after="0" w:line="117" w:lineRule="exact"/>
              <w:rPr>
                <w:sz w:val="20"/>
                <w:szCs w:val="20"/>
                <w:color w:val="auto"/>
              </w:rPr>
            </w:pPr>
            <w:r>
              <w:rPr>
                <w:rFonts w:ascii="Arial" w:cs="Arial" w:eastAsia="Arial" w:hAnsi="Arial"/>
                <w:sz w:val="11"/>
                <w:szCs w:val="11"/>
                <w:color w:val="auto"/>
              </w:rPr>
              <w:t>Moultrie, GA</w:t>
            </w:r>
          </w:p>
        </w:tc>
        <w:tc>
          <w:tcPr>
            <w:tcW w:w="3380" w:type="dxa"/>
            <w:vAlign w:val="bottom"/>
          </w:tcPr>
          <w:p>
            <w:pPr>
              <w:ind w:left="1060"/>
              <w:spacing w:after="0" w:line="117" w:lineRule="exact"/>
              <w:rPr>
                <w:sz w:val="20"/>
                <w:szCs w:val="20"/>
                <w:color w:val="auto"/>
              </w:rPr>
            </w:pPr>
            <w:r>
              <w:rPr>
                <w:rFonts w:ascii="Arial" w:cs="Arial" w:eastAsia="Arial" w:hAnsi="Arial"/>
                <w:sz w:val="11"/>
                <w:szCs w:val="11"/>
                <w:color w:val="auto"/>
              </w:rPr>
              <w:t>Elkhart, IN</w:t>
            </w:r>
          </w:p>
        </w:tc>
        <w:tc>
          <w:tcPr>
            <w:tcW w:w="3680" w:type="dxa"/>
            <w:vAlign w:val="bottom"/>
          </w:tcPr>
          <w:p>
            <w:pPr>
              <w:ind w:left="760"/>
              <w:spacing w:after="0" w:line="117" w:lineRule="exact"/>
              <w:rPr>
                <w:sz w:val="20"/>
                <w:szCs w:val="20"/>
                <w:color w:val="auto"/>
              </w:rPr>
            </w:pPr>
            <w:r>
              <w:rPr>
                <w:rFonts w:ascii="Arial" w:cs="Arial" w:eastAsia="Arial" w:hAnsi="Arial"/>
                <w:sz w:val="11"/>
                <w:szCs w:val="11"/>
                <w:color w:val="auto"/>
              </w:rPr>
              <w:t>Woodburn, OR</w:t>
            </w:r>
          </w:p>
        </w:tc>
      </w:tr>
      <w:tr>
        <w:trPr>
          <w:trHeight w:val="117"/>
        </w:trPr>
        <w:tc>
          <w:tcPr>
            <w:tcW w:w="2040" w:type="dxa"/>
            <w:vAlign w:val="bottom"/>
            <w:shd w:val="clear" w:color="auto" w:fill="CCEEFF"/>
          </w:tcPr>
          <w:p>
            <w:pPr>
              <w:spacing w:after="0" w:line="117" w:lineRule="exact"/>
              <w:rPr>
                <w:sz w:val="20"/>
                <w:szCs w:val="20"/>
                <w:color w:val="auto"/>
              </w:rPr>
            </w:pPr>
            <w:r>
              <w:rPr>
                <w:rFonts w:ascii="Arial" w:cs="Arial" w:eastAsia="Arial" w:hAnsi="Arial"/>
                <w:sz w:val="11"/>
                <w:szCs w:val="11"/>
                <w:color w:val="auto"/>
              </w:rPr>
              <w:t>Naches, WA</w:t>
            </w:r>
          </w:p>
        </w:tc>
        <w:tc>
          <w:tcPr>
            <w:tcW w:w="3380" w:type="dxa"/>
            <w:vAlign w:val="bottom"/>
            <w:shd w:val="clear" w:color="auto" w:fill="CCEEFF"/>
          </w:tcPr>
          <w:p>
            <w:pPr>
              <w:ind w:left="1060"/>
              <w:spacing w:after="0" w:line="117" w:lineRule="exact"/>
              <w:rPr>
                <w:sz w:val="20"/>
                <w:szCs w:val="20"/>
                <w:color w:val="auto"/>
              </w:rPr>
            </w:pPr>
            <w:r>
              <w:rPr>
                <w:rFonts w:ascii="Arial" w:cs="Arial" w:eastAsia="Arial" w:hAnsi="Arial"/>
                <w:sz w:val="11"/>
                <w:szCs w:val="11"/>
                <w:color w:val="auto"/>
              </w:rPr>
              <w:t>Elkwood, VA</w:t>
            </w:r>
          </w:p>
        </w:tc>
        <w:tc>
          <w:tcPr>
            <w:tcW w:w="3680" w:type="dxa"/>
            <w:vAlign w:val="bottom"/>
            <w:shd w:val="clear" w:color="auto" w:fill="CCEEFF"/>
          </w:tcPr>
          <w:p>
            <w:pPr>
              <w:ind w:left="760"/>
              <w:spacing w:after="0" w:line="117" w:lineRule="exact"/>
              <w:rPr>
                <w:sz w:val="20"/>
                <w:szCs w:val="20"/>
                <w:color w:val="auto"/>
              </w:rPr>
            </w:pPr>
            <w:r>
              <w:rPr>
                <w:rFonts w:ascii="Arial" w:cs="Arial" w:eastAsia="Arial" w:hAnsi="Arial"/>
                <w:sz w:val="11"/>
                <w:szCs w:val="11"/>
                <w:color w:val="auto"/>
              </w:rPr>
              <w:t>Wujiang City , Jiangsu Province</w:t>
            </w:r>
          </w:p>
        </w:tc>
      </w:tr>
      <w:tr>
        <w:trPr>
          <w:trHeight w:val="117"/>
        </w:trPr>
        <w:tc>
          <w:tcPr>
            <w:tcW w:w="2040" w:type="dxa"/>
            <w:vAlign w:val="bottom"/>
          </w:tcPr>
          <w:p>
            <w:pPr>
              <w:spacing w:after="0" w:line="117" w:lineRule="exact"/>
              <w:rPr>
                <w:sz w:val="20"/>
                <w:szCs w:val="20"/>
                <w:color w:val="auto"/>
              </w:rPr>
            </w:pPr>
            <w:r>
              <w:rPr>
                <w:rFonts w:ascii="Arial" w:cs="Arial" w:eastAsia="Arial" w:hAnsi="Arial"/>
                <w:sz w:val="11"/>
                <w:szCs w:val="11"/>
                <w:color w:val="auto"/>
              </w:rPr>
              <w:t>New London, NC</w:t>
            </w:r>
          </w:p>
        </w:tc>
        <w:tc>
          <w:tcPr>
            <w:tcW w:w="3380" w:type="dxa"/>
            <w:vAlign w:val="bottom"/>
          </w:tcPr>
          <w:p>
            <w:pPr>
              <w:ind w:left="1060"/>
              <w:spacing w:after="0" w:line="117" w:lineRule="exact"/>
              <w:rPr>
                <w:sz w:val="20"/>
                <w:szCs w:val="20"/>
                <w:color w:val="auto"/>
              </w:rPr>
            </w:pPr>
            <w:r>
              <w:rPr>
                <w:rFonts w:ascii="Arial" w:cs="Arial" w:eastAsia="Arial" w:hAnsi="Arial"/>
                <w:sz w:val="11"/>
                <w:szCs w:val="11"/>
                <w:color w:val="auto"/>
              </w:rPr>
              <w:t>Emlenton, PA</w:t>
            </w:r>
          </w:p>
        </w:tc>
        <w:tc>
          <w:tcPr>
            <w:tcW w:w="3680" w:type="dxa"/>
            <w:vAlign w:val="bottom"/>
          </w:tcPr>
          <w:p>
            <w:pPr>
              <w:ind w:left="760"/>
              <w:spacing w:after="0" w:line="117" w:lineRule="exact"/>
              <w:rPr>
                <w:sz w:val="20"/>
                <w:szCs w:val="20"/>
                <w:color w:val="auto"/>
              </w:rPr>
            </w:pPr>
            <w:r>
              <w:rPr>
                <w:rFonts w:ascii="Arial" w:cs="Arial" w:eastAsia="Arial" w:hAnsi="Arial"/>
                <w:sz w:val="11"/>
                <w:szCs w:val="11"/>
                <w:color w:val="auto"/>
              </w:rPr>
              <w:t>Yeerongpilly, Australia</w:t>
            </w:r>
          </w:p>
        </w:tc>
      </w:tr>
      <w:tr>
        <w:trPr>
          <w:trHeight w:val="117"/>
        </w:trPr>
        <w:tc>
          <w:tcPr>
            <w:tcW w:w="2040" w:type="dxa"/>
            <w:vAlign w:val="bottom"/>
            <w:shd w:val="clear" w:color="auto" w:fill="CCEEFF"/>
          </w:tcPr>
          <w:p>
            <w:pPr>
              <w:spacing w:after="0" w:line="117" w:lineRule="exact"/>
              <w:rPr>
                <w:sz w:val="20"/>
                <w:szCs w:val="20"/>
                <w:color w:val="auto"/>
              </w:rPr>
            </w:pPr>
            <w:r>
              <w:rPr>
                <w:rFonts w:ascii="Arial" w:cs="Arial" w:eastAsia="Arial" w:hAnsi="Arial"/>
                <w:sz w:val="11"/>
                <w:szCs w:val="11"/>
                <w:color w:val="auto"/>
              </w:rPr>
              <w:t>New Waverly, TX</w:t>
            </w:r>
          </w:p>
        </w:tc>
        <w:tc>
          <w:tcPr>
            <w:tcW w:w="3380" w:type="dxa"/>
            <w:vAlign w:val="bottom"/>
            <w:shd w:val="clear" w:color="auto" w:fill="CCEEFF"/>
          </w:tcPr>
          <w:p>
            <w:pPr>
              <w:ind w:left="1060"/>
              <w:spacing w:after="0" w:line="117" w:lineRule="exact"/>
              <w:rPr>
                <w:sz w:val="20"/>
                <w:szCs w:val="20"/>
                <w:color w:val="auto"/>
              </w:rPr>
            </w:pPr>
            <w:r>
              <w:rPr>
                <w:rFonts w:ascii="Arial" w:cs="Arial" w:eastAsia="Arial" w:hAnsi="Arial"/>
                <w:sz w:val="11"/>
                <w:szCs w:val="11"/>
                <w:color w:val="auto"/>
              </w:rPr>
              <w:t>Erskine Park, Australia</w:t>
            </w:r>
          </w:p>
        </w:tc>
        <w:tc>
          <w:tcPr>
            <w:tcW w:w="3680" w:type="dxa"/>
            <w:vAlign w:val="bottom"/>
            <w:shd w:val="clear" w:color="auto" w:fill="CCEEFF"/>
          </w:tcPr>
          <w:p>
            <w:pPr>
              <w:spacing w:after="0"/>
              <w:rPr>
                <w:sz w:val="10"/>
                <w:szCs w:val="10"/>
                <w:color w:val="auto"/>
              </w:rPr>
            </w:pPr>
          </w:p>
        </w:tc>
      </w:tr>
      <w:tr>
        <w:trPr>
          <w:trHeight w:val="145"/>
        </w:trPr>
        <w:tc>
          <w:tcPr>
            <w:tcW w:w="2040" w:type="dxa"/>
            <w:vAlign w:val="bottom"/>
          </w:tcPr>
          <w:p>
            <w:pPr>
              <w:spacing w:after="0"/>
              <w:rPr>
                <w:sz w:val="20"/>
                <w:szCs w:val="20"/>
                <w:color w:val="auto"/>
              </w:rPr>
            </w:pPr>
            <w:r>
              <w:rPr>
                <w:rFonts w:ascii="Arial" w:cs="Arial" w:eastAsia="Arial" w:hAnsi="Arial"/>
                <w:sz w:val="11"/>
                <w:szCs w:val="11"/>
                <w:color w:val="auto"/>
              </w:rPr>
              <w:t>New Windsor, MD</w:t>
            </w:r>
          </w:p>
        </w:tc>
        <w:tc>
          <w:tcPr>
            <w:tcW w:w="3380" w:type="dxa"/>
            <w:vAlign w:val="bottom"/>
          </w:tcPr>
          <w:p>
            <w:pPr>
              <w:ind w:left="1060"/>
              <w:spacing w:after="0"/>
              <w:rPr>
                <w:sz w:val="20"/>
                <w:szCs w:val="20"/>
                <w:color w:val="auto"/>
              </w:rPr>
            </w:pPr>
            <w:r>
              <w:rPr>
                <w:rFonts w:ascii="Arial" w:cs="Arial" w:eastAsia="Arial" w:hAnsi="Arial"/>
                <w:sz w:val="11"/>
                <w:szCs w:val="11"/>
                <w:color w:val="auto"/>
              </w:rPr>
              <w:t>Fort Worth, TX</w:t>
            </w:r>
          </w:p>
        </w:tc>
        <w:tc>
          <w:tcPr>
            <w:tcW w:w="3680" w:type="dxa"/>
            <w:vAlign w:val="bottom"/>
          </w:tcPr>
          <w:p>
            <w:pPr>
              <w:spacing w:after="0"/>
              <w:rPr>
                <w:sz w:val="12"/>
                <w:szCs w:val="12"/>
                <w:color w:val="auto"/>
              </w:rPr>
            </w:pPr>
          </w:p>
        </w:tc>
      </w:tr>
    </w:tbl>
    <w:p>
      <w:pPr>
        <w:spacing w:after="0" w:line="3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66675</wp:posOffset>
            </wp:positionV>
            <wp:extent cx="5779135" cy="2032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4">
                      <a:extLst>
                        <a:ext uri="{28A0092B-C50C-407E-A947-70E740481C1C}"/>
                      </a:extLst>
                    </a:blip>
                    <a:srcRect/>
                    <a:stretch>
                      <a:fillRect/>
                    </a:stretch>
                  </pic:blipFill>
                  <pic:spPr bwMode="auto">
                    <a:xfrm>
                      <a:off x="0" y="0"/>
                      <a:ext cx="5779135" cy="20320"/>
                    </a:xfrm>
                    <a:prstGeom prst="rect">
                      <a:avLst/>
                    </a:prstGeom>
                    <a:noFill/>
                  </pic:spPr>
                </pic:pic>
              </a:graphicData>
            </a:graphic>
          </wp:anchor>
        </w:drawing>
      </w:r>
    </w:p>
    <w:p>
      <w:pPr>
        <w:sectPr>
          <w:pgSz w:w="11900" w:h="16838" w:orient="portrait"/>
          <w:cols w:equalWidth="0" w:num="1">
            <w:col w:w="9100"/>
          </w:cols>
          <w:pgMar w:left="1400" w:top="129" w:right="1399" w:bottom="1440" w:gutter="0" w:footer="0" w:header="0"/>
        </w:sectPr>
      </w:pPr>
    </w:p>
    <w:bookmarkStart w:id="102" w:name="page103"/>
    <w:bookmarkEnd w:id="102"/>
    <w:tbl>
      <w:tblPr>
        <w:tblLayout w:type="fixed"/>
        <w:tblInd w:w="0" w:type="dxa"/>
        <w:tblCellMar>
          <w:top w:w="0" w:type="dxa"/>
          <w:left w:w="0" w:type="dxa"/>
          <w:bottom w:w="0" w:type="dxa"/>
          <w:right w:w="0" w:type="dxa"/>
        </w:tblCellMar>
      </w:tblPr>
      <w:tr>
        <w:trPr>
          <w:trHeight w:val="221"/>
        </w:trPr>
        <w:tc>
          <w:tcPr>
            <w:tcW w:w="2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LIST OF REGISTRANT'S SUBSIDIARIES AND AFFILIATES</w:t>
            </w:r>
          </w:p>
        </w:tc>
        <w:tc>
          <w:tcPr>
            <w:tcW w:w="1560" w:type="dxa"/>
            <w:vAlign w:val="bottom"/>
            <w:gridSpan w:val="2"/>
          </w:tcPr>
          <w:p>
            <w:pPr>
              <w:ind w:left="560"/>
              <w:spacing w:after="0"/>
              <w:rPr>
                <w:sz w:val="20"/>
                <w:szCs w:val="20"/>
                <w:color w:val="auto"/>
              </w:rPr>
            </w:pPr>
            <w:r>
              <w:rPr>
                <w:rFonts w:ascii="Arial" w:cs="Arial" w:eastAsia="Arial" w:hAnsi="Arial"/>
                <w:sz w:val="17"/>
                <w:szCs w:val="17"/>
                <w:b w:val="1"/>
                <w:bCs w:val="1"/>
                <w:color w:val="auto"/>
              </w:rPr>
              <w:t>EXHIBIT 21</w:t>
            </w:r>
          </w:p>
        </w:tc>
        <w:tc>
          <w:tcPr>
            <w:tcW w:w="0" w:type="dxa"/>
            <w:vAlign w:val="bottom"/>
          </w:tcPr>
          <w:p>
            <w:pPr>
              <w:spacing w:after="0"/>
              <w:rPr>
                <w:sz w:val="1"/>
                <w:szCs w:val="1"/>
                <w:color w:val="auto"/>
              </w:rPr>
            </w:pPr>
          </w:p>
        </w:tc>
      </w:tr>
      <w:tr>
        <w:trPr>
          <w:trHeight w:val="131"/>
        </w:trPr>
        <w:tc>
          <w:tcPr>
            <w:tcW w:w="2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0" w:type="dxa"/>
            <w:vAlign w:val="bottom"/>
            <w:gridSpan w:val="3"/>
            <w:vMerge w:val="continue"/>
          </w:tcPr>
          <w:p>
            <w:pPr>
              <w:spacing w:after="0"/>
              <w:rPr>
                <w:sz w:val="11"/>
                <w:szCs w:val="11"/>
                <w:color w:val="auto"/>
              </w:rPr>
            </w:pPr>
          </w:p>
        </w:tc>
        <w:tc>
          <w:tcPr>
            <w:tcW w:w="1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2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60" w:type="dxa"/>
            <w:vAlign w:val="bottom"/>
            <w:tcBorders>
              <w:top w:val="single" w:sz="8" w:color="auto"/>
            </w:tcBorders>
          </w:tcPr>
          <w:p>
            <w:pPr>
              <w:spacing w:after="0"/>
              <w:rPr>
                <w:sz w:val="16"/>
                <w:szCs w:val="16"/>
                <w:color w:val="auto"/>
              </w:rPr>
            </w:pPr>
          </w:p>
        </w:tc>
        <w:tc>
          <w:tcPr>
            <w:tcW w:w="2340" w:type="dxa"/>
            <w:vAlign w:val="bottom"/>
            <w:tcBorders>
              <w:top w:val="single" w:sz="8" w:color="auto"/>
            </w:tcBorders>
          </w:tcPr>
          <w:p>
            <w:pPr>
              <w:spacing w:after="0"/>
              <w:rPr>
                <w:sz w:val="16"/>
                <w:szCs w:val="16"/>
                <w:color w:val="auto"/>
              </w:rPr>
            </w:pPr>
          </w:p>
        </w:tc>
        <w:tc>
          <w:tcPr>
            <w:tcW w:w="11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9"/>
        </w:trPr>
        <w:tc>
          <w:tcPr>
            <w:tcW w:w="2300" w:type="dxa"/>
            <w:vAlign w:val="bottom"/>
            <w:shd w:val="clear" w:color="auto" w:fill="CCEEFF"/>
          </w:tcPr>
          <w:p>
            <w:pPr>
              <w:spacing w:after="0"/>
              <w:rPr>
                <w:sz w:val="20"/>
                <w:szCs w:val="20"/>
                <w:color w:val="auto"/>
              </w:rPr>
            </w:pPr>
            <w:r>
              <w:rPr>
                <w:rFonts w:ascii="Arial" w:cs="Arial" w:eastAsia="Arial" w:hAnsi="Arial"/>
                <w:sz w:val="13"/>
                <w:szCs w:val="13"/>
                <w:color w:val="auto"/>
              </w:rPr>
              <w:t>11032 Tidewater Trail, LLC</w:t>
            </w:r>
          </w:p>
        </w:tc>
        <w:tc>
          <w:tcPr>
            <w:tcW w:w="186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Delaware</w:t>
            </w:r>
          </w:p>
        </w:tc>
        <w:tc>
          <w:tcPr>
            <w:tcW w:w="344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UFP Gear, LLC</w:t>
            </w:r>
          </w:p>
        </w:tc>
        <w:tc>
          <w:tcPr>
            <w:tcW w:w="1560" w:type="dxa"/>
            <w:vAlign w:val="bottom"/>
            <w:gridSpan w:val="2"/>
            <w:shd w:val="clear" w:color="auto" w:fill="CCEEFF"/>
          </w:tcPr>
          <w:p>
            <w:pPr>
              <w:ind w:left="340"/>
              <w:spacing w:after="0"/>
              <w:rPr>
                <w:sz w:val="20"/>
                <w:szCs w:val="20"/>
                <w:color w:val="auto"/>
              </w:rPr>
            </w:pPr>
            <w:r>
              <w:rPr>
                <w:rFonts w:ascii="Arial" w:cs="Arial" w:eastAsia="Arial" w:hAnsi="Arial"/>
                <w:sz w:val="13"/>
                <w:szCs w:val="13"/>
                <w:color w:val="auto"/>
              </w:rPr>
              <w:t>Michigan</w:t>
            </w:r>
          </w:p>
        </w:tc>
        <w:tc>
          <w:tcPr>
            <w:tcW w:w="0" w:type="dxa"/>
            <w:vAlign w:val="bottom"/>
          </w:tcPr>
          <w:p>
            <w:pPr>
              <w:spacing w:after="0"/>
              <w:rPr>
                <w:sz w:val="1"/>
                <w:szCs w:val="1"/>
                <w:color w:val="auto"/>
              </w:rPr>
            </w:pPr>
          </w:p>
        </w:tc>
      </w:tr>
      <w:tr>
        <w:trPr>
          <w:trHeight w:val="159"/>
        </w:trPr>
        <w:tc>
          <w:tcPr>
            <w:tcW w:w="2300" w:type="dxa"/>
            <w:vAlign w:val="bottom"/>
          </w:tcPr>
          <w:p>
            <w:pPr>
              <w:spacing w:after="0"/>
              <w:rPr>
                <w:sz w:val="20"/>
                <w:szCs w:val="20"/>
                <w:color w:val="auto"/>
              </w:rPr>
            </w:pPr>
            <w:r>
              <w:rPr>
                <w:rFonts w:ascii="Arial" w:cs="Arial" w:eastAsia="Arial" w:hAnsi="Arial"/>
                <w:sz w:val="13"/>
                <w:szCs w:val="13"/>
                <w:color w:val="auto"/>
              </w:rPr>
              <w:t>234 Springs Rd., LLC</w:t>
            </w:r>
          </w:p>
        </w:tc>
        <w:tc>
          <w:tcPr>
            <w:tcW w:w="1860" w:type="dxa"/>
            <w:vAlign w:val="bottom"/>
            <w:gridSpan w:val="2"/>
          </w:tcPr>
          <w:p>
            <w:pPr>
              <w:ind w:left="180"/>
              <w:spacing w:after="0"/>
              <w:rPr>
                <w:sz w:val="20"/>
                <w:szCs w:val="20"/>
                <w:color w:val="auto"/>
              </w:rPr>
            </w:pPr>
            <w:r>
              <w:rPr>
                <w:rFonts w:ascii="Arial" w:cs="Arial" w:eastAsia="Arial" w:hAnsi="Arial"/>
                <w:sz w:val="13"/>
                <w:szCs w:val="13"/>
                <w:color w:val="auto"/>
              </w:rPr>
              <w:t>Delaware</w:t>
            </w:r>
          </w:p>
        </w:tc>
        <w:tc>
          <w:tcPr>
            <w:tcW w:w="3440" w:type="dxa"/>
            <w:vAlign w:val="bottom"/>
            <w:gridSpan w:val="2"/>
          </w:tcPr>
          <w:p>
            <w:pPr>
              <w:ind w:left="180"/>
              <w:spacing w:after="0"/>
              <w:rPr>
                <w:sz w:val="20"/>
                <w:szCs w:val="20"/>
                <w:color w:val="auto"/>
              </w:rPr>
            </w:pPr>
            <w:r>
              <w:rPr>
                <w:rFonts w:ascii="Arial" w:cs="Arial" w:eastAsia="Arial" w:hAnsi="Arial"/>
                <w:sz w:val="13"/>
                <w:szCs w:val="13"/>
                <w:color w:val="auto"/>
              </w:rPr>
              <w:t>UFP Global Holdings Limited</w:t>
            </w:r>
          </w:p>
        </w:tc>
        <w:tc>
          <w:tcPr>
            <w:tcW w:w="1560" w:type="dxa"/>
            <w:vAlign w:val="bottom"/>
            <w:gridSpan w:val="2"/>
          </w:tcPr>
          <w:p>
            <w:pPr>
              <w:ind w:left="340"/>
              <w:spacing w:after="0"/>
              <w:rPr>
                <w:sz w:val="20"/>
                <w:szCs w:val="20"/>
                <w:color w:val="auto"/>
              </w:rPr>
            </w:pPr>
            <w:r>
              <w:rPr>
                <w:rFonts w:ascii="Arial" w:cs="Arial" w:eastAsia="Arial" w:hAnsi="Arial"/>
                <w:sz w:val="13"/>
                <w:szCs w:val="13"/>
                <w:color w:val="auto"/>
              </w:rPr>
              <w:t>United Kingdom</w:t>
            </w:r>
          </w:p>
        </w:tc>
        <w:tc>
          <w:tcPr>
            <w:tcW w:w="0" w:type="dxa"/>
            <w:vAlign w:val="bottom"/>
          </w:tcPr>
          <w:p>
            <w:pPr>
              <w:spacing w:after="0"/>
              <w:rPr>
                <w:sz w:val="1"/>
                <w:szCs w:val="1"/>
                <w:color w:val="auto"/>
              </w:rPr>
            </w:pPr>
          </w:p>
        </w:tc>
      </w:tr>
      <w:tr>
        <w:trPr>
          <w:trHeight w:val="159"/>
        </w:trPr>
        <w:tc>
          <w:tcPr>
            <w:tcW w:w="2300" w:type="dxa"/>
            <w:vAlign w:val="bottom"/>
            <w:shd w:val="clear" w:color="auto" w:fill="CCEEFF"/>
          </w:tcPr>
          <w:p>
            <w:pPr>
              <w:spacing w:after="0"/>
              <w:rPr>
                <w:sz w:val="20"/>
                <w:szCs w:val="20"/>
                <w:color w:val="auto"/>
              </w:rPr>
            </w:pPr>
            <w:r>
              <w:rPr>
                <w:rFonts w:ascii="Arial" w:cs="Arial" w:eastAsia="Arial" w:hAnsi="Arial"/>
                <w:sz w:val="13"/>
                <w:szCs w:val="13"/>
                <w:color w:val="auto"/>
              </w:rPr>
              <w:t>2875 Needmore Rd. LLC</w:t>
            </w:r>
          </w:p>
        </w:tc>
        <w:tc>
          <w:tcPr>
            <w:tcW w:w="186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Delaware</w:t>
            </w:r>
          </w:p>
        </w:tc>
        <w:tc>
          <w:tcPr>
            <w:tcW w:w="344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UFP Gordon, LLC</w:t>
            </w:r>
          </w:p>
        </w:tc>
        <w:tc>
          <w:tcPr>
            <w:tcW w:w="1560" w:type="dxa"/>
            <w:vAlign w:val="bottom"/>
            <w:gridSpan w:val="2"/>
            <w:shd w:val="clear" w:color="auto" w:fill="CCEEFF"/>
          </w:tcPr>
          <w:p>
            <w:pPr>
              <w:ind w:left="340"/>
              <w:spacing w:after="0"/>
              <w:rPr>
                <w:sz w:val="20"/>
                <w:szCs w:val="20"/>
                <w:color w:val="auto"/>
              </w:rPr>
            </w:pPr>
            <w:r>
              <w:rPr>
                <w:rFonts w:ascii="Arial" w:cs="Arial" w:eastAsia="Arial" w:hAnsi="Arial"/>
                <w:sz w:val="13"/>
                <w:szCs w:val="13"/>
                <w:color w:val="auto"/>
              </w:rPr>
              <w:t>Michigan</w:t>
            </w:r>
          </w:p>
        </w:tc>
        <w:tc>
          <w:tcPr>
            <w:tcW w:w="0" w:type="dxa"/>
            <w:vAlign w:val="bottom"/>
          </w:tcPr>
          <w:p>
            <w:pPr>
              <w:spacing w:after="0"/>
              <w:rPr>
                <w:sz w:val="1"/>
                <w:szCs w:val="1"/>
                <w:color w:val="auto"/>
              </w:rPr>
            </w:pPr>
          </w:p>
        </w:tc>
      </w:tr>
      <w:tr>
        <w:trPr>
          <w:trHeight w:val="159"/>
        </w:trPr>
        <w:tc>
          <w:tcPr>
            <w:tcW w:w="2300" w:type="dxa"/>
            <w:vAlign w:val="bottom"/>
          </w:tcPr>
          <w:p>
            <w:pPr>
              <w:spacing w:after="0"/>
              <w:rPr>
                <w:sz w:val="20"/>
                <w:szCs w:val="20"/>
                <w:color w:val="auto"/>
              </w:rPr>
            </w:pPr>
            <w:r>
              <w:rPr>
                <w:rFonts w:ascii="Arial" w:cs="Arial" w:eastAsia="Arial" w:hAnsi="Arial"/>
                <w:sz w:val="13"/>
                <w:szCs w:val="13"/>
                <w:color w:val="auto"/>
              </w:rPr>
              <w:t>621 Hall St., LLC</w:t>
            </w:r>
          </w:p>
        </w:tc>
        <w:tc>
          <w:tcPr>
            <w:tcW w:w="1860" w:type="dxa"/>
            <w:vAlign w:val="bottom"/>
            <w:gridSpan w:val="2"/>
          </w:tcPr>
          <w:p>
            <w:pPr>
              <w:ind w:left="180"/>
              <w:spacing w:after="0"/>
              <w:rPr>
                <w:sz w:val="20"/>
                <w:szCs w:val="20"/>
                <w:color w:val="auto"/>
              </w:rPr>
            </w:pPr>
            <w:r>
              <w:rPr>
                <w:rFonts w:ascii="Arial" w:cs="Arial" w:eastAsia="Arial" w:hAnsi="Arial"/>
                <w:sz w:val="13"/>
                <w:szCs w:val="13"/>
                <w:color w:val="auto"/>
              </w:rPr>
              <w:t>Delaware</w:t>
            </w:r>
          </w:p>
        </w:tc>
        <w:tc>
          <w:tcPr>
            <w:tcW w:w="3440" w:type="dxa"/>
            <w:vAlign w:val="bottom"/>
            <w:gridSpan w:val="2"/>
          </w:tcPr>
          <w:p>
            <w:pPr>
              <w:ind w:left="180"/>
              <w:spacing w:after="0"/>
              <w:rPr>
                <w:sz w:val="20"/>
                <w:szCs w:val="20"/>
                <w:color w:val="auto"/>
              </w:rPr>
            </w:pPr>
            <w:r>
              <w:rPr>
                <w:rFonts w:ascii="Arial" w:cs="Arial" w:eastAsia="Arial" w:hAnsi="Arial"/>
                <w:sz w:val="13"/>
                <w:szCs w:val="13"/>
                <w:color w:val="auto"/>
              </w:rPr>
              <w:t>UFP Grandview, LLC</w:t>
            </w:r>
          </w:p>
        </w:tc>
        <w:tc>
          <w:tcPr>
            <w:tcW w:w="1560" w:type="dxa"/>
            <w:vAlign w:val="bottom"/>
            <w:gridSpan w:val="2"/>
          </w:tcPr>
          <w:p>
            <w:pPr>
              <w:ind w:left="340"/>
              <w:spacing w:after="0"/>
              <w:rPr>
                <w:sz w:val="20"/>
                <w:szCs w:val="20"/>
                <w:color w:val="auto"/>
              </w:rPr>
            </w:pPr>
            <w:r>
              <w:rPr>
                <w:rFonts w:ascii="Arial" w:cs="Arial" w:eastAsia="Arial" w:hAnsi="Arial"/>
                <w:sz w:val="13"/>
                <w:szCs w:val="13"/>
                <w:color w:val="auto"/>
              </w:rPr>
              <w:t>Michigan</w:t>
            </w:r>
          </w:p>
        </w:tc>
        <w:tc>
          <w:tcPr>
            <w:tcW w:w="0" w:type="dxa"/>
            <w:vAlign w:val="bottom"/>
          </w:tcPr>
          <w:p>
            <w:pPr>
              <w:spacing w:after="0"/>
              <w:rPr>
                <w:sz w:val="1"/>
                <w:szCs w:val="1"/>
                <w:color w:val="auto"/>
              </w:rPr>
            </w:pPr>
          </w:p>
        </w:tc>
      </w:tr>
      <w:tr>
        <w:trPr>
          <w:trHeight w:val="159"/>
        </w:trPr>
        <w:tc>
          <w:tcPr>
            <w:tcW w:w="2300" w:type="dxa"/>
            <w:vAlign w:val="bottom"/>
            <w:shd w:val="clear" w:color="auto" w:fill="CCEEFF"/>
          </w:tcPr>
          <w:p>
            <w:pPr>
              <w:spacing w:after="0"/>
              <w:rPr>
                <w:sz w:val="20"/>
                <w:szCs w:val="20"/>
                <w:color w:val="auto"/>
              </w:rPr>
            </w:pPr>
            <w:r>
              <w:rPr>
                <w:rFonts w:ascii="Arial" w:cs="Arial" w:eastAsia="Arial" w:hAnsi="Arial"/>
                <w:sz w:val="13"/>
                <w:szCs w:val="13"/>
                <w:color w:val="auto"/>
              </w:rPr>
              <w:t>Aljoma Holding Company, LLC</w:t>
            </w:r>
          </w:p>
        </w:tc>
        <w:tc>
          <w:tcPr>
            <w:tcW w:w="186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Michigan</w:t>
            </w:r>
          </w:p>
        </w:tc>
        <w:tc>
          <w:tcPr>
            <w:tcW w:w="344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UFP Granger, LLC</w:t>
            </w:r>
          </w:p>
        </w:tc>
        <w:tc>
          <w:tcPr>
            <w:tcW w:w="1560" w:type="dxa"/>
            <w:vAlign w:val="bottom"/>
            <w:gridSpan w:val="2"/>
            <w:shd w:val="clear" w:color="auto" w:fill="CCEEFF"/>
          </w:tcPr>
          <w:p>
            <w:pPr>
              <w:ind w:left="340"/>
              <w:spacing w:after="0"/>
              <w:rPr>
                <w:sz w:val="20"/>
                <w:szCs w:val="20"/>
                <w:color w:val="auto"/>
              </w:rPr>
            </w:pPr>
            <w:r>
              <w:rPr>
                <w:rFonts w:ascii="Arial" w:cs="Arial" w:eastAsia="Arial" w:hAnsi="Arial"/>
                <w:sz w:val="13"/>
                <w:szCs w:val="13"/>
                <w:color w:val="auto"/>
              </w:rPr>
              <w:t>Michigan</w:t>
            </w:r>
          </w:p>
        </w:tc>
        <w:tc>
          <w:tcPr>
            <w:tcW w:w="0" w:type="dxa"/>
            <w:vAlign w:val="bottom"/>
          </w:tcPr>
          <w:p>
            <w:pPr>
              <w:spacing w:after="0"/>
              <w:rPr>
                <w:sz w:val="1"/>
                <w:szCs w:val="1"/>
                <w:color w:val="auto"/>
              </w:rPr>
            </w:pPr>
          </w:p>
        </w:tc>
      </w:tr>
      <w:tr>
        <w:trPr>
          <w:trHeight w:val="159"/>
        </w:trPr>
        <w:tc>
          <w:tcPr>
            <w:tcW w:w="2300" w:type="dxa"/>
            <w:vAlign w:val="bottom"/>
          </w:tcPr>
          <w:p>
            <w:pPr>
              <w:spacing w:after="0"/>
              <w:rPr>
                <w:sz w:val="20"/>
                <w:szCs w:val="20"/>
                <w:color w:val="auto"/>
              </w:rPr>
            </w:pPr>
            <w:r>
              <w:rPr>
                <w:rFonts w:ascii="Arial" w:cs="Arial" w:eastAsia="Arial" w:hAnsi="Arial"/>
                <w:sz w:val="13"/>
                <w:szCs w:val="13"/>
                <w:color w:val="auto"/>
              </w:rPr>
              <w:t>Aljoma Lumber, Inc.</w:t>
            </w:r>
          </w:p>
        </w:tc>
        <w:tc>
          <w:tcPr>
            <w:tcW w:w="1860" w:type="dxa"/>
            <w:vAlign w:val="bottom"/>
            <w:gridSpan w:val="2"/>
          </w:tcPr>
          <w:p>
            <w:pPr>
              <w:ind w:left="180"/>
              <w:spacing w:after="0"/>
              <w:rPr>
                <w:sz w:val="20"/>
                <w:szCs w:val="20"/>
                <w:color w:val="auto"/>
              </w:rPr>
            </w:pPr>
            <w:r>
              <w:rPr>
                <w:rFonts w:ascii="Arial" w:cs="Arial" w:eastAsia="Arial" w:hAnsi="Arial"/>
                <w:sz w:val="13"/>
                <w:szCs w:val="13"/>
                <w:color w:val="auto"/>
              </w:rPr>
              <w:t>Florida</w:t>
            </w:r>
          </w:p>
        </w:tc>
        <w:tc>
          <w:tcPr>
            <w:tcW w:w="3440" w:type="dxa"/>
            <w:vAlign w:val="bottom"/>
            <w:gridSpan w:val="2"/>
          </w:tcPr>
          <w:p>
            <w:pPr>
              <w:ind w:left="180"/>
              <w:spacing w:after="0"/>
              <w:rPr>
                <w:sz w:val="20"/>
                <w:szCs w:val="20"/>
                <w:color w:val="auto"/>
              </w:rPr>
            </w:pPr>
            <w:r>
              <w:rPr>
                <w:rFonts w:ascii="Arial" w:cs="Arial" w:eastAsia="Arial" w:hAnsi="Arial"/>
                <w:sz w:val="13"/>
                <w:szCs w:val="13"/>
                <w:color w:val="auto"/>
              </w:rPr>
              <w:t>UFP Great Lakes, LLC</w:t>
            </w:r>
          </w:p>
        </w:tc>
        <w:tc>
          <w:tcPr>
            <w:tcW w:w="1560" w:type="dxa"/>
            <w:vAlign w:val="bottom"/>
            <w:gridSpan w:val="2"/>
          </w:tcPr>
          <w:p>
            <w:pPr>
              <w:ind w:left="340"/>
              <w:spacing w:after="0"/>
              <w:rPr>
                <w:sz w:val="20"/>
                <w:szCs w:val="20"/>
                <w:color w:val="auto"/>
              </w:rPr>
            </w:pPr>
            <w:r>
              <w:rPr>
                <w:rFonts w:ascii="Arial" w:cs="Arial" w:eastAsia="Arial" w:hAnsi="Arial"/>
                <w:sz w:val="13"/>
                <w:szCs w:val="13"/>
                <w:color w:val="auto"/>
              </w:rPr>
              <w:t>Michigan</w:t>
            </w:r>
          </w:p>
        </w:tc>
        <w:tc>
          <w:tcPr>
            <w:tcW w:w="0" w:type="dxa"/>
            <w:vAlign w:val="bottom"/>
          </w:tcPr>
          <w:p>
            <w:pPr>
              <w:spacing w:after="0"/>
              <w:rPr>
                <w:sz w:val="1"/>
                <w:szCs w:val="1"/>
                <w:color w:val="auto"/>
              </w:rPr>
            </w:pPr>
          </w:p>
        </w:tc>
      </w:tr>
      <w:tr>
        <w:trPr>
          <w:trHeight w:val="159"/>
        </w:trPr>
        <w:tc>
          <w:tcPr>
            <w:tcW w:w="2300" w:type="dxa"/>
            <w:vAlign w:val="bottom"/>
            <w:shd w:val="clear" w:color="auto" w:fill="CCEEFF"/>
          </w:tcPr>
          <w:p>
            <w:pPr>
              <w:spacing w:after="0"/>
              <w:rPr>
                <w:sz w:val="20"/>
                <w:szCs w:val="20"/>
                <w:color w:val="auto"/>
              </w:rPr>
            </w:pPr>
            <w:r>
              <w:rPr>
                <w:rFonts w:ascii="Arial" w:cs="Arial" w:eastAsia="Arial" w:hAnsi="Arial"/>
                <w:sz w:val="13"/>
                <w:szCs w:val="13"/>
                <w:color w:val="auto"/>
              </w:rPr>
              <w:t>Ardellis Insurance Ltd.</w:t>
            </w:r>
          </w:p>
        </w:tc>
        <w:tc>
          <w:tcPr>
            <w:tcW w:w="186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Bermuda</w:t>
            </w:r>
          </w:p>
        </w:tc>
        <w:tc>
          <w:tcPr>
            <w:tcW w:w="344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UFP Gulf, LLC</w:t>
            </w:r>
          </w:p>
        </w:tc>
        <w:tc>
          <w:tcPr>
            <w:tcW w:w="1560" w:type="dxa"/>
            <w:vAlign w:val="bottom"/>
            <w:gridSpan w:val="2"/>
            <w:shd w:val="clear" w:color="auto" w:fill="CCEEFF"/>
          </w:tcPr>
          <w:p>
            <w:pPr>
              <w:ind w:left="340"/>
              <w:spacing w:after="0"/>
              <w:rPr>
                <w:sz w:val="20"/>
                <w:szCs w:val="20"/>
                <w:color w:val="auto"/>
              </w:rPr>
            </w:pPr>
            <w:r>
              <w:rPr>
                <w:rFonts w:ascii="Arial" w:cs="Arial" w:eastAsia="Arial" w:hAnsi="Arial"/>
                <w:sz w:val="13"/>
                <w:szCs w:val="13"/>
                <w:color w:val="auto"/>
              </w:rPr>
              <w:t>Michigan</w:t>
            </w:r>
          </w:p>
        </w:tc>
        <w:tc>
          <w:tcPr>
            <w:tcW w:w="0" w:type="dxa"/>
            <w:vAlign w:val="bottom"/>
          </w:tcPr>
          <w:p>
            <w:pPr>
              <w:spacing w:after="0"/>
              <w:rPr>
                <w:sz w:val="1"/>
                <w:szCs w:val="1"/>
                <w:color w:val="auto"/>
              </w:rPr>
            </w:pPr>
          </w:p>
        </w:tc>
      </w:tr>
      <w:tr>
        <w:trPr>
          <w:trHeight w:val="159"/>
        </w:trPr>
        <w:tc>
          <w:tcPr>
            <w:tcW w:w="2300" w:type="dxa"/>
            <w:vAlign w:val="bottom"/>
          </w:tcPr>
          <w:p>
            <w:pPr>
              <w:spacing w:after="0"/>
              <w:rPr>
                <w:sz w:val="20"/>
                <w:szCs w:val="20"/>
                <w:color w:val="auto"/>
              </w:rPr>
            </w:pPr>
            <w:r>
              <w:rPr>
                <w:rFonts w:ascii="Arial" w:cs="Arial" w:eastAsia="Arial" w:hAnsi="Arial"/>
                <w:sz w:val="13"/>
                <w:szCs w:val="13"/>
                <w:color w:val="auto"/>
              </w:rPr>
              <w:t>CA Truss, Inc.</w:t>
            </w:r>
          </w:p>
        </w:tc>
        <w:tc>
          <w:tcPr>
            <w:tcW w:w="1860" w:type="dxa"/>
            <w:vAlign w:val="bottom"/>
            <w:gridSpan w:val="2"/>
          </w:tcPr>
          <w:p>
            <w:pPr>
              <w:ind w:left="180"/>
              <w:spacing w:after="0"/>
              <w:rPr>
                <w:sz w:val="20"/>
                <w:szCs w:val="20"/>
                <w:color w:val="auto"/>
              </w:rPr>
            </w:pPr>
            <w:r>
              <w:rPr>
                <w:rFonts w:ascii="Arial" w:cs="Arial" w:eastAsia="Arial" w:hAnsi="Arial"/>
                <w:sz w:val="13"/>
                <w:szCs w:val="13"/>
                <w:color w:val="auto"/>
              </w:rPr>
              <w:t>Michigan</w:t>
            </w:r>
          </w:p>
        </w:tc>
        <w:tc>
          <w:tcPr>
            <w:tcW w:w="3440" w:type="dxa"/>
            <w:vAlign w:val="bottom"/>
            <w:gridSpan w:val="2"/>
          </w:tcPr>
          <w:p>
            <w:pPr>
              <w:ind w:left="180"/>
              <w:spacing w:after="0"/>
              <w:rPr>
                <w:sz w:val="20"/>
                <w:szCs w:val="20"/>
                <w:color w:val="auto"/>
              </w:rPr>
            </w:pPr>
            <w:r>
              <w:rPr>
                <w:rFonts w:ascii="Arial" w:cs="Arial" w:eastAsia="Arial" w:hAnsi="Arial"/>
                <w:sz w:val="13"/>
                <w:szCs w:val="13"/>
                <w:color w:val="auto"/>
              </w:rPr>
              <w:t>UFP Haleyville, LLC</w:t>
            </w:r>
          </w:p>
        </w:tc>
        <w:tc>
          <w:tcPr>
            <w:tcW w:w="1560" w:type="dxa"/>
            <w:vAlign w:val="bottom"/>
            <w:gridSpan w:val="2"/>
          </w:tcPr>
          <w:p>
            <w:pPr>
              <w:ind w:left="340"/>
              <w:spacing w:after="0"/>
              <w:rPr>
                <w:sz w:val="20"/>
                <w:szCs w:val="20"/>
                <w:color w:val="auto"/>
              </w:rPr>
            </w:pPr>
            <w:r>
              <w:rPr>
                <w:rFonts w:ascii="Arial" w:cs="Arial" w:eastAsia="Arial" w:hAnsi="Arial"/>
                <w:sz w:val="13"/>
                <w:szCs w:val="13"/>
                <w:color w:val="auto"/>
              </w:rPr>
              <w:t>Michigan</w:t>
            </w:r>
          </w:p>
        </w:tc>
        <w:tc>
          <w:tcPr>
            <w:tcW w:w="0" w:type="dxa"/>
            <w:vAlign w:val="bottom"/>
          </w:tcPr>
          <w:p>
            <w:pPr>
              <w:spacing w:after="0"/>
              <w:rPr>
                <w:sz w:val="1"/>
                <w:szCs w:val="1"/>
                <w:color w:val="auto"/>
              </w:rPr>
            </w:pPr>
          </w:p>
        </w:tc>
      </w:tr>
      <w:tr>
        <w:trPr>
          <w:trHeight w:val="159"/>
        </w:trPr>
        <w:tc>
          <w:tcPr>
            <w:tcW w:w="2300" w:type="dxa"/>
            <w:vAlign w:val="bottom"/>
            <w:shd w:val="clear" w:color="auto" w:fill="CCEEFF"/>
          </w:tcPr>
          <w:p>
            <w:pPr>
              <w:spacing w:after="0"/>
              <w:rPr>
                <w:sz w:val="20"/>
                <w:szCs w:val="20"/>
                <w:color w:val="auto"/>
              </w:rPr>
            </w:pPr>
            <w:r>
              <w:rPr>
                <w:rFonts w:ascii="Arial" w:cs="Arial" w:eastAsia="Arial" w:hAnsi="Arial"/>
                <w:sz w:val="13"/>
                <w:szCs w:val="13"/>
                <w:color w:val="auto"/>
              </w:rPr>
              <w:t>Caliper Building Systems, LLC</w:t>
            </w:r>
          </w:p>
        </w:tc>
        <w:tc>
          <w:tcPr>
            <w:tcW w:w="186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Michigan</w:t>
            </w:r>
          </w:p>
        </w:tc>
        <w:tc>
          <w:tcPr>
            <w:tcW w:w="344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UFP Hamilton, LLC</w:t>
            </w:r>
          </w:p>
        </w:tc>
        <w:tc>
          <w:tcPr>
            <w:tcW w:w="1560" w:type="dxa"/>
            <w:vAlign w:val="bottom"/>
            <w:gridSpan w:val="2"/>
            <w:shd w:val="clear" w:color="auto" w:fill="CCEEFF"/>
          </w:tcPr>
          <w:p>
            <w:pPr>
              <w:ind w:left="340"/>
              <w:spacing w:after="0"/>
              <w:rPr>
                <w:sz w:val="20"/>
                <w:szCs w:val="20"/>
                <w:color w:val="auto"/>
              </w:rPr>
            </w:pPr>
            <w:r>
              <w:rPr>
                <w:rFonts w:ascii="Arial" w:cs="Arial" w:eastAsia="Arial" w:hAnsi="Arial"/>
                <w:sz w:val="13"/>
                <w:szCs w:val="13"/>
                <w:color w:val="auto"/>
              </w:rPr>
              <w:t>Michigan</w:t>
            </w:r>
          </w:p>
        </w:tc>
        <w:tc>
          <w:tcPr>
            <w:tcW w:w="0" w:type="dxa"/>
            <w:vAlign w:val="bottom"/>
          </w:tcPr>
          <w:p>
            <w:pPr>
              <w:spacing w:after="0"/>
              <w:rPr>
                <w:sz w:val="1"/>
                <w:szCs w:val="1"/>
                <w:color w:val="auto"/>
              </w:rPr>
            </w:pPr>
          </w:p>
        </w:tc>
      </w:tr>
      <w:tr>
        <w:trPr>
          <w:trHeight w:val="159"/>
        </w:trPr>
        <w:tc>
          <w:tcPr>
            <w:tcW w:w="2300" w:type="dxa"/>
            <w:vAlign w:val="bottom"/>
          </w:tcPr>
          <w:p>
            <w:pPr>
              <w:spacing w:after="0"/>
              <w:rPr>
                <w:sz w:val="20"/>
                <w:szCs w:val="20"/>
                <w:color w:val="auto"/>
              </w:rPr>
            </w:pPr>
            <w:r>
              <w:rPr>
                <w:rFonts w:ascii="Arial" w:cs="Arial" w:eastAsia="Arial" w:hAnsi="Arial"/>
                <w:sz w:val="13"/>
                <w:szCs w:val="13"/>
                <w:color w:val="auto"/>
              </w:rPr>
              <w:t>Eovations, LLC</w:t>
            </w:r>
          </w:p>
        </w:tc>
        <w:tc>
          <w:tcPr>
            <w:tcW w:w="1860" w:type="dxa"/>
            <w:vAlign w:val="bottom"/>
            <w:gridSpan w:val="2"/>
          </w:tcPr>
          <w:p>
            <w:pPr>
              <w:ind w:left="180"/>
              <w:spacing w:after="0"/>
              <w:rPr>
                <w:sz w:val="20"/>
                <w:szCs w:val="20"/>
                <w:color w:val="auto"/>
              </w:rPr>
            </w:pPr>
            <w:r>
              <w:rPr>
                <w:rFonts w:ascii="Arial" w:cs="Arial" w:eastAsia="Arial" w:hAnsi="Arial"/>
                <w:sz w:val="13"/>
                <w:szCs w:val="13"/>
                <w:color w:val="auto"/>
              </w:rPr>
              <w:t>Michigan</w:t>
            </w:r>
          </w:p>
        </w:tc>
        <w:tc>
          <w:tcPr>
            <w:tcW w:w="3440" w:type="dxa"/>
            <w:vAlign w:val="bottom"/>
            <w:gridSpan w:val="2"/>
          </w:tcPr>
          <w:p>
            <w:pPr>
              <w:ind w:left="180"/>
              <w:spacing w:after="0"/>
              <w:rPr>
                <w:sz w:val="20"/>
                <w:szCs w:val="20"/>
                <w:color w:val="auto"/>
              </w:rPr>
            </w:pPr>
            <w:r>
              <w:rPr>
                <w:rFonts w:ascii="Arial" w:cs="Arial" w:eastAsia="Arial" w:hAnsi="Arial"/>
                <w:sz w:val="13"/>
                <w:szCs w:val="13"/>
                <w:color w:val="auto"/>
              </w:rPr>
              <w:t>UFP Harrisonville, LLC</w:t>
            </w:r>
          </w:p>
        </w:tc>
        <w:tc>
          <w:tcPr>
            <w:tcW w:w="1560" w:type="dxa"/>
            <w:vAlign w:val="bottom"/>
            <w:gridSpan w:val="2"/>
          </w:tcPr>
          <w:p>
            <w:pPr>
              <w:ind w:left="340"/>
              <w:spacing w:after="0"/>
              <w:rPr>
                <w:sz w:val="20"/>
                <w:szCs w:val="20"/>
                <w:color w:val="auto"/>
              </w:rPr>
            </w:pPr>
            <w:r>
              <w:rPr>
                <w:rFonts w:ascii="Arial" w:cs="Arial" w:eastAsia="Arial" w:hAnsi="Arial"/>
                <w:sz w:val="13"/>
                <w:szCs w:val="13"/>
                <w:color w:val="auto"/>
              </w:rPr>
              <w:t>Michigan</w:t>
            </w:r>
          </w:p>
        </w:tc>
        <w:tc>
          <w:tcPr>
            <w:tcW w:w="0" w:type="dxa"/>
            <w:vAlign w:val="bottom"/>
          </w:tcPr>
          <w:p>
            <w:pPr>
              <w:spacing w:after="0"/>
              <w:rPr>
                <w:sz w:val="1"/>
                <w:szCs w:val="1"/>
                <w:color w:val="auto"/>
              </w:rPr>
            </w:pPr>
          </w:p>
        </w:tc>
      </w:tr>
      <w:tr>
        <w:trPr>
          <w:trHeight w:val="159"/>
        </w:trPr>
        <w:tc>
          <w:tcPr>
            <w:tcW w:w="2300" w:type="dxa"/>
            <w:vAlign w:val="bottom"/>
            <w:shd w:val="clear" w:color="auto" w:fill="CCEEFF"/>
          </w:tcPr>
          <w:p>
            <w:pPr>
              <w:spacing w:after="0"/>
              <w:rPr>
                <w:sz w:val="20"/>
                <w:szCs w:val="20"/>
                <w:color w:val="auto"/>
              </w:rPr>
            </w:pPr>
            <w:r>
              <w:rPr>
                <w:rFonts w:ascii="Arial" w:cs="Arial" w:eastAsia="Arial" w:hAnsi="Arial"/>
                <w:sz w:val="13"/>
                <w:szCs w:val="13"/>
                <w:color w:val="auto"/>
              </w:rPr>
              <w:t>Gulf Coast Components, LLC</w:t>
            </w:r>
          </w:p>
        </w:tc>
        <w:tc>
          <w:tcPr>
            <w:tcW w:w="186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Michigan</w:t>
            </w:r>
          </w:p>
        </w:tc>
        <w:tc>
          <w:tcPr>
            <w:tcW w:w="344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UFP Hillsboro, LLC</w:t>
            </w:r>
          </w:p>
        </w:tc>
        <w:tc>
          <w:tcPr>
            <w:tcW w:w="1560" w:type="dxa"/>
            <w:vAlign w:val="bottom"/>
            <w:gridSpan w:val="2"/>
            <w:shd w:val="clear" w:color="auto" w:fill="CCEEFF"/>
          </w:tcPr>
          <w:p>
            <w:pPr>
              <w:ind w:left="340"/>
              <w:spacing w:after="0"/>
              <w:rPr>
                <w:sz w:val="20"/>
                <w:szCs w:val="20"/>
                <w:color w:val="auto"/>
              </w:rPr>
            </w:pPr>
            <w:r>
              <w:rPr>
                <w:rFonts w:ascii="Arial" w:cs="Arial" w:eastAsia="Arial" w:hAnsi="Arial"/>
                <w:sz w:val="13"/>
                <w:szCs w:val="13"/>
                <w:color w:val="auto"/>
              </w:rPr>
              <w:t>Michigan</w:t>
            </w:r>
          </w:p>
        </w:tc>
        <w:tc>
          <w:tcPr>
            <w:tcW w:w="0" w:type="dxa"/>
            <w:vAlign w:val="bottom"/>
          </w:tcPr>
          <w:p>
            <w:pPr>
              <w:spacing w:after="0"/>
              <w:rPr>
                <w:sz w:val="1"/>
                <w:szCs w:val="1"/>
                <w:color w:val="auto"/>
              </w:rPr>
            </w:pPr>
          </w:p>
        </w:tc>
      </w:tr>
      <w:tr>
        <w:trPr>
          <w:trHeight w:val="159"/>
        </w:trPr>
        <w:tc>
          <w:tcPr>
            <w:tcW w:w="2300" w:type="dxa"/>
            <w:vAlign w:val="bottom"/>
          </w:tcPr>
          <w:p>
            <w:pPr>
              <w:spacing w:after="0"/>
              <w:rPr>
                <w:sz w:val="20"/>
                <w:szCs w:val="20"/>
                <w:color w:val="auto"/>
              </w:rPr>
            </w:pPr>
            <w:r>
              <w:rPr>
                <w:rFonts w:ascii="Arial" w:cs="Arial" w:eastAsia="Arial" w:hAnsi="Arial"/>
                <w:sz w:val="13"/>
                <w:szCs w:val="13"/>
                <w:color w:val="auto"/>
              </w:rPr>
              <w:t>Horizon Terra, Incorporated</w:t>
            </w:r>
          </w:p>
        </w:tc>
        <w:tc>
          <w:tcPr>
            <w:tcW w:w="1860" w:type="dxa"/>
            <w:vAlign w:val="bottom"/>
            <w:gridSpan w:val="2"/>
          </w:tcPr>
          <w:p>
            <w:pPr>
              <w:ind w:left="180"/>
              <w:spacing w:after="0"/>
              <w:rPr>
                <w:sz w:val="20"/>
                <w:szCs w:val="20"/>
                <w:color w:val="auto"/>
              </w:rPr>
            </w:pPr>
            <w:r>
              <w:rPr>
                <w:rFonts w:ascii="Arial" w:cs="Arial" w:eastAsia="Arial" w:hAnsi="Arial"/>
                <w:sz w:val="13"/>
                <w:szCs w:val="13"/>
                <w:color w:val="auto"/>
              </w:rPr>
              <w:t>Indiana</w:t>
            </w:r>
          </w:p>
        </w:tc>
        <w:tc>
          <w:tcPr>
            <w:tcW w:w="3440" w:type="dxa"/>
            <w:vAlign w:val="bottom"/>
            <w:gridSpan w:val="2"/>
          </w:tcPr>
          <w:p>
            <w:pPr>
              <w:ind w:left="180"/>
              <w:spacing w:after="0"/>
              <w:rPr>
                <w:sz w:val="20"/>
                <w:szCs w:val="20"/>
                <w:color w:val="auto"/>
              </w:rPr>
            </w:pPr>
            <w:r>
              <w:rPr>
                <w:rFonts w:ascii="Arial" w:cs="Arial" w:eastAsia="Arial" w:hAnsi="Arial"/>
                <w:sz w:val="13"/>
                <w:szCs w:val="13"/>
                <w:color w:val="auto"/>
              </w:rPr>
              <w:t>UFP International Employment Services, LLC</w:t>
            </w:r>
          </w:p>
        </w:tc>
        <w:tc>
          <w:tcPr>
            <w:tcW w:w="1560" w:type="dxa"/>
            <w:vAlign w:val="bottom"/>
            <w:gridSpan w:val="2"/>
          </w:tcPr>
          <w:p>
            <w:pPr>
              <w:ind w:left="340"/>
              <w:spacing w:after="0"/>
              <w:rPr>
                <w:sz w:val="20"/>
                <w:szCs w:val="20"/>
                <w:color w:val="auto"/>
              </w:rPr>
            </w:pPr>
            <w:r>
              <w:rPr>
                <w:rFonts w:ascii="Arial" w:cs="Arial" w:eastAsia="Arial" w:hAnsi="Arial"/>
                <w:sz w:val="13"/>
                <w:szCs w:val="13"/>
                <w:color w:val="auto"/>
              </w:rPr>
              <w:t>Michigan</w:t>
            </w:r>
          </w:p>
        </w:tc>
        <w:tc>
          <w:tcPr>
            <w:tcW w:w="0" w:type="dxa"/>
            <w:vAlign w:val="bottom"/>
          </w:tcPr>
          <w:p>
            <w:pPr>
              <w:spacing w:after="0"/>
              <w:rPr>
                <w:sz w:val="1"/>
                <w:szCs w:val="1"/>
                <w:color w:val="auto"/>
              </w:rPr>
            </w:pPr>
          </w:p>
        </w:tc>
      </w:tr>
      <w:tr>
        <w:trPr>
          <w:trHeight w:val="159"/>
        </w:trPr>
        <w:tc>
          <w:tcPr>
            <w:tcW w:w="2300" w:type="dxa"/>
            <w:vAlign w:val="bottom"/>
            <w:shd w:val="clear" w:color="auto" w:fill="CCEEFF"/>
          </w:tcPr>
          <w:p>
            <w:pPr>
              <w:spacing w:after="0"/>
              <w:rPr>
                <w:sz w:val="20"/>
                <w:szCs w:val="20"/>
                <w:color w:val="auto"/>
              </w:rPr>
            </w:pPr>
            <w:r>
              <w:rPr>
                <w:rFonts w:ascii="Arial" w:cs="Arial" w:eastAsia="Arial" w:hAnsi="Arial"/>
                <w:sz w:val="13"/>
                <w:szCs w:val="13"/>
                <w:color w:val="auto"/>
              </w:rPr>
              <w:t>Idaho Western, Inc.</w:t>
            </w:r>
          </w:p>
        </w:tc>
        <w:tc>
          <w:tcPr>
            <w:tcW w:w="186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Idaho</w:t>
            </w:r>
          </w:p>
        </w:tc>
        <w:tc>
          <w:tcPr>
            <w:tcW w:w="344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UFP International, LLC</w:t>
            </w:r>
          </w:p>
        </w:tc>
        <w:tc>
          <w:tcPr>
            <w:tcW w:w="1560" w:type="dxa"/>
            <w:vAlign w:val="bottom"/>
            <w:gridSpan w:val="2"/>
            <w:shd w:val="clear" w:color="auto" w:fill="CCEEFF"/>
          </w:tcPr>
          <w:p>
            <w:pPr>
              <w:ind w:left="340"/>
              <w:spacing w:after="0"/>
              <w:rPr>
                <w:sz w:val="20"/>
                <w:szCs w:val="20"/>
                <w:color w:val="auto"/>
              </w:rPr>
            </w:pPr>
            <w:r>
              <w:rPr>
                <w:rFonts w:ascii="Arial" w:cs="Arial" w:eastAsia="Arial" w:hAnsi="Arial"/>
                <w:sz w:val="13"/>
                <w:szCs w:val="13"/>
                <w:color w:val="auto"/>
              </w:rPr>
              <w:t>Michigan</w:t>
            </w:r>
          </w:p>
        </w:tc>
        <w:tc>
          <w:tcPr>
            <w:tcW w:w="0" w:type="dxa"/>
            <w:vAlign w:val="bottom"/>
          </w:tcPr>
          <w:p>
            <w:pPr>
              <w:spacing w:after="0"/>
              <w:rPr>
                <w:sz w:val="1"/>
                <w:szCs w:val="1"/>
                <w:color w:val="auto"/>
              </w:rPr>
            </w:pPr>
          </w:p>
        </w:tc>
      </w:tr>
      <w:tr>
        <w:trPr>
          <w:trHeight w:val="159"/>
        </w:trPr>
        <w:tc>
          <w:tcPr>
            <w:tcW w:w="2300" w:type="dxa"/>
            <w:vAlign w:val="bottom"/>
          </w:tcPr>
          <w:p>
            <w:pPr>
              <w:spacing w:after="0"/>
              <w:rPr>
                <w:sz w:val="20"/>
                <w:szCs w:val="20"/>
                <w:color w:val="auto"/>
              </w:rPr>
            </w:pPr>
            <w:r>
              <w:rPr>
                <w:rFonts w:ascii="Arial" w:cs="Arial" w:eastAsia="Arial" w:hAnsi="Arial"/>
                <w:sz w:val="13"/>
                <w:szCs w:val="13"/>
                <w:color w:val="auto"/>
              </w:rPr>
              <w:t>idX (China) Display System Co., Ltd.</w:t>
            </w:r>
          </w:p>
        </w:tc>
        <w:tc>
          <w:tcPr>
            <w:tcW w:w="1860" w:type="dxa"/>
            <w:vAlign w:val="bottom"/>
            <w:gridSpan w:val="2"/>
          </w:tcPr>
          <w:p>
            <w:pPr>
              <w:ind w:left="180"/>
              <w:spacing w:after="0"/>
              <w:rPr>
                <w:sz w:val="20"/>
                <w:szCs w:val="20"/>
                <w:color w:val="auto"/>
              </w:rPr>
            </w:pPr>
            <w:r>
              <w:rPr>
                <w:rFonts w:ascii="Arial" w:cs="Arial" w:eastAsia="Arial" w:hAnsi="Arial"/>
                <w:sz w:val="13"/>
                <w:szCs w:val="13"/>
                <w:color w:val="auto"/>
              </w:rPr>
              <w:t>China</w:t>
            </w:r>
          </w:p>
        </w:tc>
        <w:tc>
          <w:tcPr>
            <w:tcW w:w="3440" w:type="dxa"/>
            <w:vAlign w:val="bottom"/>
            <w:gridSpan w:val="2"/>
          </w:tcPr>
          <w:p>
            <w:pPr>
              <w:ind w:left="180"/>
              <w:spacing w:after="0"/>
              <w:rPr>
                <w:sz w:val="20"/>
                <w:szCs w:val="20"/>
                <w:color w:val="auto"/>
              </w:rPr>
            </w:pPr>
            <w:r>
              <w:rPr>
                <w:rFonts w:ascii="Arial" w:cs="Arial" w:eastAsia="Arial" w:hAnsi="Arial"/>
                <w:sz w:val="13"/>
                <w:szCs w:val="13"/>
                <w:color w:val="auto"/>
              </w:rPr>
              <w:t>UFP Janesville, LLC</w:t>
            </w:r>
          </w:p>
        </w:tc>
        <w:tc>
          <w:tcPr>
            <w:tcW w:w="1560" w:type="dxa"/>
            <w:vAlign w:val="bottom"/>
            <w:gridSpan w:val="2"/>
          </w:tcPr>
          <w:p>
            <w:pPr>
              <w:ind w:left="340"/>
              <w:spacing w:after="0"/>
              <w:rPr>
                <w:sz w:val="20"/>
                <w:szCs w:val="20"/>
                <w:color w:val="auto"/>
              </w:rPr>
            </w:pPr>
            <w:r>
              <w:rPr>
                <w:rFonts w:ascii="Arial" w:cs="Arial" w:eastAsia="Arial" w:hAnsi="Arial"/>
                <w:sz w:val="13"/>
                <w:szCs w:val="13"/>
                <w:color w:val="auto"/>
              </w:rPr>
              <w:t>Michigan</w:t>
            </w:r>
          </w:p>
        </w:tc>
        <w:tc>
          <w:tcPr>
            <w:tcW w:w="0" w:type="dxa"/>
            <w:vAlign w:val="bottom"/>
          </w:tcPr>
          <w:p>
            <w:pPr>
              <w:spacing w:after="0"/>
              <w:rPr>
                <w:sz w:val="1"/>
                <w:szCs w:val="1"/>
                <w:color w:val="auto"/>
              </w:rPr>
            </w:pPr>
          </w:p>
        </w:tc>
      </w:tr>
      <w:tr>
        <w:trPr>
          <w:trHeight w:val="159"/>
        </w:trPr>
        <w:tc>
          <w:tcPr>
            <w:tcW w:w="2300" w:type="dxa"/>
            <w:vAlign w:val="bottom"/>
            <w:shd w:val="clear" w:color="auto" w:fill="CCEEFF"/>
          </w:tcPr>
          <w:p>
            <w:pPr>
              <w:spacing w:after="0"/>
              <w:rPr>
                <w:sz w:val="20"/>
                <w:szCs w:val="20"/>
                <w:color w:val="auto"/>
              </w:rPr>
            </w:pPr>
            <w:r>
              <w:rPr>
                <w:rFonts w:ascii="Arial" w:cs="Arial" w:eastAsia="Arial" w:hAnsi="Arial"/>
                <w:sz w:val="13"/>
                <w:szCs w:val="13"/>
                <w:color w:val="auto"/>
              </w:rPr>
              <w:t>idX (India) Display Private Ltd.</w:t>
            </w:r>
          </w:p>
        </w:tc>
        <w:tc>
          <w:tcPr>
            <w:tcW w:w="186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India</w:t>
            </w:r>
          </w:p>
        </w:tc>
        <w:tc>
          <w:tcPr>
            <w:tcW w:w="344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UFP Kyle, LLC</w:t>
            </w:r>
          </w:p>
        </w:tc>
        <w:tc>
          <w:tcPr>
            <w:tcW w:w="1560" w:type="dxa"/>
            <w:vAlign w:val="bottom"/>
            <w:gridSpan w:val="2"/>
            <w:shd w:val="clear" w:color="auto" w:fill="CCEEFF"/>
          </w:tcPr>
          <w:p>
            <w:pPr>
              <w:ind w:left="340"/>
              <w:spacing w:after="0"/>
              <w:rPr>
                <w:sz w:val="20"/>
                <w:szCs w:val="20"/>
                <w:color w:val="auto"/>
              </w:rPr>
            </w:pPr>
            <w:r>
              <w:rPr>
                <w:rFonts w:ascii="Arial" w:cs="Arial" w:eastAsia="Arial" w:hAnsi="Arial"/>
                <w:sz w:val="13"/>
                <w:szCs w:val="13"/>
                <w:color w:val="auto"/>
              </w:rPr>
              <w:t>Michigan</w:t>
            </w:r>
          </w:p>
        </w:tc>
        <w:tc>
          <w:tcPr>
            <w:tcW w:w="0" w:type="dxa"/>
            <w:vAlign w:val="bottom"/>
          </w:tcPr>
          <w:p>
            <w:pPr>
              <w:spacing w:after="0"/>
              <w:rPr>
                <w:sz w:val="1"/>
                <w:szCs w:val="1"/>
                <w:color w:val="auto"/>
              </w:rPr>
            </w:pPr>
          </w:p>
        </w:tc>
      </w:tr>
      <w:tr>
        <w:trPr>
          <w:trHeight w:val="159"/>
        </w:trPr>
        <w:tc>
          <w:tcPr>
            <w:tcW w:w="2300" w:type="dxa"/>
            <w:vAlign w:val="bottom"/>
          </w:tcPr>
          <w:p>
            <w:pPr>
              <w:spacing w:after="0"/>
              <w:rPr>
                <w:sz w:val="20"/>
                <w:szCs w:val="20"/>
                <w:color w:val="auto"/>
              </w:rPr>
            </w:pPr>
            <w:r>
              <w:rPr>
                <w:rFonts w:ascii="Arial" w:cs="Arial" w:eastAsia="Arial" w:hAnsi="Arial"/>
                <w:sz w:val="13"/>
                <w:szCs w:val="13"/>
                <w:color w:val="auto"/>
              </w:rPr>
              <w:t>idX Asia Fixtures Limited</w:t>
            </w:r>
          </w:p>
        </w:tc>
        <w:tc>
          <w:tcPr>
            <w:tcW w:w="1860" w:type="dxa"/>
            <w:vAlign w:val="bottom"/>
            <w:gridSpan w:val="2"/>
          </w:tcPr>
          <w:p>
            <w:pPr>
              <w:ind w:left="180"/>
              <w:spacing w:after="0"/>
              <w:rPr>
                <w:sz w:val="20"/>
                <w:szCs w:val="20"/>
                <w:color w:val="auto"/>
              </w:rPr>
            </w:pPr>
            <w:r>
              <w:rPr>
                <w:rFonts w:ascii="Arial" w:cs="Arial" w:eastAsia="Arial" w:hAnsi="Arial"/>
                <w:sz w:val="13"/>
                <w:szCs w:val="13"/>
                <w:color w:val="auto"/>
              </w:rPr>
              <w:t>Hong Kong</w:t>
            </w:r>
          </w:p>
        </w:tc>
        <w:tc>
          <w:tcPr>
            <w:tcW w:w="3440" w:type="dxa"/>
            <w:vAlign w:val="bottom"/>
            <w:gridSpan w:val="2"/>
          </w:tcPr>
          <w:p>
            <w:pPr>
              <w:ind w:left="180"/>
              <w:spacing w:after="0"/>
              <w:rPr>
                <w:sz w:val="20"/>
                <w:szCs w:val="20"/>
                <w:color w:val="auto"/>
              </w:rPr>
            </w:pPr>
            <w:r>
              <w:rPr>
                <w:rFonts w:ascii="Arial" w:cs="Arial" w:eastAsia="Arial" w:hAnsi="Arial"/>
                <w:sz w:val="13"/>
                <w:szCs w:val="13"/>
                <w:color w:val="auto"/>
              </w:rPr>
              <w:t>UFP Lafayette, LLC</w:t>
            </w:r>
          </w:p>
        </w:tc>
        <w:tc>
          <w:tcPr>
            <w:tcW w:w="1560" w:type="dxa"/>
            <w:vAlign w:val="bottom"/>
            <w:gridSpan w:val="2"/>
          </w:tcPr>
          <w:p>
            <w:pPr>
              <w:ind w:left="340"/>
              <w:spacing w:after="0"/>
              <w:rPr>
                <w:sz w:val="20"/>
                <w:szCs w:val="20"/>
                <w:color w:val="auto"/>
              </w:rPr>
            </w:pPr>
            <w:r>
              <w:rPr>
                <w:rFonts w:ascii="Arial" w:cs="Arial" w:eastAsia="Arial" w:hAnsi="Arial"/>
                <w:sz w:val="13"/>
                <w:szCs w:val="13"/>
                <w:color w:val="auto"/>
              </w:rPr>
              <w:t>Michigan</w:t>
            </w:r>
          </w:p>
        </w:tc>
        <w:tc>
          <w:tcPr>
            <w:tcW w:w="0" w:type="dxa"/>
            <w:vAlign w:val="bottom"/>
          </w:tcPr>
          <w:p>
            <w:pPr>
              <w:spacing w:after="0"/>
              <w:rPr>
                <w:sz w:val="1"/>
                <w:szCs w:val="1"/>
                <w:color w:val="auto"/>
              </w:rPr>
            </w:pPr>
          </w:p>
        </w:tc>
      </w:tr>
      <w:tr>
        <w:trPr>
          <w:trHeight w:val="159"/>
        </w:trPr>
        <w:tc>
          <w:tcPr>
            <w:tcW w:w="2300" w:type="dxa"/>
            <w:vAlign w:val="bottom"/>
            <w:shd w:val="clear" w:color="auto" w:fill="CCEEFF"/>
          </w:tcPr>
          <w:p>
            <w:pPr>
              <w:spacing w:after="0"/>
              <w:rPr>
                <w:sz w:val="20"/>
                <w:szCs w:val="20"/>
                <w:color w:val="auto"/>
              </w:rPr>
            </w:pPr>
            <w:r>
              <w:rPr>
                <w:rFonts w:ascii="Arial" w:cs="Arial" w:eastAsia="Arial" w:hAnsi="Arial"/>
                <w:sz w:val="13"/>
                <w:szCs w:val="13"/>
                <w:color w:val="auto"/>
              </w:rPr>
              <w:t>idX Asia Trading Limited</w:t>
            </w:r>
          </w:p>
        </w:tc>
        <w:tc>
          <w:tcPr>
            <w:tcW w:w="186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Hong Kong</w:t>
            </w:r>
          </w:p>
        </w:tc>
        <w:tc>
          <w:tcPr>
            <w:tcW w:w="344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UFP Lansing, LLC</w:t>
            </w:r>
          </w:p>
        </w:tc>
        <w:tc>
          <w:tcPr>
            <w:tcW w:w="1560" w:type="dxa"/>
            <w:vAlign w:val="bottom"/>
            <w:gridSpan w:val="2"/>
            <w:shd w:val="clear" w:color="auto" w:fill="CCEEFF"/>
          </w:tcPr>
          <w:p>
            <w:pPr>
              <w:ind w:left="340"/>
              <w:spacing w:after="0"/>
              <w:rPr>
                <w:sz w:val="20"/>
                <w:szCs w:val="20"/>
                <w:color w:val="auto"/>
              </w:rPr>
            </w:pPr>
            <w:r>
              <w:rPr>
                <w:rFonts w:ascii="Arial" w:cs="Arial" w:eastAsia="Arial" w:hAnsi="Arial"/>
                <w:sz w:val="13"/>
                <w:szCs w:val="13"/>
                <w:color w:val="auto"/>
              </w:rPr>
              <w:t>Michigan</w:t>
            </w:r>
          </w:p>
        </w:tc>
        <w:tc>
          <w:tcPr>
            <w:tcW w:w="0" w:type="dxa"/>
            <w:vAlign w:val="bottom"/>
          </w:tcPr>
          <w:p>
            <w:pPr>
              <w:spacing w:after="0"/>
              <w:rPr>
                <w:sz w:val="1"/>
                <w:szCs w:val="1"/>
                <w:color w:val="auto"/>
              </w:rPr>
            </w:pPr>
          </w:p>
        </w:tc>
      </w:tr>
      <w:tr>
        <w:trPr>
          <w:trHeight w:val="159"/>
        </w:trPr>
        <w:tc>
          <w:tcPr>
            <w:tcW w:w="2300" w:type="dxa"/>
            <w:vAlign w:val="bottom"/>
          </w:tcPr>
          <w:p>
            <w:pPr>
              <w:spacing w:after="0"/>
              <w:rPr>
                <w:sz w:val="20"/>
                <w:szCs w:val="20"/>
                <w:color w:val="auto"/>
              </w:rPr>
            </w:pPr>
            <w:r>
              <w:rPr>
                <w:rFonts w:ascii="Arial" w:cs="Arial" w:eastAsia="Arial" w:hAnsi="Arial"/>
                <w:sz w:val="13"/>
                <w:szCs w:val="13"/>
                <w:color w:val="auto"/>
              </w:rPr>
              <w:t>idX Chicago, LLC</w:t>
            </w:r>
          </w:p>
        </w:tc>
        <w:tc>
          <w:tcPr>
            <w:tcW w:w="1860" w:type="dxa"/>
            <w:vAlign w:val="bottom"/>
            <w:gridSpan w:val="2"/>
          </w:tcPr>
          <w:p>
            <w:pPr>
              <w:ind w:left="180"/>
              <w:spacing w:after="0"/>
              <w:rPr>
                <w:sz w:val="20"/>
                <w:szCs w:val="20"/>
                <w:color w:val="auto"/>
              </w:rPr>
            </w:pPr>
            <w:r>
              <w:rPr>
                <w:rFonts w:ascii="Arial" w:cs="Arial" w:eastAsia="Arial" w:hAnsi="Arial"/>
                <w:sz w:val="13"/>
                <w:szCs w:val="13"/>
                <w:color w:val="auto"/>
              </w:rPr>
              <w:t>Delaware</w:t>
            </w:r>
          </w:p>
        </w:tc>
        <w:tc>
          <w:tcPr>
            <w:tcW w:w="3440" w:type="dxa"/>
            <w:vAlign w:val="bottom"/>
            <w:gridSpan w:val="2"/>
          </w:tcPr>
          <w:p>
            <w:pPr>
              <w:ind w:left="180"/>
              <w:spacing w:after="0"/>
              <w:rPr>
                <w:sz w:val="20"/>
                <w:szCs w:val="20"/>
                <w:color w:val="auto"/>
              </w:rPr>
            </w:pPr>
            <w:r>
              <w:rPr>
                <w:rFonts w:ascii="Arial" w:cs="Arial" w:eastAsia="Arial" w:hAnsi="Arial"/>
                <w:sz w:val="13"/>
                <w:szCs w:val="13"/>
                <w:color w:val="auto"/>
              </w:rPr>
              <w:t>UFP Magna, LLC</w:t>
            </w:r>
          </w:p>
        </w:tc>
        <w:tc>
          <w:tcPr>
            <w:tcW w:w="1560" w:type="dxa"/>
            <w:vAlign w:val="bottom"/>
            <w:gridSpan w:val="2"/>
          </w:tcPr>
          <w:p>
            <w:pPr>
              <w:ind w:left="340"/>
              <w:spacing w:after="0"/>
              <w:rPr>
                <w:sz w:val="20"/>
                <w:szCs w:val="20"/>
                <w:color w:val="auto"/>
              </w:rPr>
            </w:pPr>
            <w:r>
              <w:rPr>
                <w:rFonts w:ascii="Arial" w:cs="Arial" w:eastAsia="Arial" w:hAnsi="Arial"/>
                <w:sz w:val="13"/>
                <w:szCs w:val="13"/>
                <w:color w:val="auto"/>
              </w:rPr>
              <w:t>Michigan</w:t>
            </w:r>
          </w:p>
        </w:tc>
        <w:tc>
          <w:tcPr>
            <w:tcW w:w="0" w:type="dxa"/>
            <w:vAlign w:val="bottom"/>
          </w:tcPr>
          <w:p>
            <w:pPr>
              <w:spacing w:after="0"/>
              <w:rPr>
                <w:sz w:val="1"/>
                <w:szCs w:val="1"/>
                <w:color w:val="auto"/>
              </w:rPr>
            </w:pPr>
          </w:p>
        </w:tc>
      </w:tr>
      <w:tr>
        <w:trPr>
          <w:trHeight w:val="159"/>
        </w:trPr>
        <w:tc>
          <w:tcPr>
            <w:tcW w:w="2300" w:type="dxa"/>
            <w:vAlign w:val="bottom"/>
            <w:shd w:val="clear" w:color="auto" w:fill="CCEEFF"/>
          </w:tcPr>
          <w:p>
            <w:pPr>
              <w:spacing w:after="0"/>
              <w:rPr>
                <w:sz w:val="20"/>
                <w:szCs w:val="20"/>
                <w:color w:val="auto"/>
              </w:rPr>
            </w:pPr>
            <w:r>
              <w:rPr>
                <w:rFonts w:ascii="Arial" w:cs="Arial" w:eastAsia="Arial" w:hAnsi="Arial"/>
                <w:sz w:val="13"/>
                <w:szCs w:val="13"/>
                <w:color w:val="auto"/>
              </w:rPr>
              <w:t>idX Corporation</w:t>
            </w:r>
          </w:p>
        </w:tc>
        <w:tc>
          <w:tcPr>
            <w:tcW w:w="186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Delaware</w:t>
            </w:r>
          </w:p>
        </w:tc>
        <w:tc>
          <w:tcPr>
            <w:tcW w:w="344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UFP McMinnville, LLC</w:t>
            </w:r>
          </w:p>
        </w:tc>
        <w:tc>
          <w:tcPr>
            <w:tcW w:w="1560" w:type="dxa"/>
            <w:vAlign w:val="bottom"/>
            <w:gridSpan w:val="2"/>
            <w:shd w:val="clear" w:color="auto" w:fill="CCEEFF"/>
          </w:tcPr>
          <w:p>
            <w:pPr>
              <w:ind w:left="340"/>
              <w:spacing w:after="0"/>
              <w:rPr>
                <w:sz w:val="20"/>
                <w:szCs w:val="20"/>
                <w:color w:val="auto"/>
              </w:rPr>
            </w:pPr>
            <w:r>
              <w:rPr>
                <w:rFonts w:ascii="Arial" w:cs="Arial" w:eastAsia="Arial" w:hAnsi="Arial"/>
                <w:sz w:val="13"/>
                <w:szCs w:val="13"/>
                <w:color w:val="auto"/>
              </w:rPr>
              <w:t>Michigan</w:t>
            </w:r>
          </w:p>
        </w:tc>
        <w:tc>
          <w:tcPr>
            <w:tcW w:w="0" w:type="dxa"/>
            <w:vAlign w:val="bottom"/>
          </w:tcPr>
          <w:p>
            <w:pPr>
              <w:spacing w:after="0"/>
              <w:rPr>
                <w:sz w:val="1"/>
                <w:szCs w:val="1"/>
                <w:color w:val="auto"/>
              </w:rPr>
            </w:pPr>
          </w:p>
        </w:tc>
      </w:tr>
      <w:tr>
        <w:trPr>
          <w:trHeight w:val="159"/>
        </w:trPr>
        <w:tc>
          <w:tcPr>
            <w:tcW w:w="2300" w:type="dxa"/>
            <w:vAlign w:val="bottom"/>
          </w:tcPr>
          <w:p>
            <w:pPr>
              <w:spacing w:after="0"/>
              <w:rPr>
                <w:sz w:val="20"/>
                <w:szCs w:val="20"/>
                <w:color w:val="auto"/>
              </w:rPr>
            </w:pPr>
            <w:r>
              <w:rPr>
                <w:rFonts w:ascii="Arial" w:cs="Arial" w:eastAsia="Arial" w:hAnsi="Arial"/>
                <w:sz w:val="13"/>
                <w:szCs w:val="13"/>
                <w:color w:val="auto"/>
              </w:rPr>
              <w:t>idX Corporation London Limited</w:t>
            </w:r>
          </w:p>
        </w:tc>
        <w:tc>
          <w:tcPr>
            <w:tcW w:w="1860" w:type="dxa"/>
            <w:vAlign w:val="bottom"/>
            <w:gridSpan w:val="2"/>
          </w:tcPr>
          <w:p>
            <w:pPr>
              <w:ind w:left="180"/>
              <w:spacing w:after="0"/>
              <w:rPr>
                <w:sz w:val="20"/>
                <w:szCs w:val="20"/>
                <w:color w:val="auto"/>
              </w:rPr>
            </w:pPr>
            <w:r>
              <w:rPr>
                <w:rFonts w:ascii="Arial" w:cs="Arial" w:eastAsia="Arial" w:hAnsi="Arial"/>
                <w:sz w:val="13"/>
                <w:szCs w:val="13"/>
                <w:color w:val="auto"/>
                <w:w w:val="98"/>
              </w:rPr>
              <w:t>England and Wales ltd. Corp.</w:t>
            </w:r>
          </w:p>
        </w:tc>
        <w:tc>
          <w:tcPr>
            <w:tcW w:w="3440" w:type="dxa"/>
            <w:vAlign w:val="bottom"/>
            <w:gridSpan w:val="2"/>
          </w:tcPr>
          <w:p>
            <w:pPr>
              <w:ind w:left="180"/>
              <w:spacing w:after="0"/>
              <w:rPr>
                <w:sz w:val="20"/>
                <w:szCs w:val="20"/>
                <w:color w:val="auto"/>
              </w:rPr>
            </w:pPr>
            <w:r>
              <w:rPr>
                <w:rFonts w:ascii="Arial" w:cs="Arial" w:eastAsia="Arial" w:hAnsi="Arial"/>
                <w:sz w:val="13"/>
                <w:szCs w:val="13"/>
                <w:color w:val="auto"/>
              </w:rPr>
              <w:t>UFP Mexico Embalaje y Distribution, S. de R.L. de C. V.</w:t>
            </w:r>
          </w:p>
        </w:tc>
        <w:tc>
          <w:tcPr>
            <w:tcW w:w="1560" w:type="dxa"/>
            <w:vAlign w:val="bottom"/>
            <w:gridSpan w:val="2"/>
          </w:tcPr>
          <w:p>
            <w:pPr>
              <w:ind w:left="340"/>
              <w:spacing w:after="0"/>
              <w:rPr>
                <w:sz w:val="20"/>
                <w:szCs w:val="20"/>
                <w:color w:val="auto"/>
              </w:rPr>
            </w:pPr>
            <w:r>
              <w:rPr>
                <w:rFonts w:ascii="Arial" w:cs="Arial" w:eastAsia="Arial" w:hAnsi="Arial"/>
                <w:sz w:val="13"/>
                <w:szCs w:val="13"/>
                <w:color w:val="auto"/>
              </w:rPr>
              <w:t>Mexico</w:t>
            </w:r>
          </w:p>
        </w:tc>
        <w:tc>
          <w:tcPr>
            <w:tcW w:w="0" w:type="dxa"/>
            <w:vAlign w:val="bottom"/>
          </w:tcPr>
          <w:p>
            <w:pPr>
              <w:spacing w:after="0"/>
              <w:rPr>
                <w:sz w:val="1"/>
                <w:szCs w:val="1"/>
                <w:color w:val="auto"/>
              </w:rPr>
            </w:pPr>
          </w:p>
        </w:tc>
      </w:tr>
      <w:tr>
        <w:trPr>
          <w:trHeight w:val="159"/>
        </w:trPr>
        <w:tc>
          <w:tcPr>
            <w:tcW w:w="2300" w:type="dxa"/>
            <w:vAlign w:val="bottom"/>
            <w:shd w:val="clear" w:color="auto" w:fill="CCEEFF"/>
          </w:tcPr>
          <w:p>
            <w:pPr>
              <w:spacing w:after="0"/>
              <w:rPr>
                <w:sz w:val="20"/>
                <w:szCs w:val="20"/>
                <w:color w:val="auto"/>
              </w:rPr>
            </w:pPr>
            <w:r>
              <w:rPr>
                <w:rFonts w:ascii="Arial" w:cs="Arial" w:eastAsia="Arial" w:hAnsi="Arial"/>
                <w:sz w:val="13"/>
                <w:szCs w:val="13"/>
                <w:color w:val="auto"/>
              </w:rPr>
              <w:t>idX Dallas, LLC</w:t>
            </w:r>
          </w:p>
        </w:tc>
        <w:tc>
          <w:tcPr>
            <w:tcW w:w="186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Delaware</w:t>
            </w:r>
          </w:p>
        </w:tc>
        <w:tc>
          <w:tcPr>
            <w:tcW w:w="344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UFP Mexico Investment, LLC</w:t>
            </w:r>
          </w:p>
        </w:tc>
        <w:tc>
          <w:tcPr>
            <w:tcW w:w="1560" w:type="dxa"/>
            <w:vAlign w:val="bottom"/>
            <w:gridSpan w:val="2"/>
            <w:shd w:val="clear" w:color="auto" w:fill="CCEEFF"/>
          </w:tcPr>
          <w:p>
            <w:pPr>
              <w:ind w:left="340"/>
              <w:spacing w:after="0"/>
              <w:rPr>
                <w:sz w:val="20"/>
                <w:szCs w:val="20"/>
                <w:color w:val="auto"/>
              </w:rPr>
            </w:pPr>
            <w:r>
              <w:rPr>
                <w:rFonts w:ascii="Arial" w:cs="Arial" w:eastAsia="Arial" w:hAnsi="Arial"/>
                <w:sz w:val="13"/>
                <w:szCs w:val="13"/>
                <w:color w:val="auto"/>
              </w:rPr>
              <w:t>Michigan</w:t>
            </w:r>
          </w:p>
        </w:tc>
        <w:tc>
          <w:tcPr>
            <w:tcW w:w="0" w:type="dxa"/>
            <w:vAlign w:val="bottom"/>
          </w:tcPr>
          <w:p>
            <w:pPr>
              <w:spacing w:after="0"/>
              <w:rPr>
                <w:sz w:val="1"/>
                <w:szCs w:val="1"/>
                <w:color w:val="auto"/>
              </w:rPr>
            </w:pPr>
          </w:p>
        </w:tc>
      </w:tr>
      <w:tr>
        <w:trPr>
          <w:trHeight w:val="159"/>
        </w:trPr>
        <w:tc>
          <w:tcPr>
            <w:tcW w:w="2300" w:type="dxa"/>
            <w:vAlign w:val="bottom"/>
          </w:tcPr>
          <w:p>
            <w:pPr>
              <w:spacing w:after="0"/>
              <w:rPr>
                <w:sz w:val="20"/>
                <w:szCs w:val="20"/>
                <w:color w:val="auto"/>
              </w:rPr>
            </w:pPr>
            <w:r>
              <w:rPr>
                <w:rFonts w:ascii="Arial" w:cs="Arial" w:eastAsia="Arial" w:hAnsi="Arial"/>
                <w:sz w:val="13"/>
                <w:szCs w:val="13"/>
                <w:color w:val="auto"/>
              </w:rPr>
              <w:t>idX Dayton, LLC</w:t>
            </w:r>
          </w:p>
        </w:tc>
        <w:tc>
          <w:tcPr>
            <w:tcW w:w="1860" w:type="dxa"/>
            <w:vAlign w:val="bottom"/>
            <w:gridSpan w:val="2"/>
          </w:tcPr>
          <w:p>
            <w:pPr>
              <w:ind w:left="180"/>
              <w:spacing w:after="0"/>
              <w:rPr>
                <w:sz w:val="20"/>
                <w:szCs w:val="20"/>
                <w:color w:val="auto"/>
              </w:rPr>
            </w:pPr>
            <w:r>
              <w:rPr>
                <w:rFonts w:ascii="Arial" w:cs="Arial" w:eastAsia="Arial" w:hAnsi="Arial"/>
                <w:sz w:val="13"/>
                <w:szCs w:val="13"/>
                <w:color w:val="auto"/>
              </w:rPr>
              <w:t>Delaware</w:t>
            </w:r>
          </w:p>
        </w:tc>
        <w:tc>
          <w:tcPr>
            <w:tcW w:w="3440" w:type="dxa"/>
            <w:vAlign w:val="bottom"/>
            <w:gridSpan w:val="2"/>
          </w:tcPr>
          <w:p>
            <w:pPr>
              <w:ind w:left="180"/>
              <w:spacing w:after="0"/>
              <w:rPr>
                <w:sz w:val="20"/>
                <w:szCs w:val="20"/>
                <w:color w:val="auto"/>
              </w:rPr>
            </w:pPr>
            <w:r>
              <w:rPr>
                <w:rFonts w:ascii="Arial" w:cs="Arial" w:eastAsia="Arial" w:hAnsi="Arial"/>
                <w:sz w:val="13"/>
                <w:szCs w:val="13"/>
                <w:color w:val="auto"/>
              </w:rPr>
              <w:t>UFP Mid-Atlantic, LLC</w:t>
            </w:r>
          </w:p>
        </w:tc>
        <w:tc>
          <w:tcPr>
            <w:tcW w:w="1560" w:type="dxa"/>
            <w:vAlign w:val="bottom"/>
            <w:gridSpan w:val="2"/>
          </w:tcPr>
          <w:p>
            <w:pPr>
              <w:ind w:left="340"/>
              <w:spacing w:after="0"/>
              <w:rPr>
                <w:sz w:val="20"/>
                <w:szCs w:val="20"/>
                <w:color w:val="auto"/>
              </w:rPr>
            </w:pPr>
            <w:r>
              <w:rPr>
                <w:rFonts w:ascii="Arial" w:cs="Arial" w:eastAsia="Arial" w:hAnsi="Arial"/>
                <w:sz w:val="13"/>
                <w:szCs w:val="13"/>
                <w:color w:val="auto"/>
              </w:rPr>
              <w:t>Michigan</w:t>
            </w:r>
          </w:p>
        </w:tc>
        <w:tc>
          <w:tcPr>
            <w:tcW w:w="0" w:type="dxa"/>
            <w:vAlign w:val="bottom"/>
          </w:tcPr>
          <w:p>
            <w:pPr>
              <w:spacing w:after="0"/>
              <w:rPr>
                <w:sz w:val="1"/>
                <w:szCs w:val="1"/>
                <w:color w:val="auto"/>
              </w:rPr>
            </w:pPr>
          </w:p>
        </w:tc>
      </w:tr>
      <w:tr>
        <w:trPr>
          <w:trHeight w:val="159"/>
        </w:trPr>
        <w:tc>
          <w:tcPr>
            <w:tcW w:w="2300" w:type="dxa"/>
            <w:vAlign w:val="bottom"/>
            <w:shd w:val="clear" w:color="auto" w:fill="CCEEFF"/>
          </w:tcPr>
          <w:p>
            <w:pPr>
              <w:spacing w:after="0"/>
              <w:rPr>
                <w:sz w:val="20"/>
                <w:szCs w:val="20"/>
                <w:color w:val="auto"/>
              </w:rPr>
            </w:pPr>
            <w:r>
              <w:rPr>
                <w:rFonts w:ascii="Arial" w:cs="Arial" w:eastAsia="Arial" w:hAnsi="Arial"/>
                <w:sz w:val="13"/>
                <w:szCs w:val="13"/>
                <w:color w:val="auto"/>
              </w:rPr>
              <w:t>idX Holdings, Inc.</w:t>
            </w:r>
          </w:p>
        </w:tc>
        <w:tc>
          <w:tcPr>
            <w:tcW w:w="186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Delaware</w:t>
            </w:r>
          </w:p>
        </w:tc>
        <w:tc>
          <w:tcPr>
            <w:tcW w:w="344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UFP Minneota, LLC</w:t>
            </w:r>
          </w:p>
        </w:tc>
        <w:tc>
          <w:tcPr>
            <w:tcW w:w="1560" w:type="dxa"/>
            <w:vAlign w:val="bottom"/>
            <w:gridSpan w:val="2"/>
            <w:shd w:val="clear" w:color="auto" w:fill="CCEEFF"/>
          </w:tcPr>
          <w:p>
            <w:pPr>
              <w:ind w:left="340"/>
              <w:spacing w:after="0"/>
              <w:rPr>
                <w:sz w:val="20"/>
                <w:szCs w:val="20"/>
                <w:color w:val="auto"/>
              </w:rPr>
            </w:pPr>
            <w:r>
              <w:rPr>
                <w:rFonts w:ascii="Arial" w:cs="Arial" w:eastAsia="Arial" w:hAnsi="Arial"/>
                <w:sz w:val="13"/>
                <w:szCs w:val="13"/>
                <w:color w:val="auto"/>
              </w:rPr>
              <w:t>Michigan</w:t>
            </w:r>
          </w:p>
        </w:tc>
        <w:tc>
          <w:tcPr>
            <w:tcW w:w="0" w:type="dxa"/>
            <w:vAlign w:val="bottom"/>
          </w:tcPr>
          <w:p>
            <w:pPr>
              <w:spacing w:after="0"/>
              <w:rPr>
                <w:sz w:val="1"/>
                <w:szCs w:val="1"/>
                <w:color w:val="auto"/>
              </w:rPr>
            </w:pPr>
          </w:p>
        </w:tc>
      </w:tr>
      <w:tr>
        <w:trPr>
          <w:trHeight w:val="159"/>
        </w:trPr>
        <w:tc>
          <w:tcPr>
            <w:tcW w:w="2300" w:type="dxa"/>
            <w:vAlign w:val="bottom"/>
          </w:tcPr>
          <w:p>
            <w:pPr>
              <w:spacing w:after="0"/>
              <w:rPr>
                <w:sz w:val="20"/>
                <w:szCs w:val="20"/>
                <w:color w:val="auto"/>
              </w:rPr>
            </w:pPr>
            <w:r>
              <w:rPr>
                <w:rFonts w:ascii="Arial" w:cs="Arial" w:eastAsia="Arial" w:hAnsi="Arial"/>
                <w:sz w:val="13"/>
                <w:szCs w:val="13"/>
                <w:color w:val="auto"/>
              </w:rPr>
              <w:t>idX Impressions, LLC</w:t>
            </w:r>
          </w:p>
        </w:tc>
        <w:tc>
          <w:tcPr>
            <w:tcW w:w="1860" w:type="dxa"/>
            <w:vAlign w:val="bottom"/>
            <w:gridSpan w:val="2"/>
          </w:tcPr>
          <w:p>
            <w:pPr>
              <w:ind w:left="180"/>
              <w:spacing w:after="0"/>
              <w:rPr>
                <w:sz w:val="20"/>
                <w:szCs w:val="20"/>
                <w:color w:val="auto"/>
              </w:rPr>
            </w:pPr>
            <w:r>
              <w:rPr>
                <w:rFonts w:ascii="Arial" w:cs="Arial" w:eastAsia="Arial" w:hAnsi="Arial"/>
                <w:sz w:val="13"/>
                <w:szCs w:val="13"/>
                <w:color w:val="auto"/>
              </w:rPr>
              <w:t>Delaware</w:t>
            </w:r>
          </w:p>
        </w:tc>
        <w:tc>
          <w:tcPr>
            <w:tcW w:w="3440" w:type="dxa"/>
            <w:vAlign w:val="bottom"/>
            <w:gridSpan w:val="2"/>
          </w:tcPr>
          <w:p>
            <w:pPr>
              <w:ind w:left="180"/>
              <w:spacing w:after="0"/>
              <w:rPr>
                <w:sz w:val="20"/>
                <w:szCs w:val="20"/>
                <w:color w:val="auto"/>
              </w:rPr>
            </w:pPr>
            <w:r>
              <w:rPr>
                <w:rFonts w:ascii="Arial" w:cs="Arial" w:eastAsia="Arial" w:hAnsi="Arial"/>
                <w:sz w:val="13"/>
                <w:szCs w:val="13"/>
                <w:color w:val="auto"/>
              </w:rPr>
              <w:t>UFP Morristown, LLC</w:t>
            </w:r>
          </w:p>
        </w:tc>
        <w:tc>
          <w:tcPr>
            <w:tcW w:w="1560" w:type="dxa"/>
            <w:vAlign w:val="bottom"/>
            <w:gridSpan w:val="2"/>
          </w:tcPr>
          <w:p>
            <w:pPr>
              <w:ind w:left="340"/>
              <w:spacing w:after="0"/>
              <w:rPr>
                <w:sz w:val="20"/>
                <w:szCs w:val="20"/>
                <w:color w:val="auto"/>
              </w:rPr>
            </w:pPr>
            <w:r>
              <w:rPr>
                <w:rFonts w:ascii="Arial" w:cs="Arial" w:eastAsia="Arial" w:hAnsi="Arial"/>
                <w:sz w:val="13"/>
                <w:szCs w:val="13"/>
                <w:color w:val="auto"/>
              </w:rPr>
              <w:t>Michigan</w:t>
            </w:r>
          </w:p>
        </w:tc>
        <w:tc>
          <w:tcPr>
            <w:tcW w:w="0" w:type="dxa"/>
            <w:vAlign w:val="bottom"/>
          </w:tcPr>
          <w:p>
            <w:pPr>
              <w:spacing w:after="0"/>
              <w:rPr>
                <w:sz w:val="1"/>
                <w:szCs w:val="1"/>
                <w:color w:val="auto"/>
              </w:rPr>
            </w:pPr>
          </w:p>
        </w:tc>
      </w:tr>
      <w:tr>
        <w:trPr>
          <w:trHeight w:val="159"/>
        </w:trPr>
        <w:tc>
          <w:tcPr>
            <w:tcW w:w="2300" w:type="dxa"/>
            <w:vAlign w:val="bottom"/>
            <w:shd w:val="clear" w:color="auto" w:fill="CCEEFF"/>
          </w:tcPr>
          <w:p>
            <w:pPr>
              <w:spacing w:after="0"/>
              <w:rPr>
                <w:sz w:val="20"/>
                <w:szCs w:val="20"/>
                <w:color w:val="auto"/>
              </w:rPr>
            </w:pPr>
            <w:r>
              <w:rPr>
                <w:rFonts w:ascii="Arial" w:cs="Arial" w:eastAsia="Arial" w:hAnsi="Arial"/>
                <w:sz w:val="13"/>
                <w:szCs w:val="13"/>
                <w:color w:val="auto"/>
              </w:rPr>
              <w:t>idX Los Angeles, LLC</w:t>
            </w:r>
          </w:p>
        </w:tc>
        <w:tc>
          <w:tcPr>
            <w:tcW w:w="186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Delaware</w:t>
            </w:r>
          </w:p>
        </w:tc>
        <w:tc>
          <w:tcPr>
            <w:tcW w:w="344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UFP Moultrie, LLC</w:t>
            </w:r>
          </w:p>
        </w:tc>
        <w:tc>
          <w:tcPr>
            <w:tcW w:w="1560" w:type="dxa"/>
            <w:vAlign w:val="bottom"/>
            <w:gridSpan w:val="2"/>
            <w:shd w:val="clear" w:color="auto" w:fill="CCEEFF"/>
          </w:tcPr>
          <w:p>
            <w:pPr>
              <w:ind w:left="340"/>
              <w:spacing w:after="0"/>
              <w:rPr>
                <w:sz w:val="20"/>
                <w:szCs w:val="20"/>
                <w:color w:val="auto"/>
              </w:rPr>
            </w:pPr>
            <w:r>
              <w:rPr>
                <w:rFonts w:ascii="Arial" w:cs="Arial" w:eastAsia="Arial" w:hAnsi="Arial"/>
                <w:sz w:val="13"/>
                <w:szCs w:val="13"/>
                <w:color w:val="auto"/>
              </w:rPr>
              <w:t>Michigan</w:t>
            </w:r>
          </w:p>
        </w:tc>
        <w:tc>
          <w:tcPr>
            <w:tcW w:w="0" w:type="dxa"/>
            <w:vAlign w:val="bottom"/>
          </w:tcPr>
          <w:p>
            <w:pPr>
              <w:spacing w:after="0"/>
              <w:rPr>
                <w:sz w:val="1"/>
                <w:szCs w:val="1"/>
                <w:color w:val="auto"/>
              </w:rPr>
            </w:pPr>
          </w:p>
        </w:tc>
      </w:tr>
      <w:tr>
        <w:trPr>
          <w:trHeight w:val="159"/>
        </w:trPr>
        <w:tc>
          <w:tcPr>
            <w:tcW w:w="2300" w:type="dxa"/>
            <w:vAlign w:val="bottom"/>
          </w:tcPr>
          <w:p>
            <w:pPr>
              <w:spacing w:after="0"/>
              <w:rPr>
                <w:sz w:val="20"/>
                <w:szCs w:val="20"/>
                <w:color w:val="auto"/>
              </w:rPr>
            </w:pPr>
            <w:r>
              <w:rPr>
                <w:rFonts w:ascii="Arial" w:cs="Arial" w:eastAsia="Arial" w:hAnsi="Arial"/>
                <w:sz w:val="13"/>
                <w:szCs w:val="13"/>
                <w:color w:val="auto"/>
              </w:rPr>
              <w:t>idX Mexico, S. de R.L. de C.V.</w:t>
            </w:r>
          </w:p>
        </w:tc>
        <w:tc>
          <w:tcPr>
            <w:tcW w:w="1860" w:type="dxa"/>
            <w:vAlign w:val="bottom"/>
            <w:gridSpan w:val="2"/>
          </w:tcPr>
          <w:p>
            <w:pPr>
              <w:ind w:left="180"/>
              <w:spacing w:after="0"/>
              <w:rPr>
                <w:sz w:val="20"/>
                <w:szCs w:val="20"/>
                <w:color w:val="auto"/>
              </w:rPr>
            </w:pPr>
            <w:r>
              <w:rPr>
                <w:rFonts w:ascii="Arial" w:cs="Arial" w:eastAsia="Arial" w:hAnsi="Arial"/>
                <w:sz w:val="13"/>
                <w:szCs w:val="13"/>
                <w:color w:val="auto"/>
              </w:rPr>
              <w:t>Mexico</w:t>
            </w:r>
          </w:p>
        </w:tc>
        <w:tc>
          <w:tcPr>
            <w:tcW w:w="3440" w:type="dxa"/>
            <w:vAlign w:val="bottom"/>
            <w:gridSpan w:val="2"/>
          </w:tcPr>
          <w:p>
            <w:pPr>
              <w:ind w:left="180"/>
              <w:spacing w:after="0"/>
              <w:rPr>
                <w:sz w:val="20"/>
                <w:szCs w:val="20"/>
                <w:color w:val="auto"/>
              </w:rPr>
            </w:pPr>
            <w:r>
              <w:rPr>
                <w:rFonts w:ascii="Arial" w:cs="Arial" w:eastAsia="Arial" w:hAnsi="Arial"/>
                <w:sz w:val="13"/>
                <w:szCs w:val="13"/>
                <w:color w:val="auto"/>
              </w:rPr>
              <w:t>UFP Mountain West, LLC</w:t>
            </w:r>
          </w:p>
        </w:tc>
        <w:tc>
          <w:tcPr>
            <w:tcW w:w="1560" w:type="dxa"/>
            <w:vAlign w:val="bottom"/>
            <w:gridSpan w:val="2"/>
          </w:tcPr>
          <w:p>
            <w:pPr>
              <w:ind w:left="340"/>
              <w:spacing w:after="0"/>
              <w:rPr>
                <w:sz w:val="20"/>
                <w:szCs w:val="20"/>
                <w:color w:val="auto"/>
              </w:rPr>
            </w:pPr>
            <w:r>
              <w:rPr>
                <w:rFonts w:ascii="Arial" w:cs="Arial" w:eastAsia="Arial" w:hAnsi="Arial"/>
                <w:sz w:val="13"/>
                <w:szCs w:val="13"/>
                <w:color w:val="auto"/>
              </w:rPr>
              <w:t>Michigan</w:t>
            </w:r>
          </w:p>
        </w:tc>
        <w:tc>
          <w:tcPr>
            <w:tcW w:w="0" w:type="dxa"/>
            <w:vAlign w:val="bottom"/>
          </w:tcPr>
          <w:p>
            <w:pPr>
              <w:spacing w:after="0"/>
              <w:rPr>
                <w:sz w:val="1"/>
                <w:szCs w:val="1"/>
                <w:color w:val="auto"/>
              </w:rPr>
            </w:pPr>
          </w:p>
        </w:tc>
      </w:tr>
      <w:tr>
        <w:trPr>
          <w:trHeight w:val="159"/>
        </w:trPr>
        <w:tc>
          <w:tcPr>
            <w:tcW w:w="2300" w:type="dxa"/>
            <w:vAlign w:val="bottom"/>
            <w:shd w:val="clear" w:color="auto" w:fill="CCEEFF"/>
          </w:tcPr>
          <w:p>
            <w:pPr>
              <w:spacing w:after="0"/>
              <w:rPr>
                <w:sz w:val="20"/>
                <w:szCs w:val="20"/>
                <w:color w:val="auto"/>
              </w:rPr>
            </w:pPr>
            <w:r>
              <w:rPr>
                <w:rFonts w:ascii="Arial" w:cs="Arial" w:eastAsia="Arial" w:hAnsi="Arial"/>
                <w:sz w:val="13"/>
                <w:szCs w:val="13"/>
                <w:color w:val="auto"/>
              </w:rPr>
              <w:t>idX Shanghai Trading Company, Ltd.</w:t>
            </w:r>
          </w:p>
        </w:tc>
        <w:tc>
          <w:tcPr>
            <w:tcW w:w="186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China</w:t>
            </w:r>
          </w:p>
        </w:tc>
        <w:tc>
          <w:tcPr>
            <w:tcW w:w="344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UFP Nappanee, LLC</w:t>
            </w:r>
          </w:p>
        </w:tc>
        <w:tc>
          <w:tcPr>
            <w:tcW w:w="1560" w:type="dxa"/>
            <w:vAlign w:val="bottom"/>
            <w:gridSpan w:val="2"/>
            <w:shd w:val="clear" w:color="auto" w:fill="CCEEFF"/>
          </w:tcPr>
          <w:p>
            <w:pPr>
              <w:ind w:left="340"/>
              <w:spacing w:after="0"/>
              <w:rPr>
                <w:sz w:val="20"/>
                <w:szCs w:val="20"/>
                <w:color w:val="auto"/>
              </w:rPr>
            </w:pPr>
            <w:r>
              <w:rPr>
                <w:rFonts w:ascii="Arial" w:cs="Arial" w:eastAsia="Arial" w:hAnsi="Arial"/>
                <w:sz w:val="13"/>
                <w:szCs w:val="13"/>
                <w:color w:val="auto"/>
              </w:rPr>
              <w:t>Michigan</w:t>
            </w:r>
          </w:p>
        </w:tc>
        <w:tc>
          <w:tcPr>
            <w:tcW w:w="0" w:type="dxa"/>
            <w:vAlign w:val="bottom"/>
          </w:tcPr>
          <w:p>
            <w:pPr>
              <w:spacing w:after="0"/>
              <w:rPr>
                <w:sz w:val="1"/>
                <w:szCs w:val="1"/>
                <w:color w:val="auto"/>
              </w:rPr>
            </w:pPr>
          </w:p>
        </w:tc>
      </w:tr>
      <w:tr>
        <w:trPr>
          <w:trHeight w:val="159"/>
        </w:trPr>
        <w:tc>
          <w:tcPr>
            <w:tcW w:w="2300" w:type="dxa"/>
            <w:vAlign w:val="bottom"/>
          </w:tcPr>
          <w:p>
            <w:pPr>
              <w:spacing w:after="0"/>
              <w:rPr>
                <w:sz w:val="20"/>
                <w:szCs w:val="20"/>
                <w:color w:val="auto"/>
              </w:rPr>
            </w:pPr>
            <w:r>
              <w:rPr>
                <w:rFonts w:ascii="Arial" w:cs="Arial" w:eastAsia="Arial" w:hAnsi="Arial"/>
                <w:sz w:val="13"/>
                <w:szCs w:val="13"/>
                <w:color w:val="auto"/>
              </w:rPr>
              <w:t>Integra International Pty Ltd</w:t>
            </w:r>
          </w:p>
        </w:tc>
        <w:tc>
          <w:tcPr>
            <w:tcW w:w="1860" w:type="dxa"/>
            <w:vAlign w:val="bottom"/>
            <w:gridSpan w:val="2"/>
          </w:tcPr>
          <w:p>
            <w:pPr>
              <w:ind w:left="180"/>
              <w:spacing w:after="0"/>
              <w:rPr>
                <w:sz w:val="20"/>
                <w:szCs w:val="20"/>
                <w:color w:val="auto"/>
              </w:rPr>
            </w:pPr>
            <w:r>
              <w:rPr>
                <w:rFonts w:ascii="Arial" w:cs="Arial" w:eastAsia="Arial" w:hAnsi="Arial"/>
                <w:sz w:val="13"/>
                <w:szCs w:val="13"/>
                <w:color w:val="auto"/>
              </w:rPr>
              <w:t>Australia</w:t>
            </w:r>
          </w:p>
        </w:tc>
        <w:tc>
          <w:tcPr>
            <w:tcW w:w="3440" w:type="dxa"/>
            <w:vAlign w:val="bottom"/>
            <w:gridSpan w:val="2"/>
          </w:tcPr>
          <w:p>
            <w:pPr>
              <w:ind w:left="180"/>
              <w:spacing w:after="0"/>
              <w:rPr>
                <w:sz w:val="20"/>
                <w:szCs w:val="20"/>
                <w:color w:val="auto"/>
              </w:rPr>
            </w:pPr>
            <w:r>
              <w:rPr>
                <w:rFonts w:ascii="Arial" w:cs="Arial" w:eastAsia="Arial" w:hAnsi="Arial"/>
                <w:sz w:val="13"/>
                <w:szCs w:val="13"/>
                <w:color w:val="auto"/>
              </w:rPr>
              <w:t>UFP National Enterprises II, Inc.</w:t>
            </w:r>
          </w:p>
        </w:tc>
        <w:tc>
          <w:tcPr>
            <w:tcW w:w="1560" w:type="dxa"/>
            <w:vAlign w:val="bottom"/>
            <w:gridSpan w:val="2"/>
          </w:tcPr>
          <w:p>
            <w:pPr>
              <w:ind w:left="340"/>
              <w:spacing w:after="0"/>
              <w:rPr>
                <w:sz w:val="20"/>
                <w:szCs w:val="20"/>
                <w:color w:val="auto"/>
              </w:rPr>
            </w:pPr>
            <w:r>
              <w:rPr>
                <w:rFonts w:ascii="Arial" w:cs="Arial" w:eastAsia="Arial" w:hAnsi="Arial"/>
                <w:sz w:val="13"/>
                <w:szCs w:val="13"/>
                <w:color w:val="auto"/>
              </w:rPr>
              <w:t>Michigan</w:t>
            </w:r>
          </w:p>
        </w:tc>
        <w:tc>
          <w:tcPr>
            <w:tcW w:w="0" w:type="dxa"/>
            <w:vAlign w:val="bottom"/>
          </w:tcPr>
          <w:p>
            <w:pPr>
              <w:spacing w:after="0"/>
              <w:rPr>
                <w:sz w:val="1"/>
                <w:szCs w:val="1"/>
                <w:color w:val="auto"/>
              </w:rPr>
            </w:pPr>
          </w:p>
        </w:tc>
      </w:tr>
      <w:tr>
        <w:trPr>
          <w:trHeight w:val="159"/>
        </w:trPr>
        <w:tc>
          <w:tcPr>
            <w:tcW w:w="2300" w:type="dxa"/>
            <w:vAlign w:val="bottom"/>
            <w:shd w:val="clear" w:color="auto" w:fill="CCEEFF"/>
          </w:tcPr>
          <w:p>
            <w:pPr>
              <w:spacing w:after="0"/>
              <w:rPr>
                <w:sz w:val="20"/>
                <w:szCs w:val="20"/>
                <w:color w:val="auto"/>
              </w:rPr>
            </w:pPr>
            <w:r>
              <w:rPr>
                <w:rFonts w:ascii="Arial" w:cs="Arial" w:eastAsia="Arial" w:hAnsi="Arial"/>
                <w:sz w:val="13"/>
                <w:szCs w:val="13"/>
                <w:color w:val="auto"/>
              </w:rPr>
              <w:t>Integra Packaging Pty Ltd</w:t>
            </w:r>
          </w:p>
        </w:tc>
        <w:tc>
          <w:tcPr>
            <w:tcW w:w="186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Australia</w:t>
            </w:r>
          </w:p>
        </w:tc>
        <w:tc>
          <w:tcPr>
            <w:tcW w:w="344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UFP New London, LLC</w:t>
            </w:r>
          </w:p>
        </w:tc>
        <w:tc>
          <w:tcPr>
            <w:tcW w:w="1560" w:type="dxa"/>
            <w:vAlign w:val="bottom"/>
            <w:gridSpan w:val="2"/>
            <w:shd w:val="clear" w:color="auto" w:fill="CCEEFF"/>
          </w:tcPr>
          <w:p>
            <w:pPr>
              <w:ind w:left="340"/>
              <w:spacing w:after="0"/>
              <w:rPr>
                <w:sz w:val="20"/>
                <w:szCs w:val="20"/>
                <w:color w:val="auto"/>
              </w:rPr>
            </w:pPr>
            <w:r>
              <w:rPr>
                <w:rFonts w:ascii="Arial" w:cs="Arial" w:eastAsia="Arial" w:hAnsi="Arial"/>
                <w:sz w:val="13"/>
                <w:szCs w:val="13"/>
                <w:color w:val="auto"/>
              </w:rPr>
              <w:t>Michigan</w:t>
            </w:r>
          </w:p>
        </w:tc>
        <w:tc>
          <w:tcPr>
            <w:tcW w:w="0" w:type="dxa"/>
            <w:vAlign w:val="bottom"/>
          </w:tcPr>
          <w:p>
            <w:pPr>
              <w:spacing w:after="0"/>
              <w:rPr>
                <w:sz w:val="1"/>
                <w:szCs w:val="1"/>
                <w:color w:val="auto"/>
              </w:rPr>
            </w:pPr>
          </w:p>
        </w:tc>
      </w:tr>
      <w:tr>
        <w:trPr>
          <w:trHeight w:val="159"/>
        </w:trPr>
        <w:tc>
          <w:tcPr>
            <w:tcW w:w="2300" w:type="dxa"/>
            <w:vAlign w:val="bottom"/>
          </w:tcPr>
          <w:p>
            <w:pPr>
              <w:spacing w:after="0"/>
              <w:rPr>
                <w:sz w:val="20"/>
                <w:szCs w:val="20"/>
                <w:color w:val="auto"/>
              </w:rPr>
            </w:pPr>
            <w:r>
              <w:rPr>
                <w:rFonts w:ascii="Arial" w:cs="Arial" w:eastAsia="Arial" w:hAnsi="Arial"/>
                <w:sz w:val="13"/>
                <w:szCs w:val="13"/>
                <w:color w:val="auto"/>
              </w:rPr>
              <w:t>Landura, LLC</w:t>
            </w:r>
          </w:p>
        </w:tc>
        <w:tc>
          <w:tcPr>
            <w:tcW w:w="1860" w:type="dxa"/>
            <w:vAlign w:val="bottom"/>
            <w:gridSpan w:val="2"/>
          </w:tcPr>
          <w:p>
            <w:pPr>
              <w:ind w:left="180"/>
              <w:spacing w:after="0"/>
              <w:rPr>
                <w:sz w:val="20"/>
                <w:szCs w:val="20"/>
                <w:color w:val="auto"/>
              </w:rPr>
            </w:pPr>
            <w:r>
              <w:rPr>
                <w:rFonts w:ascii="Arial" w:cs="Arial" w:eastAsia="Arial" w:hAnsi="Arial"/>
                <w:sz w:val="13"/>
                <w:szCs w:val="13"/>
                <w:color w:val="auto"/>
              </w:rPr>
              <w:t>Texas</w:t>
            </w:r>
          </w:p>
        </w:tc>
        <w:tc>
          <w:tcPr>
            <w:tcW w:w="3440" w:type="dxa"/>
            <w:vAlign w:val="bottom"/>
            <w:gridSpan w:val="2"/>
          </w:tcPr>
          <w:p>
            <w:pPr>
              <w:ind w:left="180"/>
              <w:spacing w:after="0"/>
              <w:rPr>
                <w:sz w:val="20"/>
                <w:szCs w:val="20"/>
                <w:color w:val="auto"/>
              </w:rPr>
            </w:pPr>
            <w:r>
              <w:rPr>
                <w:rFonts w:ascii="Arial" w:cs="Arial" w:eastAsia="Arial" w:hAnsi="Arial"/>
                <w:sz w:val="13"/>
                <w:szCs w:val="13"/>
                <w:color w:val="auto"/>
              </w:rPr>
              <w:t>UFP New Waverly, LLC</w:t>
            </w:r>
          </w:p>
        </w:tc>
        <w:tc>
          <w:tcPr>
            <w:tcW w:w="1560" w:type="dxa"/>
            <w:vAlign w:val="bottom"/>
            <w:gridSpan w:val="2"/>
          </w:tcPr>
          <w:p>
            <w:pPr>
              <w:ind w:left="340"/>
              <w:spacing w:after="0"/>
              <w:rPr>
                <w:sz w:val="20"/>
                <w:szCs w:val="20"/>
                <w:color w:val="auto"/>
              </w:rPr>
            </w:pPr>
            <w:r>
              <w:rPr>
                <w:rFonts w:ascii="Arial" w:cs="Arial" w:eastAsia="Arial" w:hAnsi="Arial"/>
                <w:sz w:val="13"/>
                <w:szCs w:val="13"/>
                <w:color w:val="auto"/>
              </w:rPr>
              <w:t>Michigan</w:t>
            </w:r>
          </w:p>
        </w:tc>
        <w:tc>
          <w:tcPr>
            <w:tcW w:w="0" w:type="dxa"/>
            <w:vAlign w:val="bottom"/>
          </w:tcPr>
          <w:p>
            <w:pPr>
              <w:spacing w:after="0"/>
              <w:rPr>
                <w:sz w:val="1"/>
                <w:szCs w:val="1"/>
                <w:color w:val="auto"/>
              </w:rPr>
            </w:pPr>
          </w:p>
        </w:tc>
      </w:tr>
      <w:tr>
        <w:trPr>
          <w:trHeight w:val="159"/>
        </w:trPr>
        <w:tc>
          <w:tcPr>
            <w:tcW w:w="2300" w:type="dxa"/>
            <w:vAlign w:val="bottom"/>
            <w:shd w:val="clear" w:color="auto" w:fill="CCEEFF"/>
          </w:tcPr>
          <w:p>
            <w:pPr>
              <w:spacing w:after="0"/>
              <w:rPr>
                <w:sz w:val="20"/>
                <w:szCs w:val="20"/>
                <w:color w:val="auto"/>
              </w:rPr>
            </w:pPr>
            <w:r>
              <w:rPr>
                <w:rFonts w:ascii="Arial" w:cs="Arial" w:eastAsia="Arial" w:hAnsi="Arial"/>
                <w:sz w:val="13"/>
                <w:szCs w:val="13"/>
                <w:color w:val="auto"/>
              </w:rPr>
              <w:t>Maine Ornamental, LLC</w:t>
            </w:r>
          </w:p>
        </w:tc>
        <w:tc>
          <w:tcPr>
            <w:tcW w:w="186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Michigan</w:t>
            </w:r>
          </w:p>
        </w:tc>
        <w:tc>
          <w:tcPr>
            <w:tcW w:w="344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UFP New Windsor, LLC</w:t>
            </w:r>
          </w:p>
        </w:tc>
        <w:tc>
          <w:tcPr>
            <w:tcW w:w="1560" w:type="dxa"/>
            <w:vAlign w:val="bottom"/>
            <w:gridSpan w:val="2"/>
            <w:shd w:val="clear" w:color="auto" w:fill="CCEEFF"/>
          </w:tcPr>
          <w:p>
            <w:pPr>
              <w:ind w:left="340"/>
              <w:spacing w:after="0"/>
              <w:rPr>
                <w:sz w:val="20"/>
                <w:szCs w:val="20"/>
                <w:color w:val="auto"/>
              </w:rPr>
            </w:pPr>
            <w:r>
              <w:rPr>
                <w:rFonts w:ascii="Arial" w:cs="Arial" w:eastAsia="Arial" w:hAnsi="Arial"/>
                <w:sz w:val="13"/>
                <w:szCs w:val="13"/>
                <w:color w:val="auto"/>
              </w:rPr>
              <w:t>Michigan</w:t>
            </w:r>
          </w:p>
        </w:tc>
        <w:tc>
          <w:tcPr>
            <w:tcW w:w="0" w:type="dxa"/>
            <w:vAlign w:val="bottom"/>
          </w:tcPr>
          <w:p>
            <w:pPr>
              <w:spacing w:after="0"/>
              <w:rPr>
                <w:sz w:val="1"/>
                <w:szCs w:val="1"/>
                <w:color w:val="auto"/>
              </w:rPr>
            </w:pPr>
          </w:p>
        </w:tc>
      </w:tr>
      <w:tr>
        <w:trPr>
          <w:trHeight w:val="159"/>
        </w:trPr>
        <w:tc>
          <w:tcPr>
            <w:tcW w:w="2300" w:type="dxa"/>
            <w:vAlign w:val="bottom"/>
          </w:tcPr>
          <w:p>
            <w:pPr>
              <w:spacing w:after="0"/>
              <w:rPr>
                <w:sz w:val="20"/>
                <w:szCs w:val="20"/>
                <w:color w:val="auto"/>
              </w:rPr>
            </w:pPr>
            <w:r>
              <w:rPr>
                <w:rFonts w:ascii="Arial" w:cs="Arial" w:eastAsia="Arial" w:hAnsi="Arial"/>
                <w:sz w:val="13"/>
                <w:szCs w:val="13"/>
                <w:color w:val="auto"/>
              </w:rPr>
              <w:t>Metaworld Technologies, LLC</w:t>
            </w:r>
          </w:p>
        </w:tc>
        <w:tc>
          <w:tcPr>
            <w:tcW w:w="1860" w:type="dxa"/>
            <w:vAlign w:val="bottom"/>
            <w:gridSpan w:val="2"/>
          </w:tcPr>
          <w:p>
            <w:pPr>
              <w:ind w:left="180"/>
              <w:spacing w:after="0"/>
              <w:rPr>
                <w:sz w:val="20"/>
                <w:szCs w:val="20"/>
                <w:color w:val="auto"/>
              </w:rPr>
            </w:pPr>
            <w:r>
              <w:rPr>
                <w:rFonts w:ascii="Arial" w:cs="Arial" w:eastAsia="Arial" w:hAnsi="Arial"/>
                <w:sz w:val="13"/>
                <w:szCs w:val="13"/>
                <w:color w:val="auto"/>
              </w:rPr>
              <w:t>Michigan</w:t>
            </w:r>
          </w:p>
        </w:tc>
        <w:tc>
          <w:tcPr>
            <w:tcW w:w="3440" w:type="dxa"/>
            <w:vAlign w:val="bottom"/>
            <w:gridSpan w:val="2"/>
          </w:tcPr>
          <w:p>
            <w:pPr>
              <w:ind w:left="180"/>
              <w:spacing w:after="0"/>
              <w:rPr>
                <w:sz w:val="20"/>
                <w:szCs w:val="20"/>
                <w:color w:val="auto"/>
              </w:rPr>
            </w:pPr>
            <w:r>
              <w:rPr>
                <w:rFonts w:ascii="Arial" w:cs="Arial" w:eastAsia="Arial" w:hAnsi="Arial"/>
                <w:sz w:val="13"/>
                <w:szCs w:val="13"/>
                <w:color w:val="auto"/>
              </w:rPr>
              <w:t>UFP New York, LLC</w:t>
            </w:r>
          </w:p>
        </w:tc>
        <w:tc>
          <w:tcPr>
            <w:tcW w:w="1560" w:type="dxa"/>
            <w:vAlign w:val="bottom"/>
            <w:gridSpan w:val="2"/>
          </w:tcPr>
          <w:p>
            <w:pPr>
              <w:ind w:left="340"/>
              <w:spacing w:after="0"/>
              <w:rPr>
                <w:sz w:val="20"/>
                <w:szCs w:val="20"/>
                <w:color w:val="auto"/>
              </w:rPr>
            </w:pPr>
            <w:r>
              <w:rPr>
                <w:rFonts w:ascii="Arial" w:cs="Arial" w:eastAsia="Arial" w:hAnsi="Arial"/>
                <w:sz w:val="13"/>
                <w:szCs w:val="13"/>
                <w:color w:val="auto"/>
              </w:rPr>
              <w:t>Michigan</w:t>
            </w:r>
          </w:p>
        </w:tc>
        <w:tc>
          <w:tcPr>
            <w:tcW w:w="0" w:type="dxa"/>
            <w:vAlign w:val="bottom"/>
          </w:tcPr>
          <w:p>
            <w:pPr>
              <w:spacing w:after="0"/>
              <w:rPr>
                <w:sz w:val="1"/>
                <w:szCs w:val="1"/>
                <w:color w:val="auto"/>
              </w:rPr>
            </w:pPr>
          </w:p>
        </w:tc>
      </w:tr>
      <w:tr>
        <w:trPr>
          <w:trHeight w:val="159"/>
        </w:trPr>
        <w:tc>
          <w:tcPr>
            <w:tcW w:w="2300" w:type="dxa"/>
            <w:vAlign w:val="bottom"/>
            <w:shd w:val="clear" w:color="auto" w:fill="CCEEFF"/>
          </w:tcPr>
          <w:p>
            <w:pPr>
              <w:spacing w:after="0"/>
              <w:rPr>
                <w:sz w:val="20"/>
                <w:szCs w:val="20"/>
                <w:color w:val="auto"/>
              </w:rPr>
            </w:pPr>
            <w:r>
              <w:rPr>
                <w:rFonts w:ascii="Arial" w:cs="Arial" w:eastAsia="Arial" w:hAnsi="Arial"/>
                <w:sz w:val="13"/>
                <w:szCs w:val="13"/>
                <w:color w:val="auto"/>
              </w:rPr>
              <w:t>Mid-Atlantic Framing, LLC</w:t>
            </w:r>
          </w:p>
        </w:tc>
        <w:tc>
          <w:tcPr>
            <w:tcW w:w="186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Michigan</w:t>
            </w:r>
          </w:p>
        </w:tc>
        <w:tc>
          <w:tcPr>
            <w:tcW w:w="344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UFP North Atlantic, LLC</w:t>
            </w:r>
          </w:p>
        </w:tc>
        <w:tc>
          <w:tcPr>
            <w:tcW w:w="1560" w:type="dxa"/>
            <w:vAlign w:val="bottom"/>
            <w:gridSpan w:val="2"/>
            <w:shd w:val="clear" w:color="auto" w:fill="CCEEFF"/>
          </w:tcPr>
          <w:p>
            <w:pPr>
              <w:ind w:left="340"/>
              <w:spacing w:after="0"/>
              <w:rPr>
                <w:sz w:val="20"/>
                <w:szCs w:val="20"/>
                <w:color w:val="auto"/>
              </w:rPr>
            </w:pPr>
            <w:r>
              <w:rPr>
                <w:rFonts w:ascii="Arial" w:cs="Arial" w:eastAsia="Arial" w:hAnsi="Arial"/>
                <w:sz w:val="13"/>
                <w:szCs w:val="13"/>
                <w:color w:val="auto"/>
              </w:rPr>
              <w:t>Michigan</w:t>
            </w:r>
          </w:p>
        </w:tc>
        <w:tc>
          <w:tcPr>
            <w:tcW w:w="0" w:type="dxa"/>
            <w:vAlign w:val="bottom"/>
          </w:tcPr>
          <w:p>
            <w:pPr>
              <w:spacing w:after="0"/>
              <w:rPr>
                <w:sz w:val="1"/>
                <w:szCs w:val="1"/>
                <w:color w:val="auto"/>
              </w:rPr>
            </w:pPr>
          </w:p>
        </w:tc>
      </w:tr>
      <w:tr>
        <w:trPr>
          <w:trHeight w:val="159"/>
        </w:trPr>
        <w:tc>
          <w:tcPr>
            <w:tcW w:w="2300" w:type="dxa"/>
            <w:vAlign w:val="bottom"/>
          </w:tcPr>
          <w:p>
            <w:pPr>
              <w:spacing w:after="0"/>
              <w:rPr>
                <w:sz w:val="20"/>
                <w:szCs w:val="20"/>
                <w:color w:val="auto"/>
              </w:rPr>
            </w:pPr>
            <w:r>
              <w:rPr>
                <w:rFonts w:ascii="Arial" w:cs="Arial" w:eastAsia="Arial" w:hAnsi="Arial"/>
                <w:sz w:val="13"/>
                <w:szCs w:val="13"/>
                <w:color w:val="auto"/>
              </w:rPr>
              <w:t>North Atlantic Framing, LLC</w:t>
            </w:r>
          </w:p>
        </w:tc>
        <w:tc>
          <w:tcPr>
            <w:tcW w:w="1860" w:type="dxa"/>
            <w:vAlign w:val="bottom"/>
            <w:gridSpan w:val="2"/>
          </w:tcPr>
          <w:p>
            <w:pPr>
              <w:ind w:left="180"/>
              <w:spacing w:after="0"/>
              <w:rPr>
                <w:sz w:val="20"/>
                <w:szCs w:val="20"/>
                <w:color w:val="auto"/>
              </w:rPr>
            </w:pPr>
            <w:r>
              <w:rPr>
                <w:rFonts w:ascii="Arial" w:cs="Arial" w:eastAsia="Arial" w:hAnsi="Arial"/>
                <w:sz w:val="13"/>
                <w:szCs w:val="13"/>
                <w:color w:val="auto"/>
              </w:rPr>
              <w:t>Michigan</w:t>
            </w:r>
          </w:p>
        </w:tc>
        <w:tc>
          <w:tcPr>
            <w:tcW w:w="3440" w:type="dxa"/>
            <w:vAlign w:val="bottom"/>
            <w:gridSpan w:val="2"/>
          </w:tcPr>
          <w:p>
            <w:pPr>
              <w:ind w:left="180"/>
              <w:spacing w:after="0"/>
              <w:rPr>
                <w:sz w:val="20"/>
                <w:szCs w:val="20"/>
                <w:color w:val="auto"/>
              </w:rPr>
            </w:pPr>
            <w:r>
              <w:rPr>
                <w:rFonts w:ascii="Arial" w:cs="Arial" w:eastAsia="Arial" w:hAnsi="Arial"/>
                <w:sz w:val="13"/>
                <w:szCs w:val="13"/>
                <w:color w:val="auto"/>
              </w:rPr>
              <w:t>UFP Northeast, LLC</w:t>
            </w:r>
          </w:p>
        </w:tc>
        <w:tc>
          <w:tcPr>
            <w:tcW w:w="1560" w:type="dxa"/>
            <w:vAlign w:val="bottom"/>
            <w:gridSpan w:val="2"/>
          </w:tcPr>
          <w:p>
            <w:pPr>
              <w:ind w:left="340"/>
              <w:spacing w:after="0"/>
              <w:rPr>
                <w:sz w:val="20"/>
                <w:szCs w:val="20"/>
                <w:color w:val="auto"/>
              </w:rPr>
            </w:pPr>
            <w:r>
              <w:rPr>
                <w:rFonts w:ascii="Arial" w:cs="Arial" w:eastAsia="Arial" w:hAnsi="Arial"/>
                <w:sz w:val="13"/>
                <w:szCs w:val="13"/>
                <w:color w:val="auto"/>
              </w:rPr>
              <w:t>Michigan</w:t>
            </w:r>
          </w:p>
        </w:tc>
        <w:tc>
          <w:tcPr>
            <w:tcW w:w="0" w:type="dxa"/>
            <w:vAlign w:val="bottom"/>
          </w:tcPr>
          <w:p>
            <w:pPr>
              <w:spacing w:after="0"/>
              <w:rPr>
                <w:sz w:val="1"/>
                <w:szCs w:val="1"/>
                <w:color w:val="auto"/>
              </w:rPr>
            </w:pPr>
          </w:p>
        </w:tc>
      </w:tr>
      <w:tr>
        <w:trPr>
          <w:trHeight w:val="159"/>
        </w:trPr>
        <w:tc>
          <w:tcPr>
            <w:tcW w:w="2300" w:type="dxa"/>
            <w:vAlign w:val="bottom"/>
            <w:shd w:val="clear" w:color="auto" w:fill="CCEEFF"/>
          </w:tcPr>
          <w:p>
            <w:pPr>
              <w:spacing w:after="0"/>
              <w:rPr>
                <w:sz w:val="20"/>
                <w:szCs w:val="20"/>
                <w:color w:val="auto"/>
              </w:rPr>
            </w:pPr>
            <w:r>
              <w:rPr>
                <w:rFonts w:ascii="Arial" w:cs="Arial" w:eastAsia="Arial" w:hAnsi="Arial"/>
                <w:sz w:val="13"/>
                <w:szCs w:val="13"/>
                <w:color w:val="auto"/>
              </w:rPr>
              <w:t>Pacific Coast Showcase, Inc.</w:t>
            </w:r>
          </w:p>
        </w:tc>
        <w:tc>
          <w:tcPr>
            <w:tcW w:w="186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Washington</w:t>
            </w:r>
          </w:p>
        </w:tc>
        <w:tc>
          <w:tcPr>
            <w:tcW w:w="344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UFP Orlando, LLC</w:t>
            </w:r>
          </w:p>
        </w:tc>
        <w:tc>
          <w:tcPr>
            <w:tcW w:w="1560" w:type="dxa"/>
            <w:vAlign w:val="bottom"/>
            <w:gridSpan w:val="2"/>
            <w:shd w:val="clear" w:color="auto" w:fill="CCEEFF"/>
          </w:tcPr>
          <w:p>
            <w:pPr>
              <w:ind w:left="340"/>
              <w:spacing w:after="0"/>
              <w:rPr>
                <w:sz w:val="20"/>
                <w:szCs w:val="20"/>
                <w:color w:val="auto"/>
              </w:rPr>
            </w:pPr>
            <w:r>
              <w:rPr>
                <w:rFonts w:ascii="Arial" w:cs="Arial" w:eastAsia="Arial" w:hAnsi="Arial"/>
                <w:sz w:val="13"/>
                <w:szCs w:val="13"/>
                <w:color w:val="auto"/>
              </w:rPr>
              <w:t>Michigan</w:t>
            </w:r>
          </w:p>
        </w:tc>
        <w:tc>
          <w:tcPr>
            <w:tcW w:w="0" w:type="dxa"/>
            <w:vAlign w:val="bottom"/>
          </w:tcPr>
          <w:p>
            <w:pPr>
              <w:spacing w:after="0"/>
              <w:rPr>
                <w:sz w:val="1"/>
                <w:szCs w:val="1"/>
                <w:color w:val="auto"/>
              </w:rPr>
            </w:pPr>
          </w:p>
        </w:tc>
      </w:tr>
      <w:tr>
        <w:trPr>
          <w:trHeight w:val="159"/>
        </w:trPr>
        <w:tc>
          <w:tcPr>
            <w:tcW w:w="2300" w:type="dxa"/>
            <w:vAlign w:val="bottom"/>
          </w:tcPr>
          <w:p>
            <w:pPr>
              <w:spacing w:after="0"/>
              <w:rPr>
                <w:sz w:val="20"/>
                <w:szCs w:val="20"/>
                <w:color w:val="auto"/>
              </w:rPr>
            </w:pPr>
            <w:r>
              <w:rPr>
                <w:rFonts w:ascii="Arial" w:cs="Arial" w:eastAsia="Arial" w:hAnsi="Arial"/>
                <w:sz w:val="13"/>
                <w:szCs w:val="13"/>
                <w:color w:val="auto"/>
                <w:w w:val="99"/>
              </w:rPr>
              <w:t>Pinelli Universal TKT, S de R.L. de C.V.</w:t>
            </w:r>
          </w:p>
        </w:tc>
        <w:tc>
          <w:tcPr>
            <w:tcW w:w="1860" w:type="dxa"/>
            <w:vAlign w:val="bottom"/>
            <w:gridSpan w:val="2"/>
          </w:tcPr>
          <w:p>
            <w:pPr>
              <w:ind w:left="180"/>
              <w:spacing w:after="0"/>
              <w:rPr>
                <w:sz w:val="20"/>
                <w:szCs w:val="20"/>
                <w:color w:val="auto"/>
              </w:rPr>
            </w:pPr>
            <w:r>
              <w:rPr>
                <w:rFonts w:ascii="Arial" w:cs="Arial" w:eastAsia="Arial" w:hAnsi="Arial"/>
                <w:sz w:val="13"/>
                <w:szCs w:val="13"/>
                <w:color w:val="auto"/>
              </w:rPr>
              <w:t>Mexico</w:t>
            </w:r>
          </w:p>
        </w:tc>
        <w:tc>
          <w:tcPr>
            <w:tcW w:w="3440" w:type="dxa"/>
            <w:vAlign w:val="bottom"/>
            <w:gridSpan w:val="2"/>
          </w:tcPr>
          <w:p>
            <w:pPr>
              <w:ind w:left="180"/>
              <w:spacing w:after="0"/>
              <w:rPr>
                <w:sz w:val="20"/>
                <w:szCs w:val="20"/>
                <w:color w:val="auto"/>
              </w:rPr>
            </w:pPr>
            <w:r>
              <w:rPr>
                <w:rFonts w:ascii="Arial" w:cs="Arial" w:eastAsia="Arial" w:hAnsi="Arial"/>
                <w:sz w:val="13"/>
                <w:szCs w:val="13"/>
                <w:color w:val="auto"/>
              </w:rPr>
              <w:t>UFP Parker, LLC</w:t>
            </w:r>
          </w:p>
        </w:tc>
        <w:tc>
          <w:tcPr>
            <w:tcW w:w="1560" w:type="dxa"/>
            <w:vAlign w:val="bottom"/>
            <w:gridSpan w:val="2"/>
          </w:tcPr>
          <w:p>
            <w:pPr>
              <w:ind w:left="340"/>
              <w:spacing w:after="0"/>
              <w:rPr>
                <w:sz w:val="20"/>
                <w:szCs w:val="20"/>
                <w:color w:val="auto"/>
              </w:rPr>
            </w:pPr>
            <w:r>
              <w:rPr>
                <w:rFonts w:ascii="Arial" w:cs="Arial" w:eastAsia="Arial" w:hAnsi="Arial"/>
                <w:sz w:val="13"/>
                <w:szCs w:val="13"/>
                <w:color w:val="auto"/>
              </w:rPr>
              <w:t>Michigan</w:t>
            </w:r>
          </w:p>
        </w:tc>
        <w:tc>
          <w:tcPr>
            <w:tcW w:w="0" w:type="dxa"/>
            <w:vAlign w:val="bottom"/>
          </w:tcPr>
          <w:p>
            <w:pPr>
              <w:spacing w:after="0"/>
              <w:rPr>
                <w:sz w:val="1"/>
                <w:szCs w:val="1"/>
                <w:color w:val="auto"/>
              </w:rPr>
            </w:pPr>
          </w:p>
        </w:tc>
      </w:tr>
      <w:tr>
        <w:trPr>
          <w:trHeight w:val="159"/>
        </w:trPr>
        <w:tc>
          <w:tcPr>
            <w:tcW w:w="2300" w:type="dxa"/>
            <w:vAlign w:val="bottom"/>
            <w:shd w:val="clear" w:color="auto" w:fill="CCEEFF"/>
          </w:tcPr>
          <w:p>
            <w:pPr>
              <w:spacing w:after="0"/>
              <w:rPr>
                <w:sz w:val="20"/>
                <w:szCs w:val="20"/>
                <w:color w:val="auto"/>
              </w:rPr>
            </w:pPr>
            <w:r>
              <w:rPr>
                <w:rFonts w:ascii="Arial" w:cs="Arial" w:eastAsia="Arial" w:hAnsi="Arial"/>
                <w:sz w:val="13"/>
                <w:szCs w:val="13"/>
                <w:color w:val="auto"/>
              </w:rPr>
              <w:t>Pinelli Universal, S de R.L. de C.V.</w:t>
            </w:r>
          </w:p>
        </w:tc>
        <w:tc>
          <w:tcPr>
            <w:tcW w:w="186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Mexico</w:t>
            </w:r>
          </w:p>
        </w:tc>
        <w:tc>
          <w:tcPr>
            <w:tcW w:w="344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UFP Purchasing, Inc.</w:t>
            </w:r>
          </w:p>
        </w:tc>
        <w:tc>
          <w:tcPr>
            <w:tcW w:w="1560" w:type="dxa"/>
            <w:vAlign w:val="bottom"/>
            <w:gridSpan w:val="2"/>
            <w:shd w:val="clear" w:color="auto" w:fill="CCEEFF"/>
          </w:tcPr>
          <w:p>
            <w:pPr>
              <w:ind w:left="340"/>
              <w:spacing w:after="0"/>
              <w:rPr>
                <w:sz w:val="20"/>
                <w:szCs w:val="20"/>
                <w:color w:val="auto"/>
              </w:rPr>
            </w:pPr>
            <w:r>
              <w:rPr>
                <w:rFonts w:ascii="Arial" w:cs="Arial" w:eastAsia="Arial" w:hAnsi="Arial"/>
                <w:sz w:val="13"/>
                <w:szCs w:val="13"/>
                <w:color w:val="auto"/>
              </w:rPr>
              <w:t>Michigan</w:t>
            </w:r>
          </w:p>
        </w:tc>
        <w:tc>
          <w:tcPr>
            <w:tcW w:w="0" w:type="dxa"/>
            <w:vAlign w:val="bottom"/>
          </w:tcPr>
          <w:p>
            <w:pPr>
              <w:spacing w:after="0"/>
              <w:rPr>
                <w:sz w:val="1"/>
                <w:szCs w:val="1"/>
                <w:color w:val="auto"/>
              </w:rPr>
            </w:pPr>
          </w:p>
        </w:tc>
      </w:tr>
      <w:tr>
        <w:trPr>
          <w:trHeight w:val="159"/>
        </w:trPr>
        <w:tc>
          <w:tcPr>
            <w:tcW w:w="2300" w:type="dxa"/>
            <w:vAlign w:val="bottom"/>
          </w:tcPr>
          <w:p>
            <w:pPr>
              <w:spacing w:after="0"/>
              <w:rPr>
                <w:sz w:val="20"/>
                <w:szCs w:val="20"/>
                <w:color w:val="auto"/>
              </w:rPr>
            </w:pPr>
            <w:r>
              <w:rPr>
                <w:rFonts w:ascii="Arial" w:cs="Arial" w:eastAsia="Arial" w:hAnsi="Arial"/>
                <w:sz w:val="13"/>
                <w:szCs w:val="13"/>
                <w:color w:val="auto"/>
              </w:rPr>
              <w:t>PR Distribution, LLC</w:t>
            </w:r>
          </w:p>
        </w:tc>
        <w:tc>
          <w:tcPr>
            <w:tcW w:w="1860" w:type="dxa"/>
            <w:vAlign w:val="bottom"/>
            <w:gridSpan w:val="2"/>
          </w:tcPr>
          <w:p>
            <w:pPr>
              <w:ind w:left="180"/>
              <w:spacing w:after="0"/>
              <w:rPr>
                <w:sz w:val="20"/>
                <w:szCs w:val="20"/>
                <w:color w:val="auto"/>
              </w:rPr>
            </w:pPr>
            <w:r>
              <w:rPr>
                <w:rFonts w:ascii="Arial" w:cs="Arial" w:eastAsia="Arial" w:hAnsi="Arial"/>
                <w:sz w:val="13"/>
                <w:szCs w:val="13"/>
                <w:color w:val="auto"/>
              </w:rPr>
              <w:t>Puerto Rico</w:t>
            </w:r>
          </w:p>
        </w:tc>
        <w:tc>
          <w:tcPr>
            <w:tcW w:w="3440" w:type="dxa"/>
            <w:vAlign w:val="bottom"/>
            <w:gridSpan w:val="2"/>
          </w:tcPr>
          <w:p>
            <w:pPr>
              <w:ind w:left="180"/>
              <w:spacing w:after="0"/>
              <w:rPr>
                <w:sz w:val="20"/>
                <w:szCs w:val="20"/>
                <w:color w:val="auto"/>
              </w:rPr>
            </w:pPr>
            <w:r>
              <w:rPr>
                <w:rFonts w:ascii="Arial" w:cs="Arial" w:eastAsia="Arial" w:hAnsi="Arial"/>
                <w:sz w:val="13"/>
                <w:szCs w:val="13"/>
                <w:color w:val="auto"/>
              </w:rPr>
              <w:t>UFP Ranson, LLC</w:t>
            </w:r>
          </w:p>
        </w:tc>
        <w:tc>
          <w:tcPr>
            <w:tcW w:w="1560" w:type="dxa"/>
            <w:vAlign w:val="bottom"/>
            <w:gridSpan w:val="2"/>
          </w:tcPr>
          <w:p>
            <w:pPr>
              <w:ind w:left="340"/>
              <w:spacing w:after="0"/>
              <w:rPr>
                <w:sz w:val="20"/>
                <w:szCs w:val="20"/>
                <w:color w:val="auto"/>
              </w:rPr>
            </w:pPr>
            <w:r>
              <w:rPr>
                <w:rFonts w:ascii="Arial" w:cs="Arial" w:eastAsia="Arial" w:hAnsi="Arial"/>
                <w:sz w:val="13"/>
                <w:szCs w:val="13"/>
                <w:color w:val="auto"/>
              </w:rPr>
              <w:t>Michigan</w:t>
            </w:r>
          </w:p>
        </w:tc>
        <w:tc>
          <w:tcPr>
            <w:tcW w:w="0" w:type="dxa"/>
            <w:vAlign w:val="bottom"/>
          </w:tcPr>
          <w:p>
            <w:pPr>
              <w:spacing w:after="0"/>
              <w:rPr>
                <w:sz w:val="1"/>
                <w:szCs w:val="1"/>
                <w:color w:val="auto"/>
              </w:rPr>
            </w:pPr>
          </w:p>
        </w:tc>
      </w:tr>
      <w:tr>
        <w:trPr>
          <w:trHeight w:val="159"/>
        </w:trPr>
        <w:tc>
          <w:tcPr>
            <w:tcW w:w="2300" w:type="dxa"/>
            <w:vAlign w:val="bottom"/>
            <w:shd w:val="clear" w:color="auto" w:fill="CCEEFF"/>
          </w:tcPr>
          <w:p>
            <w:pPr>
              <w:spacing w:after="0"/>
              <w:rPr>
                <w:sz w:val="20"/>
                <w:szCs w:val="20"/>
                <w:color w:val="auto"/>
              </w:rPr>
            </w:pPr>
            <w:r>
              <w:rPr>
                <w:rFonts w:ascii="Arial" w:cs="Arial" w:eastAsia="Arial" w:hAnsi="Arial"/>
                <w:sz w:val="13"/>
                <w:szCs w:val="13"/>
                <w:color w:val="auto"/>
              </w:rPr>
              <w:t>Shawnlee Construction, L.L.C.</w:t>
            </w:r>
          </w:p>
        </w:tc>
        <w:tc>
          <w:tcPr>
            <w:tcW w:w="186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Michigan</w:t>
            </w:r>
          </w:p>
        </w:tc>
        <w:tc>
          <w:tcPr>
            <w:tcW w:w="344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UFP Real Estate, LLC</w:t>
            </w:r>
          </w:p>
        </w:tc>
        <w:tc>
          <w:tcPr>
            <w:tcW w:w="1560" w:type="dxa"/>
            <w:vAlign w:val="bottom"/>
            <w:gridSpan w:val="2"/>
            <w:shd w:val="clear" w:color="auto" w:fill="CCEEFF"/>
          </w:tcPr>
          <w:p>
            <w:pPr>
              <w:ind w:left="340"/>
              <w:spacing w:after="0"/>
              <w:rPr>
                <w:sz w:val="20"/>
                <w:szCs w:val="20"/>
                <w:color w:val="auto"/>
              </w:rPr>
            </w:pPr>
            <w:r>
              <w:rPr>
                <w:rFonts w:ascii="Arial" w:cs="Arial" w:eastAsia="Arial" w:hAnsi="Arial"/>
                <w:sz w:val="13"/>
                <w:szCs w:val="13"/>
                <w:color w:val="auto"/>
              </w:rPr>
              <w:t>Michigan</w:t>
            </w:r>
          </w:p>
        </w:tc>
        <w:tc>
          <w:tcPr>
            <w:tcW w:w="0" w:type="dxa"/>
            <w:vAlign w:val="bottom"/>
          </w:tcPr>
          <w:p>
            <w:pPr>
              <w:spacing w:after="0"/>
              <w:rPr>
                <w:sz w:val="1"/>
                <w:szCs w:val="1"/>
                <w:color w:val="auto"/>
              </w:rPr>
            </w:pPr>
          </w:p>
        </w:tc>
      </w:tr>
      <w:tr>
        <w:trPr>
          <w:trHeight w:val="159"/>
        </w:trPr>
        <w:tc>
          <w:tcPr>
            <w:tcW w:w="2300" w:type="dxa"/>
            <w:vAlign w:val="bottom"/>
          </w:tcPr>
          <w:p>
            <w:pPr>
              <w:spacing w:after="0"/>
              <w:rPr>
                <w:sz w:val="20"/>
                <w:szCs w:val="20"/>
                <w:color w:val="auto"/>
              </w:rPr>
            </w:pPr>
            <w:r>
              <w:rPr>
                <w:rFonts w:ascii="Arial" w:cs="Arial" w:eastAsia="Arial" w:hAnsi="Arial"/>
                <w:sz w:val="13"/>
                <w:szCs w:val="13"/>
                <w:color w:val="auto"/>
              </w:rPr>
              <w:t>Shepardville Construction, LLC</w:t>
            </w:r>
          </w:p>
        </w:tc>
        <w:tc>
          <w:tcPr>
            <w:tcW w:w="1860" w:type="dxa"/>
            <w:vAlign w:val="bottom"/>
            <w:gridSpan w:val="2"/>
          </w:tcPr>
          <w:p>
            <w:pPr>
              <w:ind w:left="180"/>
              <w:spacing w:after="0"/>
              <w:rPr>
                <w:sz w:val="20"/>
                <w:szCs w:val="20"/>
                <w:color w:val="auto"/>
              </w:rPr>
            </w:pPr>
            <w:r>
              <w:rPr>
                <w:rFonts w:ascii="Arial" w:cs="Arial" w:eastAsia="Arial" w:hAnsi="Arial"/>
                <w:sz w:val="13"/>
                <w:szCs w:val="13"/>
                <w:color w:val="auto"/>
              </w:rPr>
              <w:t>Michigan</w:t>
            </w:r>
          </w:p>
        </w:tc>
        <w:tc>
          <w:tcPr>
            <w:tcW w:w="3440" w:type="dxa"/>
            <w:vAlign w:val="bottom"/>
            <w:gridSpan w:val="2"/>
          </w:tcPr>
          <w:p>
            <w:pPr>
              <w:ind w:left="180"/>
              <w:spacing w:after="0"/>
              <w:rPr>
                <w:sz w:val="20"/>
                <w:szCs w:val="20"/>
                <w:color w:val="auto"/>
              </w:rPr>
            </w:pPr>
            <w:r>
              <w:rPr>
                <w:rFonts w:ascii="Arial" w:cs="Arial" w:eastAsia="Arial" w:hAnsi="Arial"/>
                <w:sz w:val="13"/>
                <w:szCs w:val="13"/>
                <w:color w:val="auto"/>
              </w:rPr>
              <w:t>UFP Riverside, LLC</w:t>
            </w:r>
          </w:p>
        </w:tc>
        <w:tc>
          <w:tcPr>
            <w:tcW w:w="1560" w:type="dxa"/>
            <w:vAlign w:val="bottom"/>
            <w:gridSpan w:val="2"/>
          </w:tcPr>
          <w:p>
            <w:pPr>
              <w:ind w:left="340"/>
              <w:spacing w:after="0"/>
              <w:rPr>
                <w:sz w:val="20"/>
                <w:szCs w:val="20"/>
                <w:color w:val="auto"/>
              </w:rPr>
            </w:pPr>
            <w:r>
              <w:rPr>
                <w:rFonts w:ascii="Arial" w:cs="Arial" w:eastAsia="Arial" w:hAnsi="Arial"/>
                <w:sz w:val="13"/>
                <w:szCs w:val="13"/>
                <w:color w:val="auto"/>
              </w:rPr>
              <w:t>Michigan</w:t>
            </w:r>
          </w:p>
        </w:tc>
        <w:tc>
          <w:tcPr>
            <w:tcW w:w="0" w:type="dxa"/>
            <w:vAlign w:val="bottom"/>
          </w:tcPr>
          <w:p>
            <w:pPr>
              <w:spacing w:after="0"/>
              <w:rPr>
                <w:sz w:val="1"/>
                <w:szCs w:val="1"/>
                <w:color w:val="auto"/>
              </w:rPr>
            </w:pPr>
          </w:p>
        </w:tc>
      </w:tr>
      <w:tr>
        <w:trPr>
          <w:trHeight w:val="159"/>
        </w:trPr>
        <w:tc>
          <w:tcPr>
            <w:tcW w:w="2300" w:type="dxa"/>
            <w:vAlign w:val="bottom"/>
            <w:shd w:val="clear" w:color="auto" w:fill="CCEEFF"/>
          </w:tcPr>
          <w:p>
            <w:pPr>
              <w:spacing w:after="0"/>
              <w:rPr>
                <w:sz w:val="20"/>
                <w:szCs w:val="20"/>
                <w:color w:val="auto"/>
              </w:rPr>
            </w:pPr>
            <w:r>
              <w:rPr>
                <w:rFonts w:ascii="Arial" w:cs="Arial" w:eastAsia="Arial" w:hAnsi="Arial"/>
                <w:sz w:val="13"/>
                <w:szCs w:val="13"/>
                <w:color w:val="auto"/>
              </w:rPr>
              <w:t>Store Fixtures Canada Holdings, Inc.</w:t>
            </w:r>
          </w:p>
        </w:tc>
        <w:tc>
          <w:tcPr>
            <w:tcW w:w="186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Delaware</w:t>
            </w:r>
          </w:p>
        </w:tc>
        <w:tc>
          <w:tcPr>
            <w:tcW w:w="344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UFP Rockwell, LLC</w:t>
            </w:r>
          </w:p>
        </w:tc>
        <w:tc>
          <w:tcPr>
            <w:tcW w:w="1560" w:type="dxa"/>
            <w:vAlign w:val="bottom"/>
            <w:gridSpan w:val="2"/>
            <w:shd w:val="clear" w:color="auto" w:fill="CCEEFF"/>
          </w:tcPr>
          <w:p>
            <w:pPr>
              <w:ind w:left="340"/>
              <w:spacing w:after="0"/>
              <w:rPr>
                <w:sz w:val="20"/>
                <w:szCs w:val="20"/>
                <w:color w:val="auto"/>
              </w:rPr>
            </w:pPr>
            <w:r>
              <w:rPr>
                <w:rFonts w:ascii="Arial" w:cs="Arial" w:eastAsia="Arial" w:hAnsi="Arial"/>
                <w:sz w:val="13"/>
                <w:szCs w:val="13"/>
                <w:color w:val="auto"/>
              </w:rPr>
              <w:t>Michigan</w:t>
            </w:r>
          </w:p>
        </w:tc>
        <w:tc>
          <w:tcPr>
            <w:tcW w:w="0" w:type="dxa"/>
            <w:vAlign w:val="bottom"/>
          </w:tcPr>
          <w:p>
            <w:pPr>
              <w:spacing w:after="0"/>
              <w:rPr>
                <w:sz w:val="1"/>
                <w:szCs w:val="1"/>
                <w:color w:val="auto"/>
              </w:rPr>
            </w:pPr>
          </w:p>
        </w:tc>
      </w:tr>
      <w:tr>
        <w:trPr>
          <w:trHeight w:val="159"/>
        </w:trPr>
        <w:tc>
          <w:tcPr>
            <w:tcW w:w="2300" w:type="dxa"/>
            <w:vAlign w:val="bottom"/>
          </w:tcPr>
          <w:p>
            <w:pPr>
              <w:spacing w:after="0"/>
              <w:rPr>
                <w:sz w:val="20"/>
                <w:szCs w:val="20"/>
                <w:color w:val="auto"/>
              </w:rPr>
            </w:pPr>
            <w:r>
              <w:rPr>
                <w:rFonts w:ascii="Arial" w:cs="Arial" w:eastAsia="Arial" w:hAnsi="Arial"/>
                <w:sz w:val="13"/>
                <w:szCs w:val="13"/>
                <w:color w:val="auto"/>
              </w:rPr>
              <w:t>The UBEECO Group Pty Ltd</w:t>
            </w:r>
          </w:p>
        </w:tc>
        <w:tc>
          <w:tcPr>
            <w:tcW w:w="1860" w:type="dxa"/>
            <w:vAlign w:val="bottom"/>
            <w:gridSpan w:val="2"/>
          </w:tcPr>
          <w:p>
            <w:pPr>
              <w:ind w:left="180"/>
              <w:spacing w:after="0"/>
              <w:rPr>
                <w:sz w:val="20"/>
                <w:szCs w:val="20"/>
                <w:color w:val="auto"/>
              </w:rPr>
            </w:pPr>
            <w:r>
              <w:rPr>
                <w:rFonts w:ascii="Arial" w:cs="Arial" w:eastAsia="Arial" w:hAnsi="Arial"/>
                <w:sz w:val="13"/>
                <w:szCs w:val="13"/>
                <w:color w:val="auto"/>
              </w:rPr>
              <w:t>Australia</w:t>
            </w:r>
          </w:p>
        </w:tc>
        <w:tc>
          <w:tcPr>
            <w:tcW w:w="3440" w:type="dxa"/>
            <w:vAlign w:val="bottom"/>
            <w:gridSpan w:val="2"/>
          </w:tcPr>
          <w:p>
            <w:pPr>
              <w:ind w:left="180"/>
              <w:spacing w:after="0"/>
              <w:rPr>
                <w:sz w:val="20"/>
                <w:szCs w:val="20"/>
                <w:color w:val="auto"/>
              </w:rPr>
            </w:pPr>
            <w:r>
              <w:rPr>
                <w:rFonts w:ascii="Arial" w:cs="Arial" w:eastAsia="Arial" w:hAnsi="Arial"/>
                <w:sz w:val="13"/>
                <w:szCs w:val="13"/>
                <w:color w:val="auto"/>
              </w:rPr>
              <w:t>UFP Saginaw, LLC</w:t>
            </w:r>
          </w:p>
        </w:tc>
        <w:tc>
          <w:tcPr>
            <w:tcW w:w="1560" w:type="dxa"/>
            <w:vAlign w:val="bottom"/>
            <w:gridSpan w:val="2"/>
          </w:tcPr>
          <w:p>
            <w:pPr>
              <w:ind w:left="340"/>
              <w:spacing w:after="0"/>
              <w:rPr>
                <w:sz w:val="20"/>
                <w:szCs w:val="20"/>
                <w:color w:val="auto"/>
              </w:rPr>
            </w:pPr>
            <w:r>
              <w:rPr>
                <w:rFonts w:ascii="Arial" w:cs="Arial" w:eastAsia="Arial" w:hAnsi="Arial"/>
                <w:sz w:val="13"/>
                <w:szCs w:val="13"/>
                <w:color w:val="auto"/>
              </w:rPr>
              <w:t>Michigan</w:t>
            </w:r>
          </w:p>
        </w:tc>
        <w:tc>
          <w:tcPr>
            <w:tcW w:w="0" w:type="dxa"/>
            <w:vAlign w:val="bottom"/>
          </w:tcPr>
          <w:p>
            <w:pPr>
              <w:spacing w:after="0"/>
              <w:rPr>
                <w:sz w:val="1"/>
                <w:szCs w:val="1"/>
                <w:color w:val="auto"/>
              </w:rPr>
            </w:pPr>
          </w:p>
        </w:tc>
      </w:tr>
      <w:tr>
        <w:trPr>
          <w:trHeight w:val="159"/>
        </w:trPr>
        <w:tc>
          <w:tcPr>
            <w:tcW w:w="2300" w:type="dxa"/>
            <w:vAlign w:val="bottom"/>
            <w:shd w:val="clear" w:color="auto" w:fill="CCEEFF"/>
          </w:tcPr>
          <w:p>
            <w:pPr>
              <w:spacing w:after="0"/>
              <w:rPr>
                <w:sz w:val="20"/>
                <w:szCs w:val="20"/>
                <w:color w:val="auto"/>
              </w:rPr>
            </w:pPr>
            <w:r>
              <w:rPr>
                <w:rFonts w:ascii="Arial" w:cs="Arial" w:eastAsia="Arial" w:hAnsi="Arial"/>
                <w:sz w:val="13"/>
                <w:szCs w:val="13"/>
                <w:color w:val="auto"/>
              </w:rPr>
              <w:t>TKT Real State, S. de R.L. de C.V.</w:t>
            </w:r>
          </w:p>
        </w:tc>
        <w:tc>
          <w:tcPr>
            <w:tcW w:w="186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Mexico</w:t>
            </w:r>
          </w:p>
        </w:tc>
        <w:tc>
          <w:tcPr>
            <w:tcW w:w="344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UFP Salisbury, LLC</w:t>
            </w:r>
          </w:p>
        </w:tc>
        <w:tc>
          <w:tcPr>
            <w:tcW w:w="1560" w:type="dxa"/>
            <w:vAlign w:val="bottom"/>
            <w:gridSpan w:val="2"/>
            <w:shd w:val="clear" w:color="auto" w:fill="CCEEFF"/>
          </w:tcPr>
          <w:p>
            <w:pPr>
              <w:ind w:left="340"/>
              <w:spacing w:after="0"/>
              <w:rPr>
                <w:sz w:val="20"/>
                <w:szCs w:val="20"/>
                <w:color w:val="auto"/>
              </w:rPr>
            </w:pPr>
            <w:r>
              <w:rPr>
                <w:rFonts w:ascii="Arial" w:cs="Arial" w:eastAsia="Arial" w:hAnsi="Arial"/>
                <w:sz w:val="13"/>
                <w:szCs w:val="13"/>
                <w:color w:val="auto"/>
              </w:rPr>
              <w:t>Michigan</w:t>
            </w:r>
          </w:p>
        </w:tc>
        <w:tc>
          <w:tcPr>
            <w:tcW w:w="0" w:type="dxa"/>
            <w:vAlign w:val="bottom"/>
          </w:tcPr>
          <w:p>
            <w:pPr>
              <w:spacing w:after="0"/>
              <w:rPr>
                <w:sz w:val="1"/>
                <w:szCs w:val="1"/>
                <w:color w:val="auto"/>
              </w:rPr>
            </w:pPr>
          </w:p>
        </w:tc>
      </w:tr>
      <w:tr>
        <w:trPr>
          <w:trHeight w:val="159"/>
        </w:trPr>
        <w:tc>
          <w:tcPr>
            <w:tcW w:w="2300" w:type="dxa"/>
            <w:vAlign w:val="bottom"/>
          </w:tcPr>
          <w:p>
            <w:pPr>
              <w:spacing w:after="0"/>
              <w:rPr>
                <w:sz w:val="20"/>
                <w:szCs w:val="20"/>
                <w:color w:val="auto"/>
              </w:rPr>
            </w:pPr>
            <w:r>
              <w:rPr>
                <w:rFonts w:ascii="Arial" w:cs="Arial" w:eastAsia="Arial" w:hAnsi="Arial"/>
                <w:sz w:val="13"/>
                <w:szCs w:val="13"/>
                <w:color w:val="auto"/>
              </w:rPr>
              <w:t>Tresstar, LLC</w:t>
            </w:r>
          </w:p>
        </w:tc>
        <w:tc>
          <w:tcPr>
            <w:tcW w:w="1860" w:type="dxa"/>
            <w:vAlign w:val="bottom"/>
            <w:gridSpan w:val="2"/>
          </w:tcPr>
          <w:p>
            <w:pPr>
              <w:ind w:left="180"/>
              <w:spacing w:after="0"/>
              <w:rPr>
                <w:sz w:val="20"/>
                <w:szCs w:val="20"/>
                <w:color w:val="auto"/>
              </w:rPr>
            </w:pPr>
            <w:r>
              <w:rPr>
                <w:rFonts w:ascii="Arial" w:cs="Arial" w:eastAsia="Arial" w:hAnsi="Arial"/>
                <w:sz w:val="13"/>
                <w:szCs w:val="13"/>
                <w:color w:val="auto"/>
              </w:rPr>
              <w:t>Michigan</w:t>
            </w:r>
          </w:p>
        </w:tc>
        <w:tc>
          <w:tcPr>
            <w:tcW w:w="3440" w:type="dxa"/>
            <w:vAlign w:val="bottom"/>
            <w:gridSpan w:val="2"/>
          </w:tcPr>
          <w:p>
            <w:pPr>
              <w:ind w:left="180"/>
              <w:spacing w:after="0"/>
              <w:rPr>
                <w:sz w:val="20"/>
                <w:szCs w:val="20"/>
                <w:color w:val="auto"/>
              </w:rPr>
            </w:pPr>
            <w:r>
              <w:rPr>
                <w:rFonts w:ascii="Arial" w:cs="Arial" w:eastAsia="Arial" w:hAnsi="Arial"/>
                <w:sz w:val="13"/>
                <w:szCs w:val="13"/>
                <w:color w:val="auto"/>
              </w:rPr>
              <w:t>UFP San Antonio, LLC</w:t>
            </w:r>
          </w:p>
        </w:tc>
        <w:tc>
          <w:tcPr>
            <w:tcW w:w="1560" w:type="dxa"/>
            <w:vAlign w:val="bottom"/>
            <w:gridSpan w:val="2"/>
          </w:tcPr>
          <w:p>
            <w:pPr>
              <w:ind w:left="340"/>
              <w:spacing w:after="0"/>
              <w:rPr>
                <w:sz w:val="20"/>
                <w:szCs w:val="20"/>
                <w:color w:val="auto"/>
              </w:rPr>
            </w:pPr>
            <w:r>
              <w:rPr>
                <w:rFonts w:ascii="Arial" w:cs="Arial" w:eastAsia="Arial" w:hAnsi="Arial"/>
                <w:sz w:val="13"/>
                <w:szCs w:val="13"/>
                <w:color w:val="auto"/>
              </w:rPr>
              <w:t>Michigan</w:t>
            </w:r>
          </w:p>
        </w:tc>
        <w:tc>
          <w:tcPr>
            <w:tcW w:w="0" w:type="dxa"/>
            <w:vAlign w:val="bottom"/>
          </w:tcPr>
          <w:p>
            <w:pPr>
              <w:spacing w:after="0"/>
              <w:rPr>
                <w:sz w:val="1"/>
                <w:szCs w:val="1"/>
                <w:color w:val="auto"/>
              </w:rPr>
            </w:pPr>
          </w:p>
        </w:tc>
      </w:tr>
      <w:tr>
        <w:trPr>
          <w:trHeight w:val="159"/>
        </w:trPr>
        <w:tc>
          <w:tcPr>
            <w:tcW w:w="2300" w:type="dxa"/>
            <w:vAlign w:val="bottom"/>
            <w:shd w:val="clear" w:color="auto" w:fill="CCEEFF"/>
          </w:tcPr>
          <w:p>
            <w:pPr>
              <w:spacing w:after="0"/>
              <w:rPr>
                <w:sz w:val="20"/>
                <w:szCs w:val="20"/>
                <w:color w:val="auto"/>
              </w:rPr>
            </w:pPr>
            <w:r>
              <w:rPr>
                <w:rFonts w:ascii="Arial" w:cs="Arial" w:eastAsia="Arial" w:hAnsi="Arial"/>
                <w:sz w:val="13"/>
                <w:szCs w:val="13"/>
                <w:color w:val="auto"/>
              </w:rPr>
              <w:t>Triangle Systems, Inc.</w:t>
            </w:r>
          </w:p>
        </w:tc>
        <w:tc>
          <w:tcPr>
            <w:tcW w:w="186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New York</w:t>
            </w:r>
          </w:p>
        </w:tc>
        <w:tc>
          <w:tcPr>
            <w:tcW w:w="344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UFP Sauk Rapids, LLC</w:t>
            </w:r>
          </w:p>
        </w:tc>
        <w:tc>
          <w:tcPr>
            <w:tcW w:w="1560" w:type="dxa"/>
            <w:vAlign w:val="bottom"/>
            <w:gridSpan w:val="2"/>
            <w:shd w:val="clear" w:color="auto" w:fill="CCEEFF"/>
          </w:tcPr>
          <w:p>
            <w:pPr>
              <w:ind w:left="340"/>
              <w:spacing w:after="0"/>
              <w:rPr>
                <w:sz w:val="20"/>
                <w:szCs w:val="20"/>
                <w:color w:val="auto"/>
              </w:rPr>
            </w:pPr>
            <w:r>
              <w:rPr>
                <w:rFonts w:ascii="Arial" w:cs="Arial" w:eastAsia="Arial" w:hAnsi="Arial"/>
                <w:sz w:val="13"/>
                <w:szCs w:val="13"/>
                <w:color w:val="auto"/>
              </w:rPr>
              <w:t>Michigan</w:t>
            </w:r>
          </w:p>
        </w:tc>
        <w:tc>
          <w:tcPr>
            <w:tcW w:w="0" w:type="dxa"/>
            <w:vAlign w:val="bottom"/>
          </w:tcPr>
          <w:p>
            <w:pPr>
              <w:spacing w:after="0"/>
              <w:rPr>
                <w:sz w:val="1"/>
                <w:szCs w:val="1"/>
                <w:color w:val="auto"/>
              </w:rPr>
            </w:pPr>
          </w:p>
        </w:tc>
      </w:tr>
      <w:tr>
        <w:trPr>
          <w:trHeight w:val="159"/>
        </w:trPr>
        <w:tc>
          <w:tcPr>
            <w:tcW w:w="2300" w:type="dxa"/>
            <w:vAlign w:val="bottom"/>
          </w:tcPr>
          <w:p>
            <w:pPr>
              <w:spacing w:after="0"/>
              <w:rPr>
                <w:sz w:val="20"/>
                <w:szCs w:val="20"/>
                <w:color w:val="auto"/>
              </w:rPr>
            </w:pPr>
            <w:r>
              <w:rPr>
                <w:rFonts w:ascii="Arial" w:cs="Arial" w:eastAsia="Arial" w:hAnsi="Arial"/>
                <w:sz w:val="13"/>
                <w:szCs w:val="13"/>
                <w:color w:val="auto"/>
                <w:w w:val="96"/>
              </w:rPr>
              <w:t>U.F.P. Mexico Holdings, S. de R.L.de CV</w:t>
            </w:r>
          </w:p>
        </w:tc>
        <w:tc>
          <w:tcPr>
            <w:tcW w:w="1860" w:type="dxa"/>
            <w:vAlign w:val="bottom"/>
            <w:gridSpan w:val="2"/>
          </w:tcPr>
          <w:p>
            <w:pPr>
              <w:ind w:left="180"/>
              <w:spacing w:after="0"/>
              <w:rPr>
                <w:sz w:val="20"/>
                <w:szCs w:val="20"/>
                <w:color w:val="auto"/>
              </w:rPr>
            </w:pPr>
            <w:r>
              <w:rPr>
                <w:rFonts w:ascii="Arial" w:cs="Arial" w:eastAsia="Arial" w:hAnsi="Arial"/>
                <w:sz w:val="13"/>
                <w:szCs w:val="13"/>
                <w:color w:val="auto"/>
              </w:rPr>
              <w:t>Mexico</w:t>
            </w:r>
          </w:p>
        </w:tc>
        <w:tc>
          <w:tcPr>
            <w:tcW w:w="3440" w:type="dxa"/>
            <w:vAlign w:val="bottom"/>
            <w:gridSpan w:val="2"/>
          </w:tcPr>
          <w:p>
            <w:pPr>
              <w:ind w:left="180"/>
              <w:spacing w:after="0"/>
              <w:rPr>
                <w:sz w:val="20"/>
                <w:szCs w:val="20"/>
                <w:color w:val="auto"/>
              </w:rPr>
            </w:pPr>
            <w:r>
              <w:rPr>
                <w:rFonts w:ascii="Arial" w:cs="Arial" w:eastAsia="Arial" w:hAnsi="Arial"/>
                <w:sz w:val="13"/>
                <w:szCs w:val="13"/>
                <w:color w:val="auto"/>
              </w:rPr>
              <w:t>UFP Schertz, LLC</w:t>
            </w:r>
          </w:p>
        </w:tc>
        <w:tc>
          <w:tcPr>
            <w:tcW w:w="1560" w:type="dxa"/>
            <w:vAlign w:val="bottom"/>
            <w:gridSpan w:val="2"/>
          </w:tcPr>
          <w:p>
            <w:pPr>
              <w:ind w:left="340"/>
              <w:spacing w:after="0"/>
              <w:rPr>
                <w:sz w:val="20"/>
                <w:szCs w:val="20"/>
                <w:color w:val="auto"/>
              </w:rPr>
            </w:pPr>
            <w:r>
              <w:rPr>
                <w:rFonts w:ascii="Arial" w:cs="Arial" w:eastAsia="Arial" w:hAnsi="Arial"/>
                <w:sz w:val="13"/>
                <w:szCs w:val="13"/>
                <w:color w:val="auto"/>
              </w:rPr>
              <w:t>Michigan</w:t>
            </w:r>
          </w:p>
        </w:tc>
        <w:tc>
          <w:tcPr>
            <w:tcW w:w="0" w:type="dxa"/>
            <w:vAlign w:val="bottom"/>
          </w:tcPr>
          <w:p>
            <w:pPr>
              <w:spacing w:after="0"/>
              <w:rPr>
                <w:sz w:val="1"/>
                <w:szCs w:val="1"/>
                <w:color w:val="auto"/>
              </w:rPr>
            </w:pPr>
          </w:p>
        </w:tc>
      </w:tr>
      <w:tr>
        <w:trPr>
          <w:trHeight w:val="159"/>
        </w:trPr>
        <w:tc>
          <w:tcPr>
            <w:tcW w:w="2300" w:type="dxa"/>
            <w:vAlign w:val="bottom"/>
            <w:shd w:val="clear" w:color="auto" w:fill="CCEEFF"/>
          </w:tcPr>
          <w:p>
            <w:pPr>
              <w:spacing w:after="0"/>
              <w:rPr>
                <w:sz w:val="20"/>
                <w:szCs w:val="20"/>
                <w:color w:val="auto"/>
              </w:rPr>
            </w:pPr>
            <w:r>
              <w:rPr>
                <w:rFonts w:ascii="Arial" w:cs="Arial" w:eastAsia="Arial" w:hAnsi="Arial"/>
                <w:sz w:val="13"/>
                <w:szCs w:val="13"/>
                <w:color w:val="auto"/>
              </w:rPr>
              <w:t>UFP Albuquerque, LLC</w:t>
            </w:r>
          </w:p>
        </w:tc>
        <w:tc>
          <w:tcPr>
            <w:tcW w:w="186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Michigan</w:t>
            </w:r>
          </w:p>
        </w:tc>
        <w:tc>
          <w:tcPr>
            <w:tcW w:w="344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UFP Shawnee, LLC</w:t>
            </w:r>
          </w:p>
        </w:tc>
        <w:tc>
          <w:tcPr>
            <w:tcW w:w="1560" w:type="dxa"/>
            <w:vAlign w:val="bottom"/>
            <w:gridSpan w:val="2"/>
            <w:shd w:val="clear" w:color="auto" w:fill="CCEEFF"/>
          </w:tcPr>
          <w:p>
            <w:pPr>
              <w:ind w:left="340"/>
              <w:spacing w:after="0"/>
              <w:rPr>
                <w:sz w:val="20"/>
                <w:szCs w:val="20"/>
                <w:color w:val="auto"/>
              </w:rPr>
            </w:pPr>
            <w:r>
              <w:rPr>
                <w:rFonts w:ascii="Arial" w:cs="Arial" w:eastAsia="Arial" w:hAnsi="Arial"/>
                <w:sz w:val="13"/>
                <w:szCs w:val="13"/>
                <w:color w:val="auto"/>
              </w:rPr>
              <w:t>Michigan</w:t>
            </w:r>
          </w:p>
        </w:tc>
        <w:tc>
          <w:tcPr>
            <w:tcW w:w="0" w:type="dxa"/>
            <w:vAlign w:val="bottom"/>
          </w:tcPr>
          <w:p>
            <w:pPr>
              <w:spacing w:after="0"/>
              <w:rPr>
                <w:sz w:val="1"/>
                <w:szCs w:val="1"/>
                <w:color w:val="auto"/>
              </w:rPr>
            </w:pPr>
          </w:p>
        </w:tc>
      </w:tr>
      <w:tr>
        <w:trPr>
          <w:trHeight w:val="159"/>
        </w:trPr>
        <w:tc>
          <w:tcPr>
            <w:tcW w:w="2300" w:type="dxa"/>
            <w:vAlign w:val="bottom"/>
          </w:tcPr>
          <w:p>
            <w:pPr>
              <w:spacing w:after="0"/>
              <w:rPr>
                <w:sz w:val="20"/>
                <w:szCs w:val="20"/>
                <w:color w:val="auto"/>
              </w:rPr>
            </w:pPr>
            <w:r>
              <w:rPr>
                <w:rFonts w:ascii="Arial" w:cs="Arial" w:eastAsia="Arial" w:hAnsi="Arial"/>
                <w:sz w:val="13"/>
                <w:szCs w:val="13"/>
                <w:color w:val="auto"/>
              </w:rPr>
              <w:t>UFP Altoona, LLC</w:t>
            </w:r>
          </w:p>
        </w:tc>
        <w:tc>
          <w:tcPr>
            <w:tcW w:w="1860" w:type="dxa"/>
            <w:vAlign w:val="bottom"/>
            <w:gridSpan w:val="2"/>
          </w:tcPr>
          <w:p>
            <w:pPr>
              <w:ind w:left="180"/>
              <w:spacing w:after="0"/>
              <w:rPr>
                <w:sz w:val="20"/>
                <w:szCs w:val="20"/>
                <w:color w:val="auto"/>
              </w:rPr>
            </w:pPr>
            <w:r>
              <w:rPr>
                <w:rFonts w:ascii="Arial" w:cs="Arial" w:eastAsia="Arial" w:hAnsi="Arial"/>
                <w:sz w:val="13"/>
                <w:szCs w:val="13"/>
                <w:color w:val="auto"/>
              </w:rPr>
              <w:t>Michigan</w:t>
            </w:r>
          </w:p>
        </w:tc>
        <w:tc>
          <w:tcPr>
            <w:tcW w:w="3440" w:type="dxa"/>
            <w:vAlign w:val="bottom"/>
            <w:gridSpan w:val="2"/>
          </w:tcPr>
          <w:p>
            <w:pPr>
              <w:ind w:left="180"/>
              <w:spacing w:after="0"/>
              <w:rPr>
                <w:sz w:val="20"/>
                <w:szCs w:val="20"/>
                <w:color w:val="auto"/>
              </w:rPr>
            </w:pPr>
            <w:r>
              <w:rPr>
                <w:rFonts w:ascii="Arial" w:cs="Arial" w:eastAsia="Arial" w:hAnsi="Arial"/>
                <w:sz w:val="13"/>
                <w:szCs w:val="13"/>
                <w:color w:val="auto"/>
              </w:rPr>
              <w:t>UFP Southeast, LLC</w:t>
            </w:r>
          </w:p>
        </w:tc>
        <w:tc>
          <w:tcPr>
            <w:tcW w:w="1560" w:type="dxa"/>
            <w:vAlign w:val="bottom"/>
            <w:gridSpan w:val="2"/>
          </w:tcPr>
          <w:p>
            <w:pPr>
              <w:ind w:left="340"/>
              <w:spacing w:after="0"/>
              <w:rPr>
                <w:sz w:val="20"/>
                <w:szCs w:val="20"/>
                <w:color w:val="auto"/>
              </w:rPr>
            </w:pPr>
            <w:r>
              <w:rPr>
                <w:rFonts w:ascii="Arial" w:cs="Arial" w:eastAsia="Arial" w:hAnsi="Arial"/>
                <w:sz w:val="13"/>
                <w:szCs w:val="13"/>
                <w:color w:val="auto"/>
              </w:rPr>
              <w:t>Michigan</w:t>
            </w:r>
          </w:p>
        </w:tc>
        <w:tc>
          <w:tcPr>
            <w:tcW w:w="0" w:type="dxa"/>
            <w:vAlign w:val="bottom"/>
          </w:tcPr>
          <w:p>
            <w:pPr>
              <w:spacing w:after="0"/>
              <w:rPr>
                <w:sz w:val="1"/>
                <w:szCs w:val="1"/>
                <w:color w:val="auto"/>
              </w:rPr>
            </w:pPr>
          </w:p>
        </w:tc>
      </w:tr>
      <w:tr>
        <w:trPr>
          <w:trHeight w:val="159"/>
        </w:trPr>
        <w:tc>
          <w:tcPr>
            <w:tcW w:w="2300" w:type="dxa"/>
            <w:vAlign w:val="bottom"/>
            <w:shd w:val="clear" w:color="auto" w:fill="CCEEFF"/>
          </w:tcPr>
          <w:p>
            <w:pPr>
              <w:spacing w:after="0"/>
              <w:rPr>
                <w:sz w:val="20"/>
                <w:szCs w:val="20"/>
                <w:color w:val="auto"/>
              </w:rPr>
            </w:pPr>
            <w:r>
              <w:rPr>
                <w:rFonts w:ascii="Arial" w:cs="Arial" w:eastAsia="Arial" w:hAnsi="Arial"/>
                <w:sz w:val="13"/>
                <w:szCs w:val="13"/>
                <w:color w:val="auto"/>
              </w:rPr>
              <w:t>UFP Ashburn, LLC</w:t>
            </w:r>
          </w:p>
        </w:tc>
        <w:tc>
          <w:tcPr>
            <w:tcW w:w="186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Michigan</w:t>
            </w:r>
          </w:p>
        </w:tc>
        <w:tc>
          <w:tcPr>
            <w:tcW w:w="344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UFP Southwest, LLC</w:t>
            </w:r>
          </w:p>
        </w:tc>
        <w:tc>
          <w:tcPr>
            <w:tcW w:w="1560" w:type="dxa"/>
            <w:vAlign w:val="bottom"/>
            <w:gridSpan w:val="2"/>
            <w:shd w:val="clear" w:color="auto" w:fill="CCEEFF"/>
          </w:tcPr>
          <w:p>
            <w:pPr>
              <w:ind w:left="340"/>
              <w:spacing w:after="0"/>
              <w:rPr>
                <w:sz w:val="20"/>
                <w:szCs w:val="20"/>
                <w:color w:val="auto"/>
              </w:rPr>
            </w:pPr>
            <w:r>
              <w:rPr>
                <w:rFonts w:ascii="Arial" w:cs="Arial" w:eastAsia="Arial" w:hAnsi="Arial"/>
                <w:sz w:val="13"/>
                <w:szCs w:val="13"/>
                <w:color w:val="auto"/>
              </w:rPr>
              <w:t>Michigan</w:t>
            </w:r>
          </w:p>
        </w:tc>
        <w:tc>
          <w:tcPr>
            <w:tcW w:w="0" w:type="dxa"/>
            <w:vAlign w:val="bottom"/>
          </w:tcPr>
          <w:p>
            <w:pPr>
              <w:spacing w:after="0"/>
              <w:rPr>
                <w:sz w:val="1"/>
                <w:szCs w:val="1"/>
                <w:color w:val="auto"/>
              </w:rPr>
            </w:pPr>
          </w:p>
        </w:tc>
      </w:tr>
      <w:tr>
        <w:trPr>
          <w:trHeight w:val="159"/>
        </w:trPr>
        <w:tc>
          <w:tcPr>
            <w:tcW w:w="2300" w:type="dxa"/>
            <w:vAlign w:val="bottom"/>
          </w:tcPr>
          <w:p>
            <w:pPr>
              <w:spacing w:after="0"/>
              <w:rPr>
                <w:sz w:val="20"/>
                <w:szCs w:val="20"/>
                <w:color w:val="auto"/>
              </w:rPr>
            </w:pPr>
            <w:r>
              <w:rPr>
                <w:rFonts w:ascii="Arial" w:cs="Arial" w:eastAsia="Arial" w:hAnsi="Arial"/>
                <w:sz w:val="13"/>
                <w:szCs w:val="13"/>
                <w:color w:val="auto"/>
              </w:rPr>
              <w:t>UFP Atlantic Division, LLC</w:t>
            </w:r>
          </w:p>
        </w:tc>
        <w:tc>
          <w:tcPr>
            <w:tcW w:w="1860" w:type="dxa"/>
            <w:vAlign w:val="bottom"/>
            <w:gridSpan w:val="2"/>
          </w:tcPr>
          <w:p>
            <w:pPr>
              <w:ind w:left="180"/>
              <w:spacing w:after="0"/>
              <w:rPr>
                <w:sz w:val="20"/>
                <w:szCs w:val="20"/>
                <w:color w:val="auto"/>
              </w:rPr>
            </w:pPr>
            <w:r>
              <w:rPr>
                <w:rFonts w:ascii="Arial" w:cs="Arial" w:eastAsia="Arial" w:hAnsi="Arial"/>
                <w:sz w:val="13"/>
                <w:szCs w:val="13"/>
                <w:color w:val="auto"/>
              </w:rPr>
              <w:t>Michigan</w:t>
            </w:r>
          </w:p>
        </w:tc>
        <w:tc>
          <w:tcPr>
            <w:tcW w:w="3440" w:type="dxa"/>
            <w:vAlign w:val="bottom"/>
            <w:gridSpan w:val="2"/>
          </w:tcPr>
          <w:p>
            <w:pPr>
              <w:ind w:left="180"/>
              <w:spacing w:after="0"/>
              <w:rPr>
                <w:sz w:val="20"/>
                <w:szCs w:val="20"/>
                <w:color w:val="auto"/>
              </w:rPr>
            </w:pPr>
            <w:r>
              <w:rPr>
                <w:rFonts w:ascii="Arial" w:cs="Arial" w:eastAsia="Arial" w:hAnsi="Arial"/>
                <w:sz w:val="13"/>
                <w:szCs w:val="13"/>
                <w:color w:val="auto"/>
              </w:rPr>
              <w:t>UFP Stockertown, LLC</w:t>
            </w:r>
          </w:p>
        </w:tc>
        <w:tc>
          <w:tcPr>
            <w:tcW w:w="1560" w:type="dxa"/>
            <w:vAlign w:val="bottom"/>
            <w:gridSpan w:val="2"/>
          </w:tcPr>
          <w:p>
            <w:pPr>
              <w:ind w:left="340"/>
              <w:spacing w:after="0"/>
              <w:rPr>
                <w:sz w:val="20"/>
                <w:szCs w:val="20"/>
                <w:color w:val="auto"/>
              </w:rPr>
            </w:pPr>
            <w:r>
              <w:rPr>
                <w:rFonts w:ascii="Arial" w:cs="Arial" w:eastAsia="Arial" w:hAnsi="Arial"/>
                <w:sz w:val="13"/>
                <w:szCs w:val="13"/>
                <w:color w:val="auto"/>
              </w:rPr>
              <w:t>Michigan</w:t>
            </w:r>
          </w:p>
        </w:tc>
        <w:tc>
          <w:tcPr>
            <w:tcW w:w="0" w:type="dxa"/>
            <w:vAlign w:val="bottom"/>
          </w:tcPr>
          <w:p>
            <w:pPr>
              <w:spacing w:after="0"/>
              <w:rPr>
                <w:sz w:val="1"/>
                <w:szCs w:val="1"/>
                <w:color w:val="auto"/>
              </w:rPr>
            </w:pPr>
          </w:p>
        </w:tc>
      </w:tr>
      <w:tr>
        <w:trPr>
          <w:trHeight w:val="159"/>
        </w:trPr>
        <w:tc>
          <w:tcPr>
            <w:tcW w:w="2300" w:type="dxa"/>
            <w:vAlign w:val="bottom"/>
            <w:shd w:val="clear" w:color="auto" w:fill="CCEEFF"/>
          </w:tcPr>
          <w:p>
            <w:pPr>
              <w:spacing w:after="0"/>
              <w:rPr>
                <w:sz w:val="20"/>
                <w:szCs w:val="20"/>
                <w:color w:val="auto"/>
              </w:rPr>
            </w:pPr>
            <w:r>
              <w:rPr>
                <w:rFonts w:ascii="Arial" w:cs="Arial" w:eastAsia="Arial" w:hAnsi="Arial"/>
                <w:sz w:val="13"/>
                <w:szCs w:val="13"/>
                <w:color w:val="auto"/>
              </w:rPr>
              <w:t>UFP Atlantic, LLC</w:t>
            </w:r>
          </w:p>
        </w:tc>
        <w:tc>
          <w:tcPr>
            <w:tcW w:w="186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Michigan</w:t>
            </w:r>
          </w:p>
        </w:tc>
        <w:tc>
          <w:tcPr>
            <w:tcW w:w="344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UFP Tampa, LLC</w:t>
            </w:r>
          </w:p>
        </w:tc>
        <w:tc>
          <w:tcPr>
            <w:tcW w:w="1560" w:type="dxa"/>
            <w:vAlign w:val="bottom"/>
            <w:gridSpan w:val="2"/>
            <w:shd w:val="clear" w:color="auto" w:fill="CCEEFF"/>
          </w:tcPr>
          <w:p>
            <w:pPr>
              <w:ind w:left="340"/>
              <w:spacing w:after="0"/>
              <w:rPr>
                <w:sz w:val="20"/>
                <w:szCs w:val="20"/>
                <w:color w:val="auto"/>
              </w:rPr>
            </w:pPr>
            <w:r>
              <w:rPr>
                <w:rFonts w:ascii="Arial" w:cs="Arial" w:eastAsia="Arial" w:hAnsi="Arial"/>
                <w:sz w:val="13"/>
                <w:szCs w:val="13"/>
                <w:color w:val="auto"/>
              </w:rPr>
              <w:t>Michigan</w:t>
            </w:r>
          </w:p>
        </w:tc>
        <w:tc>
          <w:tcPr>
            <w:tcW w:w="0" w:type="dxa"/>
            <w:vAlign w:val="bottom"/>
          </w:tcPr>
          <w:p>
            <w:pPr>
              <w:spacing w:after="0"/>
              <w:rPr>
                <w:sz w:val="1"/>
                <w:szCs w:val="1"/>
                <w:color w:val="auto"/>
              </w:rPr>
            </w:pPr>
          </w:p>
        </w:tc>
      </w:tr>
      <w:tr>
        <w:trPr>
          <w:trHeight w:val="162"/>
        </w:trPr>
        <w:tc>
          <w:tcPr>
            <w:tcW w:w="2300" w:type="dxa"/>
            <w:vAlign w:val="bottom"/>
          </w:tcPr>
          <w:p>
            <w:pPr>
              <w:spacing w:after="0"/>
              <w:rPr>
                <w:sz w:val="20"/>
                <w:szCs w:val="20"/>
                <w:color w:val="auto"/>
              </w:rPr>
            </w:pPr>
            <w:r>
              <w:rPr>
                <w:rFonts w:ascii="Arial" w:cs="Arial" w:eastAsia="Arial" w:hAnsi="Arial"/>
                <w:sz w:val="13"/>
                <w:szCs w:val="13"/>
                <w:color w:val="auto"/>
              </w:rPr>
              <w:t>UFP Auburndale, LLC</w:t>
            </w:r>
          </w:p>
        </w:tc>
        <w:tc>
          <w:tcPr>
            <w:tcW w:w="1860" w:type="dxa"/>
            <w:vAlign w:val="bottom"/>
            <w:gridSpan w:val="2"/>
          </w:tcPr>
          <w:p>
            <w:pPr>
              <w:ind w:left="180"/>
              <w:spacing w:after="0"/>
              <w:rPr>
                <w:sz w:val="20"/>
                <w:szCs w:val="20"/>
                <w:color w:val="auto"/>
              </w:rPr>
            </w:pPr>
            <w:r>
              <w:rPr>
                <w:rFonts w:ascii="Arial" w:cs="Arial" w:eastAsia="Arial" w:hAnsi="Arial"/>
                <w:sz w:val="13"/>
                <w:szCs w:val="13"/>
                <w:color w:val="auto"/>
              </w:rPr>
              <w:t>Michigan</w:t>
            </w:r>
          </w:p>
        </w:tc>
        <w:tc>
          <w:tcPr>
            <w:tcW w:w="3440" w:type="dxa"/>
            <w:vAlign w:val="bottom"/>
            <w:gridSpan w:val="2"/>
          </w:tcPr>
          <w:p>
            <w:pPr>
              <w:ind w:left="180"/>
              <w:spacing w:after="0"/>
              <w:rPr>
                <w:sz w:val="20"/>
                <w:szCs w:val="20"/>
                <w:color w:val="auto"/>
              </w:rPr>
            </w:pPr>
            <w:r>
              <w:rPr>
                <w:rFonts w:ascii="Arial" w:cs="Arial" w:eastAsia="Arial" w:hAnsi="Arial"/>
                <w:sz w:val="13"/>
                <w:szCs w:val="13"/>
                <w:color w:val="auto"/>
              </w:rPr>
              <w:t>UFP Thomaston, LLC</w:t>
            </w:r>
          </w:p>
        </w:tc>
        <w:tc>
          <w:tcPr>
            <w:tcW w:w="1560" w:type="dxa"/>
            <w:vAlign w:val="bottom"/>
            <w:gridSpan w:val="2"/>
          </w:tcPr>
          <w:p>
            <w:pPr>
              <w:ind w:left="340"/>
              <w:spacing w:after="0"/>
              <w:rPr>
                <w:sz w:val="20"/>
                <w:szCs w:val="20"/>
                <w:color w:val="auto"/>
              </w:rPr>
            </w:pPr>
            <w:r>
              <w:rPr>
                <w:rFonts w:ascii="Arial" w:cs="Arial" w:eastAsia="Arial" w:hAnsi="Arial"/>
                <w:sz w:val="13"/>
                <w:szCs w:val="13"/>
                <w:color w:val="auto"/>
              </w:rPr>
              <w:t>Michigan</w:t>
            </w:r>
          </w:p>
        </w:tc>
        <w:tc>
          <w:tcPr>
            <w:tcW w:w="0" w:type="dxa"/>
            <w:vAlign w:val="bottom"/>
          </w:tcPr>
          <w:p>
            <w:pPr>
              <w:spacing w:after="0"/>
              <w:rPr>
                <w:sz w:val="1"/>
                <w:szCs w:val="1"/>
                <w:color w:val="auto"/>
              </w:rPr>
            </w:pPr>
          </w:p>
        </w:tc>
      </w:tr>
      <w:tr>
        <w:trPr>
          <w:trHeight w:val="180"/>
        </w:trPr>
        <w:tc>
          <w:tcPr>
            <w:tcW w:w="23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spacing w:after="0"/>
              <w:rPr>
                <w:sz w:val="15"/>
                <w:szCs w:val="15"/>
                <w:color w:val="auto"/>
              </w:rPr>
            </w:pPr>
          </w:p>
        </w:tc>
        <w:tc>
          <w:tcPr>
            <w:tcW w:w="2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ectPr>
          <w:pgSz w:w="11900" w:h="16838" w:orient="portrait"/>
          <w:cols w:equalWidth="0" w:num="1">
            <w:col w:w="9160"/>
          </w:cols>
          <w:pgMar w:left="1400" w:top="118" w:right="1339" w:bottom="1440" w:gutter="0" w:footer="0" w:header="0"/>
        </w:sectPr>
      </w:pPr>
    </w:p>
    <w:bookmarkStart w:id="103" w:name="page104"/>
    <w:bookmarkEnd w:id="10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120" w:type="dxa"/>
            <w:vAlign w:val="bottom"/>
            <w:shd w:val="clear" w:color="auto" w:fill="CCEEFF"/>
          </w:tcPr>
          <w:p>
            <w:pPr>
              <w:spacing w:after="0"/>
              <w:rPr>
                <w:sz w:val="20"/>
                <w:szCs w:val="20"/>
                <w:color w:val="auto"/>
              </w:rPr>
            </w:pPr>
            <w:r>
              <w:rPr>
                <w:rFonts w:ascii="Arial" w:cs="Arial" w:eastAsia="Arial" w:hAnsi="Arial"/>
                <w:sz w:val="13"/>
                <w:szCs w:val="13"/>
                <w:color w:val="auto"/>
              </w:rPr>
              <w:t>UFP Aurora, LLC</w:t>
            </w:r>
          </w:p>
        </w:tc>
        <w:tc>
          <w:tcPr>
            <w:tcW w:w="1540" w:type="dxa"/>
            <w:vAlign w:val="bottom"/>
            <w:shd w:val="clear" w:color="auto" w:fill="CCEEFF"/>
          </w:tcPr>
          <w:p>
            <w:pPr>
              <w:ind w:left="360"/>
              <w:spacing w:after="0"/>
              <w:rPr>
                <w:sz w:val="20"/>
                <w:szCs w:val="20"/>
                <w:color w:val="auto"/>
              </w:rPr>
            </w:pPr>
            <w:r>
              <w:rPr>
                <w:rFonts w:ascii="Arial" w:cs="Arial" w:eastAsia="Arial" w:hAnsi="Arial"/>
                <w:sz w:val="13"/>
                <w:szCs w:val="13"/>
                <w:color w:val="auto"/>
              </w:rPr>
              <w:t>Michigan</w:t>
            </w:r>
          </w:p>
        </w:tc>
        <w:tc>
          <w:tcPr>
            <w:tcW w:w="4200" w:type="dxa"/>
            <w:vAlign w:val="bottom"/>
            <w:shd w:val="clear" w:color="auto" w:fill="CCEEFF"/>
          </w:tcPr>
          <w:p>
            <w:pPr>
              <w:ind w:left="680"/>
              <w:spacing w:after="0"/>
              <w:rPr>
                <w:sz w:val="20"/>
                <w:szCs w:val="20"/>
                <w:color w:val="auto"/>
              </w:rPr>
            </w:pPr>
            <w:r>
              <w:rPr>
                <w:rFonts w:ascii="Arial" w:cs="Arial" w:eastAsia="Arial" w:hAnsi="Arial"/>
                <w:sz w:val="13"/>
                <w:szCs w:val="13"/>
                <w:color w:val="auto"/>
              </w:rPr>
              <w:t>UFP Thornton, LLC</w:t>
            </w:r>
          </w:p>
        </w:tc>
        <w:tc>
          <w:tcPr>
            <w:tcW w:w="130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Michigan</w:t>
            </w:r>
          </w:p>
        </w:tc>
      </w:tr>
      <w:tr>
        <w:trPr>
          <w:trHeight w:val="159"/>
        </w:trPr>
        <w:tc>
          <w:tcPr>
            <w:tcW w:w="2120" w:type="dxa"/>
            <w:vAlign w:val="bottom"/>
          </w:tcPr>
          <w:p>
            <w:pPr>
              <w:spacing w:after="0"/>
              <w:rPr>
                <w:sz w:val="20"/>
                <w:szCs w:val="20"/>
                <w:color w:val="auto"/>
              </w:rPr>
            </w:pPr>
            <w:r>
              <w:rPr>
                <w:rFonts w:ascii="Arial" w:cs="Arial" w:eastAsia="Arial" w:hAnsi="Arial"/>
                <w:sz w:val="13"/>
                <w:szCs w:val="13"/>
                <w:color w:val="auto"/>
              </w:rPr>
              <w:t>UFP Australia Pty Ltd</w:t>
            </w:r>
          </w:p>
        </w:tc>
        <w:tc>
          <w:tcPr>
            <w:tcW w:w="1540" w:type="dxa"/>
            <w:vAlign w:val="bottom"/>
          </w:tcPr>
          <w:p>
            <w:pPr>
              <w:ind w:left="360"/>
              <w:spacing w:after="0"/>
              <w:rPr>
                <w:sz w:val="20"/>
                <w:szCs w:val="20"/>
                <w:color w:val="auto"/>
              </w:rPr>
            </w:pPr>
            <w:r>
              <w:rPr>
                <w:rFonts w:ascii="Arial" w:cs="Arial" w:eastAsia="Arial" w:hAnsi="Arial"/>
                <w:sz w:val="13"/>
                <w:szCs w:val="13"/>
                <w:color w:val="auto"/>
              </w:rPr>
              <w:t>Australia</w:t>
            </w:r>
          </w:p>
        </w:tc>
        <w:tc>
          <w:tcPr>
            <w:tcW w:w="4200" w:type="dxa"/>
            <w:vAlign w:val="bottom"/>
          </w:tcPr>
          <w:p>
            <w:pPr>
              <w:ind w:left="680"/>
              <w:spacing w:after="0"/>
              <w:rPr>
                <w:sz w:val="20"/>
                <w:szCs w:val="20"/>
                <w:color w:val="auto"/>
              </w:rPr>
            </w:pPr>
            <w:r>
              <w:rPr>
                <w:rFonts w:ascii="Arial" w:cs="Arial" w:eastAsia="Arial" w:hAnsi="Arial"/>
                <w:sz w:val="13"/>
                <w:szCs w:val="13"/>
                <w:color w:val="auto"/>
              </w:rPr>
              <w:t>UFP Transportation, Inc.</w:t>
            </w:r>
          </w:p>
        </w:tc>
        <w:tc>
          <w:tcPr>
            <w:tcW w:w="1300" w:type="dxa"/>
            <w:vAlign w:val="bottom"/>
            <w:gridSpan w:val="2"/>
          </w:tcPr>
          <w:p>
            <w:pPr>
              <w:ind w:left="80"/>
              <w:spacing w:after="0"/>
              <w:rPr>
                <w:sz w:val="20"/>
                <w:szCs w:val="20"/>
                <w:color w:val="auto"/>
              </w:rPr>
            </w:pPr>
            <w:r>
              <w:rPr>
                <w:rFonts w:ascii="Arial" w:cs="Arial" w:eastAsia="Arial" w:hAnsi="Arial"/>
                <w:sz w:val="13"/>
                <w:szCs w:val="13"/>
                <w:color w:val="auto"/>
              </w:rPr>
              <w:t>Michigan</w:t>
            </w:r>
          </w:p>
        </w:tc>
      </w:tr>
      <w:tr>
        <w:trPr>
          <w:trHeight w:val="159"/>
        </w:trPr>
        <w:tc>
          <w:tcPr>
            <w:tcW w:w="2120" w:type="dxa"/>
            <w:vAlign w:val="bottom"/>
            <w:shd w:val="clear" w:color="auto" w:fill="CCEEFF"/>
          </w:tcPr>
          <w:p>
            <w:pPr>
              <w:spacing w:after="0"/>
              <w:rPr>
                <w:sz w:val="20"/>
                <w:szCs w:val="20"/>
                <w:color w:val="auto"/>
              </w:rPr>
            </w:pPr>
            <w:r>
              <w:rPr>
                <w:rFonts w:ascii="Arial" w:cs="Arial" w:eastAsia="Arial" w:hAnsi="Arial"/>
                <w:sz w:val="13"/>
                <w:szCs w:val="13"/>
                <w:color w:val="auto"/>
              </w:rPr>
              <w:t>UFP Australia Real Estate Pty Ltd</w:t>
            </w:r>
          </w:p>
        </w:tc>
        <w:tc>
          <w:tcPr>
            <w:tcW w:w="1540" w:type="dxa"/>
            <w:vAlign w:val="bottom"/>
            <w:shd w:val="clear" w:color="auto" w:fill="CCEEFF"/>
          </w:tcPr>
          <w:p>
            <w:pPr>
              <w:ind w:left="360"/>
              <w:spacing w:after="0"/>
              <w:rPr>
                <w:sz w:val="20"/>
                <w:szCs w:val="20"/>
                <w:color w:val="auto"/>
              </w:rPr>
            </w:pPr>
            <w:r>
              <w:rPr>
                <w:rFonts w:ascii="Arial" w:cs="Arial" w:eastAsia="Arial" w:hAnsi="Arial"/>
                <w:sz w:val="13"/>
                <w:szCs w:val="13"/>
                <w:color w:val="auto"/>
              </w:rPr>
              <w:t>Australia</w:t>
            </w:r>
          </w:p>
        </w:tc>
        <w:tc>
          <w:tcPr>
            <w:tcW w:w="4200" w:type="dxa"/>
            <w:vAlign w:val="bottom"/>
            <w:shd w:val="clear" w:color="auto" w:fill="CCEEFF"/>
          </w:tcPr>
          <w:p>
            <w:pPr>
              <w:ind w:left="680"/>
              <w:spacing w:after="0"/>
              <w:rPr>
                <w:sz w:val="20"/>
                <w:szCs w:val="20"/>
                <w:color w:val="auto"/>
              </w:rPr>
            </w:pPr>
            <w:r>
              <w:rPr>
                <w:rFonts w:ascii="Arial" w:cs="Arial" w:eastAsia="Arial" w:hAnsi="Arial"/>
                <w:sz w:val="13"/>
                <w:szCs w:val="13"/>
                <w:color w:val="auto"/>
              </w:rPr>
              <w:t>UFP Union City, LLC</w:t>
            </w:r>
          </w:p>
        </w:tc>
        <w:tc>
          <w:tcPr>
            <w:tcW w:w="130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Michigan</w:t>
            </w:r>
          </w:p>
        </w:tc>
      </w:tr>
      <w:tr>
        <w:trPr>
          <w:trHeight w:val="159"/>
        </w:trPr>
        <w:tc>
          <w:tcPr>
            <w:tcW w:w="2120" w:type="dxa"/>
            <w:vAlign w:val="bottom"/>
          </w:tcPr>
          <w:p>
            <w:pPr>
              <w:spacing w:after="0"/>
              <w:rPr>
                <w:sz w:val="20"/>
                <w:szCs w:val="20"/>
                <w:color w:val="auto"/>
              </w:rPr>
            </w:pPr>
            <w:r>
              <w:rPr>
                <w:rFonts w:ascii="Arial" w:cs="Arial" w:eastAsia="Arial" w:hAnsi="Arial"/>
                <w:sz w:val="13"/>
                <w:szCs w:val="13"/>
                <w:color w:val="auto"/>
              </w:rPr>
              <w:t>UFP Barnesville, LLC</w:t>
            </w:r>
          </w:p>
        </w:tc>
        <w:tc>
          <w:tcPr>
            <w:tcW w:w="1540" w:type="dxa"/>
            <w:vAlign w:val="bottom"/>
          </w:tcPr>
          <w:p>
            <w:pPr>
              <w:ind w:left="360"/>
              <w:spacing w:after="0"/>
              <w:rPr>
                <w:sz w:val="20"/>
                <w:szCs w:val="20"/>
                <w:color w:val="auto"/>
              </w:rPr>
            </w:pPr>
            <w:r>
              <w:rPr>
                <w:rFonts w:ascii="Arial" w:cs="Arial" w:eastAsia="Arial" w:hAnsi="Arial"/>
                <w:sz w:val="13"/>
                <w:szCs w:val="13"/>
                <w:color w:val="auto"/>
              </w:rPr>
              <w:t>Michigan</w:t>
            </w:r>
          </w:p>
        </w:tc>
        <w:tc>
          <w:tcPr>
            <w:tcW w:w="4200" w:type="dxa"/>
            <w:vAlign w:val="bottom"/>
          </w:tcPr>
          <w:p>
            <w:pPr>
              <w:ind w:left="680"/>
              <w:spacing w:after="0"/>
              <w:rPr>
                <w:sz w:val="20"/>
                <w:szCs w:val="20"/>
                <w:color w:val="auto"/>
              </w:rPr>
            </w:pPr>
            <w:r>
              <w:rPr>
                <w:rFonts w:ascii="Arial" w:cs="Arial" w:eastAsia="Arial" w:hAnsi="Arial"/>
                <w:sz w:val="13"/>
                <w:szCs w:val="13"/>
                <w:color w:val="auto"/>
              </w:rPr>
              <w:t>UFP Ventures II, Inc.</w:t>
            </w:r>
          </w:p>
        </w:tc>
        <w:tc>
          <w:tcPr>
            <w:tcW w:w="1300" w:type="dxa"/>
            <w:vAlign w:val="bottom"/>
            <w:gridSpan w:val="2"/>
          </w:tcPr>
          <w:p>
            <w:pPr>
              <w:ind w:left="80"/>
              <w:spacing w:after="0"/>
              <w:rPr>
                <w:sz w:val="20"/>
                <w:szCs w:val="20"/>
                <w:color w:val="auto"/>
              </w:rPr>
            </w:pPr>
            <w:r>
              <w:rPr>
                <w:rFonts w:ascii="Arial" w:cs="Arial" w:eastAsia="Arial" w:hAnsi="Arial"/>
                <w:sz w:val="13"/>
                <w:szCs w:val="13"/>
                <w:color w:val="auto"/>
              </w:rPr>
              <w:t>Michigan</w:t>
            </w:r>
          </w:p>
        </w:tc>
      </w:tr>
      <w:tr>
        <w:trPr>
          <w:trHeight w:val="159"/>
        </w:trPr>
        <w:tc>
          <w:tcPr>
            <w:tcW w:w="2120" w:type="dxa"/>
            <w:vAlign w:val="bottom"/>
            <w:shd w:val="clear" w:color="auto" w:fill="CCEEFF"/>
          </w:tcPr>
          <w:p>
            <w:pPr>
              <w:spacing w:after="0"/>
              <w:rPr>
                <w:sz w:val="20"/>
                <w:szCs w:val="20"/>
                <w:color w:val="auto"/>
              </w:rPr>
            </w:pPr>
            <w:r>
              <w:rPr>
                <w:rFonts w:ascii="Arial" w:cs="Arial" w:eastAsia="Arial" w:hAnsi="Arial"/>
                <w:sz w:val="13"/>
                <w:szCs w:val="13"/>
                <w:color w:val="auto"/>
              </w:rPr>
              <w:t>UFP Belchertown, LLC</w:t>
            </w:r>
          </w:p>
        </w:tc>
        <w:tc>
          <w:tcPr>
            <w:tcW w:w="1540" w:type="dxa"/>
            <w:vAlign w:val="bottom"/>
            <w:shd w:val="clear" w:color="auto" w:fill="CCEEFF"/>
          </w:tcPr>
          <w:p>
            <w:pPr>
              <w:ind w:left="360"/>
              <w:spacing w:after="0"/>
              <w:rPr>
                <w:sz w:val="20"/>
                <w:szCs w:val="20"/>
                <w:color w:val="auto"/>
              </w:rPr>
            </w:pPr>
            <w:r>
              <w:rPr>
                <w:rFonts w:ascii="Arial" w:cs="Arial" w:eastAsia="Arial" w:hAnsi="Arial"/>
                <w:sz w:val="13"/>
                <w:szCs w:val="13"/>
                <w:color w:val="auto"/>
              </w:rPr>
              <w:t>Michigan</w:t>
            </w:r>
          </w:p>
        </w:tc>
        <w:tc>
          <w:tcPr>
            <w:tcW w:w="4200" w:type="dxa"/>
            <w:vAlign w:val="bottom"/>
            <w:shd w:val="clear" w:color="auto" w:fill="CCEEFF"/>
          </w:tcPr>
          <w:p>
            <w:pPr>
              <w:ind w:left="680"/>
              <w:spacing w:after="0"/>
              <w:rPr>
                <w:sz w:val="20"/>
                <w:szCs w:val="20"/>
                <w:color w:val="auto"/>
              </w:rPr>
            </w:pPr>
            <w:r>
              <w:rPr>
                <w:rFonts w:ascii="Arial" w:cs="Arial" w:eastAsia="Arial" w:hAnsi="Arial"/>
                <w:sz w:val="13"/>
                <w:szCs w:val="13"/>
                <w:color w:val="auto"/>
              </w:rPr>
              <w:t>UFP Warranty Corporation</w:t>
            </w:r>
          </w:p>
        </w:tc>
        <w:tc>
          <w:tcPr>
            <w:tcW w:w="130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Michigan</w:t>
            </w:r>
          </w:p>
        </w:tc>
      </w:tr>
      <w:tr>
        <w:trPr>
          <w:trHeight w:val="159"/>
        </w:trPr>
        <w:tc>
          <w:tcPr>
            <w:tcW w:w="2120" w:type="dxa"/>
            <w:vAlign w:val="bottom"/>
          </w:tcPr>
          <w:p>
            <w:pPr>
              <w:spacing w:after="0"/>
              <w:rPr>
                <w:sz w:val="20"/>
                <w:szCs w:val="20"/>
                <w:color w:val="auto"/>
              </w:rPr>
            </w:pPr>
            <w:r>
              <w:rPr>
                <w:rFonts w:ascii="Arial" w:cs="Arial" w:eastAsia="Arial" w:hAnsi="Arial"/>
                <w:sz w:val="13"/>
                <w:szCs w:val="13"/>
                <w:color w:val="auto"/>
              </w:rPr>
              <w:t>UFP Berlin, LLC</w:t>
            </w:r>
          </w:p>
        </w:tc>
        <w:tc>
          <w:tcPr>
            <w:tcW w:w="1540" w:type="dxa"/>
            <w:vAlign w:val="bottom"/>
          </w:tcPr>
          <w:p>
            <w:pPr>
              <w:ind w:left="360"/>
              <w:spacing w:after="0"/>
              <w:rPr>
                <w:sz w:val="20"/>
                <w:szCs w:val="20"/>
                <w:color w:val="auto"/>
              </w:rPr>
            </w:pPr>
            <w:r>
              <w:rPr>
                <w:rFonts w:ascii="Arial" w:cs="Arial" w:eastAsia="Arial" w:hAnsi="Arial"/>
                <w:sz w:val="13"/>
                <w:szCs w:val="13"/>
                <w:color w:val="auto"/>
              </w:rPr>
              <w:t>Michigan</w:t>
            </w:r>
          </w:p>
        </w:tc>
        <w:tc>
          <w:tcPr>
            <w:tcW w:w="4200" w:type="dxa"/>
            <w:vAlign w:val="bottom"/>
          </w:tcPr>
          <w:p>
            <w:pPr>
              <w:ind w:left="680"/>
              <w:spacing w:after="0"/>
              <w:rPr>
                <w:sz w:val="20"/>
                <w:szCs w:val="20"/>
                <w:color w:val="auto"/>
              </w:rPr>
            </w:pPr>
            <w:r>
              <w:rPr>
                <w:rFonts w:ascii="Arial" w:cs="Arial" w:eastAsia="Arial" w:hAnsi="Arial"/>
                <w:sz w:val="13"/>
                <w:szCs w:val="13"/>
                <w:color w:val="auto"/>
              </w:rPr>
              <w:t>UFP Warrens, LLC</w:t>
            </w:r>
          </w:p>
        </w:tc>
        <w:tc>
          <w:tcPr>
            <w:tcW w:w="1300" w:type="dxa"/>
            <w:vAlign w:val="bottom"/>
            <w:gridSpan w:val="2"/>
          </w:tcPr>
          <w:p>
            <w:pPr>
              <w:ind w:left="80"/>
              <w:spacing w:after="0"/>
              <w:rPr>
                <w:sz w:val="20"/>
                <w:szCs w:val="20"/>
                <w:color w:val="auto"/>
              </w:rPr>
            </w:pPr>
            <w:r>
              <w:rPr>
                <w:rFonts w:ascii="Arial" w:cs="Arial" w:eastAsia="Arial" w:hAnsi="Arial"/>
                <w:sz w:val="13"/>
                <w:szCs w:val="13"/>
                <w:color w:val="auto"/>
              </w:rPr>
              <w:t>Michigan</w:t>
            </w:r>
          </w:p>
        </w:tc>
      </w:tr>
      <w:tr>
        <w:trPr>
          <w:trHeight w:val="159"/>
        </w:trPr>
        <w:tc>
          <w:tcPr>
            <w:tcW w:w="2120" w:type="dxa"/>
            <w:vAlign w:val="bottom"/>
            <w:shd w:val="clear" w:color="auto" w:fill="CCEEFF"/>
          </w:tcPr>
          <w:p>
            <w:pPr>
              <w:spacing w:after="0"/>
              <w:rPr>
                <w:sz w:val="20"/>
                <w:szCs w:val="20"/>
                <w:color w:val="auto"/>
              </w:rPr>
            </w:pPr>
            <w:r>
              <w:rPr>
                <w:rFonts w:ascii="Arial" w:cs="Arial" w:eastAsia="Arial" w:hAnsi="Arial"/>
                <w:sz w:val="13"/>
                <w:szCs w:val="13"/>
                <w:color w:val="auto"/>
              </w:rPr>
              <w:t>UFP Biscoe, LLC</w:t>
            </w:r>
          </w:p>
        </w:tc>
        <w:tc>
          <w:tcPr>
            <w:tcW w:w="1540" w:type="dxa"/>
            <w:vAlign w:val="bottom"/>
            <w:shd w:val="clear" w:color="auto" w:fill="CCEEFF"/>
          </w:tcPr>
          <w:p>
            <w:pPr>
              <w:ind w:left="360"/>
              <w:spacing w:after="0"/>
              <w:rPr>
                <w:sz w:val="20"/>
                <w:szCs w:val="20"/>
                <w:color w:val="auto"/>
              </w:rPr>
            </w:pPr>
            <w:r>
              <w:rPr>
                <w:rFonts w:ascii="Arial" w:cs="Arial" w:eastAsia="Arial" w:hAnsi="Arial"/>
                <w:sz w:val="13"/>
                <w:szCs w:val="13"/>
                <w:color w:val="auto"/>
              </w:rPr>
              <w:t>Michigan</w:t>
            </w:r>
          </w:p>
        </w:tc>
        <w:tc>
          <w:tcPr>
            <w:tcW w:w="4200" w:type="dxa"/>
            <w:vAlign w:val="bottom"/>
            <w:shd w:val="clear" w:color="auto" w:fill="CCEEFF"/>
          </w:tcPr>
          <w:p>
            <w:pPr>
              <w:ind w:left="680"/>
              <w:spacing w:after="0"/>
              <w:rPr>
                <w:sz w:val="20"/>
                <w:szCs w:val="20"/>
                <w:color w:val="auto"/>
              </w:rPr>
            </w:pPr>
            <w:r>
              <w:rPr>
                <w:rFonts w:ascii="Arial" w:cs="Arial" w:eastAsia="Arial" w:hAnsi="Arial"/>
                <w:sz w:val="13"/>
                <w:szCs w:val="13"/>
                <w:color w:val="auto"/>
              </w:rPr>
              <w:t>UFP Washington, LLC</w:t>
            </w:r>
          </w:p>
        </w:tc>
        <w:tc>
          <w:tcPr>
            <w:tcW w:w="130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Michigan</w:t>
            </w:r>
          </w:p>
        </w:tc>
      </w:tr>
      <w:tr>
        <w:trPr>
          <w:trHeight w:val="159"/>
        </w:trPr>
        <w:tc>
          <w:tcPr>
            <w:tcW w:w="2120" w:type="dxa"/>
            <w:vAlign w:val="bottom"/>
          </w:tcPr>
          <w:p>
            <w:pPr>
              <w:spacing w:after="0"/>
              <w:rPr>
                <w:sz w:val="20"/>
                <w:szCs w:val="20"/>
                <w:color w:val="auto"/>
              </w:rPr>
            </w:pPr>
            <w:r>
              <w:rPr>
                <w:rFonts w:ascii="Arial" w:cs="Arial" w:eastAsia="Arial" w:hAnsi="Arial"/>
                <w:sz w:val="13"/>
                <w:szCs w:val="13"/>
                <w:color w:val="auto"/>
              </w:rPr>
              <w:t>UFP Blanchester, LLC</w:t>
            </w:r>
          </w:p>
        </w:tc>
        <w:tc>
          <w:tcPr>
            <w:tcW w:w="1540" w:type="dxa"/>
            <w:vAlign w:val="bottom"/>
          </w:tcPr>
          <w:p>
            <w:pPr>
              <w:ind w:left="360"/>
              <w:spacing w:after="0"/>
              <w:rPr>
                <w:sz w:val="20"/>
                <w:szCs w:val="20"/>
                <w:color w:val="auto"/>
              </w:rPr>
            </w:pPr>
            <w:r>
              <w:rPr>
                <w:rFonts w:ascii="Arial" w:cs="Arial" w:eastAsia="Arial" w:hAnsi="Arial"/>
                <w:sz w:val="13"/>
                <w:szCs w:val="13"/>
                <w:color w:val="auto"/>
              </w:rPr>
              <w:t>Michigan</w:t>
            </w:r>
          </w:p>
        </w:tc>
        <w:tc>
          <w:tcPr>
            <w:tcW w:w="4200" w:type="dxa"/>
            <w:vAlign w:val="bottom"/>
          </w:tcPr>
          <w:p>
            <w:pPr>
              <w:ind w:left="680"/>
              <w:spacing w:after="0"/>
              <w:rPr>
                <w:sz w:val="20"/>
                <w:szCs w:val="20"/>
                <w:color w:val="auto"/>
              </w:rPr>
            </w:pPr>
            <w:r>
              <w:rPr>
                <w:rFonts w:ascii="Arial" w:cs="Arial" w:eastAsia="Arial" w:hAnsi="Arial"/>
                <w:sz w:val="13"/>
                <w:szCs w:val="13"/>
                <w:color w:val="auto"/>
              </w:rPr>
              <w:t>UFP Western Division, Inc.</w:t>
            </w:r>
          </w:p>
        </w:tc>
        <w:tc>
          <w:tcPr>
            <w:tcW w:w="1300" w:type="dxa"/>
            <w:vAlign w:val="bottom"/>
            <w:gridSpan w:val="2"/>
          </w:tcPr>
          <w:p>
            <w:pPr>
              <w:ind w:left="80"/>
              <w:spacing w:after="0"/>
              <w:rPr>
                <w:sz w:val="20"/>
                <w:szCs w:val="20"/>
                <w:color w:val="auto"/>
              </w:rPr>
            </w:pPr>
            <w:r>
              <w:rPr>
                <w:rFonts w:ascii="Arial" w:cs="Arial" w:eastAsia="Arial" w:hAnsi="Arial"/>
                <w:sz w:val="13"/>
                <w:szCs w:val="13"/>
                <w:color w:val="auto"/>
              </w:rPr>
              <w:t>Michigan</w:t>
            </w:r>
          </w:p>
        </w:tc>
      </w:tr>
      <w:tr>
        <w:trPr>
          <w:trHeight w:val="159"/>
        </w:trPr>
        <w:tc>
          <w:tcPr>
            <w:tcW w:w="2120" w:type="dxa"/>
            <w:vAlign w:val="bottom"/>
            <w:shd w:val="clear" w:color="auto" w:fill="CCEEFF"/>
          </w:tcPr>
          <w:p>
            <w:pPr>
              <w:spacing w:after="0"/>
              <w:rPr>
                <w:sz w:val="20"/>
                <w:szCs w:val="20"/>
                <w:color w:val="auto"/>
              </w:rPr>
            </w:pPr>
            <w:r>
              <w:rPr>
                <w:rFonts w:ascii="Arial" w:cs="Arial" w:eastAsia="Arial" w:hAnsi="Arial"/>
                <w:sz w:val="13"/>
                <w:szCs w:val="13"/>
                <w:color w:val="auto"/>
              </w:rPr>
              <w:t>UFP Caldwell, LLC</w:t>
            </w:r>
          </w:p>
        </w:tc>
        <w:tc>
          <w:tcPr>
            <w:tcW w:w="1540" w:type="dxa"/>
            <w:vAlign w:val="bottom"/>
            <w:shd w:val="clear" w:color="auto" w:fill="CCEEFF"/>
          </w:tcPr>
          <w:p>
            <w:pPr>
              <w:ind w:left="360"/>
              <w:spacing w:after="0"/>
              <w:rPr>
                <w:sz w:val="20"/>
                <w:szCs w:val="20"/>
                <w:color w:val="auto"/>
              </w:rPr>
            </w:pPr>
            <w:r>
              <w:rPr>
                <w:rFonts w:ascii="Arial" w:cs="Arial" w:eastAsia="Arial" w:hAnsi="Arial"/>
                <w:sz w:val="13"/>
                <w:szCs w:val="13"/>
                <w:color w:val="auto"/>
              </w:rPr>
              <w:t>Michigan</w:t>
            </w:r>
          </w:p>
        </w:tc>
        <w:tc>
          <w:tcPr>
            <w:tcW w:w="4200" w:type="dxa"/>
            <w:vAlign w:val="bottom"/>
            <w:shd w:val="clear" w:color="auto" w:fill="CCEEFF"/>
          </w:tcPr>
          <w:p>
            <w:pPr>
              <w:ind w:left="680"/>
              <w:spacing w:after="0"/>
              <w:rPr>
                <w:sz w:val="20"/>
                <w:szCs w:val="20"/>
                <w:color w:val="auto"/>
              </w:rPr>
            </w:pPr>
            <w:r>
              <w:rPr>
                <w:rFonts w:ascii="Arial" w:cs="Arial" w:eastAsia="Arial" w:hAnsi="Arial"/>
                <w:sz w:val="13"/>
                <w:szCs w:val="13"/>
                <w:color w:val="auto"/>
              </w:rPr>
              <w:t>UFP White Bear Lake, LLC</w:t>
            </w:r>
          </w:p>
        </w:tc>
        <w:tc>
          <w:tcPr>
            <w:tcW w:w="130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Michigan</w:t>
            </w:r>
          </w:p>
        </w:tc>
      </w:tr>
      <w:tr>
        <w:trPr>
          <w:trHeight w:val="159"/>
        </w:trPr>
        <w:tc>
          <w:tcPr>
            <w:tcW w:w="2120" w:type="dxa"/>
            <w:vAlign w:val="bottom"/>
          </w:tcPr>
          <w:p>
            <w:pPr>
              <w:spacing w:after="0"/>
              <w:rPr>
                <w:sz w:val="20"/>
                <w:szCs w:val="20"/>
                <w:color w:val="auto"/>
              </w:rPr>
            </w:pPr>
            <w:r>
              <w:rPr>
                <w:rFonts w:ascii="Arial" w:cs="Arial" w:eastAsia="Arial" w:hAnsi="Arial"/>
                <w:sz w:val="13"/>
                <w:szCs w:val="13"/>
                <w:color w:val="auto"/>
              </w:rPr>
              <w:t>UFP Canada, Inc.</w:t>
            </w:r>
          </w:p>
        </w:tc>
        <w:tc>
          <w:tcPr>
            <w:tcW w:w="1540" w:type="dxa"/>
            <w:vAlign w:val="bottom"/>
          </w:tcPr>
          <w:p>
            <w:pPr>
              <w:ind w:left="360"/>
              <w:spacing w:after="0"/>
              <w:rPr>
                <w:sz w:val="20"/>
                <w:szCs w:val="20"/>
                <w:color w:val="auto"/>
              </w:rPr>
            </w:pPr>
            <w:r>
              <w:rPr>
                <w:rFonts w:ascii="Arial" w:cs="Arial" w:eastAsia="Arial" w:hAnsi="Arial"/>
                <w:sz w:val="13"/>
                <w:szCs w:val="13"/>
                <w:color w:val="auto"/>
              </w:rPr>
              <w:t>Canada</w:t>
            </w:r>
          </w:p>
        </w:tc>
        <w:tc>
          <w:tcPr>
            <w:tcW w:w="4200" w:type="dxa"/>
            <w:vAlign w:val="bottom"/>
          </w:tcPr>
          <w:p>
            <w:pPr>
              <w:ind w:left="680"/>
              <w:spacing w:after="0"/>
              <w:rPr>
                <w:sz w:val="20"/>
                <w:szCs w:val="20"/>
                <w:color w:val="auto"/>
              </w:rPr>
            </w:pPr>
            <w:r>
              <w:rPr>
                <w:rFonts w:ascii="Arial" w:cs="Arial" w:eastAsia="Arial" w:hAnsi="Arial"/>
                <w:sz w:val="13"/>
                <w:szCs w:val="13"/>
                <w:color w:val="auto"/>
              </w:rPr>
              <w:t>UFP Windsor, LLC</w:t>
            </w:r>
          </w:p>
        </w:tc>
        <w:tc>
          <w:tcPr>
            <w:tcW w:w="1300" w:type="dxa"/>
            <w:vAlign w:val="bottom"/>
            <w:gridSpan w:val="2"/>
          </w:tcPr>
          <w:p>
            <w:pPr>
              <w:ind w:left="80"/>
              <w:spacing w:after="0"/>
              <w:rPr>
                <w:sz w:val="20"/>
                <w:szCs w:val="20"/>
                <w:color w:val="auto"/>
              </w:rPr>
            </w:pPr>
            <w:r>
              <w:rPr>
                <w:rFonts w:ascii="Arial" w:cs="Arial" w:eastAsia="Arial" w:hAnsi="Arial"/>
                <w:sz w:val="13"/>
                <w:szCs w:val="13"/>
                <w:color w:val="auto"/>
              </w:rPr>
              <w:t>Michigan</w:t>
            </w:r>
          </w:p>
        </w:tc>
      </w:tr>
      <w:tr>
        <w:trPr>
          <w:trHeight w:val="159"/>
        </w:trPr>
        <w:tc>
          <w:tcPr>
            <w:tcW w:w="2120" w:type="dxa"/>
            <w:vAlign w:val="bottom"/>
            <w:shd w:val="clear" w:color="auto" w:fill="CCEEFF"/>
          </w:tcPr>
          <w:p>
            <w:pPr>
              <w:spacing w:after="0"/>
              <w:rPr>
                <w:sz w:val="20"/>
                <w:szCs w:val="20"/>
                <w:color w:val="auto"/>
              </w:rPr>
            </w:pPr>
            <w:r>
              <w:rPr>
                <w:rFonts w:ascii="Arial" w:cs="Arial" w:eastAsia="Arial" w:hAnsi="Arial"/>
                <w:sz w:val="13"/>
                <w:szCs w:val="13"/>
                <w:color w:val="auto"/>
              </w:rPr>
              <w:t>UFP Central Plains, LLC</w:t>
            </w:r>
          </w:p>
        </w:tc>
        <w:tc>
          <w:tcPr>
            <w:tcW w:w="1540" w:type="dxa"/>
            <w:vAlign w:val="bottom"/>
            <w:shd w:val="clear" w:color="auto" w:fill="CCEEFF"/>
          </w:tcPr>
          <w:p>
            <w:pPr>
              <w:ind w:left="360"/>
              <w:spacing w:after="0"/>
              <w:rPr>
                <w:sz w:val="20"/>
                <w:szCs w:val="20"/>
                <w:color w:val="auto"/>
              </w:rPr>
            </w:pPr>
            <w:r>
              <w:rPr>
                <w:rFonts w:ascii="Arial" w:cs="Arial" w:eastAsia="Arial" w:hAnsi="Arial"/>
                <w:sz w:val="13"/>
                <w:szCs w:val="13"/>
                <w:color w:val="auto"/>
              </w:rPr>
              <w:t>Michigan</w:t>
            </w:r>
          </w:p>
        </w:tc>
        <w:tc>
          <w:tcPr>
            <w:tcW w:w="4200" w:type="dxa"/>
            <w:vAlign w:val="bottom"/>
            <w:shd w:val="clear" w:color="auto" w:fill="CCEEFF"/>
          </w:tcPr>
          <w:p>
            <w:pPr>
              <w:ind w:left="680"/>
              <w:spacing w:after="0"/>
              <w:rPr>
                <w:sz w:val="20"/>
                <w:szCs w:val="20"/>
                <w:color w:val="auto"/>
              </w:rPr>
            </w:pPr>
            <w:r>
              <w:rPr>
                <w:rFonts w:ascii="Arial" w:cs="Arial" w:eastAsia="Arial" w:hAnsi="Arial"/>
                <w:sz w:val="13"/>
                <w:szCs w:val="13"/>
                <w:color w:val="auto"/>
              </w:rPr>
              <w:t>UFP Woodburn, LLC</w:t>
            </w:r>
          </w:p>
        </w:tc>
        <w:tc>
          <w:tcPr>
            <w:tcW w:w="130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Michigan</w:t>
            </w:r>
          </w:p>
        </w:tc>
      </w:tr>
      <w:tr>
        <w:trPr>
          <w:trHeight w:val="159"/>
        </w:trPr>
        <w:tc>
          <w:tcPr>
            <w:tcW w:w="2120" w:type="dxa"/>
            <w:vAlign w:val="bottom"/>
          </w:tcPr>
          <w:p>
            <w:pPr>
              <w:spacing w:after="0"/>
              <w:rPr>
                <w:sz w:val="20"/>
                <w:szCs w:val="20"/>
                <w:color w:val="auto"/>
              </w:rPr>
            </w:pPr>
            <w:r>
              <w:rPr>
                <w:rFonts w:ascii="Arial" w:cs="Arial" w:eastAsia="Arial" w:hAnsi="Arial"/>
                <w:sz w:val="13"/>
                <w:szCs w:val="13"/>
                <w:color w:val="auto"/>
              </w:rPr>
              <w:t>UFP Chandler, LLC</w:t>
            </w:r>
          </w:p>
        </w:tc>
        <w:tc>
          <w:tcPr>
            <w:tcW w:w="1540" w:type="dxa"/>
            <w:vAlign w:val="bottom"/>
          </w:tcPr>
          <w:p>
            <w:pPr>
              <w:ind w:left="360"/>
              <w:spacing w:after="0"/>
              <w:rPr>
                <w:sz w:val="20"/>
                <w:szCs w:val="20"/>
                <w:color w:val="auto"/>
              </w:rPr>
            </w:pPr>
            <w:r>
              <w:rPr>
                <w:rFonts w:ascii="Arial" w:cs="Arial" w:eastAsia="Arial" w:hAnsi="Arial"/>
                <w:sz w:val="13"/>
                <w:szCs w:val="13"/>
                <w:color w:val="auto"/>
              </w:rPr>
              <w:t>Michigan</w:t>
            </w:r>
          </w:p>
        </w:tc>
        <w:tc>
          <w:tcPr>
            <w:tcW w:w="4200" w:type="dxa"/>
            <w:vAlign w:val="bottom"/>
          </w:tcPr>
          <w:p>
            <w:pPr>
              <w:ind w:left="680"/>
              <w:spacing w:after="0"/>
              <w:rPr>
                <w:sz w:val="20"/>
                <w:szCs w:val="20"/>
                <w:color w:val="auto"/>
              </w:rPr>
            </w:pPr>
            <w:r>
              <w:rPr>
                <w:rFonts w:ascii="Arial" w:cs="Arial" w:eastAsia="Arial" w:hAnsi="Arial"/>
                <w:sz w:val="13"/>
                <w:szCs w:val="13"/>
                <w:color w:val="auto"/>
              </w:rPr>
              <w:t>United Lumber &amp; Reman, LLC</w:t>
            </w:r>
          </w:p>
        </w:tc>
        <w:tc>
          <w:tcPr>
            <w:tcW w:w="1300" w:type="dxa"/>
            <w:vAlign w:val="bottom"/>
            <w:gridSpan w:val="2"/>
          </w:tcPr>
          <w:p>
            <w:pPr>
              <w:ind w:left="80"/>
              <w:spacing w:after="0"/>
              <w:rPr>
                <w:sz w:val="20"/>
                <w:szCs w:val="20"/>
                <w:color w:val="auto"/>
              </w:rPr>
            </w:pPr>
            <w:r>
              <w:rPr>
                <w:rFonts w:ascii="Arial" w:cs="Arial" w:eastAsia="Arial" w:hAnsi="Arial"/>
                <w:sz w:val="13"/>
                <w:szCs w:val="13"/>
                <w:color w:val="auto"/>
              </w:rPr>
              <w:t>Alabama</w:t>
            </w:r>
          </w:p>
        </w:tc>
      </w:tr>
      <w:tr>
        <w:trPr>
          <w:trHeight w:val="159"/>
        </w:trPr>
        <w:tc>
          <w:tcPr>
            <w:tcW w:w="2120" w:type="dxa"/>
            <w:vAlign w:val="bottom"/>
            <w:shd w:val="clear" w:color="auto" w:fill="CCEEFF"/>
          </w:tcPr>
          <w:p>
            <w:pPr>
              <w:spacing w:after="0"/>
              <w:rPr>
                <w:sz w:val="20"/>
                <w:szCs w:val="20"/>
                <w:color w:val="auto"/>
              </w:rPr>
            </w:pPr>
            <w:r>
              <w:rPr>
                <w:rFonts w:ascii="Arial" w:cs="Arial" w:eastAsia="Arial" w:hAnsi="Arial"/>
                <w:sz w:val="13"/>
                <w:szCs w:val="13"/>
                <w:color w:val="auto"/>
              </w:rPr>
              <w:t>UFP Chicago, LLC</w:t>
            </w:r>
          </w:p>
        </w:tc>
        <w:tc>
          <w:tcPr>
            <w:tcW w:w="1540" w:type="dxa"/>
            <w:vAlign w:val="bottom"/>
            <w:shd w:val="clear" w:color="auto" w:fill="CCEEFF"/>
          </w:tcPr>
          <w:p>
            <w:pPr>
              <w:ind w:left="360"/>
              <w:spacing w:after="0"/>
              <w:rPr>
                <w:sz w:val="20"/>
                <w:szCs w:val="20"/>
                <w:color w:val="auto"/>
              </w:rPr>
            </w:pPr>
            <w:r>
              <w:rPr>
                <w:rFonts w:ascii="Arial" w:cs="Arial" w:eastAsia="Arial" w:hAnsi="Arial"/>
                <w:sz w:val="13"/>
                <w:szCs w:val="13"/>
                <w:color w:val="auto"/>
              </w:rPr>
              <w:t>Michigan</w:t>
            </w:r>
          </w:p>
        </w:tc>
        <w:tc>
          <w:tcPr>
            <w:tcW w:w="4200" w:type="dxa"/>
            <w:vAlign w:val="bottom"/>
            <w:shd w:val="clear" w:color="auto" w:fill="CCEEFF"/>
          </w:tcPr>
          <w:p>
            <w:pPr>
              <w:ind w:left="680"/>
              <w:spacing w:after="0"/>
              <w:rPr>
                <w:sz w:val="20"/>
                <w:szCs w:val="20"/>
                <w:color w:val="auto"/>
              </w:rPr>
            </w:pPr>
            <w:r>
              <w:rPr>
                <w:rFonts w:ascii="Arial" w:cs="Arial" w:eastAsia="Arial" w:hAnsi="Arial"/>
                <w:sz w:val="13"/>
                <w:szCs w:val="13"/>
                <w:color w:val="auto"/>
              </w:rPr>
              <w:t>Universal Consumer Products, Inc.</w:t>
            </w:r>
          </w:p>
        </w:tc>
        <w:tc>
          <w:tcPr>
            <w:tcW w:w="130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Michigan</w:t>
            </w:r>
          </w:p>
        </w:tc>
      </w:tr>
      <w:tr>
        <w:trPr>
          <w:trHeight w:val="159"/>
        </w:trPr>
        <w:tc>
          <w:tcPr>
            <w:tcW w:w="2120" w:type="dxa"/>
            <w:vAlign w:val="bottom"/>
          </w:tcPr>
          <w:p>
            <w:pPr>
              <w:spacing w:after="0"/>
              <w:rPr>
                <w:sz w:val="20"/>
                <w:szCs w:val="20"/>
                <w:color w:val="auto"/>
              </w:rPr>
            </w:pPr>
            <w:r>
              <w:rPr>
                <w:rFonts w:ascii="Arial" w:cs="Arial" w:eastAsia="Arial" w:hAnsi="Arial"/>
                <w:sz w:val="13"/>
                <w:szCs w:val="13"/>
                <w:color w:val="auto"/>
              </w:rPr>
              <w:t>UFP Dallas, LLC</w:t>
            </w:r>
          </w:p>
        </w:tc>
        <w:tc>
          <w:tcPr>
            <w:tcW w:w="1540" w:type="dxa"/>
            <w:vAlign w:val="bottom"/>
          </w:tcPr>
          <w:p>
            <w:pPr>
              <w:ind w:left="360"/>
              <w:spacing w:after="0"/>
              <w:rPr>
                <w:sz w:val="20"/>
                <w:szCs w:val="20"/>
                <w:color w:val="auto"/>
              </w:rPr>
            </w:pPr>
            <w:r>
              <w:rPr>
                <w:rFonts w:ascii="Arial" w:cs="Arial" w:eastAsia="Arial" w:hAnsi="Arial"/>
                <w:sz w:val="13"/>
                <w:szCs w:val="13"/>
                <w:color w:val="auto"/>
              </w:rPr>
              <w:t>Michigan</w:t>
            </w:r>
          </w:p>
        </w:tc>
        <w:tc>
          <w:tcPr>
            <w:tcW w:w="4200" w:type="dxa"/>
            <w:vAlign w:val="bottom"/>
          </w:tcPr>
          <w:p>
            <w:pPr>
              <w:ind w:left="680"/>
              <w:spacing w:after="0"/>
              <w:rPr>
                <w:sz w:val="20"/>
                <w:szCs w:val="20"/>
                <w:color w:val="auto"/>
              </w:rPr>
            </w:pPr>
            <w:r>
              <w:rPr>
                <w:rFonts w:ascii="Arial" w:cs="Arial" w:eastAsia="Arial" w:hAnsi="Arial"/>
                <w:sz w:val="13"/>
                <w:szCs w:val="13"/>
                <w:color w:val="auto"/>
              </w:rPr>
              <w:t>Universal Forest Products RMS, LLC</w:t>
            </w:r>
          </w:p>
        </w:tc>
        <w:tc>
          <w:tcPr>
            <w:tcW w:w="1300" w:type="dxa"/>
            <w:vAlign w:val="bottom"/>
            <w:gridSpan w:val="2"/>
          </w:tcPr>
          <w:p>
            <w:pPr>
              <w:ind w:left="80"/>
              <w:spacing w:after="0"/>
              <w:rPr>
                <w:sz w:val="20"/>
                <w:szCs w:val="20"/>
                <w:color w:val="auto"/>
              </w:rPr>
            </w:pPr>
            <w:r>
              <w:rPr>
                <w:rFonts w:ascii="Arial" w:cs="Arial" w:eastAsia="Arial" w:hAnsi="Arial"/>
                <w:sz w:val="13"/>
                <w:szCs w:val="13"/>
                <w:color w:val="auto"/>
              </w:rPr>
              <w:t>Michigan</w:t>
            </w:r>
          </w:p>
        </w:tc>
      </w:tr>
      <w:tr>
        <w:trPr>
          <w:trHeight w:val="159"/>
        </w:trPr>
        <w:tc>
          <w:tcPr>
            <w:tcW w:w="2120" w:type="dxa"/>
            <w:vAlign w:val="bottom"/>
            <w:shd w:val="clear" w:color="auto" w:fill="CCEEFF"/>
          </w:tcPr>
          <w:p>
            <w:pPr>
              <w:spacing w:after="0"/>
              <w:rPr>
                <w:sz w:val="20"/>
                <w:szCs w:val="20"/>
                <w:color w:val="auto"/>
              </w:rPr>
            </w:pPr>
            <w:r>
              <w:rPr>
                <w:rFonts w:ascii="Arial" w:cs="Arial" w:eastAsia="Arial" w:hAnsi="Arial"/>
                <w:sz w:val="13"/>
                <w:szCs w:val="13"/>
                <w:color w:val="auto"/>
              </w:rPr>
              <w:t>UFP Distribution, LLC</w:t>
            </w:r>
          </w:p>
        </w:tc>
        <w:tc>
          <w:tcPr>
            <w:tcW w:w="1540" w:type="dxa"/>
            <w:vAlign w:val="bottom"/>
            <w:shd w:val="clear" w:color="auto" w:fill="CCEEFF"/>
          </w:tcPr>
          <w:p>
            <w:pPr>
              <w:ind w:left="360"/>
              <w:spacing w:after="0"/>
              <w:rPr>
                <w:sz w:val="20"/>
                <w:szCs w:val="20"/>
                <w:color w:val="auto"/>
              </w:rPr>
            </w:pPr>
            <w:r>
              <w:rPr>
                <w:rFonts w:ascii="Arial" w:cs="Arial" w:eastAsia="Arial" w:hAnsi="Arial"/>
                <w:sz w:val="13"/>
                <w:szCs w:val="13"/>
                <w:color w:val="auto"/>
              </w:rPr>
              <w:t>Michigan</w:t>
            </w:r>
          </w:p>
        </w:tc>
        <w:tc>
          <w:tcPr>
            <w:tcW w:w="4200" w:type="dxa"/>
            <w:vAlign w:val="bottom"/>
            <w:shd w:val="clear" w:color="auto" w:fill="CCEEFF"/>
          </w:tcPr>
          <w:p>
            <w:pPr>
              <w:ind w:left="680"/>
              <w:spacing w:after="0"/>
              <w:rPr>
                <w:sz w:val="20"/>
                <w:szCs w:val="20"/>
                <w:color w:val="auto"/>
              </w:rPr>
            </w:pPr>
            <w:r>
              <w:rPr>
                <w:rFonts w:ascii="Arial" w:cs="Arial" w:eastAsia="Arial" w:hAnsi="Arial"/>
                <w:sz w:val="13"/>
                <w:szCs w:val="13"/>
                <w:color w:val="auto"/>
              </w:rPr>
              <w:t>Universal Forest Products Texas LLC</w:t>
            </w:r>
          </w:p>
        </w:tc>
        <w:tc>
          <w:tcPr>
            <w:tcW w:w="130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Michigan</w:t>
            </w:r>
          </w:p>
        </w:tc>
      </w:tr>
      <w:tr>
        <w:trPr>
          <w:trHeight w:val="159"/>
        </w:trPr>
        <w:tc>
          <w:tcPr>
            <w:tcW w:w="2120" w:type="dxa"/>
            <w:vAlign w:val="bottom"/>
          </w:tcPr>
          <w:p>
            <w:pPr>
              <w:spacing w:after="0"/>
              <w:rPr>
                <w:sz w:val="20"/>
                <w:szCs w:val="20"/>
                <w:color w:val="auto"/>
              </w:rPr>
            </w:pPr>
            <w:r>
              <w:rPr>
                <w:rFonts w:ascii="Arial" w:cs="Arial" w:eastAsia="Arial" w:hAnsi="Arial"/>
                <w:sz w:val="13"/>
                <w:szCs w:val="13"/>
                <w:color w:val="auto"/>
              </w:rPr>
              <w:t>UFP Eagan, LLC</w:t>
            </w:r>
          </w:p>
        </w:tc>
        <w:tc>
          <w:tcPr>
            <w:tcW w:w="1540" w:type="dxa"/>
            <w:vAlign w:val="bottom"/>
          </w:tcPr>
          <w:p>
            <w:pPr>
              <w:ind w:left="360"/>
              <w:spacing w:after="0"/>
              <w:rPr>
                <w:sz w:val="20"/>
                <w:szCs w:val="20"/>
                <w:color w:val="auto"/>
              </w:rPr>
            </w:pPr>
            <w:r>
              <w:rPr>
                <w:rFonts w:ascii="Arial" w:cs="Arial" w:eastAsia="Arial" w:hAnsi="Arial"/>
                <w:sz w:val="13"/>
                <w:szCs w:val="13"/>
                <w:color w:val="auto"/>
              </w:rPr>
              <w:t>Michigan</w:t>
            </w:r>
          </w:p>
        </w:tc>
        <w:tc>
          <w:tcPr>
            <w:tcW w:w="4200" w:type="dxa"/>
            <w:vAlign w:val="bottom"/>
          </w:tcPr>
          <w:p>
            <w:pPr>
              <w:ind w:left="680"/>
              <w:spacing w:after="0"/>
              <w:rPr>
                <w:sz w:val="20"/>
                <w:szCs w:val="20"/>
                <w:color w:val="auto"/>
              </w:rPr>
            </w:pPr>
            <w:r>
              <w:rPr>
                <w:rFonts w:ascii="Arial" w:cs="Arial" w:eastAsia="Arial" w:hAnsi="Arial"/>
                <w:sz w:val="13"/>
                <w:szCs w:val="13"/>
                <w:color w:val="auto"/>
              </w:rPr>
              <w:t>Universal Forest Products, Inc.</w:t>
            </w:r>
          </w:p>
        </w:tc>
        <w:tc>
          <w:tcPr>
            <w:tcW w:w="1300" w:type="dxa"/>
            <w:vAlign w:val="bottom"/>
            <w:gridSpan w:val="2"/>
          </w:tcPr>
          <w:p>
            <w:pPr>
              <w:ind w:left="80"/>
              <w:spacing w:after="0"/>
              <w:rPr>
                <w:sz w:val="20"/>
                <w:szCs w:val="20"/>
                <w:color w:val="auto"/>
              </w:rPr>
            </w:pPr>
            <w:r>
              <w:rPr>
                <w:rFonts w:ascii="Arial" w:cs="Arial" w:eastAsia="Arial" w:hAnsi="Arial"/>
                <w:sz w:val="13"/>
                <w:szCs w:val="13"/>
                <w:color w:val="auto"/>
              </w:rPr>
              <w:t>Michigan</w:t>
            </w:r>
          </w:p>
        </w:tc>
      </w:tr>
      <w:tr>
        <w:trPr>
          <w:trHeight w:val="159"/>
        </w:trPr>
        <w:tc>
          <w:tcPr>
            <w:tcW w:w="2120" w:type="dxa"/>
            <w:vAlign w:val="bottom"/>
            <w:shd w:val="clear" w:color="auto" w:fill="CCEEFF"/>
          </w:tcPr>
          <w:p>
            <w:pPr>
              <w:spacing w:after="0"/>
              <w:rPr>
                <w:sz w:val="20"/>
                <w:szCs w:val="20"/>
                <w:color w:val="auto"/>
              </w:rPr>
            </w:pPr>
            <w:r>
              <w:rPr>
                <w:rFonts w:ascii="Arial" w:cs="Arial" w:eastAsia="Arial" w:hAnsi="Arial"/>
                <w:sz w:val="13"/>
                <w:szCs w:val="13"/>
                <w:color w:val="auto"/>
              </w:rPr>
              <w:t>UFP East Central, LLC</w:t>
            </w:r>
          </w:p>
        </w:tc>
        <w:tc>
          <w:tcPr>
            <w:tcW w:w="1540" w:type="dxa"/>
            <w:vAlign w:val="bottom"/>
            <w:shd w:val="clear" w:color="auto" w:fill="CCEEFF"/>
          </w:tcPr>
          <w:p>
            <w:pPr>
              <w:ind w:left="360"/>
              <w:spacing w:after="0"/>
              <w:rPr>
                <w:sz w:val="20"/>
                <w:szCs w:val="20"/>
                <w:color w:val="auto"/>
              </w:rPr>
            </w:pPr>
            <w:r>
              <w:rPr>
                <w:rFonts w:ascii="Arial" w:cs="Arial" w:eastAsia="Arial" w:hAnsi="Arial"/>
                <w:sz w:val="13"/>
                <w:szCs w:val="13"/>
                <w:color w:val="auto"/>
              </w:rPr>
              <w:t>Michigan</w:t>
            </w:r>
          </w:p>
        </w:tc>
        <w:tc>
          <w:tcPr>
            <w:tcW w:w="4200" w:type="dxa"/>
            <w:vAlign w:val="bottom"/>
            <w:shd w:val="clear" w:color="auto" w:fill="CCEEFF"/>
          </w:tcPr>
          <w:p>
            <w:pPr>
              <w:ind w:left="680"/>
              <w:spacing w:after="0"/>
              <w:rPr>
                <w:sz w:val="20"/>
                <w:szCs w:val="20"/>
                <w:color w:val="auto"/>
              </w:rPr>
            </w:pPr>
            <w:r>
              <w:rPr>
                <w:rFonts w:ascii="Arial" w:cs="Arial" w:eastAsia="Arial" w:hAnsi="Arial"/>
                <w:sz w:val="13"/>
                <w:szCs w:val="13"/>
                <w:color w:val="auto"/>
              </w:rPr>
              <w:t>Universal Showcase ULC</w:t>
            </w:r>
          </w:p>
        </w:tc>
        <w:tc>
          <w:tcPr>
            <w:tcW w:w="130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Alberta</w:t>
            </w:r>
          </w:p>
        </w:tc>
      </w:tr>
      <w:tr>
        <w:trPr>
          <w:trHeight w:val="159"/>
        </w:trPr>
        <w:tc>
          <w:tcPr>
            <w:tcW w:w="2120" w:type="dxa"/>
            <w:vAlign w:val="bottom"/>
          </w:tcPr>
          <w:p>
            <w:pPr>
              <w:spacing w:after="0"/>
              <w:rPr>
                <w:sz w:val="20"/>
                <w:szCs w:val="20"/>
                <w:color w:val="auto"/>
              </w:rPr>
            </w:pPr>
            <w:r>
              <w:rPr>
                <w:rFonts w:ascii="Arial" w:cs="Arial" w:eastAsia="Arial" w:hAnsi="Arial"/>
                <w:sz w:val="13"/>
                <w:szCs w:val="13"/>
                <w:color w:val="auto"/>
              </w:rPr>
              <w:t>UFP Eastern Division, Inc.</w:t>
            </w:r>
          </w:p>
        </w:tc>
        <w:tc>
          <w:tcPr>
            <w:tcW w:w="1540" w:type="dxa"/>
            <w:vAlign w:val="bottom"/>
          </w:tcPr>
          <w:p>
            <w:pPr>
              <w:ind w:left="360"/>
              <w:spacing w:after="0"/>
              <w:rPr>
                <w:sz w:val="20"/>
                <w:szCs w:val="20"/>
                <w:color w:val="auto"/>
              </w:rPr>
            </w:pPr>
            <w:r>
              <w:rPr>
                <w:rFonts w:ascii="Arial" w:cs="Arial" w:eastAsia="Arial" w:hAnsi="Arial"/>
                <w:sz w:val="13"/>
                <w:szCs w:val="13"/>
                <w:color w:val="auto"/>
              </w:rPr>
              <w:t>Michigan</w:t>
            </w:r>
          </w:p>
        </w:tc>
        <w:tc>
          <w:tcPr>
            <w:tcW w:w="4200" w:type="dxa"/>
            <w:vAlign w:val="bottom"/>
          </w:tcPr>
          <w:p>
            <w:pPr>
              <w:ind w:left="680"/>
              <w:spacing w:after="0"/>
              <w:rPr>
                <w:sz w:val="20"/>
                <w:szCs w:val="20"/>
                <w:color w:val="auto"/>
              </w:rPr>
            </w:pPr>
            <w:r>
              <w:rPr>
                <w:rFonts w:ascii="Arial" w:cs="Arial" w:eastAsia="Arial" w:hAnsi="Arial"/>
                <w:sz w:val="13"/>
                <w:szCs w:val="13"/>
                <w:color w:val="auto"/>
              </w:rPr>
              <w:t>Upshur Forest Products, LLC</w:t>
            </w:r>
          </w:p>
        </w:tc>
        <w:tc>
          <w:tcPr>
            <w:tcW w:w="1300" w:type="dxa"/>
            <w:vAlign w:val="bottom"/>
            <w:gridSpan w:val="2"/>
          </w:tcPr>
          <w:p>
            <w:pPr>
              <w:ind w:left="80"/>
              <w:spacing w:after="0"/>
              <w:rPr>
                <w:sz w:val="20"/>
                <w:szCs w:val="20"/>
                <w:color w:val="auto"/>
              </w:rPr>
            </w:pPr>
            <w:r>
              <w:rPr>
                <w:rFonts w:ascii="Arial" w:cs="Arial" w:eastAsia="Arial" w:hAnsi="Arial"/>
                <w:sz w:val="13"/>
                <w:szCs w:val="13"/>
                <w:color w:val="auto"/>
              </w:rPr>
              <w:t>Michigan</w:t>
            </w:r>
          </w:p>
        </w:tc>
      </w:tr>
      <w:tr>
        <w:trPr>
          <w:trHeight w:val="159"/>
        </w:trPr>
        <w:tc>
          <w:tcPr>
            <w:tcW w:w="2120" w:type="dxa"/>
            <w:vAlign w:val="bottom"/>
            <w:shd w:val="clear" w:color="auto" w:fill="CCEEFF"/>
          </w:tcPr>
          <w:p>
            <w:pPr>
              <w:spacing w:after="0"/>
              <w:rPr>
                <w:sz w:val="20"/>
                <w:szCs w:val="20"/>
                <w:color w:val="auto"/>
              </w:rPr>
            </w:pPr>
            <w:r>
              <w:rPr>
                <w:rFonts w:ascii="Arial" w:cs="Arial" w:eastAsia="Arial" w:hAnsi="Arial"/>
                <w:sz w:val="13"/>
                <w:szCs w:val="13"/>
                <w:color w:val="auto"/>
              </w:rPr>
              <w:t>UFP Eatonton, LLC</w:t>
            </w:r>
          </w:p>
        </w:tc>
        <w:tc>
          <w:tcPr>
            <w:tcW w:w="1540" w:type="dxa"/>
            <w:vAlign w:val="bottom"/>
            <w:shd w:val="clear" w:color="auto" w:fill="CCEEFF"/>
          </w:tcPr>
          <w:p>
            <w:pPr>
              <w:ind w:left="360"/>
              <w:spacing w:after="0"/>
              <w:rPr>
                <w:sz w:val="20"/>
                <w:szCs w:val="20"/>
                <w:color w:val="auto"/>
              </w:rPr>
            </w:pPr>
            <w:r>
              <w:rPr>
                <w:rFonts w:ascii="Arial" w:cs="Arial" w:eastAsia="Arial" w:hAnsi="Arial"/>
                <w:sz w:val="13"/>
                <w:szCs w:val="13"/>
                <w:color w:val="auto"/>
              </w:rPr>
              <w:t>Michigan</w:t>
            </w:r>
          </w:p>
        </w:tc>
        <w:tc>
          <w:tcPr>
            <w:tcW w:w="4200" w:type="dxa"/>
            <w:vAlign w:val="bottom"/>
            <w:shd w:val="clear" w:color="auto" w:fill="CCEEFF"/>
          </w:tcPr>
          <w:p>
            <w:pPr>
              <w:ind w:left="680"/>
              <w:spacing w:after="0"/>
              <w:rPr>
                <w:sz w:val="20"/>
                <w:szCs w:val="20"/>
                <w:color w:val="auto"/>
              </w:rPr>
            </w:pPr>
            <w:r>
              <w:rPr>
                <w:rFonts w:ascii="Arial" w:cs="Arial" w:eastAsia="Arial" w:hAnsi="Arial"/>
                <w:sz w:val="13"/>
                <w:szCs w:val="13"/>
                <w:color w:val="auto"/>
                <w:w w:val="92"/>
              </w:rPr>
              <w:t>Western Building Professionals of California II Limited Partnership</w:t>
            </w:r>
          </w:p>
        </w:tc>
        <w:tc>
          <w:tcPr>
            <w:tcW w:w="130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Michigan</w:t>
            </w:r>
          </w:p>
        </w:tc>
      </w:tr>
      <w:tr>
        <w:trPr>
          <w:trHeight w:val="159"/>
        </w:trPr>
        <w:tc>
          <w:tcPr>
            <w:tcW w:w="2120" w:type="dxa"/>
            <w:vAlign w:val="bottom"/>
          </w:tcPr>
          <w:p>
            <w:pPr>
              <w:spacing w:after="0"/>
              <w:rPr>
                <w:sz w:val="20"/>
                <w:szCs w:val="20"/>
                <w:color w:val="auto"/>
              </w:rPr>
            </w:pPr>
            <w:r>
              <w:rPr>
                <w:rFonts w:ascii="Arial" w:cs="Arial" w:eastAsia="Arial" w:hAnsi="Arial"/>
                <w:sz w:val="13"/>
                <w:szCs w:val="13"/>
                <w:color w:val="auto"/>
              </w:rPr>
              <w:t>UFP Elizabeth City, LLC</w:t>
            </w:r>
          </w:p>
        </w:tc>
        <w:tc>
          <w:tcPr>
            <w:tcW w:w="1540" w:type="dxa"/>
            <w:vAlign w:val="bottom"/>
          </w:tcPr>
          <w:p>
            <w:pPr>
              <w:ind w:left="360"/>
              <w:spacing w:after="0"/>
              <w:rPr>
                <w:sz w:val="20"/>
                <w:szCs w:val="20"/>
                <w:color w:val="auto"/>
              </w:rPr>
            </w:pPr>
            <w:r>
              <w:rPr>
                <w:rFonts w:ascii="Arial" w:cs="Arial" w:eastAsia="Arial" w:hAnsi="Arial"/>
                <w:sz w:val="13"/>
                <w:szCs w:val="13"/>
                <w:color w:val="auto"/>
              </w:rPr>
              <w:t>Michigan</w:t>
            </w:r>
          </w:p>
        </w:tc>
        <w:tc>
          <w:tcPr>
            <w:tcW w:w="4200" w:type="dxa"/>
            <w:vAlign w:val="bottom"/>
          </w:tcPr>
          <w:p>
            <w:pPr>
              <w:ind w:left="680"/>
              <w:spacing w:after="0"/>
              <w:rPr>
                <w:sz w:val="20"/>
                <w:szCs w:val="20"/>
                <w:color w:val="auto"/>
              </w:rPr>
            </w:pPr>
            <w:r>
              <w:rPr>
                <w:rFonts w:ascii="Arial" w:cs="Arial" w:eastAsia="Arial" w:hAnsi="Arial"/>
                <w:sz w:val="13"/>
                <w:szCs w:val="13"/>
                <w:color w:val="auto"/>
              </w:rPr>
              <w:t>Western Building Professionals of California, Inc.</w:t>
            </w:r>
          </w:p>
        </w:tc>
        <w:tc>
          <w:tcPr>
            <w:tcW w:w="1300" w:type="dxa"/>
            <w:vAlign w:val="bottom"/>
            <w:gridSpan w:val="2"/>
          </w:tcPr>
          <w:p>
            <w:pPr>
              <w:ind w:left="80"/>
              <w:spacing w:after="0"/>
              <w:rPr>
                <w:sz w:val="20"/>
                <w:szCs w:val="20"/>
                <w:color w:val="auto"/>
              </w:rPr>
            </w:pPr>
            <w:r>
              <w:rPr>
                <w:rFonts w:ascii="Arial" w:cs="Arial" w:eastAsia="Arial" w:hAnsi="Arial"/>
                <w:sz w:val="13"/>
                <w:szCs w:val="13"/>
                <w:color w:val="auto"/>
              </w:rPr>
              <w:t>Michigan</w:t>
            </w:r>
          </w:p>
        </w:tc>
      </w:tr>
      <w:tr>
        <w:trPr>
          <w:trHeight w:val="159"/>
        </w:trPr>
        <w:tc>
          <w:tcPr>
            <w:tcW w:w="2120" w:type="dxa"/>
            <w:vAlign w:val="bottom"/>
            <w:shd w:val="clear" w:color="auto" w:fill="CCEEFF"/>
          </w:tcPr>
          <w:p>
            <w:pPr>
              <w:spacing w:after="0"/>
              <w:rPr>
                <w:sz w:val="20"/>
                <w:szCs w:val="20"/>
                <w:color w:val="auto"/>
              </w:rPr>
            </w:pPr>
            <w:r>
              <w:rPr>
                <w:rFonts w:ascii="Arial" w:cs="Arial" w:eastAsia="Arial" w:hAnsi="Arial"/>
                <w:sz w:val="13"/>
                <w:szCs w:val="13"/>
                <w:color w:val="auto"/>
              </w:rPr>
              <w:t>UFP Elkwood, LLC</w:t>
            </w:r>
          </w:p>
        </w:tc>
        <w:tc>
          <w:tcPr>
            <w:tcW w:w="1540" w:type="dxa"/>
            <w:vAlign w:val="bottom"/>
            <w:shd w:val="clear" w:color="auto" w:fill="CCEEFF"/>
          </w:tcPr>
          <w:p>
            <w:pPr>
              <w:ind w:left="360"/>
              <w:spacing w:after="0"/>
              <w:rPr>
                <w:sz w:val="20"/>
                <w:szCs w:val="20"/>
                <w:color w:val="auto"/>
              </w:rPr>
            </w:pPr>
            <w:r>
              <w:rPr>
                <w:rFonts w:ascii="Arial" w:cs="Arial" w:eastAsia="Arial" w:hAnsi="Arial"/>
                <w:sz w:val="13"/>
                <w:szCs w:val="13"/>
                <w:color w:val="auto"/>
              </w:rPr>
              <w:t>Michigan</w:t>
            </w:r>
          </w:p>
        </w:tc>
        <w:tc>
          <w:tcPr>
            <w:tcW w:w="4200" w:type="dxa"/>
            <w:vAlign w:val="bottom"/>
            <w:shd w:val="clear" w:color="auto" w:fill="CCEEFF"/>
          </w:tcPr>
          <w:p>
            <w:pPr>
              <w:ind w:left="680"/>
              <w:spacing w:after="0"/>
              <w:rPr>
                <w:sz w:val="20"/>
                <w:szCs w:val="20"/>
                <w:color w:val="auto"/>
              </w:rPr>
            </w:pPr>
            <w:r>
              <w:rPr>
                <w:rFonts w:ascii="Arial" w:cs="Arial" w:eastAsia="Arial" w:hAnsi="Arial"/>
                <w:sz w:val="13"/>
                <w:szCs w:val="13"/>
                <w:color w:val="auto"/>
              </w:rPr>
              <w:t>Western Building Professionals, LLC</w:t>
            </w:r>
          </w:p>
        </w:tc>
        <w:tc>
          <w:tcPr>
            <w:tcW w:w="130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Michigan</w:t>
            </w:r>
          </w:p>
        </w:tc>
      </w:tr>
      <w:tr>
        <w:trPr>
          <w:trHeight w:val="159"/>
        </w:trPr>
        <w:tc>
          <w:tcPr>
            <w:tcW w:w="2120" w:type="dxa"/>
            <w:vAlign w:val="bottom"/>
          </w:tcPr>
          <w:p>
            <w:pPr>
              <w:spacing w:after="0"/>
              <w:rPr>
                <w:sz w:val="20"/>
                <w:szCs w:val="20"/>
                <w:color w:val="auto"/>
              </w:rPr>
            </w:pPr>
            <w:r>
              <w:rPr>
                <w:rFonts w:ascii="Arial" w:cs="Arial" w:eastAsia="Arial" w:hAnsi="Arial"/>
                <w:sz w:val="13"/>
                <w:szCs w:val="13"/>
                <w:color w:val="auto"/>
              </w:rPr>
              <w:t>UFP Far West, LLC</w:t>
            </w:r>
          </w:p>
        </w:tc>
        <w:tc>
          <w:tcPr>
            <w:tcW w:w="1540" w:type="dxa"/>
            <w:vAlign w:val="bottom"/>
          </w:tcPr>
          <w:p>
            <w:pPr>
              <w:ind w:left="360"/>
              <w:spacing w:after="0"/>
              <w:rPr>
                <w:sz w:val="20"/>
                <w:szCs w:val="20"/>
                <w:color w:val="auto"/>
              </w:rPr>
            </w:pPr>
            <w:r>
              <w:rPr>
                <w:rFonts w:ascii="Arial" w:cs="Arial" w:eastAsia="Arial" w:hAnsi="Arial"/>
                <w:sz w:val="13"/>
                <w:szCs w:val="13"/>
                <w:color w:val="auto"/>
              </w:rPr>
              <w:t>Michigan</w:t>
            </w:r>
          </w:p>
        </w:tc>
        <w:tc>
          <w:tcPr>
            <w:tcW w:w="4200" w:type="dxa"/>
            <w:vAlign w:val="bottom"/>
          </w:tcPr>
          <w:p>
            <w:pPr>
              <w:ind w:left="680"/>
              <w:spacing w:after="0"/>
              <w:rPr>
                <w:sz w:val="20"/>
                <w:szCs w:val="20"/>
                <w:color w:val="auto"/>
              </w:rPr>
            </w:pPr>
            <w:r>
              <w:rPr>
                <w:rFonts w:ascii="Arial" w:cs="Arial" w:eastAsia="Arial" w:hAnsi="Arial"/>
                <w:sz w:val="13"/>
                <w:szCs w:val="13"/>
                <w:color w:val="auto"/>
              </w:rPr>
              <w:t>Yard &amp; Home, LLC</w:t>
            </w:r>
          </w:p>
        </w:tc>
        <w:tc>
          <w:tcPr>
            <w:tcW w:w="1300" w:type="dxa"/>
            <w:vAlign w:val="bottom"/>
            <w:gridSpan w:val="2"/>
          </w:tcPr>
          <w:p>
            <w:pPr>
              <w:ind w:left="80"/>
              <w:spacing w:after="0"/>
              <w:rPr>
                <w:sz w:val="20"/>
                <w:szCs w:val="20"/>
                <w:color w:val="auto"/>
              </w:rPr>
            </w:pPr>
            <w:r>
              <w:rPr>
                <w:rFonts w:ascii="Arial" w:cs="Arial" w:eastAsia="Arial" w:hAnsi="Arial"/>
                <w:sz w:val="13"/>
                <w:szCs w:val="13"/>
                <w:color w:val="auto"/>
              </w:rPr>
              <w:t>Michigan</w:t>
            </w:r>
          </w:p>
        </w:tc>
      </w:tr>
      <w:tr>
        <w:trPr>
          <w:trHeight w:val="159"/>
        </w:trPr>
        <w:tc>
          <w:tcPr>
            <w:tcW w:w="2120" w:type="dxa"/>
            <w:vAlign w:val="bottom"/>
            <w:shd w:val="clear" w:color="auto" w:fill="CCEEFF"/>
          </w:tcPr>
          <w:p>
            <w:pPr>
              <w:spacing w:after="0"/>
              <w:rPr>
                <w:sz w:val="20"/>
                <w:szCs w:val="20"/>
                <w:color w:val="auto"/>
              </w:rPr>
            </w:pPr>
            <w:r>
              <w:rPr>
                <w:rFonts w:ascii="Arial" w:cs="Arial" w:eastAsia="Arial" w:hAnsi="Arial"/>
                <w:sz w:val="13"/>
                <w:szCs w:val="13"/>
                <w:color w:val="auto"/>
              </w:rPr>
              <w:t>UFP Folkston, LLC</w:t>
            </w:r>
          </w:p>
        </w:tc>
        <w:tc>
          <w:tcPr>
            <w:tcW w:w="1540" w:type="dxa"/>
            <w:vAlign w:val="bottom"/>
            <w:shd w:val="clear" w:color="auto" w:fill="CCEEFF"/>
          </w:tcPr>
          <w:p>
            <w:pPr>
              <w:ind w:left="360"/>
              <w:spacing w:after="0"/>
              <w:rPr>
                <w:sz w:val="20"/>
                <w:szCs w:val="20"/>
                <w:color w:val="auto"/>
              </w:rPr>
            </w:pPr>
            <w:r>
              <w:rPr>
                <w:rFonts w:ascii="Arial" w:cs="Arial" w:eastAsia="Arial" w:hAnsi="Arial"/>
                <w:sz w:val="13"/>
                <w:szCs w:val="13"/>
                <w:color w:val="auto"/>
              </w:rPr>
              <w:t>Michigan</w:t>
            </w:r>
          </w:p>
        </w:tc>
        <w:tc>
          <w:tcPr>
            <w:tcW w:w="4200" w:type="dxa"/>
            <w:vAlign w:val="bottom"/>
            <w:shd w:val="clear" w:color="auto" w:fill="CCEEFF"/>
          </w:tcPr>
          <w:p>
            <w:pPr>
              <w:ind w:left="680"/>
              <w:spacing w:after="0"/>
              <w:rPr>
                <w:sz w:val="20"/>
                <w:szCs w:val="20"/>
                <w:color w:val="auto"/>
              </w:rPr>
            </w:pPr>
            <w:r>
              <w:rPr>
                <w:rFonts w:ascii="Arial" w:cs="Arial" w:eastAsia="Arial" w:hAnsi="Arial"/>
                <w:sz w:val="13"/>
                <w:szCs w:val="13"/>
                <w:color w:val="auto"/>
              </w:rPr>
              <w:t>Pinelli Lumber, Inc.</w:t>
            </w:r>
          </w:p>
        </w:tc>
        <w:tc>
          <w:tcPr>
            <w:tcW w:w="130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Texas</w:t>
            </w:r>
          </w:p>
        </w:tc>
      </w:tr>
      <w:tr>
        <w:trPr>
          <w:trHeight w:val="159"/>
        </w:trPr>
        <w:tc>
          <w:tcPr>
            <w:tcW w:w="2120" w:type="dxa"/>
            <w:vAlign w:val="bottom"/>
          </w:tcPr>
          <w:p>
            <w:pPr>
              <w:spacing w:after="0"/>
              <w:rPr>
                <w:sz w:val="20"/>
                <w:szCs w:val="20"/>
                <w:color w:val="auto"/>
              </w:rPr>
            </w:pPr>
            <w:r>
              <w:rPr>
                <w:rFonts w:ascii="Arial" w:cs="Arial" w:eastAsia="Arial" w:hAnsi="Arial"/>
                <w:sz w:val="13"/>
                <w:szCs w:val="13"/>
                <w:color w:val="auto"/>
              </w:rPr>
              <w:t>UFP Franklinton, LLC</w:t>
            </w:r>
          </w:p>
        </w:tc>
        <w:tc>
          <w:tcPr>
            <w:tcW w:w="1540" w:type="dxa"/>
            <w:vAlign w:val="bottom"/>
          </w:tcPr>
          <w:p>
            <w:pPr>
              <w:ind w:left="360"/>
              <w:spacing w:after="0"/>
              <w:rPr>
                <w:sz w:val="20"/>
                <w:szCs w:val="20"/>
                <w:color w:val="auto"/>
              </w:rPr>
            </w:pPr>
            <w:r>
              <w:rPr>
                <w:rFonts w:ascii="Arial" w:cs="Arial" w:eastAsia="Arial" w:hAnsi="Arial"/>
                <w:sz w:val="13"/>
                <w:szCs w:val="13"/>
                <w:color w:val="auto"/>
              </w:rPr>
              <w:t>Michigan</w:t>
            </w:r>
          </w:p>
        </w:tc>
        <w:tc>
          <w:tcPr>
            <w:tcW w:w="4200" w:type="dxa"/>
            <w:vAlign w:val="bottom"/>
          </w:tcPr>
          <w:p>
            <w:pPr>
              <w:ind w:left="680"/>
              <w:spacing w:after="0"/>
              <w:rPr>
                <w:sz w:val="20"/>
                <w:szCs w:val="20"/>
                <w:color w:val="auto"/>
              </w:rPr>
            </w:pPr>
            <w:r>
              <w:rPr>
                <w:rFonts w:ascii="Arial" w:cs="Arial" w:eastAsia="Arial" w:hAnsi="Arial"/>
                <w:sz w:val="13"/>
                <w:szCs w:val="13"/>
                <w:color w:val="auto"/>
              </w:rPr>
              <w:t>TIBASA Universal Forest Products S. de R.L. de C.V.</w:t>
            </w:r>
          </w:p>
        </w:tc>
        <w:tc>
          <w:tcPr>
            <w:tcW w:w="1300" w:type="dxa"/>
            <w:vAlign w:val="bottom"/>
            <w:gridSpan w:val="2"/>
          </w:tcPr>
          <w:p>
            <w:pPr>
              <w:ind w:left="80"/>
              <w:spacing w:after="0"/>
              <w:rPr>
                <w:sz w:val="20"/>
                <w:szCs w:val="20"/>
                <w:color w:val="auto"/>
              </w:rPr>
            </w:pPr>
            <w:r>
              <w:rPr>
                <w:rFonts w:ascii="Arial" w:cs="Arial" w:eastAsia="Arial" w:hAnsi="Arial"/>
                <w:sz w:val="13"/>
                <w:szCs w:val="13"/>
                <w:color w:val="auto"/>
              </w:rPr>
              <w:t>Mexico</w:t>
            </w:r>
          </w:p>
        </w:tc>
      </w:tr>
      <w:tr>
        <w:trPr>
          <w:trHeight w:val="159"/>
        </w:trPr>
        <w:tc>
          <w:tcPr>
            <w:tcW w:w="2120" w:type="dxa"/>
            <w:vAlign w:val="bottom"/>
            <w:shd w:val="clear" w:color="auto" w:fill="CCEEFF"/>
          </w:tcPr>
          <w:p>
            <w:pPr>
              <w:spacing w:after="0"/>
              <w:rPr>
                <w:sz w:val="20"/>
                <w:szCs w:val="20"/>
                <w:color w:val="auto"/>
              </w:rPr>
            </w:pPr>
            <w:r>
              <w:rPr>
                <w:rFonts w:ascii="Arial" w:cs="Arial" w:eastAsia="Arial" w:hAnsi="Arial"/>
                <w:sz w:val="13"/>
                <w:szCs w:val="13"/>
                <w:color w:val="auto"/>
              </w:rPr>
              <w:t>UFP Gainesville, LLC</w:t>
            </w:r>
          </w:p>
        </w:tc>
        <w:tc>
          <w:tcPr>
            <w:tcW w:w="1540" w:type="dxa"/>
            <w:vAlign w:val="bottom"/>
            <w:shd w:val="clear" w:color="auto" w:fill="CCEEFF"/>
          </w:tcPr>
          <w:p>
            <w:pPr>
              <w:ind w:left="360"/>
              <w:spacing w:after="0"/>
              <w:rPr>
                <w:sz w:val="20"/>
                <w:szCs w:val="20"/>
                <w:color w:val="auto"/>
              </w:rPr>
            </w:pPr>
            <w:r>
              <w:rPr>
                <w:rFonts w:ascii="Arial" w:cs="Arial" w:eastAsia="Arial" w:hAnsi="Arial"/>
                <w:sz w:val="13"/>
                <w:szCs w:val="13"/>
                <w:color w:val="auto"/>
              </w:rPr>
              <w:t>Michigan</w:t>
            </w:r>
          </w:p>
        </w:tc>
        <w:tc>
          <w:tcPr>
            <w:tcW w:w="4200" w:type="dxa"/>
            <w:vAlign w:val="bottom"/>
            <w:shd w:val="clear" w:color="auto" w:fill="CCEEFF"/>
          </w:tcPr>
          <w:p>
            <w:pPr>
              <w:ind w:left="680"/>
              <w:spacing w:after="0"/>
              <w:rPr>
                <w:sz w:val="20"/>
                <w:szCs w:val="20"/>
                <w:color w:val="auto"/>
              </w:rPr>
            </w:pPr>
            <w:r>
              <w:rPr>
                <w:rFonts w:ascii="Arial" w:cs="Arial" w:eastAsia="Arial" w:hAnsi="Arial"/>
                <w:sz w:val="13"/>
                <w:szCs w:val="13"/>
                <w:color w:val="auto"/>
              </w:rPr>
              <w:t>idX Amsterdam B.V.</w:t>
            </w:r>
          </w:p>
        </w:tc>
        <w:tc>
          <w:tcPr>
            <w:tcW w:w="130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Amsterdam</w:t>
            </w:r>
          </w:p>
        </w:tc>
      </w:tr>
      <w:tr>
        <w:trPr>
          <w:trHeight w:val="511"/>
        </w:trPr>
        <w:tc>
          <w:tcPr>
            <w:tcW w:w="21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42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9160"/>
          </w:cols>
          <w:pgMar w:left="1400" w:top="140" w:right="1339" w:bottom="1440" w:gutter="0" w:footer="0" w:header="0"/>
        </w:sectPr>
      </w:pPr>
    </w:p>
    <w:bookmarkStart w:id="104" w:name="page105"/>
    <w:bookmarkEnd w:id="104"/>
    <w:p>
      <w:pPr>
        <w:jc w:val="right"/>
        <w:spacing w:after="0"/>
        <w:rPr>
          <w:sz w:val="20"/>
          <w:szCs w:val="20"/>
          <w:color w:val="auto"/>
        </w:rPr>
      </w:pPr>
      <w:r>
        <w:rPr>
          <w:rFonts w:ascii="Arial" w:cs="Arial" w:eastAsia="Arial" w:hAnsi="Arial"/>
          <w:sz w:val="14"/>
          <w:szCs w:val="14"/>
          <w:b w:val="1"/>
          <w:bCs w:val="1"/>
          <w:color w:val="auto"/>
        </w:rPr>
        <w:t>Exhibit 23</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Consent of Independent Registered Public Accounting Firm</w:t>
      </w:r>
    </w:p>
    <w:p>
      <w:pPr>
        <w:spacing w:after="0" w:line="183" w:lineRule="exact"/>
        <w:rPr>
          <w:sz w:val="20"/>
          <w:szCs w:val="20"/>
          <w:color w:val="auto"/>
        </w:rPr>
      </w:pPr>
    </w:p>
    <w:p>
      <w:pPr>
        <w:ind w:right="40"/>
        <w:spacing w:after="0" w:line="262" w:lineRule="auto"/>
        <w:rPr>
          <w:sz w:val="20"/>
          <w:szCs w:val="20"/>
          <w:color w:val="auto"/>
        </w:rPr>
      </w:pPr>
      <w:r>
        <w:rPr>
          <w:rFonts w:ascii="Arial" w:cs="Arial" w:eastAsia="Arial" w:hAnsi="Arial"/>
          <w:sz w:val="14"/>
          <w:szCs w:val="14"/>
          <w:color w:val="auto"/>
        </w:rPr>
        <w:t>We consent to the incorporation by reference in Registration Statement Nos. 33-81128, 333-60630, 333-150345, 333-156596, and 33-84632 on Form S-8 of our reports dated February 27, 2019, relating to the consolidated financial statements of Universal Forest Products, Inc. and subsidiaries (the “Company”), and the effectiveness of the Company’s internal control over financial reporting, appearing in this Annual Report on Form 10-K of the Company for the year ended December 29, 2018.</w:t>
      </w:r>
    </w:p>
    <w:p>
      <w:pPr>
        <w:spacing w:after="0" w:line="316" w:lineRule="exact"/>
        <w:rPr>
          <w:sz w:val="20"/>
          <w:szCs w:val="20"/>
          <w:color w:val="auto"/>
        </w:rPr>
      </w:pPr>
    </w:p>
    <w:p>
      <w:pPr>
        <w:spacing w:after="0"/>
        <w:rPr>
          <w:sz w:val="20"/>
          <w:szCs w:val="20"/>
          <w:color w:val="auto"/>
        </w:rPr>
      </w:pPr>
      <w:r>
        <w:rPr>
          <w:rFonts w:ascii="Arial" w:cs="Arial" w:eastAsia="Arial" w:hAnsi="Arial"/>
          <w:sz w:val="14"/>
          <w:szCs w:val="14"/>
          <w:color w:val="auto"/>
        </w:rPr>
        <w:t>/s/ Deloitte &amp; Touche LLP</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color w:val="auto"/>
        </w:rPr>
        <w:t>Grand Rapids, Michigan</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color w:val="auto"/>
        </w:rPr>
        <w:t>February 27,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281940</wp:posOffset>
            </wp:positionV>
            <wp:extent cx="5779135" cy="2032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5">
                      <a:extLst>
                        <a:ext uri="{28A0092B-C50C-407E-A947-70E740481C1C}"/>
                      </a:extLst>
                    </a:blip>
                    <a:srcRect/>
                    <a:stretch>
                      <a:fillRect/>
                    </a:stretch>
                  </pic:blipFill>
                  <pic:spPr bwMode="auto">
                    <a:xfrm>
                      <a:off x="0" y="0"/>
                      <a:ext cx="5779135" cy="20320"/>
                    </a:xfrm>
                    <a:prstGeom prst="rect">
                      <a:avLst/>
                    </a:prstGeom>
                    <a:noFill/>
                  </pic:spPr>
                </pic:pic>
              </a:graphicData>
            </a:graphic>
          </wp:anchor>
        </w:drawing>
      </w:r>
    </w:p>
    <w:p>
      <w:pPr>
        <w:sectPr>
          <w:pgSz w:w="11900" w:h="16838" w:orient="portrait"/>
          <w:cols w:equalWidth="0" w:num="1">
            <w:col w:w="9100"/>
          </w:cols>
          <w:pgMar w:left="1400" w:top="125" w:right="1399" w:bottom="1440" w:gutter="0" w:footer="0" w:header="0"/>
        </w:sectPr>
      </w:pPr>
    </w:p>
    <w:bookmarkStart w:id="105" w:name="page106"/>
    <w:bookmarkEnd w:id="105"/>
    <w:p>
      <w:pPr>
        <w:jc w:val="right"/>
        <w:spacing w:after="0"/>
        <w:rPr>
          <w:sz w:val="20"/>
          <w:szCs w:val="20"/>
          <w:color w:val="auto"/>
        </w:rPr>
      </w:pPr>
      <w:r>
        <w:rPr>
          <w:rFonts w:ascii="Arial" w:cs="Arial" w:eastAsia="Arial" w:hAnsi="Arial"/>
          <w:sz w:val="14"/>
          <w:szCs w:val="14"/>
          <w:b w:val="1"/>
          <w:bCs w:val="1"/>
          <w:color w:val="auto"/>
        </w:rPr>
        <w:t>Exhibit 31(a)</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Universal Forest Products, Inc.</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color w:val="auto"/>
        </w:rPr>
        <w:t>I, Matthew J. Missad, certify that:</w:t>
      </w:r>
    </w:p>
    <w:p>
      <w:pPr>
        <w:spacing w:after="0" w:line="136" w:lineRule="exact"/>
        <w:rPr>
          <w:sz w:val="20"/>
          <w:szCs w:val="20"/>
          <w:color w:val="auto"/>
        </w:rPr>
      </w:pPr>
    </w:p>
    <w:p>
      <w:pPr>
        <w:ind w:left="500" w:hanging="496"/>
        <w:spacing w:after="0"/>
        <w:tabs>
          <w:tab w:leader="none" w:pos="500" w:val="left"/>
        </w:tabs>
        <w:numPr>
          <w:ilvl w:val="0"/>
          <w:numId w:val="61"/>
        </w:numPr>
        <w:rPr>
          <w:rFonts w:ascii="Arial" w:cs="Arial" w:eastAsia="Arial" w:hAnsi="Arial"/>
          <w:sz w:val="14"/>
          <w:szCs w:val="14"/>
          <w:color w:val="auto"/>
        </w:rPr>
      </w:pPr>
      <w:r>
        <w:rPr>
          <w:rFonts w:ascii="Arial" w:cs="Arial" w:eastAsia="Arial" w:hAnsi="Arial"/>
          <w:sz w:val="14"/>
          <w:szCs w:val="14"/>
          <w:color w:val="auto"/>
        </w:rPr>
        <w:t>I have reviewed this report on Form 10-K of Universal Forest Products, Inc.;</w:t>
      </w:r>
    </w:p>
    <w:p>
      <w:pPr>
        <w:spacing w:after="0" w:line="136" w:lineRule="exact"/>
        <w:rPr>
          <w:rFonts w:ascii="Arial" w:cs="Arial" w:eastAsia="Arial" w:hAnsi="Arial"/>
          <w:sz w:val="14"/>
          <w:szCs w:val="14"/>
          <w:color w:val="auto"/>
        </w:rPr>
      </w:pPr>
    </w:p>
    <w:p>
      <w:pPr>
        <w:jc w:val="both"/>
        <w:ind w:left="520" w:right="360" w:hanging="516"/>
        <w:spacing w:after="0" w:line="267" w:lineRule="auto"/>
        <w:tabs>
          <w:tab w:leader="none" w:pos="506" w:val="left"/>
        </w:tabs>
        <w:numPr>
          <w:ilvl w:val="0"/>
          <w:numId w:val="61"/>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9" w:lineRule="exact"/>
        <w:rPr>
          <w:rFonts w:ascii="Arial" w:cs="Arial" w:eastAsia="Arial" w:hAnsi="Arial"/>
          <w:sz w:val="14"/>
          <w:szCs w:val="14"/>
          <w:color w:val="auto"/>
        </w:rPr>
      </w:pPr>
    </w:p>
    <w:p>
      <w:pPr>
        <w:ind w:left="520" w:right="340" w:hanging="516"/>
        <w:spacing w:after="0" w:line="321" w:lineRule="auto"/>
        <w:tabs>
          <w:tab w:leader="none" w:pos="506" w:val="left"/>
        </w:tabs>
        <w:numPr>
          <w:ilvl w:val="0"/>
          <w:numId w:val="61"/>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Arial" w:cs="Arial" w:eastAsia="Arial" w:hAnsi="Arial"/>
          <w:sz w:val="13"/>
          <w:szCs w:val="13"/>
          <w:color w:val="auto"/>
        </w:rPr>
      </w:pPr>
    </w:p>
    <w:p>
      <w:pPr>
        <w:ind w:left="520" w:right="20" w:hanging="516"/>
        <w:spacing w:after="0" w:line="267" w:lineRule="auto"/>
        <w:tabs>
          <w:tab w:leader="none" w:pos="503" w:val="left"/>
        </w:tabs>
        <w:numPr>
          <w:ilvl w:val="0"/>
          <w:numId w:val="61"/>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9" w:lineRule="exact"/>
        <w:rPr>
          <w:rFonts w:ascii="Arial" w:cs="Arial" w:eastAsia="Arial" w:hAnsi="Arial"/>
          <w:sz w:val="14"/>
          <w:szCs w:val="14"/>
          <w:color w:val="auto"/>
        </w:rPr>
      </w:pPr>
    </w:p>
    <w:p>
      <w:pPr>
        <w:jc w:val="both"/>
        <w:ind w:left="1020" w:right="60" w:hanging="506"/>
        <w:spacing w:after="0" w:line="267" w:lineRule="auto"/>
        <w:tabs>
          <w:tab w:leader="none" w:pos="998" w:val="left"/>
        </w:tabs>
        <w:numPr>
          <w:ilvl w:val="1"/>
          <w:numId w:val="61"/>
        </w:numPr>
        <w:rPr>
          <w:rFonts w:ascii="Arial" w:cs="Arial" w:eastAsia="Arial" w:hAnsi="Arial"/>
          <w:sz w:val="14"/>
          <w:szCs w:val="14"/>
          <w:color w:val="auto"/>
        </w:rPr>
      </w:pPr>
      <w:r>
        <w:rPr>
          <w:rFonts w:ascii="Arial" w:cs="Arial" w:eastAsia="Arial" w:hAnsi="Arial"/>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9" w:lineRule="exact"/>
        <w:rPr>
          <w:rFonts w:ascii="Arial" w:cs="Arial" w:eastAsia="Arial" w:hAnsi="Arial"/>
          <w:sz w:val="14"/>
          <w:szCs w:val="14"/>
          <w:color w:val="auto"/>
        </w:rPr>
      </w:pPr>
    </w:p>
    <w:p>
      <w:pPr>
        <w:ind w:left="1020" w:right="300" w:hanging="506"/>
        <w:spacing w:after="0" w:line="267" w:lineRule="auto"/>
        <w:tabs>
          <w:tab w:leader="none" w:pos="1006" w:val="left"/>
        </w:tabs>
        <w:numPr>
          <w:ilvl w:val="1"/>
          <w:numId w:val="61"/>
        </w:numPr>
        <w:rPr>
          <w:rFonts w:ascii="Arial" w:cs="Arial" w:eastAsia="Arial" w:hAnsi="Arial"/>
          <w:sz w:val="14"/>
          <w:szCs w:val="14"/>
          <w:color w:val="auto"/>
        </w:rPr>
      </w:pPr>
      <w:r>
        <w:rPr>
          <w:rFonts w:ascii="Arial" w:cs="Arial" w:eastAsia="Arial" w:hAnsi="Arial"/>
          <w:sz w:val="14"/>
          <w:szCs w:val="14"/>
          <w:color w:val="auto"/>
        </w:rPr>
        <w:t>Designed such internal control over financial reporting, or caused such internal control over financial reporting to designed under our supervision, to provide reasonable assurance regarding the reliability of financial reporting and the preparation of financial statements for external purposes in accordance with generally accepted accounting principles;</w:t>
      </w:r>
    </w:p>
    <w:p>
      <w:pPr>
        <w:spacing w:after="0" w:line="99" w:lineRule="exact"/>
        <w:rPr>
          <w:rFonts w:ascii="Arial" w:cs="Arial" w:eastAsia="Arial" w:hAnsi="Arial"/>
          <w:sz w:val="14"/>
          <w:szCs w:val="14"/>
          <w:color w:val="auto"/>
        </w:rPr>
      </w:pPr>
    </w:p>
    <w:p>
      <w:pPr>
        <w:ind w:left="1020" w:right="420" w:hanging="506"/>
        <w:spacing w:after="0" w:line="368" w:lineRule="auto"/>
        <w:tabs>
          <w:tab w:leader="none" w:pos="998" w:val="left"/>
        </w:tabs>
        <w:numPr>
          <w:ilvl w:val="1"/>
          <w:numId w:val="61"/>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4" w:lineRule="exact"/>
        <w:rPr>
          <w:rFonts w:ascii="Arial" w:cs="Arial" w:eastAsia="Arial" w:hAnsi="Arial"/>
          <w:sz w:val="12"/>
          <w:szCs w:val="12"/>
          <w:color w:val="auto"/>
        </w:rPr>
      </w:pPr>
    </w:p>
    <w:p>
      <w:pPr>
        <w:ind w:left="1020" w:right="80" w:hanging="506"/>
        <w:spacing w:after="0" w:line="267" w:lineRule="auto"/>
        <w:tabs>
          <w:tab w:leader="none" w:pos="1006" w:val="left"/>
        </w:tabs>
        <w:numPr>
          <w:ilvl w:val="1"/>
          <w:numId w:val="61"/>
        </w:numPr>
        <w:rPr>
          <w:rFonts w:ascii="Arial" w:cs="Arial" w:eastAsia="Arial" w:hAnsi="Arial"/>
          <w:sz w:val="14"/>
          <w:szCs w:val="14"/>
          <w:color w:val="auto"/>
        </w:rPr>
      </w:pPr>
      <w:r>
        <w:rPr>
          <w:rFonts w:ascii="Arial" w:cs="Arial" w:eastAsia="Arial" w:hAnsi="Arial"/>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9" w:lineRule="exact"/>
        <w:rPr>
          <w:rFonts w:ascii="Arial" w:cs="Arial" w:eastAsia="Arial" w:hAnsi="Arial"/>
          <w:sz w:val="14"/>
          <w:szCs w:val="14"/>
          <w:color w:val="auto"/>
        </w:rPr>
      </w:pPr>
    </w:p>
    <w:p>
      <w:pPr>
        <w:ind w:left="520" w:right="300" w:hanging="516"/>
        <w:spacing w:after="0" w:line="321" w:lineRule="auto"/>
        <w:tabs>
          <w:tab w:leader="none" w:pos="503" w:val="left"/>
        </w:tabs>
        <w:numPr>
          <w:ilvl w:val="0"/>
          <w:numId w:val="61"/>
        </w:numPr>
        <w:rPr>
          <w:rFonts w:ascii="Arial" w:cs="Arial" w:eastAsia="Arial" w:hAnsi="Arial"/>
          <w:sz w:val="13"/>
          <w:szCs w:val="13"/>
          <w:color w:val="auto"/>
        </w:rPr>
      </w:pPr>
      <w:r>
        <w:rPr>
          <w:rFonts w:ascii="Arial" w:cs="Arial" w:eastAsia="Arial" w:hAnsi="Arial"/>
          <w:sz w:val="13"/>
          <w:szCs w:val="13"/>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67" w:lineRule="exact"/>
        <w:rPr>
          <w:rFonts w:ascii="Arial" w:cs="Arial" w:eastAsia="Arial" w:hAnsi="Arial"/>
          <w:sz w:val="13"/>
          <w:szCs w:val="13"/>
          <w:color w:val="auto"/>
        </w:rPr>
      </w:pPr>
    </w:p>
    <w:p>
      <w:pPr>
        <w:ind w:left="1020" w:hanging="506"/>
        <w:spacing w:after="0" w:line="281" w:lineRule="auto"/>
        <w:tabs>
          <w:tab w:leader="none" w:pos="990" w:val="left"/>
        </w:tabs>
        <w:numPr>
          <w:ilvl w:val="1"/>
          <w:numId w:val="61"/>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0" w:lineRule="exact"/>
        <w:rPr>
          <w:rFonts w:ascii="Arial" w:cs="Arial" w:eastAsia="Arial" w:hAnsi="Arial"/>
          <w:sz w:val="14"/>
          <w:szCs w:val="14"/>
          <w:color w:val="auto"/>
        </w:rPr>
      </w:pPr>
    </w:p>
    <w:p>
      <w:pPr>
        <w:ind w:left="1020" w:right="400" w:hanging="506"/>
        <w:spacing w:after="0" w:line="281" w:lineRule="auto"/>
        <w:tabs>
          <w:tab w:leader="none" w:pos="998" w:val="left"/>
        </w:tabs>
        <w:numPr>
          <w:ilvl w:val="1"/>
          <w:numId w:val="61"/>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60" w:type="dxa"/>
            <w:vAlign w:val="bottom"/>
          </w:tcPr>
          <w:p>
            <w:pPr>
              <w:spacing w:after="0"/>
              <w:rPr>
                <w:sz w:val="20"/>
                <w:szCs w:val="20"/>
                <w:color w:val="auto"/>
              </w:rPr>
            </w:pPr>
            <w:r>
              <w:rPr>
                <w:rFonts w:ascii="Arial" w:cs="Arial" w:eastAsia="Arial" w:hAnsi="Arial"/>
                <w:sz w:val="14"/>
                <w:szCs w:val="14"/>
                <w:color w:val="auto"/>
              </w:rPr>
              <w:t>Date:</w:t>
            </w:r>
          </w:p>
        </w:tc>
        <w:tc>
          <w:tcPr>
            <w:tcW w:w="4900" w:type="dxa"/>
            <w:vAlign w:val="bottom"/>
            <w:gridSpan w:val="3"/>
          </w:tcPr>
          <w:p>
            <w:pPr>
              <w:ind w:left="340"/>
              <w:spacing w:after="0"/>
              <w:rPr>
                <w:sz w:val="20"/>
                <w:szCs w:val="20"/>
                <w:color w:val="auto"/>
              </w:rPr>
            </w:pPr>
            <w:r>
              <w:rPr>
                <w:rFonts w:ascii="Arial" w:cs="Arial" w:eastAsia="Arial" w:hAnsi="Arial"/>
                <w:sz w:val="14"/>
                <w:szCs w:val="14"/>
                <w:color w:val="auto"/>
              </w:rPr>
              <w:t>February 27, 2019</w:t>
            </w:r>
          </w:p>
        </w:tc>
        <w:tc>
          <w:tcPr>
            <w:tcW w:w="3540" w:type="dxa"/>
            <w:vAlign w:val="bottom"/>
          </w:tcPr>
          <w:p>
            <w:pPr>
              <w:spacing w:after="0"/>
              <w:rPr>
                <w:sz w:val="20"/>
                <w:szCs w:val="20"/>
                <w:color w:val="auto"/>
              </w:rPr>
            </w:pPr>
            <w:r>
              <w:rPr>
                <w:rFonts w:ascii="Arial" w:cs="Arial" w:eastAsia="Arial" w:hAnsi="Arial"/>
                <w:sz w:val="14"/>
                <w:szCs w:val="14"/>
                <w:color w:val="auto"/>
              </w:rPr>
              <w:t>/s/ Matthew J. Missad</w:t>
            </w:r>
          </w:p>
        </w:tc>
      </w:tr>
      <w:tr>
        <w:trPr>
          <w:trHeight w:val="150"/>
        </w:trPr>
        <w:tc>
          <w:tcPr>
            <w:tcW w:w="6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800" w:type="dxa"/>
            <w:vAlign w:val="bottom"/>
            <w:tcBorders>
              <w:top w:val="single" w:sz="8" w:color="auto"/>
            </w:tcBorders>
          </w:tcPr>
          <w:p>
            <w:pPr>
              <w:spacing w:after="0"/>
              <w:rPr>
                <w:sz w:val="13"/>
                <w:szCs w:val="13"/>
                <w:color w:val="auto"/>
              </w:rPr>
            </w:pPr>
          </w:p>
        </w:tc>
        <w:tc>
          <w:tcPr>
            <w:tcW w:w="740" w:type="dxa"/>
            <w:vAlign w:val="bottom"/>
          </w:tcPr>
          <w:p>
            <w:pPr>
              <w:spacing w:after="0"/>
              <w:rPr>
                <w:sz w:val="13"/>
                <w:szCs w:val="13"/>
                <w:color w:val="auto"/>
              </w:rPr>
            </w:pPr>
          </w:p>
        </w:tc>
        <w:tc>
          <w:tcPr>
            <w:tcW w:w="3540" w:type="dxa"/>
            <w:vAlign w:val="bottom"/>
            <w:tcBorders>
              <w:top w:val="single" w:sz="8" w:color="auto"/>
            </w:tcBorders>
          </w:tcPr>
          <w:p>
            <w:pPr>
              <w:spacing w:after="0" w:line="150" w:lineRule="exact"/>
              <w:rPr>
                <w:sz w:val="20"/>
                <w:szCs w:val="20"/>
                <w:color w:val="auto"/>
              </w:rPr>
            </w:pPr>
            <w:r>
              <w:rPr>
                <w:rFonts w:ascii="Arial" w:cs="Arial" w:eastAsia="Arial" w:hAnsi="Arial"/>
                <w:sz w:val="14"/>
                <w:szCs w:val="14"/>
                <w:color w:val="auto"/>
              </w:rPr>
              <w:t>Matthew J. Missad</w:t>
            </w:r>
          </w:p>
        </w:tc>
      </w:tr>
      <w:tr>
        <w:trPr>
          <w:trHeight w:val="170"/>
        </w:trPr>
        <w:tc>
          <w:tcPr>
            <w:tcW w:w="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540" w:type="dxa"/>
            <w:vAlign w:val="bottom"/>
          </w:tcPr>
          <w:p>
            <w:pPr>
              <w:spacing w:after="0"/>
              <w:rPr>
                <w:sz w:val="20"/>
                <w:szCs w:val="20"/>
                <w:color w:val="auto"/>
              </w:rPr>
            </w:pPr>
            <w:r>
              <w:rPr>
                <w:rFonts w:ascii="Arial" w:cs="Arial" w:eastAsia="Arial" w:hAnsi="Arial"/>
                <w:sz w:val="14"/>
                <w:szCs w:val="14"/>
                <w:color w:val="auto"/>
              </w:rPr>
              <w:t>Chief Executive Officer and</w:t>
            </w:r>
          </w:p>
        </w:tc>
      </w:tr>
      <w:tr>
        <w:trPr>
          <w:trHeight w:val="180"/>
        </w:trPr>
        <w:tc>
          <w:tcPr>
            <w:tcW w:w="6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540" w:type="dxa"/>
            <w:vAlign w:val="bottom"/>
          </w:tcPr>
          <w:p>
            <w:pPr>
              <w:spacing w:after="0"/>
              <w:rPr>
                <w:sz w:val="20"/>
                <w:szCs w:val="20"/>
                <w:color w:val="auto"/>
              </w:rPr>
            </w:pPr>
            <w:r>
              <w:rPr>
                <w:rFonts w:ascii="Arial" w:cs="Arial" w:eastAsia="Arial" w:hAnsi="Arial"/>
                <w:sz w:val="14"/>
                <w:szCs w:val="14"/>
                <w:color w:val="auto"/>
              </w:rPr>
              <w:t>Principal Executive Officer</w:t>
            </w:r>
          </w:p>
        </w:tc>
      </w:tr>
      <w:tr>
        <w:trPr>
          <w:trHeight w:val="352"/>
        </w:trPr>
        <w:tc>
          <w:tcPr>
            <w:tcW w:w="6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tcPr>
          <w:p>
            <w:pPr>
              <w:spacing w:after="0"/>
              <w:rPr>
                <w:sz w:val="24"/>
                <w:szCs w:val="24"/>
                <w:color w:val="auto"/>
              </w:rPr>
            </w:pPr>
          </w:p>
        </w:tc>
      </w:tr>
    </w:tbl>
    <w:p>
      <w:pPr>
        <w:sectPr>
          <w:pgSz w:w="11900" w:h="16838" w:orient="portrait"/>
          <w:cols w:equalWidth="0" w:num="1">
            <w:col w:w="9100"/>
          </w:cols>
          <w:pgMar w:left="1400" w:top="125" w:right="1399" w:bottom="1440" w:gutter="0" w:footer="0" w:header="0"/>
        </w:sectPr>
      </w:pPr>
    </w:p>
    <w:bookmarkStart w:id="106" w:name="page107"/>
    <w:bookmarkEnd w:id="106"/>
    <w:p>
      <w:pPr>
        <w:jc w:val="right"/>
        <w:spacing w:after="0"/>
        <w:rPr>
          <w:sz w:val="20"/>
          <w:szCs w:val="20"/>
          <w:color w:val="auto"/>
        </w:rPr>
      </w:pPr>
      <w:r>
        <w:rPr>
          <w:rFonts w:ascii="Arial" w:cs="Arial" w:eastAsia="Arial" w:hAnsi="Arial"/>
          <w:sz w:val="14"/>
          <w:szCs w:val="14"/>
          <w:b w:val="1"/>
          <w:bCs w:val="1"/>
          <w:color w:val="auto"/>
        </w:rPr>
        <w:t>Exhibit 31(b)</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Universal Forest Products, Inc.</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w:t>
      </w:r>
    </w:p>
    <w:p>
      <w:pPr>
        <w:spacing w:after="0" w:line="151" w:lineRule="exact"/>
        <w:rPr>
          <w:sz w:val="20"/>
          <w:szCs w:val="20"/>
          <w:color w:val="auto"/>
        </w:rPr>
      </w:pPr>
    </w:p>
    <w:p>
      <w:pPr>
        <w:spacing w:after="0"/>
        <w:rPr>
          <w:sz w:val="20"/>
          <w:szCs w:val="20"/>
          <w:color w:val="auto"/>
        </w:rPr>
      </w:pPr>
      <w:r>
        <w:rPr>
          <w:rFonts w:ascii="Arial" w:cs="Arial" w:eastAsia="Arial" w:hAnsi="Arial"/>
          <w:sz w:val="14"/>
          <w:szCs w:val="14"/>
          <w:color w:val="auto"/>
        </w:rPr>
        <w:t>I, Michael R. Cole, certify that:</w:t>
      </w:r>
    </w:p>
    <w:p>
      <w:pPr>
        <w:spacing w:after="0" w:line="147" w:lineRule="exact"/>
        <w:rPr>
          <w:sz w:val="20"/>
          <w:szCs w:val="20"/>
          <w:color w:val="auto"/>
        </w:rPr>
      </w:pPr>
    </w:p>
    <w:p>
      <w:pPr>
        <w:ind w:left="500" w:hanging="496"/>
        <w:spacing w:after="0"/>
        <w:tabs>
          <w:tab w:leader="none" w:pos="500" w:val="left"/>
        </w:tabs>
        <w:numPr>
          <w:ilvl w:val="0"/>
          <w:numId w:val="62"/>
        </w:numPr>
        <w:rPr>
          <w:rFonts w:ascii="Arial" w:cs="Arial" w:eastAsia="Arial" w:hAnsi="Arial"/>
          <w:sz w:val="14"/>
          <w:szCs w:val="14"/>
          <w:color w:val="auto"/>
        </w:rPr>
      </w:pPr>
      <w:r>
        <w:rPr>
          <w:rFonts w:ascii="Arial" w:cs="Arial" w:eastAsia="Arial" w:hAnsi="Arial"/>
          <w:sz w:val="14"/>
          <w:szCs w:val="14"/>
          <w:color w:val="auto"/>
        </w:rPr>
        <w:t>I have reviewed this report on Form 10-K of Universal Forest Products, Inc.;</w:t>
      </w:r>
    </w:p>
    <w:p>
      <w:pPr>
        <w:spacing w:after="0" w:line="157" w:lineRule="exact"/>
        <w:rPr>
          <w:rFonts w:ascii="Arial" w:cs="Arial" w:eastAsia="Arial" w:hAnsi="Arial"/>
          <w:sz w:val="14"/>
          <w:szCs w:val="14"/>
          <w:color w:val="auto"/>
        </w:rPr>
      </w:pPr>
    </w:p>
    <w:p>
      <w:pPr>
        <w:jc w:val="both"/>
        <w:ind w:left="520" w:right="360" w:hanging="516"/>
        <w:spacing w:after="0" w:line="267" w:lineRule="auto"/>
        <w:tabs>
          <w:tab w:leader="none" w:pos="506" w:val="left"/>
        </w:tabs>
        <w:numPr>
          <w:ilvl w:val="0"/>
          <w:numId w:val="62"/>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0" w:lineRule="exact"/>
        <w:rPr>
          <w:rFonts w:ascii="Arial" w:cs="Arial" w:eastAsia="Arial" w:hAnsi="Arial"/>
          <w:sz w:val="14"/>
          <w:szCs w:val="14"/>
          <w:color w:val="auto"/>
        </w:rPr>
      </w:pPr>
    </w:p>
    <w:p>
      <w:pPr>
        <w:ind w:left="520" w:right="340" w:hanging="516"/>
        <w:spacing w:after="0" w:line="321" w:lineRule="auto"/>
        <w:tabs>
          <w:tab w:leader="none" w:pos="506" w:val="left"/>
        </w:tabs>
        <w:numPr>
          <w:ilvl w:val="0"/>
          <w:numId w:val="62"/>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7" w:lineRule="exact"/>
        <w:rPr>
          <w:rFonts w:ascii="Arial" w:cs="Arial" w:eastAsia="Arial" w:hAnsi="Arial"/>
          <w:sz w:val="13"/>
          <w:szCs w:val="13"/>
          <w:color w:val="auto"/>
        </w:rPr>
      </w:pPr>
    </w:p>
    <w:p>
      <w:pPr>
        <w:ind w:left="520" w:right="20" w:hanging="516"/>
        <w:spacing w:after="0" w:line="267" w:lineRule="auto"/>
        <w:tabs>
          <w:tab w:leader="none" w:pos="503" w:val="left"/>
        </w:tabs>
        <w:numPr>
          <w:ilvl w:val="0"/>
          <w:numId w:val="62"/>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Arial" w:cs="Arial" w:eastAsia="Arial" w:hAnsi="Arial"/>
          <w:sz w:val="14"/>
          <w:szCs w:val="14"/>
          <w:color w:val="auto"/>
        </w:rPr>
      </w:pPr>
    </w:p>
    <w:p>
      <w:pPr>
        <w:jc w:val="both"/>
        <w:ind w:left="1020" w:right="60" w:hanging="506"/>
        <w:spacing w:after="0" w:line="267" w:lineRule="auto"/>
        <w:tabs>
          <w:tab w:leader="none" w:pos="998" w:val="left"/>
        </w:tabs>
        <w:numPr>
          <w:ilvl w:val="1"/>
          <w:numId w:val="62"/>
        </w:numPr>
        <w:rPr>
          <w:rFonts w:ascii="Arial" w:cs="Arial" w:eastAsia="Arial" w:hAnsi="Arial"/>
          <w:sz w:val="14"/>
          <w:szCs w:val="14"/>
          <w:color w:val="auto"/>
        </w:rPr>
      </w:pPr>
      <w:r>
        <w:rPr>
          <w:rFonts w:ascii="Arial" w:cs="Arial" w:eastAsia="Arial" w:hAnsi="Arial"/>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0" w:lineRule="exact"/>
        <w:rPr>
          <w:rFonts w:ascii="Arial" w:cs="Arial" w:eastAsia="Arial" w:hAnsi="Arial"/>
          <w:sz w:val="14"/>
          <w:szCs w:val="14"/>
          <w:color w:val="auto"/>
        </w:rPr>
      </w:pPr>
    </w:p>
    <w:p>
      <w:pPr>
        <w:ind w:left="1020" w:right="300" w:hanging="506"/>
        <w:spacing w:after="0" w:line="267" w:lineRule="auto"/>
        <w:tabs>
          <w:tab w:leader="none" w:pos="1006" w:val="left"/>
        </w:tabs>
        <w:numPr>
          <w:ilvl w:val="1"/>
          <w:numId w:val="62"/>
        </w:numPr>
        <w:rPr>
          <w:rFonts w:ascii="Arial" w:cs="Arial" w:eastAsia="Arial" w:hAnsi="Arial"/>
          <w:sz w:val="14"/>
          <w:szCs w:val="14"/>
          <w:color w:val="auto"/>
        </w:rPr>
      </w:pPr>
      <w:r>
        <w:rPr>
          <w:rFonts w:ascii="Arial" w:cs="Arial" w:eastAsia="Arial" w:hAnsi="Arial"/>
          <w:sz w:val="14"/>
          <w:szCs w:val="14"/>
          <w:color w:val="auto"/>
        </w:rPr>
        <w:t>Designed such internal control over financial reporting, or caused such internal control over financial reporting to designed under our supervision, to provide reasonable assurance regarding the reliability of financial reporting and the preparation of financial statements for external purposes in accordance with generally accepted accounting principles;</w:t>
      </w:r>
    </w:p>
    <w:p>
      <w:pPr>
        <w:spacing w:after="0" w:line="110" w:lineRule="exact"/>
        <w:rPr>
          <w:rFonts w:ascii="Arial" w:cs="Arial" w:eastAsia="Arial" w:hAnsi="Arial"/>
          <w:sz w:val="14"/>
          <w:szCs w:val="14"/>
          <w:color w:val="auto"/>
        </w:rPr>
      </w:pPr>
    </w:p>
    <w:p>
      <w:pPr>
        <w:ind w:left="1020" w:right="420" w:hanging="506"/>
        <w:spacing w:after="0" w:line="368" w:lineRule="auto"/>
        <w:tabs>
          <w:tab w:leader="none" w:pos="998" w:val="left"/>
        </w:tabs>
        <w:numPr>
          <w:ilvl w:val="1"/>
          <w:numId w:val="62"/>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5" w:lineRule="exact"/>
        <w:rPr>
          <w:rFonts w:ascii="Arial" w:cs="Arial" w:eastAsia="Arial" w:hAnsi="Arial"/>
          <w:sz w:val="12"/>
          <w:szCs w:val="12"/>
          <w:color w:val="auto"/>
        </w:rPr>
      </w:pPr>
    </w:p>
    <w:p>
      <w:pPr>
        <w:ind w:left="1020" w:right="80" w:hanging="506"/>
        <w:spacing w:after="0" w:line="267" w:lineRule="auto"/>
        <w:tabs>
          <w:tab w:leader="none" w:pos="1006" w:val="left"/>
        </w:tabs>
        <w:numPr>
          <w:ilvl w:val="1"/>
          <w:numId w:val="62"/>
        </w:numPr>
        <w:rPr>
          <w:rFonts w:ascii="Arial" w:cs="Arial" w:eastAsia="Arial" w:hAnsi="Arial"/>
          <w:sz w:val="14"/>
          <w:szCs w:val="14"/>
          <w:color w:val="auto"/>
        </w:rPr>
      </w:pPr>
      <w:r>
        <w:rPr>
          <w:rFonts w:ascii="Arial" w:cs="Arial" w:eastAsia="Arial" w:hAnsi="Arial"/>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0" w:lineRule="exact"/>
        <w:rPr>
          <w:rFonts w:ascii="Arial" w:cs="Arial" w:eastAsia="Arial" w:hAnsi="Arial"/>
          <w:sz w:val="14"/>
          <w:szCs w:val="14"/>
          <w:color w:val="auto"/>
        </w:rPr>
      </w:pPr>
    </w:p>
    <w:p>
      <w:pPr>
        <w:ind w:left="520" w:right="300" w:hanging="516"/>
        <w:spacing w:after="0" w:line="321" w:lineRule="auto"/>
        <w:tabs>
          <w:tab w:leader="none" w:pos="503" w:val="left"/>
        </w:tabs>
        <w:numPr>
          <w:ilvl w:val="0"/>
          <w:numId w:val="62"/>
        </w:numPr>
        <w:rPr>
          <w:rFonts w:ascii="Arial" w:cs="Arial" w:eastAsia="Arial" w:hAnsi="Arial"/>
          <w:sz w:val="13"/>
          <w:szCs w:val="13"/>
          <w:color w:val="auto"/>
        </w:rPr>
      </w:pPr>
      <w:r>
        <w:rPr>
          <w:rFonts w:ascii="Arial" w:cs="Arial" w:eastAsia="Arial" w:hAnsi="Arial"/>
          <w:sz w:val="13"/>
          <w:szCs w:val="13"/>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77" w:lineRule="exact"/>
        <w:rPr>
          <w:rFonts w:ascii="Arial" w:cs="Arial" w:eastAsia="Arial" w:hAnsi="Arial"/>
          <w:sz w:val="13"/>
          <w:szCs w:val="13"/>
          <w:color w:val="auto"/>
        </w:rPr>
      </w:pPr>
    </w:p>
    <w:p>
      <w:pPr>
        <w:ind w:left="1020" w:hanging="506"/>
        <w:spacing w:after="0" w:line="281" w:lineRule="auto"/>
        <w:tabs>
          <w:tab w:leader="none" w:pos="990" w:val="left"/>
        </w:tabs>
        <w:numPr>
          <w:ilvl w:val="1"/>
          <w:numId w:val="62"/>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1" w:lineRule="exact"/>
        <w:rPr>
          <w:rFonts w:ascii="Arial" w:cs="Arial" w:eastAsia="Arial" w:hAnsi="Arial"/>
          <w:sz w:val="14"/>
          <w:szCs w:val="14"/>
          <w:color w:val="auto"/>
        </w:rPr>
      </w:pPr>
    </w:p>
    <w:p>
      <w:pPr>
        <w:ind w:left="1020" w:right="400" w:hanging="506"/>
        <w:spacing w:after="0" w:line="281" w:lineRule="auto"/>
        <w:tabs>
          <w:tab w:leader="none" w:pos="998" w:val="left"/>
        </w:tabs>
        <w:numPr>
          <w:ilvl w:val="1"/>
          <w:numId w:val="62"/>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60" w:type="dxa"/>
            <w:vAlign w:val="bottom"/>
          </w:tcPr>
          <w:p>
            <w:pPr>
              <w:spacing w:after="0"/>
              <w:rPr>
                <w:sz w:val="20"/>
                <w:szCs w:val="20"/>
                <w:color w:val="auto"/>
              </w:rPr>
            </w:pPr>
            <w:r>
              <w:rPr>
                <w:rFonts w:ascii="Arial" w:cs="Arial" w:eastAsia="Arial" w:hAnsi="Arial"/>
                <w:sz w:val="14"/>
                <w:szCs w:val="14"/>
                <w:color w:val="auto"/>
              </w:rPr>
              <w:t>Date:</w:t>
            </w:r>
          </w:p>
        </w:tc>
        <w:tc>
          <w:tcPr>
            <w:tcW w:w="4900" w:type="dxa"/>
            <w:vAlign w:val="bottom"/>
            <w:gridSpan w:val="3"/>
          </w:tcPr>
          <w:p>
            <w:pPr>
              <w:ind w:left="340"/>
              <w:spacing w:after="0"/>
              <w:rPr>
                <w:sz w:val="20"/>
                <w:szCs w:val="20"/>
                <w:color w:val="auto"/>
              </w:rPr>
            </w:pPr>
            <w:r>
              <w:rPr>
                <w:rFonts w:ascii="Arial" w:cs="Arial" w:eastAsia="Arial" w:hAnsi="Arial"/>
                <w:sz w:val="14"/>
                <w:szCs w:val="14"/>
                <w:color w:val="auto"/>
              </w:rPr>
              <w:t>February 27, 2019</w:t>
            </w:r>
          </w:p>
        </w:tc>
        <w:tc>
          <w:tcPr>
            <w:tcW w:w="3540" w:type="dxa"/>
            <w:vAlign w:val="bottom"/>
          </w:tcPr>
          <w:p>
            <w:pPr>
              <w:spacing w:after="0"/>
              <w:rPr>
                <w:sz w:val="20"/>
                <w:szCs w:val="20"/>
                <w:color w:val="auto"/>
              </w:rPr>
            </w:pPr>
            <w:r>
              <w:rPr>
                <w:rFonts w:ascii="Arial" w:cs="Arial" w:eastAsia="Arial" w:hAnsi="Arial"/>
                <w:sz w:val="14"/>
                <w:szCs w:val="14"/>
                <w:color w:val="auto"/>
              </w:rPr>
              <w:t>/s/ Michael R. Cole</w:t>
            </w:r>
          </w:p>
        </w:tc>
      </w:tr>
      <w:tr>
        <w:trPr>
          <w:trHeight w:val="150"/>
        </w:trPr>
        <w:tc>
          <w:tcPr>
            <w:tcW w:w="6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540" w:type="dxa"/>
            <w:vAlign w:val="bottom"/>
            <w:tcBorders>
              <w:top w:val="single" w:sz="8" w:color="auto"/>
            </w:tcBorders>
          </w:tcPr>
          <w:p>
            <w:pPr>
              <w:spacing w:after="0"/>
              <w:rPr>
                <w:sz w:val="13"/>
                <w:szCs w:val="13"/>
                <w:color w:val="auto"/>
              </w:rPr>
            </w:pPr>
          </w:p>
        </w:tc>
        <w:tc>
          <w:tcPr>
            <w:tcW w:w="1000" w:type="dxa"/>
            <w:vAlign w:val="bottom"/>
          </w:tcPr>
          <w:p>
            <w:pPr>
              <w:spacing w:after="0"/>
              <w:rPr>
                <w:sz w:val="13"/>
                <w:szCs w:val="13"/>
                <w:color w:val="auto"/>
              </w:rPr>
            </w:pPr>
          </w:p>
        </w:tc>
        <w:tc>
          <w:tcPr>
            <w:tcW w:w="3540" w:type="dxa"/>
            <w:vAlign w:val="bottom"/>
            <w:tcBorders>
              <w:top w:val="single" w:sz="8" w:color="auto"/>
            </w:tcBorders>
          </w:tcPr>
          <w:p>
            <w:pPr>
              <w:spacing w:after="0" w:line="150" w:lineRule="exact"/>
              <w:rPr>
                <w:sz w:val="20"/>
                <w:szCs w:val="20"/>
                <w:color w:val="auto"/>
              </w:rPr>
            </w:pPr>
            <w:r>
              <w:rPr>
                <w:rFonts w:ascii="Arial" w:cs="Arial" w:eastAsia="Arial" w:hAnsi="Arial"/>
                <w:sz w:val="14"/>
                <w:szCs w:val="14"/>
                <w:color w:val="auto"/>
              </w:rPr>
              <w:t>Michael R. Cole</w:t>
            </w:r>
          </w:p>
        </w:tc>
      </w:tr>
      <w:tr>
        <w:trPr>
          <w:trHeight w:val="170"/>
        </w:trPr>
        <w:tc>
          <w:tcPr>
            <w:tcW w:w="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540" w:type="dxa"/>
            <w:vAlign w:val="bottom"/>
          </w:tcPr>
          <w:p>
            <w:pPr>
              <w:spacing w:after="0"/>
              <w:rPr>
                <w:sz w:val="20"/>
                <w:szCs w:val="20"/>
                <w:color w:val="auto"/>
              </w:rPr>
            </w:pPr>
            <w:r>
              <w:rPr>
                <w:rFonts w:ascii="Arial" w:cs="Arial" w:eastAsia="Arial" w:hAnsi="Arial"/>
                <w:sz w:val="14"/>
                <w:szCs w:val="14"/>
                <w:color w:val="auto"/>
              </w:rPr>
              <w:t>Chief Financial Officer,</w:t>
            </w:r>
          </w:p>
        </w:tc>
      </w:tr>
      <w:tr>
        <w:trPr>
          <w:trHeight w:val="170"/>
        </w:trPr>
        <w:tc>
          <w:tcPr>
            <w:tcW w:w="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540" w:type="dxa"/>
            <w:vAlign w:val="bottom"/>
          </w:tcPr>
          <w:p>
            <w:pPr>
              <w:spacing w:after="0"/>
              <w:rPr>
                <w:sz w:val="20"/>
                <w:szCs w:val="20"/>
                <w:color w:val="auto"/>
              </w:rPr>
            </w:pPr>
            <w:r>
              <w:rPr>
                <w:rFonts w:ascii="Arial" w:cs="Arial" w:eastAsia="Arial" w:hAnsi="Arial"/>
                <w:sz w:val="14"/>
                <w:szCs w:val="14"/>
                <w:color w:val="auto"/>
              </w:rPr>
              <w:t>Principal Financial Officer and</w:t>
            </w:r>
          </w:p>
        </w:tc>
      </w:tr>
      <w:tr>
        <w:trPr>
          <w:trHeight w:val="180"/>
        </w:trPr>
        <w:tc>
          <w:tcPr>
            <w:tcW w:w="6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540" w:type="dxa"/>
            <w:vAlign w:val="bottom"/>
          </w:tcPr>
          <w:p>
            <w:pPr>
              <w:spacing w:after="0"/>
              <w:rPr>
                <w:sz w:val="20"/>
                <w:szCs w:val="20"/>
                <w:color w:val="auto"/>
              </w:rPr>
            </w:pPr>
            <w:r>
              <w:rPr>
                <w:rFonts w:ascii="Arial" w:cs="Arial" w:eastAsia="Arial" w:hAnsi="Arial"/>
                <w:sz w:val="14"/>
                <w:szCs w:val="14"/>
                <w:color w:val="auto"/>
              </w:rPr>
              <w:t>Principal Accounting Officer</w:t>
            </w:r>
          </w:p>
        </w:tc>
      </w:tr>
      <w:tr>
        <w:trPr>
          <w:trHeight w:val="596"/>
        </w:trPr>
        <w:tc>
          <w:tcPr>
            <w:tcW w:w="6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tcPr>
          <w:p>
            <w:pPr>
              <w:spacing w:after="0"/>
              <w:rPr>
                <w:sz w:val="24"/>
                <w:szCs w:val="24"/>
                <w:color w:val="auto"/>
              </w:rPr>
            </w:pPr>
          </w:p>
        </w:tc>
      </w:tr>
    </w:tbl>
    <w:p>
      <w:pPr>
        <w:sectPr>
          <w:pgSz w:w="11900" w:h="16838" w:orient="portrait"/>
          <w:cols w:equalWidth="0" w:num="1">
            <w:col w:w="9100"/>
          </w:cols>
          <w:pgMar w:left="1400" w:top="125" w:right="1399" w:bottom="1440" w:gutter="0" w:footer="0" w:header="0"/>
        </w:sectPr>
      </w:pPr>
    </w:p>
    <w:bookmarkStart w:id="107" w:name="page108"/>
    <w:bookmarkEnd w:id="107"/>
    <w:p>
      <w:pPr>
        <w:jc w:val="right"/>
        <w:spacing w:after="0"/>
        <w:rPr>
          <w:sz w:val="20"/>
          <w:szCs w:val="20"/>
          <w:color w:val="auto"/>
        </w:rPr>
      </w:pPr>
      <w:r>
        <w:rPr>
          <w:rFonts w:ascii="Arial" w:cs="Arial" w:eastAsia="Arial" w:hAnsi="Arial"/>
          <w:sz w:val="14"/>
          <w:szCs w:val="14"/>
          <w:b w:val="1"/>
          <w:bCs w:val="1"/>
          <w:color w:val="auto"/>
        </w:rPr>
        <w:t>Exhibit 32(a)</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CERTIFICATE OF THE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CHIEF EXECUTIVE OFFICER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UNIVERSAL FOREST PRODUCTS, INC.</w:t>
      </w:r>
    </w:p>
    <w:p>
      <w:pPr>
        <w:spacing w:after="0" w:line="169" w:lineRule="exact"/>
        <w:rPr>
          <w:sz w:val="20"/>
          <w:szCs w:val="20"/>
          <w:color w:val="auto"/>
        </w:rPr>
      </w:pPr>
    </w:p>
    <w:p>
      <w:pPr>
        <w:ind w:left="520"/>
        <w:spacing w:after="0"/>
        <w:rPr>
          <w:sz w:val="20"/>
          <w:szCs w:val="20"/>
          <w:color w:val="auto"/>
        </w:rPr>
      </w:pPr>
      <w:r>
        <w:rPr>
          <w:rFonts w:ascii="Arial" w:cs="Arial" w:eastAsia="Arial" w:hAnsi="Arial"/>
          <w:sz w:val="14"/>
          <w:szCs w:val="14"/>
          <w:color w:val="auto"/>
        </w:rPr>
        <w:t>Pursuant to Section 906 of the Sarbanes-Oxley Act of 2002 (18 U.S.C. 1350):</w:t>
      </w:r>
    </w:p>
    <w:p>
      <w:pPr>
        <w:spacing w:after="0" w:line="179" w:lineRule="exact"/>
        <w:rPr>
          <w:sz w:val="20"/>
          <w:szCs w:val="20"/>
          <w:color w:val="auto"/>
        </w:rPr>
      </w:pPr>
    </w:p>
    <w:p>
      <w:pPr>
        <w:ind w:firstLine="510"/>
        <w:spacing w:after="0" w:line="281" w:lineRule="auto"/>
        <w:rPr>
          <w:sz w:val="20"/>
          <w:szCs w:val="20"/>
          <w:color w:val="auto"/>
        </w:rPr>
      </w:pPr>
      <w:r>
        <w:rPr>
          <w:rFonts w:ascii="Arial" w:cs="Arial" w:eastAsia="Arial" w:hAnsi="Arial"/>
          <w:sz w:val="14"/>
          <w:szCs w:val="14"/>
          <w:color w:val="auto"/>
        </w:rPr>
        <w:t>I, Matthew J. Missad, Chief Executive Officer of Universal Forest Products, Inc., certify, to the best of my knowledge and belief, pursuant to Section 906 of the Sarbanes-Oxley Act of 2002 (18 U.S.C. 1350) that:</w:t>
      </w:r>
    </w:p>
    <w:p>
      <w:pPr>
        <w:spacing w:after="0" w:line="133" w:lineRule="exact"/>
        <w:rPr>
          <w:sz w:val="20"/>
          <w:szCs w:val="20"/>
          <w:color w:val="auto"/>
        </w:rPr>
      </w:pPr>
    </w:p>
    <w:p>
      <w:pPr>
        <w:ind w:firstLine="514"/>
        <w:spacing w:after="0" w:line="281" w:lineRule="auto"/>
        <w:tabs>
          <w:tab w:leader="none" w:pos="1103" w:val="left"/>
        </w:tabs>
        <w:numPr>
          <w:ilvl w:val="0"/>
          <w:numId w:val="63"/>
        </w:numPr>
        <w:rPr>
          <w:rFonts w:ascii="Arial" w:cs="Arial" w:eastAsia="Arial" w:hAnsi="Arial"/>
          <w:sz w:val="14"/>
          <w:szCs w:val="14"/>
          <w:color w:val="auto"/>
        </w:rPr>
      </w:pPr>
      <w:r>
        <w:rPr>
          <w:rFonts w:ascii="Arial" w:cs="Arial" w:eastAsia="Arial" w:hAnsi="Arial"/>
          <w:sz w:val="14"/>
          <w:szCs w:val="14"/>
          <w:color w:val="auto"/>
        </w:rPr>
        <w:t>The report on Form 10-K for the year ended December 29, 2018, which this statement accompanies, fully complies with requirements of Section 13(a) or 15(d) of the Securities Exchange Act of 1934; and</w:t>
      </w:r>
    </w:p>
    <w:p>
      <w:pPr>
        <w:spacing w:after="0" w:line="132" w:lineRule="exact"/>
        <w:rPr>
          <w:rFonts w:ascii="Arial" w:cs="Arial" w:eastAsia="Arial" w:hAnsi="Arial"/>
          <w:sz w:val="14"/>
          <w:szCs w:val="14"/>
          <w:color w:val="auto"/>
        </w:rPr>
      </w:pPr>
    </w:p>
    <w:p>
      <w:pPr>
        <w:ind w:firstLine="514"/>
        <w:spacing w:after="0" w:line="281" w:lineRule="auto"/>
        <w:tabs>
          <w:tab w:leader="none" w:pos="1058" w:val="left"/>
        </w:tabs>
        <w:numPr>
          <w:ilvl w:val="0"/>
          <w:numId w:val="63"/>
        </w:numPr>
        <w:rPr>
          <w:rFonts w:ascii="Arial" w:cs="Arial" w:eastAsia="Arial" w:hAnsi="Arial"/>
          <w:sz w:val="14"/>
          <w:szCs w:val="14"/>
          <w:color w:val="auto"/>
        </w:rPr>
      </w:pPr>
      <w:r>
        <w:rPr>
          <w:rFonts w:ascii="Arial" w:cs="Arial" w:eastAsia="Arial" w:hAnsi="Arial"/>
          <w:sz w:val="14"/>
          <w:szCs w:val="14"/>
          <w:color w:val="auto"/>
        </w:rPr>
        <w:t>The information contained in this report on Form 10-K for the period ended December 29, 2018 fairly presents, in all material respects, the financial condition and results of operations of Universal Forest Products, Inc.</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4940" w:type="dxa"/>
            <w:vAlign w:val="bottom"/>
            <w:gridSpan w:val="2"/>
          </w:tcPr>
          <w:p>
            <w:pPr>
              <w:ind w:left="800"/>
              <w:spacing w:after="0"/>
              <w:rPr>
                <w:sz w:val="20"/>
                <w:szCs w:val="20"/>
                <w:color w:val="auto"/>
              </w:rPr>
            </w:pPr>
            <w:r>
              <w:rPr>
                <w:rFonts w:ascii="Arial" w:cs="Arial" w:eastAsia="Arial" w:hAnsi="Arial"/>
                <w:sz w:val="14"/>
                <w:szCs w:val="14"/>
                <w:color w:val="auto"/>
              </w:rPr>
              <w:t>UNIVERSAL FOREST PRODUCTS, INC.</w:t>
            </w:r>
          </w:p>
        </w:tc>
      </w:tr>
      <w:tr>
        <w:trPr>
          <w:trHeight w:val="340"/>
        </w:trPr>
        <w:tc>
          <w:tcPr>
            <w:tcW w:w="460" w:type="dxa"/>
            <w:vAlign w:val="bottom"/>
          </w:tcPr>
          <w:p>
            <w:pPr>
              <w:spacing w:after="0"/>
              <w:rPr>
                <w:sz w:val="20"/>
                <w:szCs w:val="20"/>
                <w:color w:val="auto"/>
              </w:rPr>
            </w:pPr>
            <w:r>
              <w:rPr>
                <w:rFonts w:ascii="Arial" w:cs="Arial" w:eastAsia="Arial" w:hAnsi="Arial"/>
                <w:sz w:val="14"/>
                <w:szCs w:val="14"/>
                <w:color w:val="auto"/>
              </w:rPr>
              <w:t>Date:</w:t>
            </w:r>
          </w:p>
        </w:tc>
        <w:tc>
          <w:tcPr>
            <w:tcW w:w="3700" w:type="dxa"/>
            <w:vAlign w:val="bottom"/>
            <w:gridSpan w:val="2"/>
          </w:tcPr>
          <w:p>
            <w:pPr>
              <w:ind w:left="140"/>
              <w:spacing w:after="0"/>
              <w:rPr>
                <w:sz w:val="20"/>
                <w:szCs w:val="20"/>
                <w:color w:val="auto"/>
              </w:rPr>
            </w:pPr>
            <w:r>
              <w:rPr>
                <w:rFonts w:ascii="Arial" w:cs="Arial" w:eastAsia="Arial" w:hAnsi="Arial"/>
                <w:sz w:val="14"/>
                <w:szCs w:val="14"/>
                <w:color w:val="auto"/>
              </w:rPr>
              <w:t>February 27, 2019</w:t>
            </w:r>
          </w:p>
        </w:tc>
        <w:tc>
          <w:tcPr>
            <w:tcW w:w="1160" w:type="dxa"/>
            <w:vAlign w:val="bottom"/>
          </w:tcPr>
          <w:p>
            <w:pPr>
              <w:ind w:left="800"/>
              <w:spacing w:after="0"/>
              <w:rPr>
                <w:sz w:val="20"/>
                <w:szCs w:val="20"/>
                <w:color w:val="auto"/>
              </w:rPr>
            </w:pPr>
            <w:r>
              <w:rPr>
                <w:rFonts w:ascii="Arial" w:cs="Arial" w:eastAsia="Arial" w:hAnsi="Arial"/>
                <w:sz w:val="14"/>
                <w:szCs w:val="14"/>
                <w:color w:val="auto"/>
              </w:rPr>
              <w:t>By:</w:t>
            </w:r>
          </w:p>
        </w:tc>
        <w:tc>
          <w:tcPr>
            <w:tcW w:w="3780" w:type="dxa"/>
            <w:vAlign w:val="bottom"/>
          </w:tcPr>
          <w:p>
            <w:pPr>
              <w:spacing w:after="0"/>
              <w:rPr>
                <w:sz w:val="20"/>
                <w:szCs w:val="20"/>
                <w:color w:val="auto"/>
              </w:rPr>
            </w:pPr>
            <w:r>
              <w:rPr>
                <w:rFonts w:ascii="Arial" w:cs="Arial" w:eastAsia="Arial" w:hAnsi="Arial"/>
                <w:sz w:val="14"/>
                <w:szCs w:val="14"/>
                <w:color w:val="auto"/>
              </w:rPr>
              <w:t>/s/ Matthew J. Missad</w:t>
            </w:r>
          </w:p>
        </w:tc>
      </w:tr>
      <w:tr>
        <w:trPr>
          <w:trHeight w:val="150"/>
        </w:trPr>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560" w:type="dxa"/>
            <w:vAlign w:val="bottom"/>
            <w:tcBorders>
              <w:top w:val="single" w:sz="8" w:color="auto"/>
            </w:tcBorders>
          </w:tcPr>
          <w:p>
            <w:pPr>
              <w:spacing w:after="0"/>
              <w:rPr>
                <w:sz w:val="13"/>
                <w:szCs w:val="13"/>
                <w:color w:val="auto"/>
              </w:rPr>
            </w:pPr>
          </w:p>
        </w:tc>
        <w:tc>
          <w:tcPr>
            <w:tcW w:w="1160" w:type="dxa"/>
            <w:vAlign w:val="bottom"/>
          </w:tcPr>
          <w:p>
            <w:pPr>
              <w:spacing w:after="0"/>
              <w:rPr>
                <w:sz w:val="13"/>
                <w:szCs w:val="13"/>
                <w:color w:val="auto"/>
              </w:rPr>
            </w:pPr>
          </w:p>
        </w:tc>
        <w:tc>
          <w:tcPr>
            <w:tcW w:w="3780" w:type="dxa"/>
            <w:vAlign w:val="bottom"/>
            <w:tcBorders>
              <w:top w:val="single" w:sz="8" w:color="auto"/>
            </w:tcBorders>
          </w:tcPr>
          <w:p>
            <w:pPr>
              <w:spacing w:after="0" w:line="150" w:lineRule="exact"/>
              <w:rPr>
                <w:sz w:val="20"/>
                <w:szCs w:val="20"/>
                <w:color w:val="auto"/>
              </w:rPr>
            </w:pPr>
            <w:r>
              <w:rPr>
                <w:rFonts w:ascii="Arial" w:cs="Arial" w:eastAsia="Arial" w:hAnsi="Arial"/>
                <w:sz w:val="14"/>
                <w:szCs w:val="14"/>
                <w:color w:val="auto"/>
              </w:rPr>
              <w:t>Matthew J. Missad</w:t>
            </w:r>
          </w:p>
        </w:tc>
      </w:tr>
      <w:tr>
        <w:trPr>
          <w:trHeight w:val="170"/>
        </w:trPr>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160" w:type="dxa"/>
            <w:vAlign w:val="bottom"/>
          </w:tcPr>
          <w:p>
            <w:pPr>
              <w:ind w:left="800"/>
              <w:spacing w:after="0"/>
              <w:rPr>
                <w:sz w:val="20"/>
                <w:szCs w:val="20"/>
                <w:color w:val="auto"/>
              </w:rPr>
            </w:pPr>
            <w:r>
              <w:rPr>
                <w:rFonts w:ascii="Arial" w:cs="Arial" w:eastAsia="Arial" w:hAnsi="Arial"/>
                <w:sz w:val="14"/>
                <w:szCs w:val="14"/>
                <w:color w:val="auto"/>
              </w:rPr>
              <w:t>Its:</w:t>
            </w:r>
          </w:p>
        </w:tc>
        <w:tc>
          <w:tcPr>
            <w:tcW w:w="3780" w:type="dxa"/>
            <w:vAlign w:val="bottom"/>
          </w:tcPr>
          <w:p>
            <w:pPr>
              <w:spacing w:after="0"/>
              <w:rPr>
                <w:sz w:val="20"/>
                <w:szCs w:val="20"/>
                <w:color w:val="auto"/>
              </w:rPr>
            </w:pPr>
            <w:r>
              <w:rPr>
                <w:rFonts w:ascii="Arial" w:cs="Arial" w:eastAsia="Arial" w:hAnsi="Arial"/>
                <w:sz w:val="14"/>
                <w:szCs w:val="14"/>
                <w:color w:val="auto"/>
              </w:rPr>
              <w:t>Chief Executive Officer and</w:t>
            </w:r>
          </w:p>
        </w:tc>
      </w:tr>
      <w:tr>
        <w:trPr>
          <w:trHeight w:val="180"/>
        </w:trPr>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780" w:type="dxa"/>
            <w:vAlign w:val="bottom"/>
          </w:tcPr>
          <w:p>
            <w:pPr>
              <w:spacing w:after="0"/>
              <w:rPr>
                <w:sz w:val="20"/>
                <w:szCs w:val="20"/>
                <w:color w:val="auto"/>
              </w:rPr>
            </w:pPr>
            <w:r>
              <w:rPr>
                <w:rFonts w:ascii="Arial" w:cs="Arial" w:eastAsia="Arial" w:hAnsi="Arial"/>
                <w:sz w:val="14"/>
                <w:szCs w:val="14"/>
                <w:color w:val="auto"/>
              </w:rPr>
              <w:t>Principal Executive Officer</w:t>
            </w:r>
          </w:p>
        </w:tc>
      </w:tr>
    </w:tbl>
    <w:p>
      <w:pPr>
        <w:spacing w:after="0" w:line="160" w:lineRule="exact"/>
        <w:rPr>
          <w:sz w:val="20"/>
          <w:szCs w:val="20"/>
          <w:color w:val="auto"/>
        </w:rPr>
      </w:pPr>
    </w:p>
    <w:p>
      <w:pPr>
        <w:jc w:val="both"/>
        <w:spacing w:after="0" w:line="297" w:lineRule="auto"/>
        <w:rPr>
          <w:sz w:val="20"/>
          <w:szCs w:val="20"/>
          <w:color w:val="auto"/>
        </w:rPr>
      </w:pPr>
      <w:r>
        <w:rPr>
          <w:rFonts w:ascii="Arial" w:cs="Arial" w:eastAsia="Arial" w:hAnsi="Arial"/>
          <w:sz w:val="13"/>
          <w:szCs w:val="13"/>
          <w:color w:val="auto"/>
        </w:rPr>
        <w:t>The signed original of this written statement required by Section 906, or any other document authenticating, acknowledging, or otherwise adopting the signature that appears in typed form within the electronic version of this written statement required by Section 906, has been provided to Universal Forest Products, Inc. and will be retained by Universal Forest Products,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247650</wp:posOffset>
            </wp:positionV>
            <wp:extent cx="5779135" cy="2032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6">
                      <a:extLst>
                        <a:ext uri="{28A0092B-C50C-407E-A947-70E740481C1C}"/>
                      </a:extLst>
                    </a:blip>
                    <a:srcRect/>
                    <a:stretch>
                      <a:fillRect/>
                    </a:stretch>
                  </pic:blipFill>
                  <pic:spPr bwMode="auto">
                    <a:xfrm>
                      <a:off x="0" y="0"/>
                      <a:ext cx="5779135" cy="20320"/>
                    </a:xfrm>
                    <a:prstGeom prst="rect">
                      <a:avLst/>
                    </a:prstGeom>
                    <a:noFill/>
                  </pic:spPr>
                </pic:pic>
              </a:graphicData>
            </a:graphic>
          </wp:anchor>
        </w:drawing>
      </w:r>
    </w:p>
    <w:p>
      <w:pPr>
        <w:sectPr>
          <w:pgSz w:w="11900" w:h="16838" w:orient="portrait"/>
          <w:cols w:equalWidth="0" w:num="1">
            <w:col w:w="9100"/>
          </w:cols>
          <w:pgMar w:left="1400" w:top="125" w:right="1399" w:bottom="1440" w:gutter="0" w:footer="0" w:header="0"/>
        </w:sectPr>
      </w:pPr>
    </w:p>
    <w:bookmarkStart w:id="108" w:name="page109"/>
    <w:bookmarkEnd w:id="108"/>
    <w:p>
      <w:pPr>
        <w:jc w:val="right"/>
        <w:spacing w:after="0"/>
        <w:rPr>
          <w:sz w:val="20"/>
          <w:szCs w:val="20"/>
          <w:color w:val="auto"/>
        </w:rPr>
      </w:pPr>
      <w:r>
        <w:rPr>
          <w:rFonts w:ascii="Arial" w:cs="Arial" w:eastAsia="Arial" w:hAnsi="Arial"/>
          <w:sz w:val="14"/>
          <w:szCs w:val="14"/>
          <w:b w:val="1"/>
          <w:bCs w:val="1"/>
          <w:color w:val="auto"/>
        </w:rPr>
        <w:t>Exhibit 32(b)</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CERTIFICATE OF THE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CHIEF FINANCIAL OFFICER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UNIVERSAL FOREST PRODUCTS, INC.</w:t>
      </w:r>
    </w:p>
    <w:p>
      <w:pPr>
        <w:spacing w:after="0" w:line="169" w:lineRule="exact"/>
        <w:rPr>
          <w:sz w:val="20"/>
          <w:szCs w:val="20"/>
          <w:color w:val="auto"/>
        </w:rPr>
      </w:pPr>
    </w:p>
    <w:p>
      <w:pPr>
        <w:ind w:left="520"/>
        <w:spacing w:after="0"/>
        <w:rPr>
          <w:sz w:val="20"/>
          <w:szCs w:val="20"/>
          <w:color w:val="auto"/>
        </w:rPr>
      </w:pPr>
      <w:r>
        <w:rPr>
          <w:rFonts w:ascii="Arial" w:cs="Arial" w:eastAsia="Arial" w:hAnsi="Arial"/>
          <w:sz w:val="14"/>
          <w:szCs w:val="14"/>
          <w:color w:val="auto"/>
        </w:rPr>
        <w:t>Pursuant to Section 906 of the Sarbanes-Oxley Act of 2002 (18 U.S.C. 1350):</w:t>
      </w:r>
    </w:p>
    <w:p>
      <w:pPr>
        <w:spacing w:after="0" w:line="179" w:lineRule="exact"/>
        <w:rPr>
          <w:sz w:val="20"/>
          <w:szCs w:val="20"/>
          <w:color w:val="auto"/>
        </w:rPr>
      </w:pPr>
    </w:p>
    <w:p>
      <w:pPr>
        <w:ind w:firstLine="510"/>
        <w:spacing w:after="0" w:line="281" w:lineRule="auto"/>
        <w:rPr>
          <w:sz w:val="20"/>
          <w:szCs w:val="20"/>
          <w:color w:val="auto"/>
        </w:rPr>
      </w:pPr>
      <w:r>
        <w:rPr>
          <w:rFonts w:ascii="Arial" w:cs="Arial" w:eastAsia="Arial" w:hAnsi="Arial"/>
          <w:sz w:val="14"/>
          <w:szCs w:val="14"/>
          <w:color w:val="auto"/>
        </w:rPr>
        <w:t>I, Michael R. Cole, Chief Financial Officer of Universal Forest Products, Inc., certify, to the best of my knowledge and belief, pursuant to Section 906 of the Sarbanes-Oxley Act of 2002 (18 U.S.C. 1350) that:</w:t>
      </w:r>
    </w:p>
    <w:p>
      <w:pPr>
        <w:spacing w:after="0" w:line="133" w:lineRule="exact"/>
        <w:rPr>
          <w:sz w:val="20"/>
          <w:szCs w:val="20"/>
          <w:color w:val="auto"/>
        </w:rPr>
      </w:pPr>
    </w:p>
    <w:p>
      <w:pPr>
        <w:ind w:firstLine="514"/>
        <w:spacing w:after="0" w:line="281" w:lineRule="auto"/>
        <w:tabs>
          <w:tab w:leader="none" w:pos="1063" w:val="left"/>
        </w:tabs>
        <w:numPr>
          <w:ilvl w:val="0"/>
          <w:numId w:val="64"/>
        </w:numPr>
        <w:rPr>
          <w:rFonts w:ascii="Arial" w:cs="Arial" w:eastAsia="Arial" w:hAnsi="Arial"/>
          <w:sz w:val="14"/>
          <w:szCs w:val="14"/>
          <w:color w:val="auto"/>
        </w:rPr>
      </w:pPr>
      <w:r>
        <w:rPr>
          <w:rFonts w:ascii="Arial" w:cs="Arial" w:eastAsia="Arial" w:hAnsi="Arial"/>
          <w:sz w:val="14"/>
          <w:szCs w:val="14"/>
          <w:color w:val="auto"/>
        </w:rPr>
        <w:t>The report on Form 10-K for the period ended December 29, 2018, which this statement accompanies, fully complies with requirements of Section 13(a) or 15(d) of the Securities Exchange Act of 1934; and</w:t>
      </w:r>
    </w:p>
    <w:p>
      <w:pPr>
        <w:spacing w:after="0" w:line="132" w:lineRule="exact"/>
        <w:rPr>
          <w:rFonts w:ascii="Arial" w:cs="Arial" w:eastAsia="Arial" w:hAnsi="Arial"/>
          <w:sz w:val="14"/>
          <w:szCs w:val="14"/>
          <w:color w:val="auto"/>
        </w:rPr>
      </w:pPr>
    </w:p>
    <w:p>
      <w:pPr>
        <w:ind w:firstLine="514"/>
        <w:spacing w:after="0" w:line="281" w:lineRule="auto"/>
        <w:tabs>
          <w:tab w:leader="none" w:pos="1058" w:val="left"/>
        </w:tabs>
        <w:numPr>
          <w:ilvl w:val="0"/>
          <w:numId w:val="64"/>
        </w:numPr>
        <w:rPr>
          <w:rFonts w:ascii="Arial" w:cs="Arial" w:eastAsia="Arial" w:hAnsi="Arial"/>
          <w:sz w:val="14"/>
          <w:szCs w:val="14"/>
          <w:color w:val="auto"/>
        </w:rPr>
      </w:pPr>
      <w:r>
        <w:rPr>
          <w:rFonts w:ascii="Arial" w:cs="Arial" w:eastAsia="Arial" w:hAnsi="Arial"/>
          <w:sz w:val="14"/>
          <w:szCs w:val="14"/>
          <w:color w:val="auto"/>
        </w:rPr>
        <w:t>The information contained in this report on Form 10-K for the period ended December 29, 2018 fairly presents, in all material respects, the financial condition and results of operations of Universal Forest Products, Inc.</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52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4940" w:type="dxa"/>
            <w:vAlign w:val="bottom"/>
            <w:gridSpan w:val="2"/>
          </w:tcPr>
          <w:p>
            <w:pPr>
              <w:ind w:left="820"/>
              <w:spacing w:after="0"/>
              <w:rPr>
                <w:sz w:val="20"/>
                <w:szCs w:val="20"/>
                <w:color w:val="auto"/>
              </w:rPr>
            </w:pPr>
            <w:r>
              <w:rPr>
                <w:rFonts w:ascii="Arial" w:cs="Arial" w:eastAsia="Arial" w:hAnsi="Arial"/>
                <w:sz w:val="14"/>
                <w:szCs w:val="14"/>
                <w:color w:val="auto"/>
              </w:rPr>
              <w:t>UNIVERSAL FOREST PRODUCTS, INC.</w:t>
            </w:r>
          </w:p>
        </w:tc>
      </w:tr>
      <w:tr>
        <w:trPr>
          <w:trHeight w:val="340"/>
        </w:trPr>
        <w:tc>
          <w:tcPr>
            <w:tcW w:w="4160" w:type="dxa"/>
            <w:vAlign w:val="bottom"/>
            <w:gridSpan w:val="2"/>
          </w:tcPr>
          <w:p>
            <w:pPr>
              <w:spacing w:after="0"/>
              <w:rPr>
                <w:sz w:val="20"/>
                <w:szCs w:val="20"/>
                <w:color w:val="auto"/>
              </w:rPr>
            </w:pPr>
            <w:r>
              <w:rPr>
                <w:rFonts w:ascii="Arial" w:cs="Arial" w:eastAsia="Arial" w:hAnsi="Arial"/>
                <w:sz w:val="14"/>
                <w:szCs w:val="14"/>
                <w:color w:val="auto"/>
              </w:rPr>
              <w:t>Date:   February 27, 2019</w:t>
            </w:r>
          </w:p>
        </w:tc>
        <w:tc>
          <w:tcPr>
            <w:tcW w:w="1160" w:type="dxa"/>
            <w:vAlign w:val="bottom"/>
          </w:tcPr>
          <w:p>
            <w:pPr>
              <w:ind w:left="820"/>
              <w:spacing w:after="0"/>
              <w:rPr>
                <w:sz w:val="20"/>
                <w:szCs w:val="20"/>
                <w:color w:val="auto"/>
              </w:rPr>
            </w:pPr>
            <w:r>
              <w:rPr>
                <w:rFonts w:ascii="Arial" w:cs="Arial" w:eastAsia="Arial" w:hAnsi="Arial"/>
                <w:sz w:val="14"/>
                <w:szCs w:val="14"/>
                <w:color w:val="auto"/>
              </w:rPr>
              <w:t>By:</w:t>
            </w:r>
          </w:p>
        </w:tc>
        <w:tc>
          <w:tcPr>
            <w:tcW w:w="3780" w:type="dxa"/>
            <w:vAlign w:val="bottom"/>
          </w:tcPr>
          <w:p>
            <w:pPr>
              <w:spacing w:after="0"/>
              <w:rPr>
                <w:sz w:val="20"/>
                <w:szCs w:val="20"/>
                <w:color w:val="auto"/>
              </w:rPr>
            </w:pPr>
            <w:r>
              <w:rPr>
                <w:rFonts w:ascii="Arial" w:cs="Arial" w:eastAsia="Arial" w:hAnsi="Arial"/>
                <w:sz w:val="14"/>
                <w:szCs w:val="14"/>
                <w:color w:val="auto"/>
              </w:rPr>
              <w:t>/s/ Michael R. Cole</w:t>
            </w:r>
          </w:p>
        </w:tc>
      </w:tr>
      <w:tr>
        <w:trPr>
          <w:trHeight w:val="150"/>
        </w:trPr>
        <w:tc>
          <w:tcPr>
            <w:tcW w:w="520" w:type="dxa"/>
            <w:vAlign w:val="bottom"/>
          </w:tcPr>
          <w:p>
            <w:pPr>
              <w:spacing w:after="0"/>
              <w:rPr>
                <w:sz w:val="13"/>
                <w:szCs w:val="13"/>
                <w:color w:val="auto"/>
              </w:rPr>
            </w:pPr>
          </w:p>
        </w:tc>
        <w:tc>
          <w:tcPr>
            <w:tcW w:w="3640" w:type="dxa"/>
            <w:vAlign w:val="bottom"/>
            <w:tcBorders>
              <w:top w:val="single" w:sz="8" w:color="auto"/>
            </w:tcBorders>
          </w:tcPr>
          <w:p>
            <w:pPr>
              <w:spacing w:after="0"/>
              <w:rPr>
                <w:sz w:val="13"/>
                <w:szCs w:val="13"/>
                <w:color w:val="auto"/>
              </w:rPr>
            </w:pPr>
          </w:p>
        </w:tc>
        <w:tc>
          <w:tcPr>
            <w:tcW w:w="1160" w:type="dxa"/>
            <w:vAlign w:val="bottom"/>
          </w:tcPr>
          <w:p>
            <w:pPr>
              <w:spacing w:after="0"/>
              <w:rPr>
                <w:sz w:val="13"/>
                <w:szCs w:val="13"/>
                <w:color w:val="auto"/>
              </w:rPr>
            </w:pPr>
          </w:p>
        </w:tc>
        <w:tc>
          <w:tcPr>
            <w:tcW w:w="3780" w:type="dxa"/>
            <w:vAlign w:val="bottom"/>
            <w:tcBorders>
              <w:top w:val="single" w:sz="8" w:color="auto"/>
            </w:tcBorders>
          </w:tcPr>
          <w:p>
            <w:pPr>
              <w:spacing w:after="0" w:line="150" w:lineRule="exact"/>
              <w:rPr>
                <w:sz w:val="20"/>
                <w:szCs w:val="20"/>
                <w:color w:val="auto"/>
              </w:rPr>
            </w:pPr>
            <w:r>
              <w:rPr>
                <w:rFonts w:ascii="Arial" w:cs="Arial" w:eastAsia="Arial" w:hAnsi="Arial"/>
                <w:sz w:val="14"/>
                <w:szCs w:val="14"/>
                <w:color w:val="auto"/>
              </w:rPr>
              <w:t>Michael R. Cole</w:t>
            </w:r>
          </w:p>
        </w:tc>
      </w:tr>
      <w:tr>
        <w:trPr>
          <w:trHeight w:val="170"/>
        </w:trPr>
        <w:tc>
          <w:tcPr>
            <w:tcW w:w="5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160" w:type="dxa"/>
            <w:vAlign w:val="bottom"/>
          </w:tcPr>
          <w:p>
            <w:pPr>
              <w:ind w:left="820"/>
              <w:spacing w:after="0"/>
              <w:rPr>
                <w:sz w:val="20"/>
                <w:szCs w:val="20"/>
                <w:color w:val="auto"/>
              </w:rPr>
            </w:pPr>
            <w:r>
              <w:rPr>
                <w:rFonts w:ascii="Arial" w:cs="Arial" w:eastAsia="Arial" w:hAnsi="Arial"/>
                <w:sz w:val="14"/>
                <w:szCs w:val="14"/>
                <w:color w:val="auto"/>
              </w:rPr>
              <w:t>Its:</w:t>
            </w:r>
          </w:p>
        </w:tc>
        <w:tc>
          <w:tcPr>
            <w:tcW w:w="3780" w:type="dxa"/>
            <w:vAlign w:val="bottom"/>
          </w:tcPr>
          <w:p>
            <w:pPr>
              <w:spacing w:after="0"/>
              <w:rPr>
                <w:sz w:val="20"/>
                <w:szCs w:val="20"/>
                <w:color w:val="auto"/>
              </w:rPr>
            </w:pPr>
            <w:r>
              <w:rPr>
                <w:rFonts w:ascii="Arial" w:cs="Arial" w:eastAsia="Arial" w:hAnsi="Arial"/>
                <w:sz w:val="14"/>
                <w:szCs w:val="14"/>
                <w:color w:val="auto"/>
              </w:rPr>
              <w:t>Chief Financial Officer,</w:t>
            </w:r>
          </w:p>
        </w:tc>
      </w:tr>
      <w:tr>
        <w:trPr>
          <w:trHeight w:val="170"/>
        </w:trPr>
        <w:tc>
          <w:tcPr>
            <w:tcW w:w="5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780" w:type="dxa"/>
            <w:vAlign w:val="bottom"/>
          </w:tcPr>
          <w:p>
            <w:pPr>
              <w:spacing w:after="0"/>
              <w:rPr>
                <w:sz w:val="20"/>
                <w:szCs w:val="20"/>
                <w:color w:val="auto"/>
              </w:rPr>
            </w:pPr>
            <w:r>
              <w:rPr>
                <w:rFonts w:ascii="Arial" w:cs="Arial" w:eastAsia="Arial" w:hAnsi="Arial"/>
                <w:sz w:val="14"/>
                <w:szCs w:val="14"/>
                <w:color w:val="auto"/>
              </w:rPr>
              <w:t>Principal Financial Officer and</w:t>
            </w:r>
          </w:p>
        </w:tc>
      </w:tr>
      <w:tr>
        <w:trPr>
          <w:trHeight w:val="180"/>
        </w:trPr>
        <w:tc>
          <w:tcPr>
            <w:tcW w:w="52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780" w:type="dxa"/>
            <w:vAlign w:val="bottom"/>
          </w:tcPr>
          <w:p>
            <w:pPr>
              <w:spacing w:after="0"/>
              <w:rPr>
                <w:sz w:val="20"/>
                <w:szCs w:val="20"/>
                <w:color w:val="auto"/>
              </w:rPr>
            </w:pPr>
            <w:r>
              <w:rPr>
                <w:rFonts w:ascii="Arial" w:cs="Arial" w:eastAsia="Arial" w:hAnsi="Arial"/>
                <w:sz w:val="14"/>
                <w:szCs w:val="14"/>
                <w:color w:val="auto"/>
              </w:rPr>
              <w:t>Principal Accounting Officer</w:t>
            </w:r>
          </w:p>
        </w:tc>
      </w:tr>
    </w:tbl>
    <w:p>
      <w:pPr>
        <w:spacing w:after="0" w:line="160" w:lineRule="exact"/>
        <w:rPr>
          <w:sz w:val="20"/>
          <w:szCs w:val="20"/>
          <w:color w:val="auto"/>
        </w:rPr>
      </w:pPr>
    </w:p>
    <w:p>
      <w:pPr>
        <w:jc w:val="both"/>
        <w:spacing w:after="0" w:line="297" w:lineRule="auto"/>
        <w:rPr>
          <w:sz w:val="20"/>
          <w:szCs w:val="20"/>
          <w:color w:val="auto"/>
        </w:rPr>
      </w:pPr>
      <w:r>
        <w:rPr>
          <w:rFonts w:ascii="Arial" w:cs="Arial" w:eastAsia="Arial" w:hAnsi="Arial"/>
          <w:sz w:val="13"/>
          <w:szCs w:val="13"/>
          <w:color w:val="auto"/>
        </w:rPr>
        <w:t>The signed original of this written statement required by Section 906, or any other document authenticating, acknowledging, or otherwise adopting the signature that appears in typed form within the electronic version of this written statement required by Section 906, has been provided to Universal Forest Products, Inc. and will be retained by Universal Forest Products,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247650</wp:posOffset>
            </wp:positionV>
            <wp:extent cx="5779135" cy="2032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7">
                      <a:extLst>
                        <a:ext uri="{28A0092B-C50C-407E-A947-70E740481C1C}"/>
                      </a:extLst>
                    </a:blip>
                    <a:srcRect/>
                    <a:stretch>
                      <a:fillRect/>
                    </a:stretch>
                  </pic:blipFill>
                  <pic:spPr bwMode="auto">
                    <a:xfrm>
                      <a:off x="0" y="0"/>
                      <a:ext cx="5779135" cy="20320"/>
                    </a:xfrm>
                    <a:prstGeom prst="rect">
                      <a:avLst/>
                    </a:prstGeom>
                    <a:noFill/>
                  </pic:spPr>
                </pic:pic>
              </a:graphicData>
            </a:graphic>
          </wp:anchor>
        </w:drawing>
      </w:r>
    </w:p>
    <w:sectPr>
      <w:pgSz w:w="11900" w:h="16838" w:orient="portrait"/>
      <w:cols w:equalWidth="0" w:num="1">
        <w:col w:w="9100"/>
      </w:cols>
      <w:pgMar w:left="1400" w:top="125" w:right="1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2221A70"/>
    <w:multiLevelType w:val="hybridMultilevel"/>
    <w:lvl w:ilvl="0">
      <w:lvlJc w:val="left"/>
      <w:lvlText w:val="☒"/>
      <w:numFmt w:val="bullet"/>
      <w:start w:val="1"/>
    </w:lvl>
  </w:abstractNum>
  <w:abstractNum w:abstractNumId="1">
    <w:nsid w:val="4516DDE9"/>
    <w:multiLevelType w:val="hybridMultilevel"/>
    <w:lvl w:ilvl="0">
      <w:lvlJc w:val="left"/>
      <w:lvlText w:val="☐"/>
      <w:numFmt w:val="bullet"/>
      <w:start w:val="1"/>
    </w:lvl>
  </w:abstractNum>
  <w:abstractNum w:abstractNumId="2">
    <w:nsid w:val="3006C83E"/>
    <w:multiLevelType w:val="hybridMultilevel"/>
    <w:lvl w:ilvl="0">
      <w:lvlJc w:val="left"/>
      <w:lvlText w:val="(%1)"/>
      <w:numFmt w:val="decimal"/>
      <w:start w:val="1"/>
    </w:lvl>
  </w:abstractNum>
  <w:abstractNum w:abstractNumId="3">
    <w:nsid w:val="614FD4A1"/>
    <w:multiLevelType w:val="hybridMultilevel"/>
    <w:lvl w:ilvl="0">
      <w:lvlJc w:val="left"/>
      <w:lvlText w:val="(%1)"/>
      <w:numFmt w:val="lowerLetter"/>
      <w:start w:val="1"/>
    </w:lvl>
  </w:abstractNum>
  <w:abstractNum w:abstractNumId="4">
    <w:nsid w:val="419AC241"/>
    <w:multiLevelType w:val="hybridMultilevel"/>
    <w:lvl w:ilvl="0">
      <w:lvlJc w:val="left"/>
      <w:lvlText w:val="(%1)"/>
      <w:numFmt w:val="lowerLetter"/>
      <w:start w:val="1"/>
    </w:lvl>
  </w:abstractNum>
  <w:abstractNum w:abstractNumId="5">
    <w:nsid w:val="5577F8E1"/>
    <w:multiLevelType w:val="hybridMultilevel"/>
    <w:lvl w:ilvl="0">
      <w:lvlJc w:val="left"/>
      <w:lvlText w:val="(%1)"/>
      <w:numFmt w:val="decimal"/>
      <w:start w:val="1"/>
    </w:lvl>
  </w:abstractNum>
  <w:abstractNum w:abstractNumId="6">
    <w:nsid w:val="440BADFC"/>
    <w:multiLevelType w:val="hybridMultilevel"/>
    <w:lvl w:ilvl="0">
      <w:lvlJc w:val="left"/>
      <w:lvlText w:val="(%1)"/>
      <w:numFmt w:val="decimal"/>
      <w:start w:val="1"/>
    </w:lvl>
  </w:abstractNum>
  <w:abstractNum w:abstractNumId="7">
    <w:nsid w:val="5072367"/>
    <w:multiLevelType w:val="hybridMultilevel"/>
    <w:lvl w:ilvl="0">
      <w:lvlJc w:val="left"/>
      <w:lvlText w:val="(%1)"/>
      <w:numFmt w:val="lowerLetter"/>
      <w:start w:val="1"/>
    </w:lvl>
    <w:lvl w:ilvl="1">
      <w:lvlJc w:val="left"/>
      <w:lvlText w:val="%2."/>
      <w:numFmt w:val="decimal"/>
      <w:start w:val="2"/>
    </w:lvl>
  </w:abstractNum>
  <w:abstractNum w:abstractNumId="8">
    <w:nsid w:val="3804823E"/>
    <w:multiLevelType w:val="hybridMultilevel"/>
    <w:lvl w:ilvl="0">
      <w:lvlJc w:val="left"/>
      <w:lvlText w:val="(%1)"/>
      <w:numFmt w:val="lowerLetter"/>
      <w:start w:val="2"/>
    </w:lvl>
  </w:abstractNum>
  <w:abstractNum w:abstractNumId="9">
    <w:nsid w:val="77465F01"/>
    <w:multiLevelType w:val="hybridMultilevel"/>
    <w:lvl w:ilvl="0">
      <w:lvlJc w:val="left"/>
      <w:lvlText w:val="3"/>
      <w:numFmt w:val="bullet"/>
      <w:start w:val="1"/>
    </w:lvl>
    <w:lvl w:ilvl="1">
      <w:lvlJc w:val="left"/>
      <w:lvlText w:val="(%2)"/>
      <w:numFmt w:val="lowerLetter"/>
      <w:start w:val="1"/>
    </w:lvl>
  </w:abstractNum>
  <w:abstractNum w:abstractNumId="10">
    <w:nsid w:val="7724C67E"/>
    <w:multiLevelType w:val="hybridMultilevel"/>
    <w:lvl w:ilvl="0">
      <w:lvlJc w:val="left"/>
      <w:lvlText w:val="4"/>
      <w:numFmt w:val="bullet"/>
      <w:start w:val="1"/>
    </w:lvl>
    <w:lvl w:ilvl="1">
      <w:lvlJc w:val="left"/>
      <w:lvlText w:val="(%2)"/>
      <w:numFmt w:val="lowerLetter"/>
      <w:start w:val="1"/>
    </w:lvl>
  </w:abstractNum>
  <w:abstractNum w:abstractNumId="11">
    <w:nsid w:val="5C482A97"/>
    <w:multiLevelType w:val="hybridMultilevel"/>
    <w:lvl w:ilvl="0">
      <w:lvlJc w:val="left"/>
      <w:lvlText w:val="(%1)"/>
      <w:numFmt w:val="lowerLetter"/>
      <w:start w:val="15"/>
    </w:lvl>
  </w:abstractNum>
  <w:abstractNum w:abstractNumId="12">
    <w:nsid w:val="2463B9EA"/>
    <w:multiLevelType w:val="hybridMultilevel"/>
    <w:lvl w:ilvl="0">
      <w:lvlJc w:val="left"/>
      <w:lvlText w:val="%1"/>
      <w:numFmt w:val="decimal"/>
      <w:start w:val="13"/>
    </w:lvl>
  </w:abstractNum>
  <w:abstractNum w:abstractNumId="13">
    <w:nsid w:val="5E884ADC"/>
    <w:multiLevelType w:val="hybridMultilevel"/>
    <w:lvl w:ilvl="0">
      <w:lvlJc w:val="left"/>
      <w:lvlText w:val="(%1)"/>
      <w:numFmt w:val="lowerLetter"/>
      <w:start w:val="1"/>
    </w:lvl>
  </w:abstractNum>
  <w:abstractNum w:abstractNumId="14">
    <w:nsid w:val="51EAD36B"/>
    <w:multiLevelType w:val="hybridMultilevel"/>
    <w:lvl w:ilvl="0">
      <w:lvlJc w:val="left"/>
      <w:lvlText w:val="%1"/>
      <w:numFmt w:val="decimal"/>
      <w:start w:val="21"/>
    </w:lvl>
  </w:abstractNum>
  <w:abstractNum w:abstractNumId="15">
    <w:nsid w:val="2D517796"/>
    <w:multiLevelType w:val="hybridMultilevel"/>
    <w:lvl w:ilvl="0">
      <w:lvlJc w:val="left"/>
      <w:lvlText w:val="%1"/>
      <w:numFmt w:val="decimal"/>
      <w:start w:val="23"/>
    </w:lvl>
  </w:abstractNum>
  <w:abstractNum w:abstractNumId="16">
    <w:nsid w:val="580BD78F"/>
    <w:multiLevelType w:val="hybridMultilevel"/>
    <w:lvl w:ilvl="0">
      <w:lvlJc w:val="left"/>
      <w:lvlText w:val="%1"/>
      <w:numFmt w:val="decimal"/>
      <w:start w:val="31"/>
    </w:lvl>
    <w:lvl w:ilvl="1">
      <w:lvlJc w:val="left"/>
      <w:lvlText w:val="(%2)"/>
      <w:numFmt w:val="lowerLetter"/>
      <w:start w:val="1"/>
    </w:lvl>
  </w:abstractNum>
  <w:abstractNum w:abstractNumId="17">
    <w:nsid w:val="153EA438"/>
    <w:multiLevelType w:val="hybridMultilevel"/>
    <w:lvl w:ilvl="0">
      <w:lvlJc w:val="left"/>
      <w:lvlText w:val="*"/>
      <w:numFmt w:val="bullet"/>
      <w:start w:val="1"/>
    </w:lvl>
    <w:lvl w:ilvl="1">
      <w:lvlJc w:val="left"/>
      <w:lvlText w:val="%2"/>
      <w:numFmt w:val="decimal"/>
      <w:start w:val="101"/>
    </w:lvl>
  </w:abstractNum>
  <w:abstractNum w:abstractNumId="18">
    <w:nsid w:val="3855585C"/>
    <w:multiLevelType w:val="hybridMultilevel"/>
    <w:lvl w:ilvl="0">
      <w:lvlJc w:val="left"/>
      <w:lvlText w:val="(%1)"/>
      <w:numFmt w:val="decimal"/>
      <w:start w:val="1"/>
    </w:lvl>
  </w:abstractNum>
  <w:abstractNum w:abstractNumId="19">
    <w:nsid w:val="70A64E2A"/>
    <w:multiLevelType w:val="hybridMultilevel"/>
    <w:lvl w:ilvl="0">
      <w:lvlJc w:val="left"/>
      <w:lvlText w:val="·"/>
      <w:numFmt w:val="bullet"/>
      <w:start w:val="1"/>
    </w:lvl>
  </w:abstractNum>
  <w:abstractNum w:abstractNumId="20">
    <w:nsid w:val="6A2342EC"/>
    <w:multiLevelType w:val="hybridMultilevel"/>
    <w:lvl w:ilvl="0">
      <w:lvlJc w:val="left"/>
      <w:lvlText w:val="·"/>
      <w:numFmt w:val="bullet"/>
      <w:start w:val="1"/>
    </w:lvl>
  </w:abstractNum>
  <w:abstractNum w:abstractNumId="21">
    <w:nsid w:val="2A487CB0"/>
    <w:multiLevelType w:val="hybridMultilevel"/>
    <w:lvl w:ilvl="0">
      <w:lvlJc w:val="left"/>
      <w:lvlText w:val="·"/>
      <w:numFmt w:val="bullet"/>
      <w:start w:val="1"/>
    </w:lvl>
  </w:abstractNum>
  <w:abstractNum w:abstractNumId="22">
    <w:nsid w:val="1D4ED43B"/>
    <w:multiLevelType w:val="hybridMultilevel"/>
    <w:lvl w:ilvl="0">
      <w:lvlJc w:val="left"/>
      <w:lvlText w:val="·"/>
      <w:numFmt w:val="bullet"/>
      <w:start w:val="1"/>
    </w:lvl>
  </w:abstractNum>
  <w:abstractNum w:abstractNumId="23">
    <w:nsid w:val="725A06FB"/>
    <w:multiLevelType w:val="hybridMultilevel"/>
    <w:lvl w:ilvl="0">
      <w:lvlJc w:val="left"/>
      <w:lvlText w:val="·"/>
      <w:numFmt w:val="bullet"/>
      <w:start w:val="1"/>
    </w:lvl>
  </w:abstractNum>
  <w:abstractNum w:abstractNumId="24">
    <w:nsid w:val="2CD89A32"/>
    <w:multiLevelType w:val="hybridMultilevel"/>
    <w:lvl w:ilvl="0">
      <w:lvlJc w:val="left"/>
      <w:lvlText w:val="·"/>
      <w:numFmt w:val="bullet"/>
      <w:start w:val="1"/>
    </w:lvl>
  </w:abstractNum>
  <w:abstractNum w:abstractNumId="25">
    <w:nsid w:val="57E4CCAF"/>
    <w:multiLevelType w:val="hybridMultilevel"/>
    <w:lvl w:ilvl="0">
      <w:lvlJc w:val="left"/>
      <w:lvlText w:val="·"/>
      <w:numFmt w:val="bullet"/>
      <w:start w:val="1"/>
    </w:lvl>
  </w:abstractNum>
  <w:abstractNum w:abstractNumId="26">
    <w:nsid w:val="7A6D8D3C"/>
    <w:multiLevelType w:val="hybridMultilevel"/>
    <w:lvl w:ilvl="0">
      <w:lvlJc w:val="left"/>
      <w:lvlText w:val="·"/>
      <w:numFmt w:val="bullet"/>
      <w:start w:val="1"/>
    </w:lvl>
  </w:abstractNum>
  <w:abstractNum w:abstractNumId="27">
    <w:nsid w:val="4B588F54"/>
    <w:multiLevelType w:val="hybridMultilevel"/>
    <w:lvl w:ilvl="0">
      <w:lvlJc w:val="left"/>
      <w:lvlText w:val="%1."/>
      <w:numFmt w:val="decimal"/>
      <w:start w:val="1"/>
    </w:lvl>
  </w:abstractNum>
  <w:abstractNum w:abstractNumId="28">
    <w:nsid w:val="542289EC"/>
    <w:multiLevelType w:val="hybridMultilevel"/>
    <w:lvl w:ilvl="0">
      <w:lvlJc w:val="left"/>
      <w:lvlText w:val="·"/>
      <w:numFmt w:val="bullet"/>
      <w:start w:val="1"/>
    </w:lvl>
  </w:abstractNum>
  <w:abstractNum w:abstractNumId="29">
    <w:nsid w:val="6DE91B18"/>
    <w:multiLevelType w:val="hybridMultilevel"/>
    <w:lvl w:ilvl="0">
      <w:lvlJc w:val="left"/>
      <w:lvlText w:val="·"/>
      <w:numFmt w:val="bullet"/>
      <w:start w:val="1"/>
    </w:lvl>
  </w:abstractNum>
  <w:abstractNum w:abstractNumId="30">
    <w:nsid w:val="38437FDB"/>
    <w:multiLevelType w:val="hybridMultilevel"/>
    <w:lvl w:ilvl="0">
      <w:lvlJc w:val="left"/>
      <w:lvlText w:val="·"/>
      <w:numFmt w:val="bullet"/>
      <w:start w:val="1"/>
    </w:lvl>
  </w:abstractNum>
  <w:abstractNum w:abstractNumId="31">
    <w:nsid w:val="7644A45C"/>
    <w:multiLevelType w:val="hybridMultilevel"/>
    <w:lvl w:ilvl="0">
      <w:lvlJc w:val="left"/>
      <w:lvlText w:val="·"/>
      <w:numFmt w:val="bullet"/>
      <w:start w:val="1"/>
    </w:lvl>
  </w:abstractNum>
  <w:abstractNum w:abstractNumId="32">
    <w:nsid w:val="32FFF902"/>
    <w:multiLevelType w:val="hybridMultilevel"/>
    <w:lvl w:ilvl="0">
      <w:lvlJc w:val="left"/>
      <w:lvlText w:val="·"/>
      <w:numFmt w:val="bullet"/>
      <w:start w:val="1"/>
    </w:lvl>
  </w:abstractNum>
  <w:abstractNum w:abstractNumId="33">
    <w:nsid w:val="684A481A"/>
    <w:multiLevelType w:val="hybridMultilevel"/>
    <w:lvl w:ilvl="0">
      <w:lvlJc w:val="left"/>
      <w:lvlText w:val="·"/>
      <w:numFmt w:val="bullet"/>
      <w:start w:val="1"/>
    </w:lvl>
  </w:abstractNum>
  <w:abstractNum w:abstractNumId="34">
    <w:nsid w:val="579478FE"/>
    <w:multiLevelType w:val="hybridMultilevel"/>
    <w:lvl w:ilvl="0">
      <w:lvlJc w:val="left"/>
      <w:lvlText w:val="·"/>
      <w:numFmt w:val="bullet"/>
      <w:start w:val="1"/>
    </w:lvl>
  </w:abstractNum>
  <w:abstractNum w:abstractNumId="35">
    <w:nsid w:val="749ABB43"/>
    <w:multiLevelType w:val="hybridMultilevel"/>
    <w:lvl w:ilvl="0">
      <w:lvlJc w:val="left"/>
      <w:lvlText w:val="·"/>
      <w:numFmt w:val="bullet"/>
      <w:start w:val="1"/>
    </w:lvl>
  </w:abstractNum>
  <w:abstractNum w:abstractNumId="36">
    <w:nsid w:val="3DC240FB"/>
    <w:multiLevelType w:val="hybridMultilevel"/>
    <w:lvl w:ilvl="0">
      <w:lvlJc w:val="left"/>
      <w:lvlText w:val="·"/>
      <w:numFmt w:val="bullet"/>
      <w:start w:val="1"/>
    </w:lvl>
  </w:abstractNum>
  <w:abstractNum w:abstractNumId="37">
    <w:nsid w:val="1BA026FA"/>
    <w:multiLevelType w:val="hybridMultilevel"/>
    <w:lvl w:ilvl="0">
      <w:lvlJc w:val="left"/>
      <w:lvlText w:val="·"/>
      <w:numFmt w:val="bullet"/>
      <w:start w:val="1"/>
    </w:lvl>
  </w:abstractNum>
  <w:abstractNum w:abstractNumId="38">
    <w:nsid w:val="79A1DEAA"/>
    <w:multiLevelType w:val="hybridMultilevel"/>
    <w:lvl w:ilvl="0">
      <w:lvlJc w:val="left"/>
      <w:lvlText w:val="·"/>
      <w:numFmt w:val="bullet"/>
      <w:start w:val="1"/>
    </w:lvl>
  </w:abstractNum>
  <w:abstractNum w:abstractNumId="39">
    <w:nsid w:val="75C6C33A"/>
    <w:multiLevelType w:val="hybridMultilevel"/>
    <w:lvl w:ilvl="0">
      <w:lvlJc w:val="left"/>
      <w:lvlText w:val="·"/>
      <w:numFmt w:val="bullet"/>
      <w:start w:val="1"/>
    </w:lvl>
  </w:abstractNum>
  <w:abstractNum w:abstractNumId="40">
    <w:nsid w:val="12E685FB"/>
    <w:multiLevelType w:val="hybridMultilevel"/>
    <w:lvl w:ilvl="0">
      <w:lvlJc w:val="left"/>
      <w:lvlText w:val="·"/>
      <w:numFmt w:val="bullet"/>
      <w:start w:val="1"/>
    </w:lvl>
  </w:abstractNum>
  <w:abstractNum w:abstractNumId="41">
    <w:nsid w:val="70C6A529"/>
    <w:multiLevelType w:val="hybridMultilevel"/>
    <w:lvl w:ilvl="0">
      <w:lvlJc w:val="left"/>
      <w:lvlText w:val="·"/>
      <w:numFmt w:val="bullet"/>
      <w:start w:val="1"/>
    </w:lvl>
  </w:abstractNum>
  <w:abstractNum w:abstractNumId="42">
    <w:nsid w:val="520EEDD1"/>
    <w:multiLevelType w:val="hybridMultilevel"/>
    <w:lvl w:ilvl="0">
      <w:lvlJc w:val="left"/>
      <w:lvlText w:val="·"/>
      <w:numFmt w:val="bullet"/>
      <w:start w:val="1"/>
    </w:lvl>
  </w:abstractNum>
  <w:abstractNum w:abstractNumId="43">
    <w:nsid w:val="374A3FE6"/>
    <w:multiLevelType w:val="hybridMultilevel"/>
    <w:lvl w:ilvl="0">
      <w:lvlJc w:val="left"/>
      <w:lvlText w:val="·"/>
      <w:numFmt w:val="bullet"/>
      <w:start w:val="1"/>
    </w:lvl>
  </w:abstractNum>
  <w:abstractNum w:abstractNumId="44">
    <w:nsid w:val="4F4EF005"/>
    <w:multiLevelType w:val="hybridMultilevel"/>
    <w:lvl w:ilvl="0">
      <w:lvlJc w:val="left"/>
      <w:lvlText w:val="%1."/>
      <w:numFmt w:val="upperLetter"/>
      <w:start w:val="1"/>
    </w:lvl>
  </w:abstractNum>
  <w:abstractNum w:abstractNumId="45">
    <w:nsid w:val="23F9C13C"/>
    <w:multiLevelType w:val="hybridMultilevel"/>
    <w:lvl w:ilvl="0">
      <w:lvlJc w:val="left"/>
      <w:lvlText w:val="·"/>
      <w:numFmt w:val="bullet"/>
      <w:start w:val="1"/>
    </w:lvl>
  </w:abstractNum>
  <w:abstractNum w:abstractNumId="46">
    <w:nsid w:val="649BB77C"/>
    <w:multiLevelType w:val="hybridMultilevel"/>
    <w:lvl w:ilvl="0">
      <w:lvlJc w:val="left"/>
      <w:lvlText w:val="*"/>
      <w:numFmt w:val="bullet"/>
      <w:start w:val="1"/>
    </w:lvl>
  </w:abstractNum>
  <w:abstractNum w:abstractNumId="47">
    <w:nsid w:val="275AC794"/>
    <w:multiLevelType w:val="hybridMultilevel"/>
    <w:lvl w:ilvl="0">
      <w:lvlJc w:val="left"/>
      <w:lvlText w:val="%1."/>
      <w:numFmt w:val="upperLetter"/>
      <w:start w:val="2"/>
    </w:lvl>
  </w:abstractNum>
  <w:abstractNum w:abstractNumId="48">
    <w:nsid w:val="39386575"/>
    <w:multiLevelType w:val="hybridMultilevel"/>
    <w:lvl w:ilvl="0">
      <w:lvlJc w:val="left"/>
      <w:lvlText w:val="%1."/>
      <w:numFmt w:val="upperLetter"/>
      <w:start w:val="3"/>
    </w:lvl>
  </w:abstractNum>
  <w:abstractNum w:abstractNumId="49">
    <w:nsid w:val="1CF10FD8"/>
    <w:multiLevelType w:val="hybridMultilevel"/>
    <w:lvl w:ilvl="0">
      <w:lvlJc w:val="left"/>
      <w:lvlText w:val="%1."/>
      <w:numFmt w:val="upperLetter"/>
      <w:start w:val="5"/>
    </w:lvl>
  </w:abstractNum>
  <w:abstractNum w:abstractNumId="50">
    <w:nsid w:val="180115BE"/>
    <w:multiLevelType w:val="hybridMultilevel"/>
    <w:lvl w:ilvl="0">
      <w:lvlJc w:val="left"/>
      <w:lvlText w:val="%1."/>
      <w:numFmt w:val="upperLetter"/>
      <w:start w:val="6"/>
    </w:lvl>
  </w:abstractNum>
  <w:abstractNum w:abstractNumId="51">
    <w:nsid w:val="235BA861"/>
    <w:multiLevelType w:val="hybridMultilevel"/>
    <w:lvl w:ilvl="0">
      <w:lvlJc w:val="left"/>
      <w:lvlText w:val="%1."/>
      <w:numFmt w:val="upperLetter"/>
      <w:start w:val="7"/>
    </w:lvl>
  </w:abstractNum>
  <w:abstractNum w:abstractNumId="52">
    <w:nsid w:val="47398C89"/>
    <w:multiLevelType w:val="hybridMultilevel"/>
    <w:lvl w:ilvl="0">
      <w:lvlJc w:val="left"/>
      <w:lvlText w:val="%1."/>
      <w:numFmt w:val="upperLetter"/>
      <w:start w:val="8"/>
    </w:lvl>
  </w:abstractNum>
  <w:abstractNum w:abstractNumId="53">
    <w:nsid w:val="354FE9F9"/>
    <w:multiLevelType w:val="hybridMultilevel"/>
    <w:lvl w:ilvl="0">
      <w:lvlJc w:val="left"/>
      <w:lvlText w:val="%1."/>
      <w:numFmt w:val="upperLetter"/>
      <w:start w:val="9"/>
    </w:lvl>
  </w:abstractNum>
  <w:abstractNum w:abstractNumId="54">
    <w:nsid w:val="15B5AF5C"/>
    <w:multiLevelType w:val="hybridMultilevel"/>
    <w:lvl w:ilvl="0">
      <w:lvlJc w:val="left"/>
      <w:lvlText w:val="%1."/>
      <w:numFmt w:val="upperLetter"/>
      <w:start w:val="10"/>
    </w:lvl>
  </w:abstractNum>
  <w:abstractNum w:abstractNumId="55">
    <w:nsid w:val="741226BB"/>
    <w:multiLevelType w:val="hybridMultilevel"/>
    <w:lvl w:ilvl="0">
      <w:lvlJc w:val="left"/>
      <w:lvlText w:val="(%1)"/>
      <w:numFmt w:val="decimal"/>
      <w:start w:val="1"/>
    </w:lvl>
  </w:abstractNum>
  <w:abstractNum w:abstractNumId="56">
    <w:nsid w:val="D34B6A8"/>
    <w:multiLevelType w:val="hybridMultilevel"/>
    <w:lvl w:ilvl="0">
      <w:lvlJc w:val="left"/>
      <w:lvlText w:val="%1."/>
      <w:numFmt w:val="upperLetter"/>
      <w:start w:val="11"/>
    </w:lvl>
  </w:abstractNum>
  <w:abstractNum w:abstractNumId="57">
    <w:nsid w:val="10233C99"/>
    <w:multiLevelType w:val="hybridMultilevel"/>
    <w:lvl w:ilvl="0">
      <w:lvlJc w:val="left"/>
      <w:lvlText w:val="%1."/>
      <w:numFmt w:val="upperLetter"/>
      <w:start w:val="12"/>
    </w:lvl>
  </w:abstractNum>
  <w:abstractNum w:abstractNumId="58">
    <w:nsid w:val="3F6AB60F"/>
    <w:multiLevelType w:val="hybridMultilevel"/>
    <w:lvl w:ilvl="0">
      <w:lvlJc w:val="left"/>
      <w:lvlText w:val="%1."/>
      <w:numFmt w:val="upperLetter"/>
      <w:start w:val="13"/>
    </w:lvl>
  </w:abstractNum>
  <w:abstractNum w:abstractNumId="59">
    <w:nsid w:val="61574095"/>
    <w:multiLevelType w:val="hybridMultilevel"/>
    <w:lvl w:ilvl="0">
      <w:lvlJc w:val="left"/>
      <w:lvlText w:val="%1."/>
      <w:numFmt w:val="upperLetter"/>
      <w:start w:val="14"/>
    </w:lvl>
  </w:abstractNum>
  <w:abstractNum w:abstractNumId="60">
    <w:nsid w:val="7E0C57B1"/>
    <w:multiLevelType w:val="hybridMultilevel"/>
    <w:lvl w:ilvl="0">
      <w:lvlJc w:val="left"/>
      <w:lvlText w:val="%1."/>
      <w:numFmt w:val="decimal"/>
      <w:start w:val="1"/>
    </w:lvl>
    <w:lvl w:ilvl="1">
      <w:lvlJc w:val="left"/>
      <w:lvlText w:val="%2."/>
      <w:numFmt w:val="lowerLetter"/>
      <w:start w:val="1"/>
    </w:lvl>
  </w:abstractNum>
  <w:abstractNum w:abstractNumId="61">
    <w:nsid w:val="77AE35EB"/>
    <w:multiLevelType w:val="hybridMultilevel"/>
    <w:lvl w:ilvl="0">
      <w:lvlJc w:val="left"/>
      <w:lvlText w:val="%1."/>
      <w:numFmt w:val="decimal"/>
      <w:start w:val="1"/>
    </w:lvl>
    <w:lvl w:ilvl="1">
      <w:lvlJc w:val="left"/>
      <w:lvlText w:val="%2."/>
      <w:numFmt w:val="lowerLetter"/>
      <w:start w:val="1"/>
    </w:lvl>
  </w:abstractNum>
  <w:abstractNum w:abstractNumId="62">
    <w:nsid w:val="579BE4F1"/>
    <w:multiLevelType w:val="hybridMultilevel"/>
    <w:lvl w:ilvl="0">
      <w:lvlJc w:val="left"/>
      <w:lvlText w:val="(%1)"/>
      <w:numFmt w:val="decimal"/>
      <w:start w:val="1"/>
    </w:lvl>
  </w:abstractNum>
  <w:abstractNum w:abstractNumId="63">
    <w:nsid w:val="310C50B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39" Type="http://schemas.openxmlformats.org/officeDocument/2006/relationships/image" Target="media/image20.png"/><Relationship Id="rId40" Type="http://schemas.openxmlformats.org/officeDocument/2006/relationships/image" Target="media/image21.png"/><Relationship Id="rId41" Type="http://schemas.openxmlformats.org/officeDocument/2006/relationships/image" Target="media/image22.png"/><Relationship Id="rId42" Type="http://schemas.openxmlformats.org/officeDocument/2006/relationships/image" Target="media/image23.png"/><Relationship Id="rId43" Type="http://schemas.openxmlformats.org/officeDocument/2006/relationships/image" Target="media/image24.png"/><Relationship Id="rId44" Type="http://schemas.openxmlformats.org/officeDocument/2006/relationships/image" Target="media/image25.png"/><Relationship Id="rId45" Type="http://schemas.openxmlformats.org/officeDocument/2006/relationships/image" Target="media/image26.png"/><Relationship Id="rId46" Type="http://schemas.openxmlformats.org/officeDocument/2006/relationships/image" Target="media/image27.png"/><Relationship Id="rId47" Type="http://schemas.openxmlformats.org/officeDocument/2006/relationships/image" Target="media/image28.png"/><Relationship Id="rId48" Type="http://schemas.openxmlformats.org/officeDocument/2006/relationships/image" Target="media/image29.png"/><Relationship Id="rId49" Type="http://schemas.openxmlformats.org/officeDocument/2006/relationships/image" Target="media/image30.png"/><Relationship Id="rId50" Type="http://schemas.openxmlformats.org/officeDocument/2006/relationships/image" Target="media/image31.png"/><Relationship Id="rId51" Type="http://schemas.openxmlformats.org/officeDocument/2006/relationships/image" Target="media/image32.png"/><Relationship Id="rId52" Type="http://schemas.openxmlformats.org/officeDocument/2006/relationships/image" Target="media/image33.png"/><Relationship Id="rId53" Type="http://schemas.openxmlformats.org/officeDocument/2006/relationships/image" Target="media/image34.png"/><Relationship Id="rId54" Type="http://schemas.openxmlformats.org/officeDocument/2006/relationships/image" Target="media/image35.png"/><Relationship Id="rId55" Type="http://schemas.openxmlformats.org/officeDocument/2006/relationships/image" Target="media/image36.png"/><Relationship Id="rId56" Type="http://schemas.openxmlformats.org/officeDocument/2006/relationships/image" Target="media/image37.png"/><Relationship Id="rId57" Type="http://schemas.openxmlformats.org/officeDocument/2006/relationships/image" Target="media/image38.png"/><Relationship Id="rId58" Type="http://schemas.openxmlformats.org/officeDocument/2006/relationships/image" Target="media/image39.png"/><Relationship Id="rId59" Type="http://schemas.openxmlformats.org/officeDocument/2006/relationships/image" Target="media/image40.png"/><Relationship Id="rId60" Type="http://schemas.openxmlformats.org/officeDocument/2006/relationships/image" Target="media/image41.png"/><Relationship Id="rId61" Type="http://schemas.openxmlformats.org/officeDocument/2006/relationships/image" Target="media/image42.png"/><Relationship Id="rId62" Type="http://schemas.openxmlformats.org/officeDocument/2006/relationships/image" Target="media/image43.png"/><Relationship Id="rId63" Type="http://schemas.openxmlformats.org/officeDocument/2006/relationships/image" Target="media/image44.png"/><Relationship Id="rId64" Type="http://schemas.openxmlformats.org/officeDocument/2006/relationships/image" Target="media/image45.png"/><Relationship Id="rId65" Type="http://schemas.openxmlformats.org/officeDocument/2006/relationships/image" Target="media/image46.png"/><Relationship Id="rId66" Type="http://schemas.openxmlformats.org/officeDocument/2006/relationships/image" Target="media/image47.png"/><Relationship Id="rId67" Type="http://schemas.openxmlformats.org/officeDocument/2006/relationships/image" Target="media/image48.png"/><Relationship Id="rId68" Type="http://schemas.openxmlformats.org/officeDocument/2006/relationships/image" Target="media/image49.png"/><Relationship Id="rId69" Type="http://schemas.openxmlformats.org/officeDocument/2006/relationships/image" Target="media/image50.png"/><Relationship Id="rId70" Type="http://schemas.openxmlformats.org/officeDocument/2006/relationships/image" Target="media/image51.png"/><Relationship Id="rId71" Type="http://schemas.openxmlformats.org/officeDocument/2006/relationships/image" Target="media/image52.png"/><Relationship Id="rId72" Type="http://schemas.openxmlformats.org/officeDocument/2006/relationships/image" Target="media/image53.png"/><Relationship Id="rId73" Type="http://schemas.openxmlformats.org/officeDocument/2006/relationships/image" Target="media/image54.png"/><Relationship Id="rId74" Type="http://schemas.openxmlformats.org/officeDocument/2006/relationships/image" Target="media/image55.png"/><Relationship Id="rId75" Type="http://schemas.openxmlformats.org/officeDocument/2006/relationships/image" Target="media/image56.png"/><Relationship Id="rId76" Type="http://schemas.openxmlformats.org/officeDocument/2006/relationships/image" Target="media/image57.png"/><Relationship Id="rId77" Type="http://schemas.openxmlformats.org/officeDocument/2006/relationships/image" Target="media/image58.png"/><Relationship Id="rId78" Type="http://schemas.openxmlformats.org/officeDocument/2006/relationships/image" Target="media/image59.png"/><Relationship Id="rId79" Type="http://schemas.openxmlformats.org/officeDocument/2006/relationships/image" Target="media/image60.png"/><Relationship Id="rId80" Type="http://schemas.openxmlformats.org/officeDocument/2006/relationships/image" Target="media/image61.png"/><Relationship Id="rId81" Type="http://schemas.openxmlformats.org/officeDocument/2006/relationships/image" Target="media/image62.png"/><Relationship Id="rId82" Type="http://schemas.openxmlformats.org/officeDocument/2006/relationships/image" Target="media/image63.png"/><Relationship Id="rId83" Type="http://schemas.openxmlformats.org/officeDocument/2006/relationships/image" Target="media/image64.png"/><Relationship Id="rId84" Type="http://schemas.openxmlformats.org/officeDocument/2006/relationships/image" Target="media/image65.png"/><Relationship Id="rId85" Type="http://schemas.openxmlformats.org/officeDocument/2006/relationships/image" Target="media/image66.png"/><Relationship Id="rId86" Type="http://schemas.openxmlformats.org/officeDocument/2006/relationships/image" Target="media/image67.png"/><Relationship Id="rId87" Type="http://schemas.openxmlformats.org/officeDocument/2006/relationships/image" Target="media/image68.png"/><Relationship Id="rId88" Type="http://schemas.openxmlformats.org/officeDocument/2006/relationships/image" Target="media/image69.png"/><Relationship Id="rId89" Type="http://schemas.openxmlformats.org/officeDocument/2006/relationships/image" Target="media/image70.png"/><Relationship Id="rId90" Type="http://schemas.openxmlformats.org/officeDocument/2006/relationships/image" Target="media/image71.png"/><Relationship Id="rId91" Type="http://schemas.openxmlformats.org/officeDocument/2006/relationships/image" Target="media/image72.png"/><Relationship Id="rId92" Type="http://schemas.openxmlformats.org/officeDocument/2006/relationships/image" Target="media/image73.png"/><Relationship Id="rId93" Type="http://schemas.openxmlformats.org/officeDocument/2006/relationships/image" Target="media/image74.png"/><Relationship Id="rId94" Type="http://schemas.openxmlformats.org/officeDocument/2006/relationships/image" Target="media/image75.png"/><Relationship Id="rId95" Type="http://schemas.openxmlformats.org/officeDocument/2006/relationships/image" Target="media/image76.png"/><Relationship Id="rId96" Type="http://schemas.openxmlformats.org/officeDocument/2006/relationships/image" Target="media/image77.png"/><Relationship Id="rId97" Type="http://schemas.openxmlformats.org/officeDocument/2006/relationships/image" Target="media/image78.png"/><Relationship Id="rId98" Type="http://schemas.openxmlformats.org/officeDocument/2006/relationships/image" Target="media/image79.png"/><Relationship Id="rId99" Type="http://schemas.openxmlformats.org/officeDocument/2006/relationships/image" Target="media/image80.png"/><Relationship Id="rId100" Type="http://schemas.openxmlformats.org/officeDocument/2006/relationships/image" Target="media/image81.png"/><Relationship Id="rId101" Type="http://schemas.openxmlformats.org/officeDocument/2006/relationships/image" Target="media/image82.png"/><Relationship Id="rId102" Type="http://schemas.openxmlformats.org/officeDocument/2006/relationships/image" Target="media/image83.png"/><Relationship Id="rId103" Type="http://schemas.openxmlformats.org/officeDocument/2006/relationships/image" Target="media/image84.png"/><Relationship Id="rId104" Type="http://schemas.openxmlformats.org/officeDocument/2006/relationships/image" Target="media/image85.png"/><Relationship Id="rId105" Type="http://schemas.openxmlformats.org/officeDocument/2006/relationships/image" Target="media/image86.png"/><Relationship Id="rId106" Type="http://schemas.openxmlformats.org/officeDocument/2006/relationships/image" Target="media/image87.png"/><Relationship Id="rId107" Type="http://schemas.openxmlformats.org/officeDocument/2006/relationships/image" Target="media/image88.png"/><Relationship Id="rId108" Type="http://schemas.openxmlformats.org/officeDocument/2006/relationships/image" Target="media/image89.png"/><Relationship Id="rId109" Type="http://schemas.openxmlformats.org/officeDocument/2006/relationships/image" Target="media/image90.png"/><Relationship Id="rId110" Type="http://schemas.openxmlformats.org/officeDocument/2006/relationships/image" Target="media/image91.png"/><Relationship Id="rId111" Type="http://schemas.openxmlformats.org/officeDocument/2006/relationships/image" Target="media/image92.png"/><Relationship Id="rId112" Type="http://schemas.openxmlformats.org/officeDocument/2006/relationships/image" Target="media/image93.png"/><Relationship Id="rId113" Type="http://schemas.openxmlformats.org/officeDocument/2006/relationships/image" Target="media/image94.png"/><Relationship Id="rId114" Type="http://schemas.openxmlformats.org/officeDocument/2006/relationships/image" Target="media/image95.png"/><Relationship Id="rId115" Type="http://schemas.openxmlformats.org/officeDocument/2006/relationships/image" Target="media/image96.png"/><Relationship Id="rId116" Type="http://schemas.openxmlformats.org/officeDocument/2006/relationships/image" Target="media/image97.png"/><Relationship Id="rId117" Type="http://schemas.openxmlformats.org/officeDocument/2006/relationships/image" Target="media/image98.png"/><Relationship Id="rId118" Type="http://schemas.openxmlformats.org/officeDocument/2006/relationships/image" Target="media/image99.png"/><Relationship Id="rId119" Type="http://schemas.openxmlformats.org/officeDocument/2006/relationships/image" Target="media/image100.png"/><Relationship Id="rId120" Type="http://schemas.openxmlformats.org/officeDocument/2006/relationships/image" Target="media/image101.png"/><Relationship Id="rId121" Type="http://schemas.openxmlformats.org/officeDocument/2006/relationships/image" Target="media/image102.png"/><Relationship Id="rId122" Type="http://schemas.openxmlformats.org/officeDocument/2006/relationships/image" Target="media/image103.png"/><Relationship Id="rId123" Type="http://schemas.openxmlformats.org/officeDocument/2006/relationships/image" Target="media/image104.png"/><Relationship Id="rId124" Type="http://schemas.openxmlformats.org/officeDocument/2006/relationships/image" Target="media/image105.png"/><Relationship Id="rId125" Type="http://schemas.openxmlformats.org/officeDocument/2006/relationships/image" Target="media/image106.png"/><Relationship Id="rId126" Type="http://schemas.openxmlformats.org/officeDocument/2006/relationships/image" Target="media/image107.png"/><Relationship Id="rId127" Type="http://schemas.openxmlformats.org/officeDocument/2006/relationships/image" Target="media/image108.png"/><Relationship Id="rId128" Type="http://schemas.openxmlformats.org/officeDocument/2006/relationships/image" Target="media/image109.png"/><Relationship Id="rId129" Type="http://schemas.openxmlformats.org/officeDocument/2006/relationships/image" Target="media/image110.png"/><Relationship Id="rId130" Type="http://schemas.openxmlformats.org/officeDocument/2006/relationships/image" Target="media/image111.jpeg"/><Relationship Id="rId131" Type="http://schemas.openxmlformats.org/officeDocument/2006/relationships/image" Target="media/image112.png"/><Relationship Id="rId132" Type="http://schemas.openxmlformats.org/officeDocument/2006/relationships/image" Target="media/image113.png"/><Relationship Id="rId133" Type="http://schemas.openxmlformats.org/officeDocument/2006/relationships/image" Target="media/image114.png"/><Relationship Id="rId134" Type="http://schemas.openxmlformats.org/officeDocument/2006/relationships/image" Target="media/image115.png"/><Relationship Id="rId135" Type="http://schemas.openxmlformats.org/officeDocument/2006/relationships/image" Target="media/image116.png"/><Relationship Id="rId136" Type="http://schemas.openxmlformats.org/officeDocument/2006/relationships/image" Target="media/image117.png"/><Relationship Id="rId137" Type="http://schemas.openxmlformats.org/officeDocument/2006/relationships/image" Target="media/image118.png"/><Relationship Id="rId27" Type="http://schemas.openxmlformats.org/officeDocument/2006/relationships/hyperlink" Target="http://www.sec.gov/Archives/edgar/data/912767/000091276717000007/ufpi-20161231xexhibit3b.htm" TargetMode="External"/><Relationship Id="rId28" Type="http://schemas.openxmlformats.org/officeDocument/2006/relationships/hyperlink" Target="http://www.sec.gov/Archives/edgar/data/912767/000095012311016476/c12957exv10waw6.txt" TargetMode="External"/><Relationship Id="rId29" Type="http://schemas.openxmlformats.org/officeDocument/2006/relationships/hyperlink" Target="http://www.sec.gov/Archives/edgar/data/912767/000095012311016476/c12957exv10wf.htm" TargetMode="External"/><Relationship Id="rId30" Type="http://schemas.openxmlformats.org/officeDocument/2006/relationships/hyperlink" Target="http://www.sec.gov/Archives/edgar/data/912767/000114036112015431/ex10g.htm" TargetMode="External"/><Relationship Id="rId31" Type="http://schemas.openxmlformats.org/officeDocument/2006/relationships/hyperlink" Target="http://www.sec.gov/Archives/edgar/data/912767/000114036112015431/ex10h.htm" TargetMode="External"/><Relationship Id="rId32" Type="http://schemas.openxmlformats.org/officeDocument/2006/relationships/hyperlink" Target="http://www.sec.gov/Archives/edgar/data/912767/000114036114040661/ex10_1.htm" TargetMode="External"/><Relationship Id="rId33" Type="http://schemas.openxmlformats.org/officeDocument/2006/relationships/hyperlink" Target="http://www.sec.gov/Archives/edgar/data/912767/000114036112051611/ex10_k.htm" TargetMode="External"/><Relationship Id="rId34" Type="http://schemas.openxmlformats.org/officeDocument/2006/relationships/hyperlink" Target="http://www.sec.gov/Archives/edgar/data/912767/000114036115008949/ex10_l.htm" TargetMode="External"/><Relationship Id="rId35" Type="http://schemas.openxmlformats.org/officeDocument/2006/relationships/hyperlink" Target="http://www.sec.gov/Archives/edgar/data/912767/000091276717000007/ufpi-20161231xexhibit10m.htm" TargetMode="External"/><Relationship Id="rId36" Type="http://schemas.openxmlformats.org/officeDocument/2006/relationships/hyperlink" Target="http://www.sec.gov/Archives/edgar/data/912767/000114036112013332/formdef14a.htm" TargetMode="External"/><Relationship Id="rId37" Type="http://schemas.openxmlformats.org/officeDocument/2006/relationships/hyperlink" Target="http://www.sec.gov/Archives/edgar/data/912767/000091276716000068/exhibit10o3q2016.htm" TargetMode="External"/><Relationship Id="rId38" Type="http://schemas.openxmlformats.org/officeDocument/2006/relationships/hyperlink" Target="http://www.sec.gov/Archives/edgar/data/912767/000095012311016476/c12957exv14w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2019-12-28T16:04:07Z</dcterms:created>
  <dcterms:modified xsi:type="dcterms:W3CDTF">2019-12-28T16:04:07Z</dcterms:modified>
</cp:coreProperties>
</file>