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t>UNITED STATES</w:t>
      </w:r>
    </w:p>
    <w:p>
      <w:pPr>
        <w:jc w:val="center"/>
        <w:ind w:right="-20"/>
        <w:spacing w:after="0" w:line="197" w:lineRule="auto"/>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8-K</w:t>
      </w:r>
    </w:p>
    <w:p>
      <w:pPr>
        <w:spacing w:after="0" w:line="3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CURRENT REPORT</w:t>
      </w:r>
    </w:p>
    <w:p>
      <w:pPr>
        <w:jc w:val="center"/>
        <w:ind w:right="-20"/>
        <w:spacing w:after="0" w:line="197" w:lineRule="auto"/>
        <w:rPr>
          <w:sz w:val="20"/>
          <w:szCs w:val="20"/>
          <w:color w:val="auto"/>
        </w:rPr>
      </w:pPr>
      <w:r>
        <w:rPr>
          <w:rFonts w:ascii="Arial" w:cs="Arial" w:eastAsia="Arial" w:hAnsi="Arial"/>
          <w:sz w:val="20"/>
          <w:szCs w:val="20"/>
          <w:color w:val="auto"/>
        </w:rPr>
        <w:t>Pursuant to Section 13 or 15(d) of the</w:t>
      </w:r>
    </w:p>
    <w:p>
      <w:pPr>
        <w:jc w:val="center"/>
        <w:ind w:right="-20"/>
        <w:spacing w:after="0"/>
        <w:rPr>
          <w:sz w:val="20"/>
          <w:szCs w:val="20"/>
          <w:color w:val="auto"/>
        </w:rPr>
      </w:pPr>
      <w:r>
        <w:rPr>
          <w:rFonts w:ascii="Arial" w:cs="Arial" w:eastAsia="Arial" w:hAnsi="Arial"/>
          <w:sz w:val="20"/>
          <w:szCs w:val="20"/>
          <w:color w:val="auto"/>
        </w:rPr>
        <w:t>Securities Exchange Act of 1934</w:t>
      </w:r>
    </w:p>
    <w:p>
      <w:pPr>
        <w:spacing w:after="0" w:line="200" w:lineRule="exact"/>
        <w:rPr>
          <w:sz w:val="24"/>
          <w:szCs w:val="24"/>
          <w:color w:val="auto"/>
        </w:rPr>
      </w:pPr>
    </w:p>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Date of Report (date of earliest event reported): April 24, 2019</w:t>
      </w:r>
    </w:p>
    <w:p>
      <w:pPr>
        <w:spacing w:after="0" w:line="31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UNIVERSAL FOREST PRODUCTS, INC.</w:t>
      </w:r>
    </w:p>
    <w:p>
      <w:pPr>
        <w:jc w:val="center"/>
        <w:ind w:right="-20"/>
        <w:spacing w:after="0"/>
        <w:rPr>
          <w:sz w:val="20"/>
          <w:szCs w:val="20"/>
          <w:color w:val="auto"/>
        </w:rPr>
      </w:pPr>
      <w:r>
        <w:rPr>
          <w:rFonts w:ascii="Arial" w:cs="Arial" w:eastAsia="Arial" w:hAnsi="Arial"/>
          <w:sz w:val="20"/>
          <w:szCs w:val="20"/>
          <w:color w:val="auto"/>
        </w:rPr>
        <w:t>(Exact Name of Registrant as Specified in Charter)</w:t>
      </w:r>
    </w:p>
    <w:p>
      <w:pPr>
        <w:spacing w:after="0" w:line="284"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580" w:type="dxa"/>
            <w:vAlign w:val="bottom"/>
          </w:tcPr>
          <w:p>
            <w:pPr>
              <w:jc w:val="center"/>
              <w:ind w:right="401"/>
              <w:spacing w:after="0"/>
              <w:rPr>
                <w:sz w:val="20"/>
                <w:szCs w:val="20"/>
                <w:color w:val="auto"/>
              </w:rPr>
            </w:pPr>
            <w:r>
              <w:rPr>
                <w:rFonts w:ascii="Arial" w:cs="Arial" w:eastAsia="Arial" w:hAnsi="Arial"/>
                <w:sz w:val="20"/>
                <w:szCs w:val="20"/>
                <w:b w:val="1"/>
                <w:bCs w:val="1"/>
                <w:color w:val="auto"/>
                <w:w w:val="92"/>
              </w:rPr>
              <w:t>Michigan</w:t>
            </w:r>
          </w:p>
        </w:tc>
        <w:tc>
          <w:tcPr>
            <w:tcW w:w="2260" w:type="dxa"/>
            <w:vAlign w:val="bottom"/>
          </w:tcPr>
          <w:p>
            <w:pPr>
              <w:jc w:val="center"/>
              <w:ind w:right="41"/>
              <w:spacing w:after="0"/>
              <w:rPr>
                <w:sz w:val="20"/>
                <w:szCs w:val="20"/>
                <w:color w:val="auto"/>
              </w:rPr>
            </w:pPr>
            <w:r>
              <w:rPr>
                <w:rFonts w:ascii="Arial" w:cs="Arial" w:eastAsia="Arial" w:hAnsi="Arial"/>
                <w:sz w:val="20"/>
                <w:szCs w:val="20"/>
                <w:b w:val="1"/>
                <w:bCs w:val="1"/>
                <w:color w:val="auto"/>
                <w:w w:val="89"/>
              </w:rPr>
              <w:t>00-22684</w:t>
            </w:r>
          </w:p>
        </w:tc>
        <w:tc>
          <w:tcPr>
            <w:tcW w:w="2140" w:type="dxa"/>
            <w:vAlign w:val="bottom"/>
          </w:tcPr>
          <w:p>
            <w:pPr>
              <w:jc w:val="right"/>
              <w:ind w:right="161"/>
              <w:spacing w:after="0"/>
              <w:rPr>
                <w:sz w:val="20"/>
                <w:szCs w:val="20"/>
                <w:color w:val="auto"/>
              </w:rPr>
            </w:pPr>
            <w:r>
              <w:rPr>
                <w:rFonts w:ascii="Arial" w:cs="Arial" w:eastAsia="Arial" w:hAnsi="Arial"/>
                <w:sz w:val="20"/>
                <w:szCs w:val="20"/>
                <w:b w:val="1"/>
                <w:bCs w:val="1"/>
                <w:color w:val="auto"/>
              </w:rPr>
              <w:t>38-1465835</w:t>
            </w:r>
          </w:p>
        </w:tc>
        <w:tc>
          <w:tcPr>
            <w:tcW w:w="0" w:type="dxa"/>
            <w:vAlign w:val="bottom"/>
          </w:tcPr>
          <w:p>
            <w:pPr>
              <w:spacing w:after="0"/>
              <w:rPr>
                <w:sz w:val="1"/>
                <w:szCs w:val="1"/>
                <w:color w:val="auto"/>
              </w:rPr>
            </w:pPr>
          </w:p>
        </w:tc>
      </w:tr>
      <w:tr>
        <w:trPr>
          <w:trHeight w:val="189"/>
        </w:trPr>
        <w:tc>
          <w:tcPr>
            <w:tcW w:w="3580" w:type="dxa"/>
            <w:vAlign w:val="bottom"/>
          </w:tcPr>
          <w:p>
            <w:pPr>
              <w:jc w:val="center"/>
              <w:ind w:right="421"/>
              <w:spacing w:after="0" w:line="189" w:lineRule="exact"/>
              <w:rPr>
                <w:sz w:val="20"/>
                <w:szCs w:val="20"/>
                <w:color w:val="auto"/>
              </w:rPr>
            </w:pPr>
            <w:r>
              <w:rPr>
                <w:rFonts w:ascii="Arial" w:cs="Arial" w:eastAsia="Arial" w:hAnsi="Arial"/>
                <w:sz w:val="20"/>
                <w:szCs w:val="20"/>
                <w:color w:val="auto"/>
                <w:w w:val="89"/>
              </w:rPr>
              <w:t>(State or Other Jurisdiction</w:t>
            </w:r>
          </w:p>
        </w:tc>
        <w:tc>
          <w:tcPr>
            <w:tcW w:w="2260" w:type="dxa"/>
            <w:vAlign w:val="bottom"/>
          </w:tcPr>
          <w:p>
            <w:pPr>
              <w:jc w:val="center"/>
              <w:ind w:right="61"/>
              <w:spacing w:after="0" w:line="189" w:lineRule="exact"/>
              <w:rPr>
                <w:sz w:val="20"/>
                <w:szCs w:val="20"/>
                <w:color w:val="auto"/>
              </w:rPr>
            </w:pPr>
            <w:r>
              <w:rPr>
                <w:rFonts w:ascii="Arial" w:cs="Arial" w:eastAsia="Arial" w:hAnsi="Arial"/>
                <w:sz w:val="20"/>
                <w:szCs w:val="20"/>
                <w:color w:val="auto"/>
                <w:w w:val="90"/>
              </w:rPr>
              <w:t>(Commission</w:t>
            </w:r>
          </w:p>
        </w:tc>
        <w:tc>
          <w:tcPr>
            <w:tcW w:w="2140" w:type="dxa"/>
            <w:vAlign w:val="bottom"/>
          </w:tcPr>
          <w:p>
            <w:pPr>
              <w:jc w:val="center"/>
              <w:ind w:left="561"/>
              <w:spacing w:after="0" w:line="189" w:lineRule="exact"/>
              <w:rPr>
                <w:sz w:val="20"/>
                <w:szCs w:val="20"/>
                <w:color w:val="auto"/>
              </w:rPr>
            </w:pPr>
            <w:r>
              <w:rPr>
                <w:rFonts w:ascii="Arial" w:cs="Arial" w:eastAsia="Arial" w:hAnsi="Arial"/>
                <w:sz w:val="20"/>
                <w:szCs w:val="20"/>
                <w:color w:val="auto"/>
                <w:w w:val="92"/>
              </w:rPr>
              <w:t>(IRS Employer</w:t>
            </w:r>
          </w:p>
        </w:tc>
        <w:tc>
          <w:tcPr>
            <w:tcW w:w="0" w:type="dxa"/>
            <w:vAlign w:val="bottom"/>
          </w:tcPr>
          <w:p>
            <w:pPr>
              <w:spacing w:after="0"/>
              <w:rPr>
                <w:sz w:val="1"/>
                <w:szCs w:val="1"/>
                <w:color w:val="auto"/>
              </w:rPr>
            </w:pPr>
          </w:p>
        </w:tc>
      </w:tr>
      <w:tr>
        <w:trPr>
          <w:trHeight w:val="250"/>
        </w:trPr>
        <w:tc>
          <w:tcPr>
            <w:tcW w:w="3580" w:type="dxa"/>
            <w:vAlign w:val="bottom"/>
          </w:tcPr>
          <w:p>
            <w:pPr>
              <w:jc w:val="center"/>
              <w:ind w:right="401"/>
              <w:spacing w:after="0"/>
              <w:rPr>
                <w:sz w:val="20"/>
                <w:szCs w:val="20"/>
                <w:color w:val="auto"/>
              </w:rPr>
            </w:pPr>
            <w:r>
              <w:rPr>
                <w:rFonts w:ascii="Arial" w:cs="Arial" w:eastAsia="Arial" w:hAnsi="Arial"/>
                <w:sz w:val="20"/>
                <w:szCs w:val="20"/>
                <w:color w:val="auto"/>
                <w:w w:val="93"/>
              </w:rPr>
              <w:t>of Incorporation)</w:t>
            </w:r>
          </w:p>
        </w:tc>
        <w:tc>
          <w:tcPr>
            <w:tcW w:w="2260" w:type="dxa"/>
            <w:vAlign w:val="bottom"/>
          </w:tcPr>
          <w:p>
            <w:pPr>
              <w:jc w:val="center"/>
              <w:ind w:right="61"/>
              <w:spacing w:after="0"/>
              <w:rPr>
                <w:sz w:val="20"/>
                <w:szCs w:val="20"/>
                <w:color w:val="auto"/>
              </w:rPr>
            </w:pPr>
            <w:r>
              <w:rPr>
                <w:rFonts w:ascii="Arial" w:cs="Arial" w:eastAsia="Arial" w:hAnsi="Arial"/>
                <w:sz w:val="20"/>
                <w:szCs w:val="20"/>
                <w:color w:val="auto"/>
                <w:w w:val="91"/>
              </w:rPr>
              <w:t>File Number)</w:t>
            </w:r>
          </w:p>
        </w:tc>
        <w:tc>
          <w:tcPr>
            <w:tcW w:w="2140" w:type="dxa"/>
            <w:vAlign w:val="bottom"/>
          </w:tcPr>
          <w:p>
            <w:pPr>
              <w:jc w:val="center"/>
              <w:ind w:left="561"/>
              <w:spacing w:after="0"/>
              <w:rPr>
                <w:sz w:val="20"/>
                <w:szCs w:val="20"/>
                <w:color w:val="auto"/>
              </w:rPr>
            </w:pPr>
            <w:r>
              <w:rPr>
                <w:rFonts w:ascii="Arial" w:cs="Arial" w:eastAsia="Arial" w:hAnsi="Arial"/>
                <w:sz w:val="20"/>
                <w:szCs w:val="20"/>
                <w:color w:val="auto"/>
                <w:w w:val="95"/>
              </w:rPr>
              <w:t>Identification No.)</w:t>
            </w:r>
          </w:p>
        </w:tc>
        <w:tc>
          <w:tcPr>
            <w:tcW w:w="0" w:type="dxa"/>
            <w:vAlign w:val="bottom"/>
          </w:tcPr>
          <w:p>
            <w:pPr>
              <w:spacing w:after="0"/>
              <w:rPr>
                <w:sz w:val="1"/>
                <w:szCs w:val="1"/>
                <w:color w:val="auto"/>
              </w:rPr>
            </w:pPr>
          </w:p>
        </w:tc>
      </w:tr>
      <w:tr>
        <w:trPr>
          <w:trHeight w:val="317"/>
        </w:trPr>
        <w:tc>
          <w:tcPr>
            <w:tcW w:w="3580" w:type="dxa"/>
            <w:vAlign w:val="bottom"/>
          </w:tcPr>
          <w:p>
            <w:pPr>
              <w:jc w:val="center"/>
              <w:ind w:right="421"/>
              <w:spacing w:after="0"/>
              <w:rPr>
                <w:sz w:val="20"/>
                <w:szCs w:val="20"/>
                <w:color w:val="auto"/>
              </w:rPr>
            </w:pPr>
            <w:r>
              <w:rPr>
                <w:rFonts w:ascii="Arial" w:cs="Arial" w:eastAsia="Arial" w:hAnsi="Arial"/>
                <w:sz w:val="20"/>
                <w:szCs w:val="20"/>
                <w:b w:val="1"/>
                <w:bCs w:val="1"/>
                <w:color w:val="auto"/>
                <w:w w:val="89"/>
              </w:rPr>
              <w:t>2801 East Beltline, N.E.</w:t>
            </w:r>
          </w:p>
        </w:tc>
        <w:tc>
          <w:tcPr>
            <w:tcW w:w="2260" w:type="dxa"/>
            <w:vAlign w:val="bottom"/>
          </w:tcPr>
          <w:p>
            <w:pPr>
              <w:spacing w:after="0"/>
              <w:rPr>
                <w:sz w:val="24"/>
                <w:szCs w:val="24"/>
                <w:color w:val="auto"/>
              </w:rPr>
            </w:pPr>
          </w:p>
        </w:tc>
        <w:tc>
          <w:tcPr>
            <w:tcW w:w="2140" w:type="dxa"/>
            <w:vAlign w:val="bottom"/>
            <w:vMerge w:val="restart"/>
          </w:tcPr>
          <w:p>
            <w:pPr>
              <w:jc w:val="right"/>
              <w:ind w:right="401"/>
              <w:spacing w:after="0"/>
              <w:rPr>
                <w:sz w:val="20"/>
                <w:szCs w:val="20"/>
                <w:color w:val="auto"/>
              </w:rPr>
            </w:pPr>
            <w:r>
              <w:rPr>
                <w:rFonts w:ascii="Arial" w:cs="Arial" w:eastAsia="Arial" w:hAnsi="Arial"/>
                <w:sz w:val="20"/>
                <w:szCs w:val="20"/>
                <w:b w:val="1"/>
                <w:bCs w:val="1"/>
                <w:color w:val="auto"/>
              </w:rPr>
              <w:t>49525</w:t>
            </w:r>
          </w:p>
        </w:tc>
        <w:tc>
          <w:tcPr>
            <w:tcW w:w="0" w:type="dxa"/>
            <w:vAlign w:val="bottom"/>
          </w:tcPr>
          <w:p>
            <w:pPr>
              <w:spacing w:after="0"/>
              <w:rPr>
                <w:sz w:val="1"/>
                <w:szCs w:val="1"/>
                <w:color w:val="auto"/>
              </w:rPr>
            </w:pPr>
          </w:p>
        </w:tc>
      </w:tr>
      <w:tr>
        <w:trPr>
          <w:trHeight w:val="189"/>
        </w:trPr>
        <w:tc>
          <w:tcPr>
            <w:tcW w:w="3580" w:type="dxa"/>
            <w:vAlign w:val="bottom"/>
          </w:tcPr>
          <w:p>
            <w:pPr>
              <w:jc w:val="center"/>
              <w:ind w:right="421"/>
              <w:spacing w:after="0" w:line="189" w:lineRule="exact"/>
              <w:rPr>
                <w:sz w:val="20"/>
                <w:szCs w:val="20"/>
                <w:color w:val="auto"/>
              </w:rPr>
            </w:pPr>
            <w:r>
              <w:rPr>
                <w:rFonts w:ascii="Arial" w:cs="Arial" w:eastAsia="Arial" w:hAnsi="Arial"/>
                <w:sz w:val="20"/>
                <w:szCs w:val="20"/>
                <w:b w:val="1"/>
                <w:bCs w:val="1"/>
                <w:color w:val="auto"/>
                <w:w w:val="91"/>
              </w:rPr>
              <w:t>Grand Rapids, Michigan</w:t>
            </w:r>
          </w:p>
        </w:tc>
        <w:tc>
          <w:tcPr>
            <w:tcW w:w="226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Pr>
          <w:p>
            <w:pPr>
              <w:jc w:val="center"/>
              <w:ind w:right="421"/>
              <w:spacing w:after="0"/>
              <w:rPr>
                <w:sz w:val="20"/>
                <w:szCs w:val="20"/>
                <w:color w:val="auto"/>
              </w:rPr>
            </w:pPr>
            <w:r>
              <w:rPr>
                <w:rFonts w:ascii="Arial" w:cs="Arial" w:eastAsia="Arial" w:hAnsi="Arial"/>
                <w:sz w:val="20"/>
                <w:szCs w:val="20"/>
                <w:color w:val="auto"/>
                <w:w w:val="92"/>
              </w:rPr>
              <w:t>(Address of principal executive office)</w:t>
            </w:r>
          </w:p>
        </w:tc>
        <w:tc>
          <w:tcPr>
            <w:tcW w:w="2260" w:type="dxa"/>
            <w:vAlign w:val="bottom"/>
          </w:tcPr>
          <w:p>
            <w:pPr>
              <w:spacing w:after="0"/>
              <w:rPr>
                <w:sz w:val="21"/>
                <w:szCs w:val="21"/>
                <w:color w:val="auto"/>
              </w:rPr>
            </w:pPr>
          </w:p>
        </w:tc>
        <w:tc>
          <w:tcPr>
            <w:tcW w:w="2140" w:type="dxa"/>
            <w:vAlign w:val="bottom"/>
          </w:tcPr>
          <w:p>
            <w:pPr>
              <w:jc w:val="center"/>
              <w:ind w:left="561"/>
              <w:spacing w:after="0"/>
              <w:rPr>
                <w:sz w:val="20"/>
                <w:szCs w:val="20"/>
                <w:color w:val="auto"/>
              </w:rPr>
            </w:pPr>
            <w:r>
              <w:rPr>
                <w:rFonts w:ascii="Arial" w:cs="Arial" w:eastAsia="Arial" w:hAnsi="Arial"/>
                <w:sz w:val="20"/>
                <w:szCs w:val="20"/>
                <w:color w:val="auto"/>
                <w:w w:val="93"/>
              </w:rPr>
              <w:t>(Zip Code)</w:t>
            </w:r>
          </w:p>
        </w:tc>
        <w:tc>
          <w:tcPr>
            <w:tcW w:w="0" w:type="dxa"/>
            <w:vAlign w:val="bottom"/>
          </w:tcPr>
          <w:p>
            <w:pPr>
              <w:spacing w:after="0"/>
              <w:rPr>
                <w:sz w:val="1"/>
                <w:szCs w:val="1"/>
                <w:color w:val="auto"/>
              </w:rPr>
            </w:pPr>
          </w:p>
        </w:tc>
      </w:tr>
    </w:tbl>
    <w:p>
      <w:pPr>
        <w:spacing w:after="0" w:line="118"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(616) 364-6161</w:t>
      </w:r>
    </w:p>
    <w:p>
      <w:pPr>
        <w:spacing w:after="0" w:line="154" w:lineRule="exact"/>
        <w:rPr>
          <w:sz w:val="24"/>
          <w:szCs w:val="24"/>
          <w:color w:val="auto"/>
        </w:rPr>
      </w:pPr>
    </w:p>
    <w:p>
      <w:pPr>
        <w:ind w:left="160" w:right="139"/>
        <w:spacing w:after="0" w:line="229"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980" w:hanging="829"/>
        <w:spacing w:after="0"/>
        <w:tabs>
          <w:tab w:leader="none" w:pos="9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ind w:left="980" w:hanging="829"/>
        <w:spacing w:after="0" w:line="207" w:lineRule="auto"/>
        <w:tabs>
          <w:tab w:leader="none" w:pos="9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ind w:left="820" w:right="139" w:hanging="669"/>
        <w:spacing w:after="0" w:line="197" w:lineRule="auto"/>
        <w:tabs>
          <w:tab w:leader="none" w:pos="984"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ind w:left="820" w:right="139" w:hanging="669"/>
        <w:spacing w:after="0" w:line="220" w:lineRule="auto"/>
        <w:tabs>
          <w:tab w:leader="none" w:pos="984"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143" w:lineRule="exact"/>
        <w:rPr>
          <w:sz w:val="24"/>
          <w:szCs w:val="24"/>
          <w:color w:val="auto"/>
        </w:rPr>
      </w:pPr>
    </w:p>
    <w:p>
      <w:pPr>
        <w:ind w:left="160" w:right="299"/>
        <w:spacing w:after="0" w:line="235" w:lineRule="exact"/>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20"/>
          <w:szCs w:val="20"/>
          <w:color w:val="auto"/>
        </w:rPr>
        <w:t>☐</w:t>
      </w:r>
    </w:p>
    <w:p>
      <w:pPr>
        <w:spacing w:after="0" w:line="120" w:lineRule="exact"/>
        <w:rPr>
          <w:sz w:val="24"/>
          <w:szCs w:val="24"/>
          <w:color w:val="auto"/>
        </w:rPr>
      </w:pPr>
    </w:p>
    <w:p>
      <w:pPr>
        <w:jc w:val="both"/>
        <w:ind w:left="160" w:right="299"/>
        <w:spacing w:after="0" w:line="235"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92075</wp:posOffset>
            </wp:positionH>
            <wp:positionV relativeFrom="paragraph">
              <wp:posOffset>352425</wp:posOffset>
            </wp:positionV>
            <wp:extent cx="55486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160"/>
        <w:spacing w:after="0"/>
        <w:tabs>
          <w:tab w:leader="none" w:pos="160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8"/>
          <w:szCs w:val="18"/>
          <w:b w:val="1"/>
          <w:bCs w:val="1"/>
          <w:color w:val="auto"/>
        </w:rPr>
        <w:t>Corporate Governance and Management</w:t>
      </w:r>
    </w:p>
    <w:p>
      <w:pPr>
        <w:spacing w:after="0" w:line="148" w:lineRule="exact"/>
        <w:rPr>
          <w:sz w:val="20"/>
          <w:szCs w:val="20"/>
          <w:color w:val="auto"/>
        </w:rPr>
      </w:pPr>
    </w:p>
    <w:p>
      <w:pPr>
        <w:ind w:left="2100"/>
        <w:spacing w:after="0"/>
        <w:tabs>
          <w:tab w:leader="none" w:pos="426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68" w:lineRule="exact"/>
        <w:rPr>
          <w:sz w:val="20"/>
          <w:szCs w:val="20"/>
          <w:color w:val="auto"/>
        </w:rPr>
      </w:pPr>
    </w:p>
    <w:p>
      <w:pPr>
        <w:ind w:left="160" w:right="339" w:firstLine="648"/>
        <w:spacing w:after="0" w:line="234" w:lineRule="auto"/>
        <w:rPr>
          <w:sz w:val="20"/>
          <w:szCs w:val="20"/>
          <w:color w:val="auto"/>
        </w:rPr>
      </w:pPr>
      <w:r>
        <w:rPr>
          <w:rFonts w:ascii="Arial" w:cs="Arial" w:eastAsia="Arial" w:hAnsi="Arial"/>
          <w:sz w:val="20"/>
          <w:szCs w:val="20"/>
          <w:color w:val="auto"/>
        </w:rPr>
        <w:t>On April 24, 2019, the Company held its 2019 Annual Meeting of Shareholders. The matters listed below were submitted to a vote of the shareholders through the solicitation of proxies; the proposals are described in detail in the Company’s Proxy Statement dated March 8, 2019. The voting results are as follows:</w:t>
      </w: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20"/>
          <w:szCs w:val="20"/>
          <w:u w:val="single" w:color="auto"/>
          <w:color w:val="auto"/>
        </w:rPr>
        <w:t>Proposal 1 – Election of Directors</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individuals were elected to serve as directors of the Company to hold office until the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2022 Annual Meeting of Shareholders, by the following votes:</w:t>
      </w:r>
    </w:p>
    <w:p>
      <w:pPr>
        <w:spacing w:after="0" w:line="13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1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92"/>
              </w:rPr>
              <w:t>Broker Non-</w:t>
            </w:r>
          </w:p>
        </w:tc>
        <w:tc>
          <w:tcPr>
            <w:tcW w:w="0" w:type="dxa"/>
            <w:vAlign w:val="bottom"/>
          </w:tcPr>
          <w:p>
            <w:pPr>
              <w:spacing w:after="0"/>
              <w:rPr>
                <w:sz w:val="1"/>
                <w:szCs w:val="1"/>
                <w:color w:val="auto"/>
              </w:rPr>
            </w:pPr>
          </w:p>
        </w:tc>
      </w:tr>
      <w:tr>
        <w:trPr>
          <w:trHeight w:val="250"/>
        </w:trPr>
        <w:tc>
          <w:tcPr>
            <w:tcW w:w="2060" w:type="dxa"/>
            <w:vAlign w:val="bottom"/>
            <w:gridSpan w:val="2"/>
            <w:vMerge w:val="restart"/>
          </w:tcPr>
          <w:p>
            <w:pPr>
              <w:ind w:left="120"/>
              <w:spacing w:after="0"/>
              <w:rPr>
                <w:sz w:val="20"/>
                <w:szCs w:val="20"/>
                <w:color w:val="auto"/>
              </w:rPr>
            </w:pPr>
            <w:r>
              <w:rPr>
                <w:rFonts w:ascii="Arial" w:cs="Arial" w:eastAsia="Arial" w:hAnsi="Arial"/>
                <w:sz w:val="20"/>
                <w:szCs w:val="20"/>
                <w:color w:val="auto"/>
              </w:rPr>
              <w:t>Nominee</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auto"/>
                <w:w w:val="86"/>
              </w:rPr>
              <w:t>For</w:t>
            </w:r>
          </w:p>
        </w:tc>
        <w:tc>
          <w:tcPr>
            <w:tcW w:w="660" w:type="dxa"/>
            <w:vAlign w:val="bottom"/>
          </w:tcPr>
          <w:p>
            <w:pPr>
              <w:spacing w:after="0"/>
              <w:rPr>
                <w:sz w:val="21"/>
                <w:szCs w:val="21"/>
                <w:color w:val="auto"/>
              </w:rPr>
            </w:pPr>
          </w:p>
        </w:tc>
        <w:tc>
          <w:tcPr>
            <w:tcW w:w="1280" w:type="dxa"/>
            <w:vAlign w:val="bottom"/>
            <w:gridSpan w:val="2"/>
            <w:vMerge w:val="restart"/>
          </w:tcPr>
          <w:p>
            <w:pPr>
              <w:jc w:val="right"/>
              <w:ind w:right="660"/>
              <w:spacing w:after="0"/>
              <w:rPr>
                <w:sz w:val="20"/>
                <w:szCs w:val="20"/>
                <w:color w:val="auto"/>
              </w:rPr>
            </w:pPr>
            <w:r>
              <w:rPr>
                <w:rFonts w:ascii="Arial" w:cs="Arial" w:eastAsia="Arial" w:hAnsi="Arial"/>
                <w:sz w:val="20"/>
                <w:szCs w:val="20"/>
                <w:color w:val="auto"/>
                <w:w w:val="89"/>
              </w:rPr>
              <w:t>Against</w:t>
            </w:r>
          </w:p>
        </w:tc>
        <w:tc>
          <w:tcPr>
            <w:tcW w:w="1600" w:type="dxa"/>
            <w:vAlign w:val="bottom"/>
            <w:gridSpan w:val="2"/>
            <w:vMerge w:val="restart"/>
          </w:tcPr>
          <w:p>
            <w:pPr>
              <w:ind w:left="300"/>
              <w:spacing w:after="0"/>
              <w:rPr>
                <w:sz w:val="20"/>
                <w:szCs w:val="20"/>
                <w:color w:val="auto"/>
              </w:rPr>
            </w:pPr>
            <w:r>
              <w:rPr>
                <w:rFonts w:ascii="Arial" w:cs="Arial" w:eastAsia="Arial" w:hAnsi="Arial"/>
                <w:sz w:val="20"/>
                <w:szCs w:val="20"/>
                <w:color w:val="auto"/>
              </w:rPr>
              <w:t>Abstain</w:t>
            </w:r>
          </w:p>
        </w:tc>
        <w:tc>
          <w:tcPr>
            <w:tcW w:w="1260" w:type="dxa"/>
            <w:vAlign w:val="bottom"/>
          </w:tcPr>
          <w:p>
            <w:pPr>
              <w:jc w:val="center"/>
              <w:spacing w:after="0"/>
              <w:rPr>
                <w:sz w:val="20"/>
                <w:szCs w:val="20"/>
                <w:color w:val="auto"/>
              </w:rPr>
            </w:pPr>
            <w:r>
              <w:rPr>
                <w:rFonts w:ascii="Arial" w:cs="Arial" w:eastAsia="Arial" w:hAnsi="Arial"/>
                <w:sz w:val="20"/>
                <w:szCs w:val="20"/>
                <w:color w:val="auto"/>
                <w:w w:val="85"/>
              </w:rPr>
              <w:t>Votes</w:t>
            </w:r>
          </w:p>
        </w:tc>
        <w:tc>
          <w:tcPr>
            <w:tcW w:w="0" w:type="dxa"/>
            <w:vAlign w:val="bottom"/>
          </w:tcPr>
          <w:p>
            <w:pPr>
              <w:spacing w:after="0"/>
              <w:rPr>
                <w:sz w:val="1"/>
                <w:szCs w:val="1"/>
                <w:color w:val="auto"/>
              </w:rPr>
            </w:pPr>
          </w:p>
        </w:tc>
      </w:tr>
      <w:tr>
        <w:trPr>
          <w:trHeight w:val="145"/>
        </w:trPr>
        <w:tc>
          <w:tcPr>
            <w:tcW w:w="206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tcBorders>
              <w:bottom w:val="single" w:sz="8" w:color="auto"/>
            </w:tcBorders>
          </w:tcPr>
          <w:p>
            <w:pPr>
              <w:spacing w:after="0"/>
              <w:rPr>
                <w:sz w:val="15"/>
                <w:szCs w:val="15"/>
                <w:color w:val="auto"/>
              </w:rPr>
            </w:pPr>
          </w:p>
        </w:tc>
        <w:tc>
          <w:tcPr>
            <w:tcW w:w="380" w:type="dxa"/>
            <w:vAlign w:val="bottom"/>
            <w:vMerge w:val="restart"/>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60" w:type="dxa"/>
            <w:vAlign w:val="bottom"/>
            <w:vMerge w:val="restart"/>
          </w:tcPr>
          <w:p>
            <w:pPr>
              <w:spacing w:after="0"/>
              <w:rPr>
                <w:sz w:val="15"/>
                <w:szCs w:val="15"/>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20"/>
                <w:szCs w:val="20"/>
                <w:color w:val="auto"/>
              </w:rPr>
              <w:t>412,803</w:t>
            </w:r>
          </w:p>
        </w:tc>
        <w:tc>
          <w:tcPr>
            <w:tcW w:w="1220" w:type="dxa"/>
            <w:vAlign w:val="bottom"/>
            <w:tcBorders>
              <w:bottom w:val="single" w:sz="8" w:color="auto"/>
            </w:tcBorders>
          </w:tcPr>
          <w:p>
            <w:pPr>
              <w:spacing w:after="0"/>
              <w:rPr>
                <w:sz w:val="15"/>
                <w:szCs w:val="15"/>
                <w:color w:val="auto"/>
              </w:rPr>
            </w:pPr>
          </w:p>
        </w:tc>
        <w:tc>
          <w:tcPr>
            <w:tcW w:w="380" w:type="dxa"/>
            <w:vAlign w:val="bottom"/>
            <w:vMerge w:val="restart"/>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680" w:type="dxa"/>
            <w:vAlign w:val="bottom"/>
          </w:tcPr>
          <w:p>
            <w:pPr>
              <w:ind w:left="120"/>
              <w:spacing w:after="0" w:line="207" w:lineRule="exact"/>
              <w:rPr>
                <w:sz w:val="20"/>
                <w:szCs w:val="20"/>
                <w:color w:val="auto"/>
              </w:rPr>
            </w:pPr>
            <w:r>
              <w:rPr>
                <w:rFonts w:ascii="Arial" w:cs="Arial" w:eastAsia="Arial" w:hAnsi="Arial"/>
                <w:sz w:val="20"/>
                <w:szCs w:val="20"/>
                <w:color w:val="auto"/>
              </w:rPr>
              <w:t>Joan A. Budden</w:t>
            </w:r>
          </w:p>
        </w:tc>
        <w:tc>
          <w:tcPr>
            <w:tcW w:w="380" w:type="dxa"/>
            <w:vAlign w:val="bottom"/>
            <w:vMerge w:val="continue"/>
          </w:tcPr>
          <w:p>
            <w:pPr>
              <w:spacing w:after="0"/>
              <w:rPr>
                <w:sz w:val="17"/>
                <w:szCs w:val="17"/>
                <w:color w:val="auto"/>
              </w:rPr>
            </w:pPr>
          </w:p>
        </w:tc>
        <w:tc>
          <w:tcPr>
            <w:tcW w:w="1200" w:type="dxa"/>
            <w:vAlign w:val="bottom"/>
          </w:tcPr>
          <w:p>
            <w:pPr>
              <w:jc w:val="center"/>
              <w:spacing w:after="0" w:line="207" w:lineRule="exact"/>
              <w:rPr>
                <w:sz w:val="20"/>
                <w:szCs w:val="20"/>
                <w:color w:val="auto"/>
              </w:rPr>
            </w:pPr>
            <w:r>
              <w:rPr>
                <w:rFonts w:ascii="Arial" w:cs="Arial" w:eastAsia="Arial" w:hAnsi="Arial"/>
                <w:sz w:val="20"/>
                <w:szCs w:val="20"/>
                <w:color w:val="auto"/>
                <w:w w:val="89"/>
              </w:rPr>
              <w:t>55,258,039</w:t>
            </w:r>
          </w:p>
        </w:tc>
        <w:tc>
          <w:tcPr>
            <w:tcW w:w="66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20" w:type="dxa"/>
            <w:vAlign w:val="bottom"/>
          </w:tcPr>
          <w:p>
            <w:pPr>
              <w:jc w:val="right"/>
              <w:spacing w:after="0" w:line="207" w:lineRule="exact"/>
              <w:rPr>
                <w:sz w:val="20"/>
                <w:szCs w:val="20"/>
                <w:color w:val="auto"/>
              </w:rPr>
            </w:pPr>
            <w:r>
              <w:rPr>
                <w:rFonts w:ascii="Arial" w:cs="Arial" w:eastAsia="Arial" w:hAnsi="Arial"/>
                <w:sz w:val="20"/>
                <w:szCs w:val="20"/>
                <w:color w:val="auto"/>
              </w:rPr>
              <w:t>52,942</w:t>
            </w:r>
          </w:p>
        </w:tc>
        <w:tc>
          <w:tcPr>
            <w:tcW w:w="380" w:type="dxa"/>
            <w:vAlign w:val="bottom"/>
            <w:vMerge w:val="continue"/>
          </w:tcPr>
          <w:p>
            <w:pPr>
              <w:spacing w:after="0"/>
              <w:rPr>
                <w:sz w:val="17"/>
                <w:szCs w:val="17"/>
                <w:color w:val="auto"/>
              </w:rPr>
            </w:pPr>
          </w:p>
        </w:tc>
        <w:tc>
          <w:tcPr>
            <w:tcW w:w="1260" w:type="dxa"/>
            <w:vAlign w:val="bottom"/>
          </w:tcPr>
          <w:p>
            <w:pPr>
              <w:jc w:val="center"/>
              <w:spacing w:after="0" w:line="207" w:lineRule="exact"/>
              <w:rPr>
                <w:sz w:val="20"/>
                <w:szCs w:val="20"/>
                <w:color w:val="auto"/>
              </w:rPr>
            </w:pPr>
            <w:r>
              <w:rPr>
                <w:rFonts w:ascii="Arial" w:cs="Arial" w:eastAsia="Arial" w:hAnsi="Arial"/>
                <w:sz w:val="20"/>
                <w:szCs w:val="20"/>
                <w:color w:val="auto"/>
                <w:w w:val="89"/>
              </w:rPr>
              <w:t>2,953,992</w:t>
            </w:r>
          </w:p>
        </w:tc>
        <w:tc>
          <w:tcPr>
            <w:tcW w:w="0" w:type="dxa"/>
            <w:vAlign w:val="bottom"/>
          </w:tcPr>
          <w:p>
            <w:pPr>
              <w:spacing w:after="0"/>
              <w:rPr>
                <w:sz w:val="1"/>
                <w:szCs w:val="1"/>
                <w:color w:val="auto"/>
              </w:rPr>
            </w:pPr>
          </w:p>
        </w:tc>
      </w:tr>
      <w:tr>
        <w:trPr>
          <w:trHeight w:val="230"/>
        </w:trPr>
        <w:tc>
          <w:tcPr>
            <w:tcW w:w="2060" w:type="dxa"/>
            <w:vAlign w:val="bottom"/>
            <w:gridSpan w:val="2"/>
          </w:tcPr>
          <w:p>
            <w:pPr>
              <w:ind w:left="120"/>
              <w:spacing w:after="0"/>
              <w:rPr>
                <w:sz w:val="20"/>
                <w:szCs w:val="20"/>
                <w:color w:val="auto"/>
              </w:rPr>
            </w:pPr>
            <w:r>
              <w:rPr>
                <w:rFonts w:ascii="Arial" w:cs="Arial" w:eastAsia="Arial" w:hAnsi="Arial"/>
                <w:sz w:val="20"/>
                <w:szCs w:val="20"/>
                <w:color w:val="auto"/>
              </w:rPr>
              <w:t>William G. Currie</w:t>
            </w:r>
          </w:p>
        </w:tc>
        <w:tc>
          <w:tcPr>
            <w:tcW w:w="1200" w:type="dxa"/>
            <w:vAlign w:val="bottom"/>
          </w:tcPr>
          <w:p>
            <w:pPr>
              <w:jc w:val="center"/>
              <w:spacing w:after="0"/>
              <w:rPr>
                <w:sz w:val="20"/>
                <w:szCs w:val="20"/>
                <w:color w:val="auto"/>
              </w:rPr>
            </w:pPr>
            <w:r>
              <w:rPr>
                <w:rFonts w:ascii="Arial" w:cs="Arial" w:eastAsia="Arial" w:hAnsi="Arial"/>
                <w:sz w:val="20"/>
                <w:szCs w:val="20"/>
                <w:color w:val="auto"/>
                <w:w w:val="89"/>
              </w:rPr>
              <w:t>55,404,360</w:t>
            </w:r>
          </w:p>
        </w:tc>
        <w:tc>
          <w:tcPr>
            <w:tcW w:w="1940" w:type="dxa"/>
            <w:vAlign w:val="bottom"/>
            <w:gridSpan w:val="3"/>
          </w:tcPr>
          <w:p>
            <w:pPr>
              <w:jc w:val="right"/>
              <w:ind w:right="380"/>
              <w:spacing w:after="0"/>
              <w:rPr>
                <w:sz w:val="20"/>
                <w:szCs w:val="20"/>
                <w:color w:val="auto"/>
              </w:rPr>
            </w:pPr>
            <w:r>
              <w:rPr>
                <w:rFonts w:ascii="Arial" w:cs="Arial" w:eastAsia="Arial" w:hAnsi="Arial"/>
                <w:sz w:val="20"/>
                <w:szCs w:val="20"/>
                <w:color w:val="auto"/>
              </w:rPr>
              <w:t>297,497</w:t>
            </w:r>
          </w:p>
        </w:tc>
        <w:tc>
          <w:tcPr>
            <w:tcW w:w="1220" w:type="dxa"/>
            <w:vAlign w:val="bottom"/>
          </w:tcPr>
          <w:p>
            <w:pPr>
              <w:jc w:val="right"/>
              <w:spacing w:after="0"/>
              <w:rPr>
                <w:sz w:val="20"/>
                <w:szCs w:val="20"/>
                <w:color w:val="auto"/>
              </w:rPr>
            </w:pPr>
            <w:r>
              <w:rPr>
                <w:rFonts w:ascii="Arial" w:cs="Arial" w:eastAsia="Arial" w:hAnsi="Arial"/>
                <w:sz w:val="20"/>
                <w:szCs w:val="20"/>
                <w:color w:val="auto"/>
              </w:rPr>
              <w:t>21,927</w:t>
            </w:r>
          </w:p>
        </w:tc>
        <w:tc>
          <w:tcPr>
            <w:tcW w:w="3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2,953,992</w:t>
            </w:r>
          </w:p>
        </w:tc>
        <w:tc>
          <w:tcPr>
            <w:tcW w:w="0" w:type="dxa"/>
            <w:vAlign w:val="bottom"/>
          </w:tcPr>
          <w:p>
            <w:pPr>
              <w:spacing w:after="0"/>
              <w:rPr>
                <w:sz w:val="1"/>
                <w:szCs w:val="1"/>
                <w:color w:val="auto"/>
              </w:rPr>
            </w:pPr>
          </w:p>
        </w:tc>
      </w:tr>
      <w:tr>
        <w:trPr>
          <w:trHeight w:val="250"/>
        </w:trPr>
        <w:tc>
          <w:tcPr>
            <w:tcW w:w="2060" w:type="dxa"/>
            <w:vAlign w:val="bottom"/>
            <w:gridSpan w:val="2"/>
          </w:tcPr>
          <w:p>
            <w:pPr>
              <w:ind w:left="120"/>
              <w:spacing w:after="0"/>
              <w:rPr>
                <w:sz w:val="20"/>
                <w:szCs w:val="20"/>
                <w:color w:val="auto"/>
              </w:rPr>
            </w:pPr>
            <w:r>
              <w:rPr>
                <w:rFonts w:ascii="Arial" w:cs="Arial" w:eastAsia="Arial" w:hAnsi="Arial"/>
                <w:sz w:val="20"/>
                <w:szCs w:val="20"/>
                <w:color w:val="auto"/>
              </w:rPr>
              <w:t>Bruce A. Merino</w:t>
            </w:r>
          </w:p>
        </w:tc>
        <w:tc>
          <w:tcPr>
            <w:tcW w:w="1200" w:type="dxa"/>
            <w:vAlign w:val="bottom"/>
          </w:tcPr>
          <w:p>
            <w:pPr>
              <w:jc w:val="center"/>
              <w:spacing w:after="0"/>
              <w:rPr>
                <w:sz w:val="20"/>
                <w:szCs w:val="20"/>
                <w:color w:val="auto"/>
              </w:rPr>
            </w:pPr>
            <w:r>
              <w:rPr>
                <w:rFonts w:ascii="Arial" w:cs="Arial" w:eastAsia="Arial" w:hAnsi="Arial"/>
                <w:sz w:val="20"/>
                <w:szCs w:val="20"/>
                <w:color w:val="auto"/>
                <w:w w:val="89"/>
              </w:rPr>
              <w:t>53,110,455</w:t>
            </w:r>
          </w:p>
        </w:tc>
        <w:tc>
          <w:tcPr>
            <w:tcW w:w="1940" w:type="dxa"/>
            <w:vAlign w:val="bottom"/>
            <w:gridSpan w:val="3"/>
          </w:tcPr>
          <w:p>
            <w:pPr>
              <w:jc w:val="right"/>
              <w:ind w:right="380"/>
              <w:spacing w:after="0"/>
              <w:rPr>
                <w:sz w:val="20"/>
                <w:szCs w:val="20"/>
                <w:color w:val="auto"/>
              </w:rPr>
            </w:pPr>
            <w:r>
              <w:rPr>
                <w:rFonts w:ascii="Arial" w:cs="Arial" w:eastAsia="Arial" w:hAnsi="Arial"/>
                <w:sz w:val="20"/>
                <w:szCs w:val="20"/>
                <w:color w:val="auto"/>
              </w:rPr>
              <w:t>2,581,348</w:t>
            </w:r>
          </w:p>
        </w:tc>
        <w:tc>
          <w:tcPr>
            <w:tcW w:w="1220" w:type="dxa"/>
            <w:vAlign w:val="bottom"/>
          </w:tcPr>
          <w:p>
            <w:pPr>
              <w:jc w:val="right"/>
              <w:spacing w:after="0"/>
              <w:rPr>
                <w:sz w:val="20"/>
                <w:szCs w:val="20"/>
                <w:color w:val="auto"/>
              </w:rPr>
            </w:pPr>
            <w:r>
              <w:rPr>
                <w:rFonts w:ascii="Arial" w:cs="Arial" w:eastAsia="Arial" w:hAnsi="Arial"/>
                <w:sz w:val="20"/>
                <w:szCs w:val="20"/>
                <w:color w:val="auto"/>
              </w:rPr>
              <w:t>31,981</w:t>
            </w:r>
          </w:p>
        </w:tc>
        <w:tc>
          <w:tcPr>
            <w:tcW w:w="3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2,953,992</w:t>
            </w:r>
          </w:p>
        </w:tc>
        <w:tc>
          <w:tcPr>
            <w:tcW w:w="0" w:type="dxa"/>
            <w:vAlign w:val="bottom"/>
          </w:tcPr>
          <w:p>
            <w:pPr>
              <w:spacing w:after="0"/>
              <w:rPr>
                <w:sz w:val="1"/>
                <w:szCs w:val="1"/>
                <w:color w:val="auto"/>
              </w:rPr>
            </w:pPr>
          </w:p>
        </w:tc>
      </w:tr>
    </w:tbl>
    <w:p>
      <w:pPr>
        <w:spacing w:after="0" w:line="384" w:lineRule="exact"/>
        <w:rPr>
          <w:sz w:val="20"/>
          <w:szCs w:val="20"/>
          <w:color w:val="auto"/>
        </w:rPr>
      </w:pPr>
    </w:p>
    <w:p>
      <w:pPr>
        <w:ind w:left="160" w:right="699"/>
        <w:spacing w:after="0" w:line="246" w:lineRule="auto"/>
        <w:rPr>
          <w:sz w:val="20"/>
          <w:szCs w:val="20"/>
          <w:color w:val="auto"/>
        </w:rPr>
      </w:pPr>
      <w:r>
        <w:rPr>
          <w:rFonts w:ascii="Arial" w:cs="Arial" w:eastAsia="Arial" w:hAnsi="Arial"/>
          <w:sz w:val="20"/>
          <w:szCs w:val="20"/>
          <w:u w:val="single" w:color="auto"/>
          <w:color w:val="auto"/>
        </w:rPr>
        <w:t>Proposal 2 – Ratification of the Appointment of Deloitte &amp; Touche LLP as the Company's Independent Registered Public Accounting Firm for Fiscal 2019.</w:t>
      </w:r>
    </w:p>
    <w:p>
      <w:pPr>
        <w:spacing w:after="0" w:line="136" w:lineRule="exact"/>
        <w:rPr>
          <w:sz w:val="20"/>
          <w:szCs w:val="20"/>
          <w:color w:val="auto"/>
        </w:rPr>
      </w:pPr>
    </w:p>
    <w:p>
      <w:pPr>
        <w:ind w:left="160" w:right="659" w:firstLine="648"/>
        <w:spacing w:after="0" w:line="272" w:lineRule="auto"/>
        <w:rPr>
          <w:sz w:val="20"/>
          <w:szCs w:val="20"/>
          <w:color w:val="auto"/>
        </w:rPr>
      </w:pPr>
      <w:r>
        <w:rPr>
          <w:rFonts w:ascii="Arial" w:cs="Arial" w:eastAsia="Arial" w:hAnsi="Arial"/>
          <w:sz w:val="19"/>
          <w:szCs w:val="19"/>
          <w:color w:val="auto"/>
        </w:rPr>
        <w:t>The shareholders ratified the appointment of Deloitte &amp; Touche LLP to serve as the Company's independent registered public accounting firm for fiscal 2019 by the following votes:</w:t>
      </w:r>
    </w:p>
    <w:p>
      <w:pPr>
        <w:spacing w:after="0" w:line="112" w:lineRule="exact"/>
        <w:rPr>
          <w:sz w:val="20"/>
          <w:szCs w:val="20"/>
          <w:color w:val="auto"/>
        </w:rPr>
      </w:pPr>
    </w:p>
    <w:tbl>
      <w:tblPr>
        <w:tblLayout w:type="fixed"/>
        <w:tblInd w:w="140" w:type="dxa"/>
        <w:tblCellMar>
          <w:top w:w="0" w:type="dxa"/>
          <w:left w:w="0" w:type="dxa"/>
          <w:bottom w:w="0" w:type="dxa"/>
          <w:right w:w="0" w:type="dxa"/>
        </w:tblCellMar>
      </w:tblPr>
      <w:tr>
        <w:trPr>
          <w:trHeight w:val="233"/>
        </w:trPr>
        <w:tc>
          <w:tcPr>
            <w:tcW w:w="1020" w:type="dxa"/>
            <w:vAlign w:val="bottom"/>
          </w:tcPr>
          <w:p>
            <w:pPr>
              <w:spacing w:after="0"/>
              <w:rPr>
                <w:sz w:val="20"/>
                <w:szCs w:val="20"/>
                <w:color w:val="auto"/>
              </w:rPr>
            </w:pPr>
          </w:p>
        </w:tc>
        <w:tc>
          <w:tcPr>
            <w:tcW w:w="2040" w:type="dxa"/>
            <w:vAlign w:val="bottom"/>
            <w:gridSpan w:val="2"/>
          </w:tcPr>
          <w:p>
            <w:pPr>
              <w:jc w:val="center"/>
              <w:ind w:right="660"/>
              <w:spacing w:after="0"/>
              <w:rPr>
                <w:sz w:val="20"/>
                <w:szCs w:val="20"/>
                <w:color w:val="auto"/>
              </w:rPr>
            </w:pPr>
            <w:r>
              <w:rPr>
                <w:rFonts w:ascii="Arial" w:cs="Arial" w:eastAsia="Arial" w:hAnsi="Arial"/>
                <w:sz w:val="20"/>
                <w:szCs w:val="20"/>
                <w:color w:val="auto"/>
                <w:w w:val="86"/>
              </w:rPr>
              <w:t>For</w:t>
            </w:r>
          </w:p>
        </w:tc>
        <w:tc>
          <w:tcPr>
            <w:tcW w:w="2340" w:type="dxa"/>
            <w:vAlign w:val="bottom"/>
            <w:gridSpan w:val="2"/>
          </w:tcPr>
          <w:p>
            <w:pPr>
              <w:ind w:left="520"/>
              <w:spacing w:after="0"/>
              <w:rPr>
                <w:sz w:val="20"/>
                <w:szCs w:val="20"/>
                <w:color w:val="auto"/>
              </w:rPr>
            </w:pPr>
            <w:r>
              <w:rPr>
                <w:rFonts w:ascii="Arial" w:cs="Arial" w:eastAsia="Arial" w:hAnsi="Arial"/>
                <w:sz w:val="20"/>
                <w:szCs w:val="20"/>
                <w:color w:val="auto"/>
              </w:rPr>
              <w:t>Against</w:t>
            </w:r>
          </w:p>
        </w:tc>
        <w:tc>
          <w:tcPr>
            <w:tcW w:w="1440" w:type="dxa"/>
            <w:vAlign w:val="bottom"/>
          </w:tcPr>
          <w:p>
            <w:pPr>
              <w:jc w:val="center"/>
              <w:spacing w:after="0"/>
              <w:rPr>
                <w:sz w:val="20"/>
                <w:szCs w:val="20"/>
                <w:color w:val="auto"/>
              </w:rPr>
            </w:pPr>
            <w:r>
              <w:rPr>
                <w:rFonts w:ascii="Arial" w:cs="Arial" w:eastAsia="Arial" w:hAnsi="Arial"/>
                <w:sz w:val="20"/>
                <w:szCs w:val="20"/>
                <w:color w:val="auto"/>
                <w:w w:val="89"/>
              </w:rPr>
              <w:t>Abstain</w:t>
            </w:r>
          </w:p>
        </w:tc>
        <w:tc>
          <w:tcPr>
            <w:tcW w:w="1900" w:type="dxa"/>
            <w:vAlign w:val="bottom"/>
          </w:tcPr>
          <w:p>
            <w:pPr>
              <w:spacing w:after="0"/>
              <w:rPr>
                <w:sz w:val="20"/>
                <w:szCs w:val="20"/>
                <w:color w:val="auto"/>
              </w:rPr>
            </w:pPr>
          </w:p>
        </w:tc>
      </w:tr>
      <w:tr>
        <w:trPr>
          <w:trHeight w:val="244"/>
        </w:trPr>
        <w:tc>
          <w:tcPr>
            <w:tcW w:w="1020" w:type="dxa"/>
            <w:vAlign w:val="bottom"/>
          </w:tcPr>
          <w:p>
            <w:pPr>
              <w:spacing w:after="0"/>
              <w:rPr>
                <w:sz w:val="21"/>
                <w:szCs w:val="21"/>
                <w:color w:val="auto"/>
              </w:rPr>
            </w:pPr>
          </w:p>
        </w:tc>
        <w:tc>
          <w:tcPr>
            <w:tcW w:w="138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58,554,181</w:t>
            </w:r>
          </w:p>
        </w:tc>
        <w:tc>
          <w:tcPr>
            <w:tcW w:w="660" w:type="dxa"/>
            <w:vAlign w:val="bottom"/>
          </w:tcPr>
          <w:p>
            <w:pPr>
              <w:spacing w:after="0"/>
              <w:rPr>
                <w:sz w:val="21"/>
                <w:szCs w:val="21"/>
                <w:color w:val="auto"/>
              </w:rPr>
            </w:pPr>
          </w:p>
        </w:tc>
        <w:tc>
          <w:tcPr>
            <w:tcW w:w="1660" w:type="dxa"/>
            <w:vAlign w:val="bottom"/>
            <w:tcBorders>
              <w:top w:val="single" w:sz="8" w:color="auto"/>
            </w:tcBorders>
          </w:tcPr>
          <w:p>
            <w:pPr>
              <w:ind w:left="520"/>
              <w:spacing w:after="0"/>
              <w:rPr>
                <w:sz w:val="20"/>
                <w:szCs w:val="20"/>
                <w:color w:val="auto"/>
              </w:rPr>
            </w:pPr>
            <w:r>
              <w:rPr>
                <w:rFonts w:ascii="Arial" w:cs="Arial" w:eastAsia="Arial" w:hAnsi="Arial"/>
                <w:sz w:val="20"/>
                <w:szCs w:val="20"/>
                <w:color w:val="auto"/>
              </w:rPr>
              <w:t>103,253</w:t>
            </w:r>
          </w:p>
        </w:tc>
        <w:tc>
          <w:tcPr>
            <w:tcW w:w="680" w:type="dxa"/>
            <w:vAlign w:val="bottom"/>
          </w:tcPr>
          <w:p>
            <w:pPr>
              <w:spacing w:after="0"/>
              <w:rPr>
                <w:sz w:val="21"/>
                <w:szCs w:val="21"/>
                <w:color w:val="auto"/>
              </w:rPr>
            </w:pPr>
          </w:p>
        </w:tc>
        <w:tc>
          <w:tcPr>
            <w:tcW w:w="1440" w:type="dxa"/>
            <w:vAlign w:val="bottom"/>
            <w:tcBorders>
              <w:top w:val="single" w:sz="8" w:color="auto"/>
            </w:tcBorders>
          </w:tcPr>
          <w:p>
            <w:pPr>
              <w:jc w:val="right"/>
              <w:ind w:right="341"/>
              <w:spacing w:after="0"/>
              <w:rPr>
                <w:sz w:val="20"/>
                <w:szCs w:val="20"/>
                <w:color w:val="auto"/>
              </w:rPr>
            </w:pPr>
            <w:r>
              <w:rPr>
                <w:rFonts w:ascii="Arial" w:cs="Arial" w:eastAsia="Arial" w:hAnsi="Arial"/>
                <w:sz w:val="20"/>
                <w:szCs w:val="20"/>
                <w:color w:val="auto"/>
              </w:rPr>
              <w:t>20,342</w:t>
            </w:r>
          </w:p>
        </w:tc>
        <w:tc>
          <w:tcPr>
            <w:tcW w:w="1900" w:type="dxa"/>
            <w:vAlign w:val="bottom"/>
          </w:tcPr>
          <w:p>
            <w:pPr>
              <w:spacing w:after="0"/>
              <w:rPr>
                <w:sz w:val="21"/>
                <w:szCs w:val="21"/>
                <w:color w:val="auto"/>
              </w:rPr>
            </w:pPr>
          </w:p>
        </w:tc>
      </w:tr>
      <w:tr>
        <w:trPr>
          <w:trHeight w:val="2795"/>
        </w:trPr>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4" w:right="1440" w:bottom="1440" w:gutter="0" w:footer="0" w:header="0"/>
        </w:sectPr>
      </w:pPr>
    </w:p>
    <w:bookmarkStart w:id="2" w:name="page3"/>
    <w:bookmarkEnd w:id="2"/>
    <w:p>
      <w:pPr>
        <w:ind w:left="160"/>
        <w:spacing w:after="0"/>
        <w:rPr>
          <w:sz w:val="20"/>
          <w:szCs w:val="20"/>
          <w:color w:val="auto"/>
        </w:rPr>
      </w:pPr>
      <w:r>
        <w:rPr>
          <w:rFonts w:ascii="Arial" w:cs="Arial" w:eastAsia="Arial" w:hAnsi="Arial"/>
          <w:sz w:val="20"/>
          <w:szCs w:val="20"/>
          <w:u w:val="single" w:color="auto"/>
          <w:color w:val="auto"/>
        </w:rPr>
        <w:t>Proposal 3 – Advisory (Non-Binding) Vote on Executive Compensation.</w:t>
      </w:r>
    </w:p>
    <w:p>
      <w:pPr>
        <w:spacing w:after="0" w:line="163" w:lineRule="exact"/>
        <w:rPr>
          <w:sz w:val="20"/>
          <w:szCs w:val="20"/>
          <w:color w:val="auto"/>
        </w:rPr>
      </w:pPr>
    </w:p>
    <w:p>
      <w:pPr>
        <w:ind w:left="160" w:right="399" w:firstLine="648"/>
        <w:spacing w:after="0" w:line="237" w:lineRule="auto"/>
        <w:rPr>
          <w:sz w:val="20"/>
          <w:szCs w:val="20"/>
          <w:color w:val="auto"/>
        </w:rPr>
      </w:pPr>
      <w:r>
        <w:rPr>
          <w:rFonts w:ascii="Arial" w:cs="Arial" w:eastAsia="Arial" w:hAnsi="Arial"/>
          <w:sz w:val="20"/>
          <w:szCs w:val="20"/>
          <w:color w:val="auto"/>
        </w:rPr>
        <w:t>The shareholders approved the proposed resolution to approve the compensation of the Company's named executive officers, as disclosed pursuant to the compensation disclosure rules of the SEC by the following votes:</w:t>
      </w:r>
    </w:p>
    <w:p>
      <w:pPr>
        <w:spacing w:after="0" w:line="142"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92"/>
              </w:rPr>
              <w:t>Broker Non-</w:t>
            </w:r>
          </w:p>
        </w:tc>
        <w:tc>
          <w:tcPr>
            <w:tcW w:w="0" w:type="dxa"/>
            <w:vAlign w:val="bottom"/>
          </w:tcPr>
          <w:p>
            <w:pPr>
              <w:spacing w:after="0"/>
              <w:rPr>
                <w:sz w:val="1"/>
                <w:szCs w:val="1"/>
                <w:color w:val="auto"/>
              </w:rPr>
            </w:pPr>
          </w:p>
        </w:tc>
      </w:tr>
      <w:tr>
        <w:trPr>
          <w:trHeight w:val="250"/>
        </w:trPr>
        <w:tc>
          <w:tcPr>
            <w:tcW w:w="2000" w:type="dxa"/>
            <w:vAlign w:val="bottom"/>
            <w:gridSpan w:val="2"/>
            <w:vMerge w:val="restart"/>
          </w:tcPr>
          <w:p>
            <w:pPr>
              <w:jc w:val="center"/>
              <w:ind w:right="620"/>
              <w:spacing w:after="0"/>
              <w:rPr>
                <w:sz w:val="20"/>
                <w:szCs w:val="20"/>
                <w:color w:val="auto"/>
              </w:rPr>
            </w:pPr>
            <w:r>
              <w:rPr>
                <w:rFonts w:ascii="Arial" w:cs="Arial" w:eastAsia="Arial" w:hAnsi="Arial"/>
                <w:sz w:val="20"/>
                <w:szCs w:val="20"/>
                <w:color w:val="auto"/>
                <w:w w:val="86"/>
              </w:rPr>
              <w:t>For</w:t>
            </w:r>
          </w:p>
        </w:tc>
        <w:tc>
          <w:tcPr>
            <w:tcW w:w="2320" w:type="dxa"/>
            <w:vAlign w:val="bottom"/>
            <w:gridSpan w:val="2"/>
            <w:vMerge w:val="restart"/>
          </w:tcPr>
          <w:p>
            <w:pPr>
              <w:jc w:val="center"/>
              <w:ind w:right="620"/>
              <w:spacing w:after="0"/>
              <w:rPr>
                <w:sz w:val="20"/>
                <w:szCs w:val="20"/>
                <w:color w:val="auto"/>
              </w:rPr>
            </w:pPr>
            <w:r>
              <w:rPr>
                <w:rFonts w:ascii="Arial" w:cs="Arial" w:eastAsia="Arial" w:hAnsi="Arial"/>
                <w:sz w:val="20"/>
                <w:szCs w:val="20"/>
                <w:color w:val="auto"/>
                <w:w w:val="92"/>
              </w:rPr>
              <w:t>Against</w:t>
            </w:r>
          </w:p>
        </w:tc>
        <w:tc>
          <w:tcPr>
            <w:tcW w:w="2100" w:type="dxa"/>
            <w:vAlign w:val="bottom"/>
            <w:gridSpan w:val="2"/>
            <w:vMerge w:val="restart"/>
          </w:tcPr>
          <w:p>
            <w:pPr>
              <w:jc w:val="center"/>
              <w:ind w:right="660"/>
              <w:spacing w:after="0"/>
              <w:rPr>
                <w:sz w:val="20"/>
                <w:szCs w:val="20"/>
                <w:color w:val="auto"/>
              </w:rPr>
            </w:pPr>
            <w:r>
              <w:rPr>
                <w:rFonts w:ascii="Arial" w:cs="Arial" w:eastAsia="Arial" w:hAnsi="Arial"/>
                <w:sz w:val="20"/>
                <w:szCs w:val="20"/>
                <w:color w:val="auto"/>
                <w:w w:val="89"/>
              </w:rPr>
              <w:t>Abstain</w:t>
            </w:r>
          </w:p>
        </w:tc>
        <w:tc>
          <w:tcPr>
            <w:tcW w:w="1340" w:type="dxa"/>
            <w:vAlign w:val="bottom"/>
          </w:tcPr>
          <w:p>
            <w:pPr>
              <w:jc w:val="center"/>
              <w:spacing w:after="0"/>
              <w:rPr>
                <w:sz w:val="20"/>
                <w:szCs w:val="20"/>
                <w:color w:val="auto"/>
              </w:rPr>
            </w:pPr>
            <w:r>
              <w:rPr>
                <w:rFonts w:ascii="Arial" w:cs="Arial" w:eastAsia="Arial" w:hAnsi="Arial"/>
                <w:sz w:val="20"/>
                <w:szCs w:val="20"/>
                <w:color w:val="auto"/>
                <w:w w:val="85"/>
              </w:rPr>
              <w:t>Votes</w:t>
            </w:r>
          </w:p>
        </w:tc>
        <w:tc>
          <w:tcPr>
            <w:tcW w:w="0" w:type="dxa"/>
            <w:vAlign w:val="bottom"/>
          </w:tcPr>
          <w:p>
            <w:pPr>
              <w:spacing w:after="0"/>
              <w:rPr>
                <w:sz w:val="1"/>
                <w:szCs w:val="1"/>
                <w:color w:val="auto"/>
              </w:rPr>
            </w:pPr>
          </w:p>
        </w:tc>
      </w:tr>
      <w:tr>
        <w:trPr>
          <w:trHeight w:val="176"/>
        </w:trPr>
        <w:tc>
          <w:tcPr>
            <w:tcW w:w="2000" w:type="dxa"/>
            <w:vAlign w:val="bottom"/>
            <w:gridSpan w:val="2"/>
            <w:vMerge w:val="continue"/>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360" w:type="dxa"/>
            <w:vAlign w:val="bottom"/>
            <w:tcBorders>
              <w:bottom w:val="single" w:sz="8" w:color="auto"/>
            </w:tcBorders>
          </w:tcPr>
          <w:p>
            <w:pPr>
              <w:spacing w:after="0"/>
              <w:rPr>
                <w:sz w:val="14"/>
                <w:szCs w:val="14"/>
                <w:color w:val="auto"/>
              </w:rPr>
            </w:pPr>
          </w:p>
        </w:tc>
        <w:tc>
          <w:tcPr>
            <w:tcW w:w="640" w:type="dxa"/>
            <w:vAlign w:val="bottom"/>
            <w:vMerge w:val="restart"/>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640" w:type="dxa"/>
            <w:vAlign w:val="bottom"/>
            <w:vMerge w:val="restart"/>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80" w:type="dxa"/>
            <w:vAlign w:val="bottom"/>
            <w:vMerge w:val="restart"/>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60" w:type="dxa"/>
            <w:vAlign w:val="bottom"/>
          </w:tcPr>
          <w:p>
            <w:pPr>
              <w:jc w:val="right"/>
              <w:ind w:right="121"/>
              <w:spacing w:after="0"/>
              <w:rPr>
                <w:sz w:val="20"/>
                <w:szCs w:val="20"/>
                <w:color w:val="auto"/>
              </w:rPr>
            </w:pPr>
            <w:r>
              <w:rPr>
                <w:rFonts w:ascii="Arial" w:cs="Arial" w:eastAsia="Arial" w:hAnsi="Arial"/>
                <w:sz w:val="20"/>
                <w:szCs w:val="20"/>
                <w:color w:val="auto"/>
              </w:rPr>
              <w:t>43,867,953</w:t>
            </w:r>
          </w:p>
        </w:tc>
        <w:tc>
          <w:tcPr>
            <w:tcW w:w="640" w:type="dxa"/>
            <w:vAlign w:val="bottom"/>
            <w:vMerge w:val="continue"/>
          </w:tcPr>
          <w:p>
            <w:pPr>
              <w:spacing w:after="0"/>
              <w:rPr>
                <w:sz w:val="21"/>
                <w:szCs w:val="21"/>
                <w:color w:val="auto"/>
              </w:rPr>
            </w:pPr>
          </w:p>
        </w:tc>
        <w:tc>
          <w:tcPr>
            <w:tcW w:w="1680" w:type="dxa"/>
            <w:vAlign w:val="bottom"/>
          </w:tcPr>
          <w:p>
            <w:pPr>
              <w:jc w:val="right"/>
              <w:ind w:right="301"/>
              <w:spacing w:after="0"/>
              <w:rPr>
                <w:sz w:val="20"/>
                <w:szCs w:val="20"/>
                <w:color w:val="auto"/>
              </w:rPr>
            </w:pPr>
            <w:r>
              <w:rPr>
                <w:rFonts w:ascii="Arial" w:cs="Arial" w:eastAsia="Arial" w:hAnsi="Arial"/>
                <w:sz w:val="20"/>
                <w:szCs w:val="20"/>
                <w:color w:val="auto"/>
              </w:rPr>
              <w:t>11,812,819</w:t>
            </w:r>
          </w:p>
        </w:tc>
        <w:tc>
          <w:tcPr>
            <w:tcW w:w="640" w:type="dxa"/>
            <w:vAlign w:val="bottom"/>
            <w:vMerge w:val="continue"/>
          </w:tcPr>
          <w:p>
            <w:pPr>
              <w:spacing w:after="0"/>
              <w:rPr>
                <w:sz w:val="21"/>
                <w:szCs w:val="21"/>
                <w:color w:val="auto"/>
              </w:rPr>
            </w:pPr>
          </w:p>
        </w:tc>
        <w:tc>
          <w:tcPr>
            <w:tcW w:w="1420" w:type="dxa"/>
            <w:vAlign w:val="bottom"/>
          </w:tcPr>
          <w:p>
            <w:pPr>
              <w:jc w:val="right"/>
              <w:ind w:right="321"/>
              <w:spacing w:after="0"/>
              <w:rPr>
                <w:sz w:val="20"/>
                <w:szCs w:val="20"/>
                <w:color w:val="auto"/>
              </w:rPr>
            </w:pPr>
            <w:r>
              <w:rPr>
                <w:rFonts w:ascii="Arial" w:cs="Arial" w:eastAsia="Arial" w:hAnsi="Arial"/>
                <w:sz w:val="20"/>
                <w:szCs w:val="20"/>
                <w:color w:val="auto"/>
              </w:rPr>
              <w:t>43,012</w:t>
            </w:r>
          </w:p>
        </w:tc>
        <w:tc>
          <w:tcPr>
            <w:tcW w:w="680" w:type="dxa"/>
            <w:vAlign w:val="bottom"/>
            <w:vMerge w:val="continue"/>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89"/>
              </w:rPr>
              <w:t>2,953,992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5801360</wp:posOffset>
            </wp:positionV>
            <wp:extent cx="55486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u w:val="single" w:color="auto"/>
          <w:color w:val="auto"/>
        </w:rPr>
        <w:t>SIGNATURE</w:t>
      </w:r>
    </w:p>
    <w:p>
      <w:pPr>
        <w:spacing w:after="0" w:line="176" w:lineRule="exact"/>
        <w:rPr>
          <w:sz w:val="20"/>
          <w:szCs w:val="20"/>
          <w:color w:val="auto"/>
        </w:rPr>
      </w:pPr>
    </w:p>
    <w:p>
      <w:pPr>
        <w:ind w:left="160" w:right="139" w:firstLine="648"/>
        <w:spacing w:after="0" w:line="229"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960" w:type="dxa"/>
            <w:vAlign w:val="bottom"/>
          </w:tcPr>
          <w:p>
            <w:pPr>
              <w:ind w:left="20"/>
              <w:spacing w:after="0"/>
              <w:rPr>
                <w:sz w:val="20"/>
                <w:szCs w:val="20"/>
                <w:color w:val="auto"/>
              </w:rPr>
            </w:pPr>
            <w:r>
              <w:rPr>
                <w:rFonts w:ascii="Arial" w:cs="Arial" w:eastAsia="Arial" w:hAnsi="Arial"/>
                <w:sz w:val="20"/>
                <w:szCs w:val="20"/>
                <w:color w:val="auto"/>
              </w:rPr>
              <w:t>Dated: April 24, 2019</w:t>
            </w:r>
          </w:p>
        </w:tc>
        <w:tc>
          <w:tcPr>
            <w:tcW w:w="5800" w:type="dxa"/>
            <w:vAlign w:val="bottom"/>
            <w:gridSpan w:val="3"/>
          </w:tcPr>
          <w:p>
            <w:pPr>
              <w:ind w:left="1180"/>
              <w:spacing w:after="0"/>
              <w:rPr>
                <w:sz w:val="20"/>
                <w:szCs w:val="20"/>
                <w:color w:val="auto"/>
              </w:rPr>
            </w:pPr>
            <w:r>
              <w:rPr>
                <w:rFonts w:ascii="Arial" w:cs="Arial" w:eastAsia="Arial" w:hAnsi="Arial"/>
                <w:sz w:val="20"/>
                <w:szCs w:val="20"/>
                <w:color w:val="auto"/>
              </w:rPr>
              <w:t>UNIVERSAL FOREST PRODUCTS, INC.</w:t>
            </w:r>
          </w:p>
        </w:tc>
      </w:tr>
      <w:tr>
        <w:trPr>
          <w:trHeight w:val="250"/>
        </w:trPr>
        <w:tc>
          <w:tcPr>
            <w:tcW w:w="2960" w:type="dxa"/>
            <w:vAlign w:val="bottom"/>
          </w:tcPr>
          <w:p>
            <w:pPr>
              <w:spacing w:after="0"/>
              <w:rPr>
                <w:sz w:val="21"/>
                <w:szCs w:val="21"/>
                <w:color w:val="auto"/>
              </w:rPr>
            </w:pPr>
          </w:p>
        </w:tc>
        <w:tc>
          <w:tcPr>
            <w:tcW w:w="5800" w:type="dxa"/>
            <w:vAlign w:val="bottom"/>
            <w:gridSpan w:val="3"/>
          </w:tcPr>
          <w:p>
            <w:pPr>
              <w:ind w:left="1180"/>
              <w:spacing w:after="0"/>
              <w:rPr>
                <w:sz w:val="20"/>
                <w:szCs w:val="20"/>
                <w:color w:val="auto"/>
              </w:rPr>
            </w:pPr>
            <w:r>
              <w:rPr>
                <w:rFonts w:ascii="Arial" w:cs="Arial" w:eastAsia="Arial" w:hAnsi="Arial"/>
                <w:sz w:val="20"/>
                <w:szCs w:val="20"/>
                <w:color w:val="auto"/>
              </w:rPr>
              <w:t>(Registrant)</w:t>
            </w:r>
          </w:p>
        </w:tc>
      </w:tr>
      <w:tr>
        <w:trPr>
          <w:trHeight w:val="344"/>
        </w:trPr>
        <w:tc>
          <w:tcPr>
            <w:tcW w:w="2960" w:type="dxa"/>
            <w:vAlign w:val="bottom"/>
          </w:tcPr>
          <w:p>
            <w:pPr>
              <w:spacing w:after="0"/>
              <w:rPr>
                <w:sz w:val="24"/>
                <w:szCs w:val="24"/>
                <w:color w:val="auto"/>
              </w:rPr>
            </w:pPr>
          </w:p>
        </w:tc>
        <w:tc>
          <w:tcPr>
            <w:tcW w:w="5800" w:type="dxa"/>
            <w:vAlign w:val="bottom"/>
            <w:gridSpan w:val="3"/>
          </w:tcPr>
          <w:p>
            <w:pPr>
              <w:ind w:left="1180"/>
              <w:spacing w:after="0"/>
              <w:rPr>
                <w:sz w:val="20"/>
                <w:szCs w:val="20"/>
                <w:color w:val="auto"/>
              </w:rPr>
            </w:pPr>
            <w:r>
              <w:rPr>
                <w:rFonts w:ascii="Arial" w:cs="Arial" w:eastAsia="Arial" w:hAnsi="Arial"/>
                <w:sz w:val="20"/>
                <w:szCs w:val="20"/>
                <w:color w:val="auto"/>
              </w:rPr>
              <w:t>By:  /s/ Michael R. Cole</w:t>
            </w:r>
          </w:p>
        </w:tc>
      </w:tr>
      <w:tr>
        <w:trPr>
          <w:trHeight w:val="156"/>
        </w:trPr>
        <w:tc>
          <w:tcPr>
            <w:tcW w:w="29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14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8"/>
                <w:szCs w:val="18"/>
                <w:color w:val="auto"/>
              </w:rPr>
              <w:t>Michael R. Cole</w:t>
            </w:r>
          </w:p>
        </w:tc>
      </w:tr>
      <w:tr>
        <w:trPr>
          <w:trHeight w:val="250"/>
        </w:trPr>
        <w:tc>
          <w:tcPr>
            <w:tcW w:w="29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20"/>
                <w:szCs w:val="20"/>
                <w:color w:val="auto"/>
              </w:rPr>
              <w:t>Principal Financial Officer and Treasurer</w:t>
            </w:r>
          </w:p>
        </w:tc>
      </w:tr>
      <w:tr>
        <w:trPr>
          <w:trHeight w:val="607"/>
        </w:trPr>
        <w:tc>
          <w:tcPr>
            <w:tcW w:w="2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2019-12-03T02:39:27Z</dcterms:created>
  <dcterms:modified xsi:type="dcterms:W3CDTF">2019-12-03T02:39:27Z</dcterms:modified>
</cp:coreProperties>
</file>