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Pursuant to Section 13 or 15(d) of the</w:t>
      </w:r>
    </w:p>
    <w:p>
      <w:pPr>
        <w:jc w:val="center"/>
        <w:ind w:right="19"/>
        <w:spacing w:after="0"/>
        <w:rPr>
          <w:sz w:val="20"/>
          <w:szCs w:val="20"/>
          <w:color w:val="auto"/>
        </w:rPr>
      </w:pPr>
      <w:r>
        <w:rPr>
          <w:rFonts w:ascii="Arial" w:cs="Arial" w:eastAsia="Arial" w:hAnsi="Arial"/>
          <w:sz w:val="20"/>
          <w:szCs w:val="20"/>
          <w:color w:val="auto"/>
        </w:rPr>
        <w:t>Securities Exchange Act of 1934</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April 20, 2022</w:t>
      </w: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318" w:lineRule="exact"/>
        <w:rPr>
          <w:sz w:val="24"/>
          <w:szCs w:val="24"/>
          <w:color w:val="auto"/>
        </w:rPr>
      </w:pPr>
    </w:p>
    <w:tbl>
      <w:tblPr>
        <w:tblLayout w:type="fixed"/>
        <w:tblInd w:w="400" w:type="dxa"/>
        <w:tblCellMar>
          <w:top w:w="0" w:type="dxa"/>
          <w:left w:w="0" w:type="dxa"/>
          <w:bottom w:w="0" w:type="dxa"/>
          <w:right w:w="0" w:type="dxa"/>
        </w:tblCellMar>
      </w:tblPr>
      <w:tr>
        <w:trPr>
          <w:trHeight w:val="236"/>
        </w:trPr>
        <w:tc>
          <w:tcPr>
            <w:tcW w:w="3600" w:type="dxa"/>
            <w:vAlign w:val="bottom"/>
          </w:tcPr>
          <w:p>
            <w:pPr>
              <w:jc w:val="center"/>
              <w:ind w:right="421"/>
              <w:spacing w:after="0"/>
              <w:rPr>
                <w:sz w:val="20"/>
                <w:szCs w:val="20"/>
                <w:color w:val="auto"/>
              </w:rPr>
            </w:pPr>
            <w:r>
              <w:rPr>
                <w:rFonts w:ascii="Arial" w:cs="Arial" w:eastAsia="Arial" w:hAnsi="Arial"/>
                <w:sz w:val="20"/>
                <w:szCs w:val="20"/>
                <w:b w:val="1"/>
                <w:bCs w:val="1"/>
                <w:color w:val="auto"/>
                <w:w w:val="92"/>
              </w:rPr>
              <w:t>Michigan</w:t>
            </w:r>
          </w:p>
        </w:tc>
        <w:tc>
          <w:tcPr>
            <w:tcW w:w="2240" w:type="dxa"/>
            <w:vAlign w:val="bottom"/>
          </w:tcPr>
          <w:p>
            <w:pPr>
              <w:jc w:val="center"/>
              <w:ind w:right="1"/>
              <w:spacing w:after="0"/>
              <w:rPr>
                <w:sz w:val="20"/>
                <w:szCs w:val="20"/>
                <w:color w:val="auto"/>
              </w:rPr>
            </w:pPr>
            <w:r>
              <w:rPr>
                <w:rFonts w:ascii="Arial" w:cs="Arial" w:eastAsia="Arial" w:hAnsi="Arial"/>
                <w:sz w:val="20"/>
                <w:szCs w:val="20"/>
                <w:b w:val="1"/>
                <w:bCs w:val="1"/>
                <w:color w:val="auto"/>
                <w:w w:val="87"/>
              </w:rPr>
              <w:t>00-22684</w:t>
            </w:r>
          </w:p>
        </w:tc>
        <w:tc>
          <w:tcPr>
            <w:tcW w:w="2120" w:type="dxa"/>
            <w:vAlign w:val="bottom"/>
          </w:tcPr>
          <w:p>
            <w:pPr>
              <w:jc w:val="right"/>
              <w:ind w:right="161"/>
              <w:spacing w:after="0"/>
              <w:rPr>
                <w:sz w:val="20"/>
                <w:szCs w:val="20"/>
                <w:color w:val="auto"/>
              </w:rPr>
            </w:pPr>
            <w:r>
              <w:rPr>
                <w:rFonts w:ascii="Arial" w:cs="Arial" w:eastAsia="Arial" w:hAnsi="Arial"/>
                <w:sz w:val="20"/>
                <w:szCs w:val="20"/>
                <w:b w:val="1"/>
                <w:bCs w:val="1"/>
                <w:color w:val="auto"/>
              </w:rPr>
              <w:t>38-1465835</w:t>
            </w:r>
          </w:p>
        </w:tc>
      </w:tr>
      <w:tr>
        <w:trPr>
          <w:trHeight w:val="229"/>
        </w:trPr>
        <w:tc>
          <w:tcPr>
            <w:tcW w:w="3600" w:type="dxa"/>
            <w:vAlign w:val="bottom"/>
          </w:tcPr>
          <w:p>
            <w:pPr>
              <w:jc w:val="center"/>
              <w:ind w:right="441"/>
              <w:spacing w:after="0"/>
              <w:rPr>
                <w:sz w:val="20"/>
                <w:szCs w:val="20"/>
                <w:color w:val="auto"/>
              </w:rPr>
            </w:pPr>
            <w:r>
              <w:rPr>
                <w:rFonts w:ascii="Arial" w:cs="Arial" w:eastAsia="Arial" w:hAnsi="Arial"/>
                <w:sz w:val="20"/>
                <w:szCs w:val="20"/>
                <w:color w:val="auto"/>
                <w:w w:val="89"/>
              </w:rPr>
              <w:t>(State or Other Jurisdiction</w:t>
            </w:r>
          </w:p>
        </w:tc>
        <w:tc>
          <w:tcPr>
            <w:tcW w:w="2240" w:type="dxa"/>
            <w:vAlign w:val="bottom"/>
          </w:tcPr>
          <w:p>
            <w:pPr>
              <w:jc w:val="center"/>
              <w:ind w:right="1"/>
              <w:spacing w:after="0"/>
              <w:rPr>
                <w:sz w:val="20"/>
                <w:szCs w:val="20"/>
                <w:color w:val="auto"/>
              </w:rPr>
            </w:pPr>
            <w:r>
              <w:rPr>
                <w:rFonts w:ascii="Arial" w:cs="Arial" w:eastAsia="Arial" w:hAnsi="Arial"/>
                <w:sz w:val="20"/>
                <w:szCs w:val="20"/>
                <w:color w:val="auto"/>
                <w:w w:val="90"/>
              </w:rPr>
              <w:t>(Commission</w:t>
            </w:r>
          </w:p>
        </w:tc>
        <w:tc>
          <w:tcPr>
            <w:tcW w:w="2120" w:type="dxa"/>
            <w:vAlign w:val="bottom"/>
          </w:tcPr>
          <w:p>
            <w:pPr>
              <w:jc w:val="center"/>
              <w:ind w:left="581"/>
              <w:spacing w:after="0"/>
              <w:rPr>
                <w:sz w:val="20"/>
                <w:szCs w:val="20"/>
                <w:color w:val="auto"/>
              </w:rPr>
            </w:pPr>
            <w:r>
              <w:rPr>
                <w:rFonts w:ascii="Arial" w:cs="Arial" w:eastAsia="Arial" w:hAnsi="Arial"/>
                <w:sz w:val="20"/>
                <w:szCs w:val="20"/>
                <w:color w:val="auto"/>
                <w:w w:val="92"/>
              </w:rPr>
              <w:t>(IRS Employer</w:t>
            </w:r>
          </w:p>
        </w:tc>
      </w:tr>
      <w:tr>
        <w:trPr>
          <w:trHeight w:val="250"/>
        </w:trPr>
        <w:tc>
          <w:tcPr>
            <w:tcW w:w="3600" w:type="dxa"/>
            <w:vAlign w:val="bottom"/>
          </w:tcPr>
          <w:p>
            <w:pPr>
              <w:jc w:val="center"/>
              <w:ind w:right="421"/>
              <w:spacing w:after="0"/>
              <w:rPr>
                <w:sz w:val="20"/>
                <w:szCs w:val="20"/>
                <w:color w:val="auto"/>
              </w:rPr>
            </w:pPr>
            <w:r>
              <w:rPr>
                <w:rFonts w:ascii="Arial" w:cs="Arial" w:eastAsia="Arial" w:hAnsi="Arial"/>
                <w:sz w:val="20"/>
                <w:szCs w:val="20"/>
                <w:color w:val="auto"/>
                <w:w w:val="93"/>
              </w:rPr>
              <w:t>of Incorporation)</w:t>
            </w:r>
          </w:p>
        </w:tc>
        <w:tc>
          <w:tcPr>
            <w:tcW w:w="2240" w:type="dxa"/>
            <w:vAlign w:val="bottom"/>
          </w:tcPr>
          <w:p>
            <w:pPr>
              <w:jc w:val="center"/>
              <w:ind w:right="1"/>
              <w:spacing w:after="0"/>
              <w:rPr>
                <w:sz w:val="20"/>
                <w:szCs w:val="20"/>
                <w:color w:val="auto"/>
              </w:rPr>
            </w:pPr>
            <w:r>
              <w:rPr>
                <w:rFonts w:ascii="Arial" w:cs="Arial" w:eastAsia="Arial" w:hAnsi="Arial"/>
                <w:sz w:val="20"/>
                <w:szCs w:val="20"/>
                <w:color w:val="auto"/>
                <w:w w:val="91"/>
              </w:rPr>
              <w:t>File Number)</w:t>
            </w:r>
          </w:p>
        </w:tc>
        <w:tc>
          <w:tcPr>
            <w:tcW w:w="2120" w:type="dxa"/>
            <w:vAlign w:val="bottom"/>
          </w:tcPr>
          <w:p>
            <w:pPr>
              <w:jc w:val="center"/>
              <w:ind w:left="561"/>
              <w:spacing w:after="0"/>
              <w:rPr>
                <w:sz w:val="20"/>
                <w:szCs w:val="20"/>
                <w:color w:val="auto"/>
              </w:rPr>
            </w:pPr>
            <w:r>
              <w:rPr>
                <w:rFonts w:ascii="Arial" w:cs="Arial" w:eastAsia="Arial" w:hAnsi="Arial"/>
                <w:sz w:val="20"/>
                <w:szCs w:val="20"/>
                <w:color w:val="auto"/>
                <w:w w:val="93"/>
              </w:rPr>
              <w:t>Identification No.)</w:t>
            </w:r>
          </w:p>
        </w:tc>
      </w:tr>
      <w:tr>
        <w:trPr>
          <w:trHeight w:val="473"/>
        </w:trPr>
        <w:tc>
          <w:tcPr>
            <w:tcW w:w="3600" w:type="dxa"/>
            <w:vAlign w:val="bottom"/>
          </w:tcPr>
          <w:p>
            <w:pPr>
              <w:jc w:val="center"/>
              <w:ind w:right="421"/>
              <w:spacing w:after="0"/>
              <w:rPr>
                <w:sz w:val="20"/>
                <w:szCs w:val="20"/>
                <w:color w:val="auto"/>
              </w:rPr>
            </w:pPr>
            <w:r>
              <w:rPr>
                <w:rFonts w:ascii="Arial" w:cs="Arial" w:eastAsia="Arial" w:hAnsi="Arial"/>
                <w:sz w:val="20"/>
                <w:szCs w:val="20"/>
                <w:b w:val="1"/>
                <w:bCs w:val="1"/>
                <w:color w:val="auto"/>
                <w:w w:val="90"/>
              </w:rPr>
              <w:t>2801 East Beltline, N.E.</w:t>
            </w:r>
          </w:p>
        </w:tc>
        <w:tc>
          <w:tcPr>
            <w:tcW w:w="22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76"/>
        </w:trPr>
        <w:tc>
          <w:tcPr>
            <w:tcW w:w="3600" w:type="dxa"/>
            <w:vAlign w:val="bottom"/>
          </w:tcPr>
          <w:p>
            <w:pPr>
              <w:jc w:val="center"/>
              <w:ind w:right="441"/>
              <w:spacing w:after="0"/>
              <w:rPr>
                <w:sz w:val="20"/>
                <w:szCs w:val="20"/>
                <w:color w:val="auto"/>
              </w:rPr>
            </w:pPr>
            <w:r>
              <w:rPr>
                <w:rFonts w:ascii="Arial" w:cs="Arial" w:eastAsia="Arial" w:hAnsi="Arial"/>
                <w:sz w:val="20"/>
                <w:szCs w:val="20"/>
                <w:b w:val="1"/>
                <w:bCs w:val="1"/>
                <w:color w:val="auto"/>
                <w:w w:val="91"/>
              </w:rPr>
              <w:t>Grand Rapids, Michigan</w:t>
            </w:r>
          </w:p>
        </w:tc>
        <w:tc>
          <w:tcPr>
            <w:tcW w:w="2240" w:type="dxa"/>
            <w:vAlign w:val="bottom"/>
          </w:tcPr>
          <w:p>
            <w:pPr>
              <w:spacing w:after="0"/>
              <w:rPr>
                <w:sz w:val="24"/>
                <w:szCs w:val="24"/>
                <w:color w:val="auto"/>
              </w:rPr>
            </w:pPr>
          </w:p>
        </w:tc>
        <w:tc>
          <w:tcPr>
            <w:tcW w:w="2120" w:type="dxa"/>
            <w:vAlign w:val="bottom"/>
          </w:tcPr>
          <w:p>
            <w:pPr>
              <w:jc w:val="right"/>
              <w:ind w:right="381"/>
              <w:spacing w:after="0"/>
              <w:rPr>
                <w:sz w:val="20"/>
                <w:szCs w:val="20"/>
                <w:color w:val="auto"/>
              </w:rPr>
            </w:pPr>
            <w:r>
              <w:rPr>
                <w:rFonts w:ascii="Arial" w:cs="Arial" w:eastAsia="Arial" w:hAnsi="Arial"/>
                <w:sz w:val="20"/>
                <w:szCs w:val="20"/>
                <w:b w:val="1"/>
                <w:bCs w:val="1"/>
                <w:color w:val="auto"/>
              </w:rPr>
              <w:t>49525</w:t>
            </w:r>
          </w:p>
        </w:tc>
      </w:tr>
      <w:tr>
        <w:trPr>
          <w:trHeight w:val="250"/>
        </w:trPr>
        <w:tc>
          <w:tcPr>
            <w:tcW w:w="3600" w:type="dxa"/>
            <w:vAlign w:val="bottom"/>
          </w:tcPr>
          <w:p>
            <w:pPr>
              <w:jc w:val="center"/>
              <w:ind w:right="441"/>
              <w:spacing w:after="0"/>
              <w:rPr>
                <w:sz w:val="20"/>
                <w:szCs w:val="20"/>
                <w:color w:val="auto"/>
              </w:rPr>
            </w:pPr>
            <w:r>
              <w:rPr>
                <w:rFonts w:ascii="Arial" w:cs="Arial" w:eastAsia="Arial" w:hAnsi="Arial"/>
                <w:sz w:val="20"/>
                <w:szCs w:val="20"/>
                <w:color w:val="auto"/>
                <w:w w:val="92"/>
              </w:rPr>
              <w:t>(Address of principal executive office)</w:t>
            </w:r>
          </w:p>
        </w:tc>
        <w:tc>
          <w:tcPr>
            <w:tcW w:w="2240" w:type="dxa"/>
            <w:vAlign w:val="bottom"/>
          </w:tcPr>
          <w:p>
            <w:pPr>
              <w:spacing w:after="0"/>
              <w:rPr>
                <w:sz w:val="21"/>
                <w:szCs w:val="21"/>
                <w:color w:val="auto"/>
              </w:rPr>
            </w:pPr>
          </w:p>
        </w:tc>
        <w:tc>
          <w:tcPr>
            <w:tcW w:w="2120" w:type="dxa"/>
            <w:vAlign w:val="bottom"/>
          </w:tcPr>
          <w:p>
            <w:pPr>
              <w:jc w:val="center"/>
              <w:ind w:left="561"/>
              <w:spacing w:after="0"/>
              <w:rPr>
                <w:sz w:val="20"/>
                <w:szCs w:val="20"/>
                <w:color w:val="auto"/>
              </w:rPr>
            </w:pPr>
            <w:r>
              <w:rPr>
                <w:rFonts w:ascii="Arial" w:cs="Arial" w:eastAsia="Arial" w:hAnsi="Arial"/>
                <w:sz w:val="20"/>
                <w:szCs w:val="20"/>
                <w:color w:val="auto"/>
                <w:w w:val="90"/>
              </w:rPr>
              <w:t>(Zip Code)</w:t>
            </w:r>
          </w:p>
        </w:tc>
      </w:tr>
    </w:tbl>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(616) 364-6161</w:t>
      </w:r>
    </w:p>
    <w:p>
      <w:pPr>
        <w:spacing w:after="0" w:line="276" w:lineRule="exact"/>
        <w:rPr>
          <w:sz w:val="24"/>
          <w:szCs w:val="24"/>
          <w:color w:val="auto"/>
        </w:rPr>
      </w:pPr>
    </w:p>
    <w:p>
      <w:pPr>
        <w:ind w:left="200" w:right="219"/>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31" w:lineRule="exact"/>
        <w:rPr>
          <w:sz w:val="24"/>
          <w:szCs w:val="24"/>
          <w:color w:val="auto"/>
        </w:rPr>
      </w:pPr>
    </w:p>
    <w:p>
      <w:pPr>
        <w:ind w:left="880" w:hanging="671"/>
        <w:spacing w:after="0"/>
        <w:tabs>
          <w:tab w:leader="none" w:pos="8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15" w:lineRule="exact"/>
        <w:rPr>
          <w:rFonts w:ascii="MS PGothic" w:cs="MS PGothic" w:eastAsia="MS PGothic" w:hAnsi="MS PGothic"/>
          <w:sz w:val="20"/>
          <w:szCs w:val="20"/>
          <w:color w:val="auto"/>
        </w:rPr>
      </w:pPr>
    </w:p>
    <w:p>
      <w:pPr>
        <w:ind w:left="880" w:hanging="671"/>
        <w:spacing w:after="0"/>
        <w:tabs>
          <w:tab w:leader="none" w:pos="8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1" w:lineRule="exact"/>
        <w:rPr>
          <w:rFonts w:ascii="MS PGothic" w:cs="MS PGothic" w:eastAsia="MS PGothic" w:hAnsi="MS PGothic"/>
          <w:sz w:val="19"/>
          <w:szCs w:val="19"/>
          <w:color w:val="auto"/>
        </w:rPr>
      </w:pPr>
    </w:p>
    <w:p>
      <w:pPr>
        <w:ind w:left="880" w:right="219" w:hanging="671"/>
        <w:spacing w:after="0" w:line="239" w:lineRule="auto"/>
        <w:tabs>
          <w:tab w:leader="none" w:pos="8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880" w:right="239" w:hanging="671"/>
        <w:spacing w:after="0" w:line="244" w:lineRule="auto"/>
        <w:tabs>
          <w:tab w:leader="none" w:pos="8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191" w:lineRule="exact"/>
        <w:rPr>
          <w:sz w:val="24"/>
          <w:szCs w:val="24"/>
          <w:color w:val="auto"/>
        </w:rPr>
      </w:pPr>
    </w:p>
    <w:p>
      <w:pPr>
        <w:ind w:left="200"/>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85" w:lineRule="exact"/>
        <w:rPr>
          <w:sz w:val="24"/>
          <w:szCs w:val="24"/>
          <w:color w:val="auto"/>
        </w:rPr>
      </w:pPr>
    </w:p>
    <w:tbl>
      <w:tblPr>
        <w:tblLayout w:type="fixed"/>
        <w:tblInd w:w="210" w:type="dxa"/>
        <w:tblCellMar>
          <w:top w:w="0" w:type="dxa"/>
          <w:left w:w="0" w:type="dxa"/>
          <w:bottom w:w="0" w:type="dxa"/>
          <w:right w:w="0" w:type="dxa"/>
        </w:tblCellMar>
      </w:tblPr>
      <w:tr>
        <w:trPr>
          <w:trHeight w:val="226"/>
        </w:trPr>
        <w:tc>
          <w:tcPr>
            <w:tcW w:w="3020" w:type="dxa"/>
            <w:vAlign w:val="bottom"/>
            <w:tcBorders>
              <w:top w:val="single" w:sz="8" w:color="auto"/>
              <w:left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89"/>
              </w:rPr>
              <w:t>Title of each class</w:t>
            </w:r>
          </w:p>
        </w:tc>
        <w:tc>
          <w:tcPr>
            <w:tcW w:w="258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90"/>
              </w:rPr>
              <w:t>Trading Symbol(s)</w:t>
            </w:r>
          </w:p>
        </w:tc>
        <w:tc>
          <w:tcPr>
            <w:tcW w:w="300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0"/>
                <w:szCs w:val="20"/>
                <w:color w:val="auto"/>
                <w:w w:val="88"/>
              </w:rPr>
              <w:t>Name of each exchange on which</w:t>
            </w:r>
          </w:p>
        </w:tc>
      </w:tr>
      <w:tr>
        <w:trPr>
          <w:trHeight w:val="246"/>
        </w:trPr>
        <w:tc>
          <w:tcPr>
            <w:tcW w:w="3020" w:type="dxa"/>
            <w:vAlign w:val="bottom"/>
            <w:tcBorders>
              <w:left w:val="single" w:sz="8" w:color="auto"/>
              <w:bottom w:val="single" w:sz="8" w:color="auto"/>
              <w:right w:val="single" w:sz="8" w:color="auto"/>
            </w:tcBorders>
          </w:tcPr>
          <w:p>
            <w:pPr>
              <w:spacing w:after="0"/>
              <w:rPr>
                <w:sz w:val="21"/>
                <w:szCs w:val="21"/>
                <w:color w:val="auto"/>
              </w:rPr>
            </w:pPr>
          </w:p>
        </w:tc>
        <w:tc>
          <w:tcPr>
            <w:tcW w:w="2580" w:type="dxa"/>
            <w:vAlign w:val="bottom"/>
            <w:tcBorders>
              <w:bottom w:val="single" w:sz="8" w:color="auto"/>
              <w:right w:val="single" w:sz="8" w:color="auto"/>
            </w:tcBorders>
          </w:tcPr>
          <w:p>
            <w:pPr>
              <w:spacing w:after="0"/>
              <w:rPr>
                <w:sz w:val="21"/>
                <w:szCs w:val="21"/>
                <w:color w:val="auto"/>
              </w:rPr>
            </w:pP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registered</w:t>
            </w:r>
          </w:p>
        </w:tc>
      </w:tr>
      <w:tr>
        <w:trPr>
          <w:trHeight w:val="223"/>
        </w:trPr>
        <w:tc>
          <w:tcPr>
            <w:tcW w:w="302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Common Stock</w:t>
            </w:r>
          </w:p>
        </w:tc>
        <w:tc>
          <w:tcPr>
            <w:tcW w:w="258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6"/>
              </w:rPr>
              <w:t>UFPI</w:t>
            </w:r>
          </w:p>
        </w:tc>
        <w:tc>
          <w:tcPr>
            <w:tcW w:w="30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4"/>
              </w:rPr>
              <w:t>The NASDAQ Stock Market, LLC</w:t>
            </w:r>
          </w:p>
        </w:tc>
      </w:tr>
    </w:tbl>
    <w:p>
      <w:pPr>
        <w:spacing w:after="0" w:line="199" w:lineRule="exact"/>
        <w:rPr>
          <w:sz w:val="24"/>
          <w:szCs w:val="24"/>
          <w:color w:val="auto"/>
        </w:rPr>
      </w:pPr>
    </w:p>
    <w:p>
      <w:pPr>
        <w:ind w:left="200" w:right="259"/>
        <w:spacing w:after="0" w:line="271" w:lineRule="exact"/>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20"/>
          <w:szCs w:val="20"/>
          <w:color w:val="auto"/>
        </w:rPr>
        <w:t>☐</w:t>
      </w:r>
    </w:p>
    <w:p>
      <w:pPr>
        <w:spacing w:after="0" w:line="107" w:lineRule="exact"/>
        <w:rPr>
          <w:sz w:val="24"/>
          <w:szCs w:val="24"/>
          <w:color w:val="auto"/>
        </w:rPr>
      </w:pPr>
    </w:p>
    <w:p>
      <w:pPr>
        <w:jc w:val="both"/>
        <w:ind w:left="200" w:right="239"/>
        <w:spacing w:after="0" w:line="271" w:lineRule="exact"/>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 w:name="page2"/>
    <w:bookmarkEnd w:id="1"/>
    <w:p>
      <w:pPr>
        <w:ind w:left="200"/>
        <w:spacing w:after="0"/>
        <w:tabs>
          <w:tab w:leader="none" w:pos="1480" w:val="left"/>
        </w:tabs>
        <w:rPr>
          <w:sz w:val="20"/>
          <w:szCs w:val="20"/>
          <w:color w:val="auto"/>
        </w:rPr>
      </w:pPr>
      <w:r>
        <w:rPr>
          <w:rFonts w:ascii="Arial" w:cs="Arial" w:eastAsia="Arial" w:hAnsi="Arial"/>
          <w:sz w:val="20"/>
          <w:szCs w:val="20"/>
          <w:b w:val="1"/>
          <w:bCs w:val="1"/>
          <w:color w:val="auto"/>
        </w:rPr>
        <w:t>Section 5.</w:t>
      </w:r>
      <w:r>
        <w:rPr>
          <w:sz w:val="20"/>
          <w:szCs w:val="20"/>
          <w:color w:val="auto"/>
        </w:rPr>
        <w:tab/>
      </w:r>
      <w:r>
        <w:rPr>
          <w:rFonts w:ascii="Arial" w:cs="Arial" w:eastAsia="Arial" w:hAnsi="Arial"/>
          <w:sz w:val="18"/>
          <w:szCs w:val="18"/>
          <w:b w:val="1"/>
          <w:bCs w:val="1"/>
          <w:color w:val="auto"/>
        </w:rPr>
        <w:t>Corporate Governance and Management</w:t>
      </w:r>
    </w:p>
    <w:p>
      <w:pPr>
        <w:spacing w:after="0" w:line="391" w:lineRule="exact"/>
        <w:rPr>
          <w:sz w:val="20"/>
          <w:szCs w:val="20"/>
          <w:color w:val="auto"/>
        </w:rPr>
      </w:pPr>
    </w:p>
    <w:p>
      <w:pPr>
        <w:ind w:left="880"/>
        <w:spacing w:after="0"/>
        <w:tabs>
          <w:tab w:leader="none" w:pos="214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03" w:lineRule="exact"/>
        <w:rPr>
          <w:sz w:val="20"/>
          <w:szCs w:val="20"/>
          <w:color w:val="auto"/>
        </w:rPr>
      </w:pPr>
    </w:p>
    <w:p>
      <w:pPr>
        <w:ind w:left="200" w:right="319" w:firstLine="648"/>
        <w:spacing w:after="0" w:line="288" w:lineRule="auto"/>
        <w:rPr>
          <w:sz w:val="20"/>
          <w:szCs w:val="20"/>
          <w:color w:val="auto"/>
        </w:rPr>
      </w:pPr>
      <w:r>
        <w:rPr>
          <w:rFonts w:ascii="Arial" w:cs="Arial" w:eastAsia="Arial" w:hAnsi="Arial"/>
          <w:sz w:val="20"/>
          <w:szCs w:val="20"/>
          <w:color w:val="auto"/>
        </w:rPr>
        <w:t>On April 20, 2022, the Company held its 2022 Annual Meeting of Shareholders. The matters listed below were submitted to a vote of the shareholders through the solicitation of proxies. The proposals are described in detail in the Company's Proxy Statement dated March 8, 2022 supplemented on April 1, 2022. The voting results are as follows: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Proposal 1 – Election of Directors</w:t>
      </w:r>
    </w:p>
    <w:p>
      <w:pPr>
        <w:spacing w:after="0" w:line="216" w:lineRule="exact"/>
        <w:rPr>
          <w:sz w:val="20"/>
          <w:szCs w:val="20"/>
          <w:color w:val="auto"/>
        </w:rPr>
      </w:pPr>
    </w:p>
    <w:p>
      <w:pPr>
        <w:ind w:left="200" w:right="299" w:firstLine="648"/>
        <w:spacing w:after="0" w:line="303" w:lineRule="auto"/>
        <w:rPr>
          <w:sz w:val="20"/>
          <w:szCs w:val="20"/>
          <w:color w:val="auto"/>
        </w:rPr>
      </w:pPr>
      <w:r>
        <w:rPr>
          <w:rFonts w:ascii="Arial" w:cs="Arial" w:eastAsia="Arial" w:hAnsi="Arial"/>
          <w:sz w:val="20"/>
          <w:szCs w:val="20"/>
          <w:color w:val="auto"/>
        </w:rPr>
        <w:t>The following individuals were elected to serve as directors of the Company to hold office until the 2025 Annual Meeting of Shareholders, by the following votes:</w:t>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250"/>
        </w:trPr>
        <w:tc>
          <w:tcPr>
            <w:tcW w:w="1940" w:type="dxa"/>
            <w:vAlign w:val="bottom"/>
            <w:gridSpan w:val="2"/>
          </w:tcPr>
          <w:p>
            <w:pPr>
              <w:jc w:val="center"/>
              <w:ind w:right="260"/>
              <w:spacing w:after="0"/>
              <w:rPr>
                <w:sz w:val="20"/>
                <w:szCs w:val="20"/>
                <w:color w:val="auto"/>
              </w:rPr>
            </w:pPr>
            <w:r>
              <w:rPr>
                <w:rFonts w:ascii="Arial" w:cs="Arial" w:eastAsia="Arial" w:hAnsi="Arial"/>
                <w:sz w:val="20"/>
                <w:szCs w:val="20"/>
                <w:color w:val="auto"/>
                <w:w w:val="89"/>
              </w:rPr>
              <w:t>Nominee</w:t>
            </w:r>
          </w:p>
        </w:tc>
        <w:tc>
          <w:tcPr>
            <w:tcW w:w="1860" w:type="dxa"/>
            <w:vAlign w:val="bottom"/>
            <w:gridSpan w:val="2"/>
          </w:tcPr>
          <w:p>
            <w:pPr>
              <w:jc w:val="center"/>
              <w:ind w:right="720"/>
              <w:spacing w:after="0"/>
              <w:rPr>
                <w:sz w:val="20"/>
                <w:szCs w:val="20"/>
                <w:color w:val="auto"/>
              </w:rPr>
            </w:pPr>
            <w:r>
              <w:rPr>
                <w:rFonts w:ascii="Arial" w:cs="Arial" w:eastAsia="Arial" w:hAnsi="Arial"/>
                <w:sz w:val="20"/>
                <w:szCs w:val="20"/>
                <w:color w:val="auto"/>
                <w:w w:val="86"/>
              </w:rPr>
              <w:t>For</w:t>
            </w:r>
          </w:p>
        </w:tc>
        <w:tc>
          <w:tcPr>
            <w:tcW w:w="138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Against</w:t>
            </w:r>
          </w:p>
        </w:tc>
        <w:tc>
          <w:tcPr>
            <w:tcW w:w="1380" w:type="dxa"/>
            <w:vAlign w:val="bottom"/>
            <w:gridSpan w:val="2"/>
          </w:tcPr>
          <w:p>
            <w:pPr>
              <w:ind w:left="260"/>
              <w:spacing w:after="0"/>
              <w:rPr>
                <w:sz w:val="20"/>
                <w:szCs w:val="20"/>
                <w:color w:val="auto"/>
              </w:rPr>
            </w:pPr>
            <w:r>
              <w:rPr>
                <w:rFonts w:ascii="Arial" w:cs="Arial" w:eastAsia="Arial" w:hAnsi="Arial"/>
                <w:sz w:val="20"/>
                <w:szCs w:val="20"/>
                <w:color w:val="auto"/>
              </w:rPr>
              <w:t>Abstain</w:t>
            </w:r>
          </w:p>
        </w:tc>
        <w:tc>
          <w:tcPr>
            <w:tcW w:w="1940" w:type="dxa"/>
            <w:vAlign w:val="bottom"/>
          </w:tcPr>
          <w:p>
            <w:pPr>
              <w:jc w:val="center"/>
              <w:spacing w:after="0"/>
              <w:rPr>
                <w:sz w:val="20"/>
                <w:szCs w:val="20"/>
                <w:color w:val="auto"/>
              </w:rPr>
            </w:pPr>
            <w:r>
              <w:rPr>
                <w:rFonts w:ascii="Arial" w:cs="Arial" w:eastAsia="Arial" w:hAnsi="Arial"/>
                <w:sz w:val="20"/>
                <w:szCs w:val="20"/>
                <w:color w:val="auto"/>
                <w:w w:val="90"/>
              </w:rPr>
              <w:t>Broker Non-Votes</w:t>
            </w:r>
          </w:p>
        </w:tc>
        <w:tc>
          <w:tcPr>
            <w:tcW w:w="0" w:type="dxa"/>
            <w:vAlign w:val="bottom"/>
          </w:tcPr>
          <w:p>
            <w:pPr>
              <w:spacing w:after="0"/>
              <w:rPr>
                <w:sz w:val="1"/>
                <w:szCs w:val="1"/>
                <w:color w:val="auto"/>
              </w:rPr>
            </w:pPr>
          </w:p>
        </w:tc>
      </w:tr>
      <w:tr>
        <w:trPr>
          <w:trHeight w:val="23"/>
        </w:trPr>
        <w:tc>
          <w:tcPr>
            <w:tcW w:w="17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vMerge w:val="restart"/>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00" w:type="dxa"/>
            <w:vAlign w:val="bottom"/>
          </w:tcPr>
          <w:p>
            <w:pPr>
              <w:jc w:val="center"/>
              <w:spacing w:after="0"/>
              <w:rPr>
                <w:sz w:val="20"/>
                <w:szCs w:val="20"/>
                <w:color w:val="auto"/>
              </w:rPr>
            </w:pPr>
            <w:r>
              <w:rPr>
                <w:rFonts w:ascii="Arial" w:cs="Arial" w:eastAsia="Arial" w:hAnsi="Arial"/>
                <w:sz w:val="20"/>
                <w:szCs w:val="20"/>
                <w:color w:val="auto"/>
                <w:w w:val="89"/>
              </w:rPr>
              <w:t>Joan A. Budden</w:t>
            </w:r>
          </w:p>
        </w:tc>
        <w:tc>
          <w:tcPr>
            <w:tcW w:w="240" w:type="dxa"/>
            <w:vAlign w:val="bottom"/>
            <w:vMerge w:val="continue"/>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50,471,643</w:t>
            </w:r>
          </w:p>
        </w:tc>
        <w:tc>
          <w:tcPr>
            <w:tcW w:w="700" w:type="dxa"/>
            <w:vAlign w:val="bottom"/>
            <w:vMerge w:val="continue"/>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7"/>
              </w:rPr>
              <w:t>4,258,001</w:t>
            </w:r>
          </w:p>
        </w:tc>
        <w:tc>
          <w:tcPr>
            <w:tcW w:w="220" w:type="dxa"/>
            <w:vAlign w:val="bottom"/>
            <w:vMerge w:val="continue"/>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8"/>
              </w:rPr>
              <w:t>139,656</w:t>
            </w:r>
          </w:p>
        </w:tc>
        <w:tc>
          <w:tcPr>
            <w:tcW w:w="240" w:type="dxa"/>
            <w:vAlign w:val="bottom"/>
            <w:vMerge w:val="continue"/>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7"/>
              </w:rPr>
              <w:t>3,002,157</w:t>
            </w:r>
          </w:p>
        </w:tc>
        <w:tc>
          <w:tcPr>
            <w:tcW w:w="0" w:type="dxa"/>
            <w:vAlign w:val="bottom"/>
          </w:tcPr>
          <w:p>
            <w:pPr>
              <w:spacing w:after="0"/>
              <w:rPr>
                <w:sz w:val="1"/>
                <w:szCs w:val="1"/>
                <w:color w:val="auto"/>
              </w:rPr>
            </w:pPr>
          </w:p>
        </w:tc>
      </w:tr>
      <w:tr>
        <w:trPr>
          <w:trHeight w:val="415"/>
        </w:trPr>
        <w:tc>
          <w:tcPr>
            <w:tcW w:w="1940" w:type="dxa"/>
            <w:vAlign w:val="bottom"/>
            <w:gridSpan w:val="2"/>
          </w:tcPr>
          <w:p>
            <w:pPr>
              <w:jc w:val="center"/>
              <w:ind w:right="260"/>
              <w:spacing w:after="0"/>
              <w:rPr>
                <w:sz w:val="20"/>
                <w:szCs w:val="20"/>
                <w:color w:val="auto"/>
              </w:rPr>
            </w:pPr>
            <w:r>
              <w:rPr>
                <w:rFonts w:ascii="Arial" w:cs="Arial" w:eastAsia="Arial" w:hAnsi="Arial"/>
                <w:sz w:val="20"/>
                <w:szCs w:val="20"/>
                <w:color w:val="auto"/>
                <w:w w:val="95"/>
              </w:rPr>
              <w:t>William G. Currie</w:t>
            </w: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51,178,706</w:t>
            </w:r>
          </w:p>
        </w:tc>
        <w:tc>
          <w:tcPr>
            <w:tcW w:w="7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7"/>
              </w:rPr>
              <w:t>3,659,390</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8"/>
              </w:rPr>
              <w:t>31,204</w:t>
            </w:r>
          </w:p>
        </w:tc>
        <w:tc>
          <w:tcPr>
            <w:tcW w:w="2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7"/>
              </w:rPr>
              <w:t>3,002,157</w:t>
            </w:r>
          </w:p>
        </w:tc>
        <w:tc>
          <w:tcPr>
            <w:tcW w:w="0" w:type="dxa"/>
            <w:vAlign w:val="bottom"/>
          </w:tcPr>
          <w:p>
            <w:pPr>
              <w:spacing w:after="0"/>
              <w:rPr>
                <w:sz w:val="1"/>
                <w:szCs w:val="1"/>
                <w:color w:val="auto"/>
              </w:rPr>
            </w:pPr>
          </w:p>
        </w:tc>
      </w:tr>
      <w:tr>
        <w:trPr>
          <w:trHeight w:val="445"/>
        </w:trPr>
        <w:tc>
          <w:tcPr>
            <w:tcW w:w="194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Bruce A. Merino</w:t>
            </w:r>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48,530,910</w:t>
            </w:r>
          </w:p>
        </w:tc>
        <w:tc>
          <w:tcPr>
            <w:tcW w:w="7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0"/>
                <w:szCs w:val="20"/>
                <w:color w:val="auto"/>
                <w:w w:val="87"/>
              </w:rPr>
              <w:t>5,774,116</w:t>
            </w: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0"/>
                <w:szCs w:val="20"/>
                <w:color w:val="auto"/>
                <w:w w:val="88"/>
              </w:rPr>
              <w:t>564,274</w:t>
            </w:r>
          </w:p>
        </w:tc>
        <w:tc>
          <w:tcPr>
            <w:tcW w:w="2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20"/>
                <w:szCs w:val="20"/>
                <w:color w:val="auto"/>
                <w:w w:val="87"/>
              </w:rPr>
              <w:t>3,002,157</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200" w:right="279"/>
        <w:spacing w:after="0" w:line="260" w:lineRule="auto"/>
        <w:rPr>
          <w:sz w:val="20"/>
          <w:szCs w:val="20"/>
          <w:color w:val="auto"/>
        </w:rPr>
      </w:pPr>
      <w:r>
        <w:rPr>
          <w:rFonts w:ascii="Arial" w:cs="Arial" w:eastAsia="Arial" w:hAnsi="Arial"/>
          <w:sz w:val="20"/>
          <w:szCs w:val="20"/>
          <w:u w:val="single" w:color="auto"/>
          <w:color w:val="auto"/>
        </w:rPr>
        <w:t>Proposal 2 – Amendment to the Company’s Articles of Incorporation to Increase the Number of Authorized Shares of Common Stock</w:t>
      </w:r>
    </w:p>
    <w:p>
      <w:pPr>
        <w:spacing w:after="0" w:line="136" w:lineRule="exact"/>
        <w:rPr>
          <w:sz w:val="20"/>
          <w:szCs w:val="20"/>
          <w:color w:val="auto"/>
        </w:rPr>
      </w:pPr>
    </w:p>
    <w:p>
      <w:pPr>
        <w:ind w:left="200" w:right="439" w:firstLine="648"/>
        <w:spacing w:after="0" w:line="250" w:lineRule="auto"/>
        <w:rPr>
          <w:sz w:val="20"/>
          <w:szCs w:val="20"/>
          <w:color w:val="auto"/>
        </w:rPr>
      </w:pPr>
      <w:r>
        <w:rPr>
          <w:rFonts w:ascii="Arial" w:cs="Arial" w:eastAsia="Arial" w:hAnsi="Arial"/>
          <w:sz w:val="20"/>
          <w:szCs w:val="20"/>
          <w:color w:val="auto"/>
        </w:rPr>
        <w:t>The shareholders approved an amendment to the Company’s Articles of Incorporation to increase the number of shares of common stock the Company is authorized to issue from 80,000,000 shares to 160,000,000 shares, by the following votes:</w:t>
      </w:r>
    </w:p>
    <w:p>
      <w:pPr>
        <w:spacing w:after="0" w:line="186" w:lineRule="exact"/>
        <w:rPr>
          <w:sz w:val="20"/>
          <w:szCs w:val="20"/>
          <w:color w:val="auto"/>
        </w:rPr>
      </w:pPr>
    </w:p>
    <w:p>
      <w:pPr>
        <w:ind w:left="2620"/>
        <w:spacing w:after="0"/>
        <w:tabs>
          <w:tab w:leader="none" w:pos="4060" w:val="left"/>
          <w:tab w:leader="none" w:pos="5700" w:val="left"/>
        </w:tabs>
        <w:rPr>
          <w:sz w:val="20"/>
          <w:szCs w:val="20"/>
          <w:color w:val="auto"/>
        </w:rPr>
      </w:pPr>
      <w:r>
        <w:rPr>
          <w:rFonts w:ascii="Arial" w:cs="Arial" w:eastAsia="Arial" w:hAnsi="Arial"/>
          <w:sz w:val="20"/>
          <w:szCs w:val="20"/>
          <w:color w:val="auto"/>
        </w:rPr>
        <w:t>For</w:t>
      </w:r>
      <w:r>
        <w:rPr>
          <w:sz w:val="20"/>
          <w:szCs w:val="20"/>
          <w:color w:val="auto"/>
        </w:rPr>
        <w:tab/>
      </w:r>
      <w:r>
        <w:rPr>
          <w:rFonts w:ascii="Arial" w:cs="Arial" w:eastAsia="Arial" w:hAnsi="Arial"/>
          <w:sz w:val="20"/>
          <w:szCs w:val="20"/>
          <w:color w:val="auto"/>
        </w:rPr>
        <w:t>Against</w:t>
      </w:r>
      <w:r>
        <w:rPr>
          <w:sz w:val="20"/>
          <w:szCs w:val="20"/>
          <w:color w:val="auto"/>
        </w:rPr>
        <w:tab/>
      </w:r>
      <w:r>
        <w:rPr>
          <w:rFonts w:ascii="Arial" w:cs="Arial" w:eastAsia="Arial" w:hAnsi="Arial"/>
          <w:sz w:val="18"/>
          <w:szCs w:val="18"/>
          <w:color w:val="auto"/>
        </w:rPr>
        <w:t>Abstain</w:t>
      </w:r>
    </w:p>
    <w:p>
      <w:pPr>
        <w:spacing w:after="0" w:line="40" w:lineRule="exact"/>
        <w:rPr>
          <w:sz w:val="20"/>
          <w:szCs w:val="20"/>
          <w:color w:val="auto"/>
        </w:rPr>
      </w:pPr>
    </w:p>
    <w:p>
      <w:pPr>
        <w:ind w:left="2320"/>
        <w:spacing w:after="0"/>
        <w:tabs>
          <w:tab w:leader="none" w:pos="3980" w:val="left"/>
          <w:tab w:leader="none" w:pos="5740" w:val="left"/>
        </w:tabs>
        <w:rPr>
          <w:sz w:val="20"/>
          <w:szCs w:val="20"/>
          <w:color w:val="auto"/>
        </w:rPr>
      </w:pPr>
      <w:r>
        <w:rPr>
          <w:rFonts w:ascii="Arial" w:cs="Arial" w:eastAsia="Arial" w:hAnsi="Arial"/>
          <w:sz w:val="20"/>
          <w:szCs w:val="20"/>
          <w:color w:val="auto"/>
        </w:rPr>
        <w:t>56,370,150</w:t>
      </w:r>
      <w:r>
        <w:rPr>
          <w:sz w:val="20"/>
          <w:szCs w:val="20"/>
          <w:color w:val="auto"/>
        </w:rPr>
        <w:tab/>
      </w:r>
      <w:r>
        <w:rPr>
          <w:rFonts w:ascii="Arial" w:cs="Arial" w:eastAsia="Arial" w:hAnsi="Arial"/>
          <w:sz w:val="20"/>
          <w:szCs w:val="20"/>
          <w:color w:val="auto"/>
        </w:rPr>
        <w:t>1,451,933</w:t>
      </w:r>
      <w:r>
        <w:rPr>
          <w:sz w:val="20"/>
          <w:szCs w:val="20"/>
          <w:color w:val="auto"/>
        </w:rPr>
        <w:tab/>
      </w:r>
      <w:r>
        <w:rPr>
          <w:rFonts w:ascii="Arial" w:cs="Arial" w:eastAsia="Arial" w:hAnsi="Arial"/>
          <w:sz w:val="16"/>
          <w:szCs w:val="16"/>
          <w:color w:val="auto"/>
        </w:rPr>
        <w:t>49,374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-143510</wp:posOffset>
            </wp:positionV>
            <wp:extent cx="29743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u w:val="single" w:color="auto"/>
          <w:color w:val="auto"/>
        </w:rPr>
        <w:t>Proposal 3 – Amendment to the Company’s Long-Term Stock Incentive Plan</w:t>
      </w:r>
    </w:p>
    <w:p>
      <w:pPr>
        <w:spacing w:after="0" w:line="175" w:lineRule="exact"/>
        <w:rPr>
          <w:sz w:val="20"/>
          <w:szCs w:val="20"/>
          <w:color w:val="auto"/>
        </w:rPr>
      </w:pPr>
    </w:p>
    <w:p>
      <w:pPr>
        <w:ind w:left="200" w:right="379" w:firstLine="648"/>
        <w:spacing w:after="0" w:line="250" w:lineRule="auto"/>
        <w:rPr>
          <w:sz w:val="20"/>
          <w:szCs w:val="20"/>
          <w:color w:val="auto"/>
        </w:rPr>
      </w:pPr>
      <w:r>
        <w:rPr>
          <w:rFonts w:ascii="Arial" w:cs="Arial" w:eastAsia="Arial" w:hAnsi="Arial"/>
          <w:sz w:val="20"/>
          <w:szCs w:val="20"/>
          <w:color w:val="auto"/>
        </w:rPr>
        <w:t>The shareholders approved an amendment to the Company’s Long-Term Stock Incentive Plan (the “Plan”) to authorize an additional 2,7000,000 shares for issuance pursuant to the Plan, by the following votes:</w:t>
      </w:r>
    </w:p>
    <w:p>
      <w:pPr>
        <w:spacing w:after="0" w:line="172"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1620" w:type="dxa"/>
            <w:vAlign w:val="bottom"/>
            <w:gridSpan w:val="2"/>
          </w:tcPr>
          <w:p>
            <w:pPr>
              <w:jc w:val="center"/>
              <w:ind w:right="220"/>
              <w:spacing w:after="0"/>
              <w:rPr>
                <w:sz w:val="20"/>
                <w:szCs w:val="20"/>
                <w:color w:val="auto"/>
              </w:rPr>
            </w:pPr>
            <w:r>
              <w:rPr>
                <w:rFonts w:ascii="Arial" w:cs="Arial" w:eastAsia="Arial" w:hAnsi="Arial"/>
                <w:sz w:val="20"/>
                <w:szCs w:val="20"/>
                <w:color w:val="auto"/>
                <w:w w:val="93"/>
              </w:rPr>
              <w:t>For</w:t>
            </w:r>
          </w:p>
        </w:tc>
        <w:tc>
          <w:tcPr>
            <w:tcW w:w="164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Against</w:t>
            </w:r>
          </w:p>
        </w:tc>
        <w:tc>
          <w:tcPr>
            <w:tcW w:w="1620" w:type="dxa"/>
            <w:vAlign w:val="bottom"/>
            <w:gridSpan w:val="2"/>
          </w:tcPr>
          <w:p>
            <w:pPr>
              <w:ind w:left="400"/>
              <w:spacing w:after="0"/>
              <w:rPr>
                <w:sz w:val="20"/>
                <w:szCs w:val="20"/>
                <w:color w:val="auto"/>
              </w:rPr>
            </w:pPr>
            <w:r>
              <w:rPr>
                <w:rFonts w:ascii="Arial" w:cs="Arial" w:eastAsia="Arial" w:hAnsi="Arial"/>
                <w:sz w:val="20"/>
                <w:szCs w:val="20"/>
                <w:color w:val="auto"/>
              </w:rPr>
              <w:t>Abstain</w:t>
            </w: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Broker Non-Votes</w:t>
            </w:r>
          </w:p>
        </w:tc>
        <w:tc>
          <w:tcPr>
            <w:tcW w:w="0" w:type="dxa"/>
            <w:vAlign w:val="bottom"/>
          </w:tcPr>
          <w:p>
            <w:pPr>
              <w:spacing w:after="0"/>
              <w:rPr>
                <w:sz w:val="1"/>
                <w:szCs w:val="1"/>
                <w:color w:val="auto"/>
              </w:rPr>
            </w:pPr>
          </w:p>
        </w:tc>
      </w:tr>
      <w:tr>
        <w:trPr>
          <w:trHeight w:val="23"/>
        </w:trPr>
        <w:tc>
          <w:tcPr>
            <w:tcW w:w="14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20" w:type="dxa"/>
            <w:vAlign w:val="bottom"/>
          </w:tcPr>
          <w:p>
            <w:pPr>
              <w:jc w:val="right"/>
              <w:ind w:right="181"/>
              <w:spacing w:after="0"/>
              <w:rPr>
                <w:sz w:val="20"/>
                <w:szCs w:val="20"/>
                <w:color w:val="auto"/>
              </w:rPr>
            </w:pPr>
            <w:r>
              <w:rPr>
                <w:rFonts w:ascii="Arial" w:cs="Arial" w:eastAsia="Arial" w:hAnsi="Arial"/>
                <w:sz w:val="20"/>
                <w:szCs w:val="20"/>
                <w:color w:val="auto"/>
              </w:rPr>
              <w:t>53,082,314</w:t>
            </w:r>
          </w:p>
        </w:tc>
        <w:tc>
          <w:tcPr>
            <w:tcW w:w="200" w:type="dxa"/>
            <w:vAlign w:val="bottom"/>
            <w:vMerge w:val="continue"/>
          </w:tcPr>
          <w:p>
            <w:pPr>
              <w:spacing w:after="0"/>
              <w:rPr>
                <w:sz w:val="21"/>
                <w:szCs w:val="21"/>
                <w:color w:val="auto"/>
              </w:rPr>
            </w:pPr>
          </w:p>
        </w:tc>
        <w:tc>
          <w:tcPr>
            <w:tcW w:w="1420" w:type="dxa"/>
            <w:vAlign w:val="bottom"/>
          </w:tcPr>
          <w:p>
            <w:pPr>
              <w:jc w:val="right"/>
              <w:ind w:right="221"/>
              <w:spacing w:after="0"/>
              <w:rPr>
                <w:sz w:val="20"/>
                <w:szCs w:val="20"/>
                <w:color w:val="auto"/>
              </w:rPr>
            </w:pPr>
            <w:r>
              <w:rPr>
                <w:rFonts w:ascii="Arial" w:cs="Arial" w:eastAsia="Arial" w:hAnsi="Arial"/>
                <w:sz w:val="20"/>
                <w:szCs w:val="20"/>
                <w:color w:val="auto"/>
              </w:rPr>
              <w:t>1,658,551</w:t>
            </w:r>
          </w:p>
        </w:tc>
        <w:tc>
          <w:tcPr>
            <w:tcW w:w="220" w:type="dxa"/>
            <w:vAlign w:val="bottom"/>
            <w:vMerge w:val="continue"/>
          </w:tcPr>
          <w:p>
            <w:pPr>
              <w:spacing w:after="0"/>
              <w:rPr>
                <w:sz w:val="21"/>
                <w:szCs w:val="21"/>
                <w:color w:val="auto"/>
              </w:rPr>
            </w:pPr>
          </w:p>
        </w:tc>
        <w:tc>
          <w:tcPr>
            <w:tcW w:w="1420" w:type="dxa"/>
            <w:vAlign w:val="bottom"/>
          </w:tcPr>
          <w:p>
            <w:pPr>
              <w:ind w:left="380"/>
              <w:spacing w:after="0"/>
              <w:rPr>
                <w:sz w:val="20"/>
                <w:szCs w:val="20"/>
                <w:color w:val="auto"/>
              </w:rPr>
            </w:pPr>
            <w:r>
              <w:rPr>
                <w:rFonts w:ascii="Arial" w:cs="Arial" w:eastAsia="Arial" w:hAnsi="Arial"/>
                <w:sz w:val="20"/>
                <w:szCs w:val="20"/>
                <w:color w:val="auto"/>
              </w:rPr>
              <w:t>128,435</w:t>
            </w:r>
          </w:p>
        </w:tc>
        <w:tc>
          <w:tcPr>
            <w:tcW w:w="200" w:type="dxa"/>
            <w:vAlign w:val="bottom"/>
            <w:vMerge w:val="continue"/>
          </w:tcPr>
          <w:p>
            <w:pPr>
              <w:spacing w:after="0"/>
              <w:rPr>
                <w:sz w:val="21"/>
                <w:szCs w:val="21"/>
                <w:color w:val="auto"/>
              </w:rPr>
            </w:pPr>
          </w:p>
        </w:tc>
        <w:tc>
          <w:tcPr>
            <w:tcW w:w="1980" w:type="dxa"/>
            <w:vAlign w:val="bottom"/>
          </w:tcPr>
          <w:p>
            <w:pPr>
              <w:jc w:val="right"/>
              <w:ind w:right="501"/>
              <w:spacing w:after="0"/>
              <w:rPr>
                <w:sz w:val="20"/>
                <w:szCs w:val="20"/>
                <w:color w:val="auto"/>
              </w:rPr>
            </w:pPr>
            <w:r>
              <w:rPr>
                <w:rFonts w:ascii="Arial" w:cs="Arial" w:eastAsia="Arial" w:hAnsi="Arial"/>
                <w:sz w:val="20"/>
                <w:szCs w:val="20"/>
                <w:color w:val="auto"/>
              </w:rPr>
              <w:t>3,002,157</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0" w:right="659"/>
        <w:spacing w:after="0" w:line="260" w:lineRule="auto"/>
        <w:rPr>
          <w:sz w:val="20"/>
          <w:szCs w:val="20"/>
          <w:color w:val="auto"/>
        </w:rPr>
      </w:pPr>
      <w:r>
        <w:rPr>
          <w:rFonts w:ascii="Arial" w:cs="Arial" w:eastAsia="Arial" w:hAnsi="Arial"/>
          <w:sz w:val="20"/>
          <w:szCs w:val="20"/>
          <w:u w:val="single" w:color="auto"/>
          <w:color w:val="auto"/>
        </w:rPr>
        <w:t>Proposal 4 – Ratification of the Appointment of Deloitte &amp; Touche LLP as the Company's independent Registered Public Accounting Firm for Fiscal 2022.</w:t>
      </w:r>
    </w:p>
    <w:p>
      <w:pPr>
        <w:spacing w:after="0" w:line="150" w:lineRule="exact"/>
        <w:rPr>
          <w:sz w:val="20"/>
          <w:szCs w:val="20"/>
          <w:color w:val="auto"/>
        </w:rPr>
      </w:pPr>
    </w:p>
    <w:p>
      <w:pPr>
        <w:ind w:left="200" w:right="619" w:firstLine="648"/>
        <w:spacing w:after="0" w:line="287" w:lineRule="auto"/>
        <w:rPr>
          <w:sz w:val="20"/>
          <w:szCs w:val="20"/>
          <w:color w:val="auto"/>
        </w:rPr>
      </w:pPr>
      <w:r>
        <w:rPr>
          <w:rFonts w:ascii="Arial" w:cs="Arial" w:eastAsia="Arial" w:hAnsi="Arial"/>
          <w:sz w:val="19"/>
          <w:szCs w:val="19"/>
          <w:color w:val="auto"/>
        </w:rPr>
        <w:t>The shareholders ratified the appointment of Deloitte &amp; Touche LLP to serve as the Company's independent registered public accounting firm for fiscal 2022 by the following votes:</w:t>
      </w:r>
    </w:p>
    <w:p>
      <w:pPr>
        <w:spacing w:after="0" w:line="139" w:lineRule="exact"/>
        <w:rPr>
          <w:sz w:val="20"/>
          <w:szCs w:val="20"/>
          <w:color w:val="auto"/>
        </w:rPr>
      </w:pPr>
    </w:p>
    <w:p>
      <w:pPr>
        <w:ind w:left="2740"/>
        <w:spacing w:after="0"/>
        <w:tabs>
          <w:tab w:leader="none" w:pos="4160" w:val="left"/>
          <w:tab w:leader="none" w:pos="5800" w:val="left"/>
        </w:tabs>
        <w:rPr>
          <w:sz w:val="20"/>
          <w:szCs w:val="20"/>
          <w:color w:val="auto"/>
        </w:rPr>
      </w:pPr>
      <w:r>
        <w:rPr>
          <w:rFonts w:ascii="Arial" w:cs="Arial" w:eastAsia="Arial" w:hAnsi="Arial"/>
          <w:sz w:val="20"/>
          <w:szCs w:val="20"/>
          <w:color w:val="auto"/>
        </w:rPr>
        <w:t>For</w:t>
      </w:r>
      <w:r>
        <w:rPr>
          <w:sz w:val="20"/>
          <w:szCs w:val="20"/>
          <w:color w:val="auto"/>
        </w:rPr>
        <w:tab/>
      </w:r>
      <w:r>
        <w:rPr>
          <w:rFonts w:ascii="Arial" w:cs="Arial" w:eastAsia="Arial" w:hAnsi="Arial"/>
          <w:sz w:val="20"/>
          <w:szCs w:val="20"/>
          <w:color w:val="auto"/>
        </w:rPr>
        <w:t>Against</w:t>
      </w:r>
      <w:r>
        <w:rPr>
          <w:sz w:val="20"/>
          <w:szCs w:val="20"/>
          <w:color w:val="auto"/>
        </w:rPr>
        <w:tab/>
      </w:r>
      <w:r>
        <w:rPr>
          <w:rFonts w:ascii="Arial" w:cs="Arial" w:eastAsia="Arial" w:hAnsi="Arial"/>
          <w:sz w:val="18"/>
          <w:szCs w:val="18"/>
          <w:color w:val="auto"/>
        </w:rPr>
        <w:t>Abstain</w:t>
      </w:r>
    </w:p>
    <w:p>
      <w:pPr>
        <w:spacing w:after="0" w:line="40" w:lineRule="exact"/>
        <w:rPr>
          <w:sz w:val="20"/>
          <w:szCs w:val="20"/>
          <w:color w:val="auto"/>
        </w:rPr>
      </w:pPr>
    </w:p>
    <w:p>
      <w:pPr>
        <w:ind w:left="2420"/>
        <w:spacing w:after="0"/>
        <w:tabs>
          <w:tab w:leader="none" w:pos="4160" w:val="left"/>
          <w:tab w:leader="none" w:pos="5840" w:val="left"/>
        </w:tabs>
        <w:rPr>
          <w:sz w:val="20"/>
          <w:szCs w:val="20"/>
          <w:color w:val="auto"/>
        </w:rPr>
      </w:pPr>
      <w:r>
        <w:rPr>
          <w:rFonts w:ascii="Arial" w:cs="Arial" w:eastAsia="Arial" w:hAnsi="Arial"/>
          <w:sz w:val="20"/>
          <w:szCs w:val="20"/>
          <w:color w:val="auto"/>
        </w:rPr>
        <w:t>57,229,251</w:t>
      </w:r>
      <w:r>
        <w:rPr>
          <w:sz w:val="20"/>
          <w:szCs w:val="20"/>
          <w:color w:val="auto"/>
        </w:rPr>
        <w:tab/>
      </w:r>
      <w:r>
        <w:rPr>
          <w:rFonts w:ascii="Arial" w:cs="Arial" w:eastAsia="Arial" w:hAnsi="Arial"/>
          <w:sz w:val="20"/>
          <w:szCs w:val="20"/>
          <w:color w:val="auto"/>
        </w:rPr>
        <w:t>604,618</w:t>
      </w:r>
      <w:r>
        <w:rPr>
          <w:sz w:val="20"/>
          <w:szCs w:val="20"/>
          <w:color w:val="auto"/>
        </w:rPr>
        <w:tab/>
      </w:r>
      <w:r>
        <w:rPr>
          <w:rFonts w:ascii="Arial" w:cs="Arial" w:eastAsia="Arial" w:hAnsi="Arial"/>
          <w:sz w:val="16"/>
          <w:szCs w:val="16"/>
          <w:color w:val="auto"/>
        </w:rPr>
        <w:t>37,588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481965</wp:posOffset>
            </wp:positionV>
            <wp:extent cx="5452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1368425</wp:posOffset>
            </wp:positionH>
            <wp:positionV relativeFrom="paragraph">
              <wp:posOffset>-143510</wp:posOffset>
            </wp:positionV>
            <wp:extent cx="2983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20"/>
          <w:szCs w:val="20"/>
          <w:u w:val="single" w:color="auto"/>
          <w:color w:val="auto"/>
        </w:rPr>
        <w:t>Proposal 5 – Advisory (Non-Binding) Vote on Executive Compensation.</w:t>
      </w:r>
    </w:p>
    <w:p>
      <w:pPr>
        <w:spacing w:after="0" w:line="176" w:lineRule="exact"/>
        <w:rPr>
          <w:sz w:val="20"/>
          <w:szCs w:val="20"/>
          <w:color w:val="auto"/>
        </w:rPr>
      </w:pPr>
    </w:p>
    <w:p>
      <w:pPr>
        <w:ind w:left="200" w:right="440" w:firstLine="648"/>
        <w:spacing w:after="0" w:line="250" w:lineRule="auto"/>
        <w:rPr>
          <w:sz w:val="20"/>
          <w:szCs w:val="20"/>
          <w:color w:val="auto"/>
        </w:rPr>
      </w:pPr>
      <w:r>
        <w:rPr>
          <w:rFonts w:ascii="Arial" w:cs="Arial" w:eastAsia="Arial" w:hAnsi="Arial"/>
          <w:sz w:val="20"/>
          <w:szCs w:val="20"/>
          <w:color w:val="auto"/>
        </w:rPr>
        <w:t>The shareholders approved the proposed resolution to approve the compensation of the Company's named executive officers, as disclosed pursuant to the compensation disclosure rules of the Securities and Exchange Commission, by the following votes:</w:t>
      </w:r>
    </w:p>
    <w:p>
      <w:pPr>
        <w:spacing w:after="0" w:line="186" w:lineRule="exact"/>
        <w:rPr>
          <w:sz w:val="20"/>
          <w:szCs w:val="20"/>
          <w:color w:val="auto"/>
        </w:rPr>
      </w:pPr>
    </w:p>
    <w:tbl>
      <w:tblPr>
        <w:tblLayout w:type="fixed"/>
        <w:tblInd w:w="1080" w:type="dxa"/>
        <w:tblCellMar>
          <w:top w:w="0" w:type="dxa"/>
          <w:left w:w="0" w:type="dxa"/>
          <w:bottom w:w="0" w:type="dxa"/>
          <w:right w:w="0" w:type="dxa"/>
        </w:tblCellMar>
      </w:tblPr>
      <w:tr>
        <w:trPr>
          <w:trHeight w:val="250"/>
        </w:trPr>
        <w:tc>
          <w:tcPr>
            <w:tcW w:w="1620" w:type="dxa"/>
            <w:vAlign w:val="bottom"/>
            <w:gridSpan w:val="2"/>
          </w:tcPr>
          <w:p>
            <w:pPr>
              <w:jc w:val="center"/>
              <w:ind w:right="220"/>
              <w:spacing w:after="0"/>
              <w:rPr>
                <w:sz w:val="20"/>
                <w:szCs w:val="20"/>
                <w:color w:val="auto"/>
              </w:rPr>
            </w:pPr>
            <w:r>
              <w:rPr>
                <w:rFonts w:ascii="Arial" w:cs="Arial" w:eastAsia="Arial" w:hAnsi="Arial"/>
                <w:sz w:val="20"/>
                <w:szCs w:val="20"/>
                <w:color w:val="auto"/>
                <w:w w:val="93"/>
              </w:rPr>
              <w:t>For</w:t>
            </w:r>
          </w:p>
        </w:tc>
        <w:tc>
          <w:tcPr>
            <w:tcW w:w="1640" w:type="dxa"/>
            <w:vAlign w:val="bottom"/>
            <w:gridSpan w:val="2"/>
          </w:tcPr>
          <w:p>
            <w:pPr>
              <w:jc w:val="center"/>
              <w:ind w:right="220"/>
              <w:spacing w:after="0"/>
              <w:rPr>
                <w:sz w:val="20"/>
                <w:szCs w:val="20"/>
                <w:color w:val="auto"/>
              </w:rPr>
            </w:pPr>
            <w:r>
              <w:rPr>
                <w:rFonts w:ascii="Arial" w:cs="Arial" w:eastAsia="Arial" w:hAnsi="Arial"/>
                <w:sz w:val="20"/>
                <w:szCs w:val="20"/>
                <w:color w:val="auto"/>
                <w:w w:val="92"/>
              </w:rPr>
              <w:t>Against</w:t>
            </w:r>
          </w:p>
        </w:tc>
        <w:tc>
          <w:tcPr>
            <w:tcW w:w="1620" w:type="dxa"/>
            <w:vAlign w:val="bottom"/>
            <w:gridSpan w:val="2"/>
          </w:tcPr>
          <w:p>
            <w:pPr>
              <w:jc w:val="center"/>
              <w:ind w:right="200"/>
              <w:spacing w:after="0"/>
              <w:rPr>
                <w:sz w:val="20"/>
                <w:szCs w:val="20"/>
                <w:color w:val="auto"/>
              </w:rPr>
            </w:pPr>
            <w:r>
              <w:rPr>
                <w:rFonts w:ascii="Arial" w:cs="Arial" w:eastAsia="Arial" w:hAnsi="Arial"/>
                <w:sz w:val="20"/>
                <w:szCs w:val="20"/>
                <w:color w:val="auto"/>
                <w:w w:val="92"/>
              </w:rPr>
              <w:t>Abstain</w:t>
            </w:r>
          </w:p>
        </w:tc>
        <w:tc>
          <w:tcPr>
            <w:tcW w:w="1980" w:type="dxa"/>
            <w:vAlign w:val="bottom"/>
          </w:tcPr>
          <w:p>
            <w:pPr>
              <w:jc w:val="center"/>
              <w:spacing w:after="0"/>
              <w:rPr>
                <w:sz w:val="20"/>
                <w:szCs w:val="20"/>
                <w:color w:val="auto"/>
              </w:rPr>
            </w:pPr>
            <w:r>
              <w:rPr>
                <w:rFonts w:ascii="Arial" w:cs="Arial" w:eastAsia="Arial" w:hAnsi="Arial"/>
                <w:sz w:val="20"/>
                <w:szCs w:val="20"/>
                <w:color w:val="auto"/>
                <w:w w:val="90"/>
              </w:rPr>
              <w:t>Broker Non-Votes</w:t>
            </w:r>
          </w:p>
        </w:tc>
        <w:tc>
          <w:tcPr>
            <w:tcW w:w="0" w:type="dxa"/>
            <w:vAlign w:val="bottom"/>
          </w:tcPr>
          <w:p>
            <w:pPr>
              <w:spacing w:after="0"/>
              <w:rPr>
                <w:sz w:val="1"/>
                <w:szCs w:val="1"/>
                <w:color w:val="auto"/>
              </w:rPr>
            </w:pPr>
          </w:p>
        </w:tc>
      </w:tr>
      <w:tr>
        <w:trPr>
          <w:trHeight w:val="23"/>
        </w:trPr>
        <w:tc>
          <w:tcPr>
            <w:tcW w:w="14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20" w:type="dxa"/>
            <w:vAlign w:val="bottom"/>
          </w:tcPr>
          <w:p>
            <w:pPr>
              <w:jc w:val="right"/>
              <w:ind w:right="181"/>
              <w:spacing w:after="0"/>
              <w:rPr>
                <w:sz w:val="20"/>
                <w:szCs w:val="20"/>
                <w:color w:val="auto"/>
              </w:rPr>
            </w:pPr>
            <w:r>
              <w:rPr>
                <w:rFonts w:ascii="Arial" w:cs="Arial" w:eastAsia="Arial" w:hAnsi="Arial"/>
                <w:sz w:val="20"/>
                <w:szCs w:val="20"/>
                <w:color w:val="auto"/>
              </w:rPr>
              <w:t>52,949,914</w:t>
            </w:r>
          </w:p>
        </w:tc>
        <w:tc>
          <w:tcPr>
            <w:tcW w:w="200" w:type="dxa"/>
            <w:vAlign w:val="bottom"/>
            <w:vMerge w:val="continue"/>
          </w:tcPr>
          <w:p>
            <w:pPr>
              <w:spacing w:after="0"/>
              <w:rPr>
                <w:sz w:val="21"/>
                <w:szCs w:val="21"/>
                <w:color w:val="auto"/>
              </w:rPr>
            </w:pPr>
          </w:p>
        </w:tc>
        <w:tc>
          <w:tcPr>
            <w:tcW w:w="1420" w:type="dxa"/>
            <w:vAlign w:val="bottom"/>
          </w:tcPr>
          <w:p>
            <w:pPr>
              <w:jc w:val="right"/>
              <w:ind w:right="221"/>
              <w:spacing w:after="0"/>
              <w:rPr>
                <w:sz w:val="20"/>
                <w:szCs w:val="20"/>
                <w:color w:val="auto"/>
              </w:rPr>
            </w:pPr>
            <w:r>
              <w:rPr>
                <w:rFonts w:ascii="Arial" w:cs="Arial" w:eastAsia="Arial" w:hAnsi="Arial"/>
                <w:sz w:val="20"/>
                <w:szCs w:val="20"/>
                <w:color w:val="auto"/>
              </w:rPr>
              <w:t>1,838,372</w:t>
            </w:r>
          </w:p>
        </w:tc>
        <w:tc>
          <w:tcPr>
            <w:tcW w:w="220" w:type="dxa"/>
            <w:vAlign w:val="bottom"/>
            <w:vMerge w:val="continue"/>
          </w:tcPr>
          <w:p>
            <w:pPr>
              <w:spacing w:after="0"/>
              <w:rPr>
                <w:sz w:val="21"/>
                <w:szCs w:val="21"/>
                <w:color w:val="auto"/>
              </w:rPr>
            </w:pPr>
          </w:p>
        </w:tc>
        <w:tc>
          <w:tcPr>
            <w:tcW w:w="1420" w:type="dxa"/>
            <w:vAlign w:val="bottom"/>
          </w:tcPr>
          <w:p>
            <w:pPr>
              <w:jc w:val="right"/>
              <w:ind w:right="341"/>
              <w:spacing w:after="0"/>
              <w:rPr>
                <w:sz w:val="20"/>
                <w:szCs w:val="20"/>
                <w:color w:val="auto"/>
              </w:rPr>
            </w:pPr>
            <w:r>
              <w:rPr>
                <w:rFonts w:ascii="Arial" w:cs="Arial" w:eastAsia="Arial" w:hAnsi="Arial"/>
                <w:sz w:val="20"/>
                <w:szCs w:val="20"/>
                <w:color w:val="auto"/>
              </w:rPr>
              <w:t>81,014</w:t>
            </w:r>
          </w:p>
        </w:tc>
        <w:tc>
          <w:tcPr>
            <w:tcW w:w="200" w:type="dxa"/>
            <w:vAlign w:val="bottom"/>
            <w:vMerge w:val="continue"/>
          </w:tcPr>
          <w:p>
            <w:pPr>
              <w:spacing w:after="0"/>
              <w:rPr>
                <w:sz w:val="21"/>
                <w:szCs w:val="21"/>
                <w:color w:val="auto"/>
              </w:rPr>
            </w:pPr>
          </w:p>
        </w:tc>
        <w:tc>
          <w:tcPr>
            <w:tcW w:w="1980" w:type="dxa"/>
            <w:vAlign w:val="bottom"/>
          </w:tcPr>
          <w:p>
            <w:pPr>
              <w:jc w:val="right"/>
              <w:ind w:right="501"/>
              <w:spacing w:after="0"/>
              <w:rPr>
                <w:sz w:val="20"/>
                <w:szCs w:val="20"/>
                <w:color w:val="auto"/>
              </w:rPr>
            </w:pPr>
            <w:r>
              <w:rPr>
                <w:rFonts w:ascii="Arial" w:cs="Arial" w:eastAsia="Arial" w:hAnsi="Arial"/>
                <w:sz w:val="20"/>
                <w:szCs w:val="20"/>
                <w:color w:val="auto"/>
              </w:rPr>
              <w:t>3,002,157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0"/>
        <w:spacing w:after="0"/>
        <w:rPr>
          <w:sz w:val="20"/>
          <w:szCs w:val="20"/>
          <w:color w:val="auto"/>
        </w:rPr>
      </w:pPr>
      <w:r>
        <w:rPr>
          <w:rFonts w:ascii="Arial" w:cs="Arial" w:eastAsia="Arial" w:hAnsi="Arial"/>
          <w:sz w:val="20"/>
          <w:szCs w:val="20"/>
          <w:u w:val="single" w:color="auto"/>
          <w:color w:val="auto"/>
        </w:rPr>
        <w:t>SIGNATURE</w:t>
      </w:r>
    </w:p>
    <w:p>
      <w:pPr>
        <w:spacing w:after="0" w:line="200" w:lineRule="exact"/>
        <w:rPr>
          <w:sz w:val="20"/>
          <w:szCs w:val="20"/>
          <w:color w:val="auto"/>
        </w:rPr>
      </w:pPr>
    </w:p>
    <w:p>
      <w:pPr>
        <w:spacing w:after="0" w:line="259" w:lineRule="exact"/>
        <w:rPr>
          <w:sz w:val="20"/>
          <w:szCs w:val="20"/>
          <w:color w:val="auto"/>
        </w:rPr>
      </w:pPr>
    </w:p>
    <w:p>
      <w:pPr>
        <w:ind w:left="200" w:right="32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20"/>
                <w:szCs w:val="20"/>
                <w:color w:val="auto"/>
              </w:rPr>
              <w:t>Dated: April 21, 2022</w:t>
            </w:r>
          </w:p>
        </w:tc>
        <w:tc>
          <w:tcPr>
            <w:tcW w:w="5600" w:type="dxa"/>
            <w:vAlign w:val="bottom"/>
            <w:gridSpan w:val="2"/>
          </w:tcPr>
          <w:p>
            <w:pPr>
              <w:ind w:left="1220"/>
              <w:spacing w:after="0"/>
              <w:rPr>
                <w:sz w:val="20"/>
                <w:szCs w:val="20"/>
                <w:color w:val="auto"/>
              </w:rPr>
            </w:pPr>
            <w:r>
              <w:rPr>
                <w:rFonts w:ascii="Arial" w:cs="Arial" w:eastAsia="Arial" w:hAnsi="Arial"/>
                <w:sz w:val="20"/>
                <w:szCs w:val="20"/>
                <w:color w:val="auto"/>
              </w:rPr>
              <w:t>UFP INDUSTRIES, INC.</w:t>
            </w:r>
          </w:p>
        </w:tc>
        <w:tc>
          <w:tcPr>
            <w:tcW w:w="3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5600" w:type="dxa"/>
            <w:vAlign w:val="bottom"/>
            <w:gridSpan w:val="2"/>
          </w:tcPr>
          <w:p>
            <w:pPr>
              <w:ind w:left="1220"/>
              <w:spacing w:after="0"/>
              <w:rPr>
                <w:sz w:val="20"/>
                <w:szCs w:val="20"/>
                <w:color w:val="auto"/>
              </w:rPr>
            </w:pPr>
            <w:r>
              <w:rPr>
                <w:rFonts w:ascii="Arial" w:cs="Arial" w:eastAsia="Arial" w:hAnsi="Arial"/>
                <w:sz w:val="20"/>
                <w:szCs w:val="20"/>
                <w:color w:val="auto"/>
              </w:rPr>
              <w:t>(Registrant)</w:t>
            </w:r>
          </w:p>
        </w:tc>
        <w:tc>
          <w:tcPr>
            <w:tcW w:w="320" w:type="dxa"/>
            <w:vAlign w:val="bottom"/>
          </w:tcPr>
          <w:p>
            <w:pPr>
              <w:spacing w:after="0"/>
              <w:rPr>
                <w:sz w:val="21"/>
                <w:szCs w:val="21"/>
                <w:color w:val="auto"/>
              </w:rPr>
            </w:pPr>
          </w:p>
        </w:tc>
      </w:tr>
      <w:tr>
        <w:trPr>
          <w:trHeight w:val="54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600" w:type="dxa"/>
            <w:vAlign w:val="bottom"/>
            <w:gridSpan w:val="2"/>
          </w:tcPr>
          <w:p>
            <w:pPr>
              <w:ind w:left="1220"/>
              <w:spacing w:after="0"/>
              <w:rPr>
                <w:sz w:val="20"/>
                <w:szCs w:val="20"/>
                <w:color w:val="auto"/>
              </w:rPr>
            </w:pPr>
            <w:r>
              <w:rPr>
                <w:rFonts w:ascii="Arial" w:cs="Arial" w:eastAsia="Arial" w:hAnsi="Arial"/>
                <w:sz w:val="20"/>
                <w:szCs w:val="20"/>
                <w:color w:val="auto"/>
              </w:rPr>
              <w:t>By:  /s/ Michael R. Cole</w:t>
            </w:r>
          </w:p>
        </w:tc>
        <w:tc>
          <w:tcPr>
            <w:tcW w:w="320" w:type="dxa"/>
            <w:vAlign w:val="bottom"/>
          </w:tcPr>
          <w:p>
            <w:pPr>
              <w:spacing w:after="0"/>
              <w:rPr>
                <w:sz w:val="24"/>
                <w:szCs w:val="24"/>
                <w:color w:val="auto"/>
              </w:rPr>
            </w:pPr>
          </w:p>
        </w:tc>
      </w:tr>
      <w:tr>
        <w:trPr>
          <w:trHeight w:val="36"/>
        </w:trPr>
        <w:tc>
          <w:tcPr>
            <w:tcW w:w="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20"/>
                <w:szCs w:val="20"/>
                <w:color w:val="auto"/>
              </w:rPr>
              <w:t>Michael R. Cole</w:t>
            </w:r>
          </w:p>
        </w:tc>
        <w:tc>
          <w:tcPr>
            <w:tcW w:w="3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900" w:type="dxa"/>
            <w:vAlign w:val="bottom"/>
          </w:tcPr>
          <w:p>
            <w:pPr>
              <w:spacing w:after="0"/>
              <w:rPr>
                <w:sz w:val="20"/>
                <w:szCs w:val="20"/>
                <w:color w:val="auto"/>
              </w:rPr>
            </w:pPr>
            <w:r>
              <w:rPr>
                <w:rFonts w:ascii="Arial" w:cs="Arial" w:eastAsia="Arial" w:hAnsi="Arial"/>
                <w:sz w:val="20"/>
                <w:szCs w:val="20"/>
                <w:color w:val="auto"/>
              </w:rPr>
              <w:t>Principal Financial Officer and Treasurer</w:t>
            </w:r>
          </w:p>
        </w:tc>
        <w:tc>
          <w:tcPr>
            <w:tcW w:w="320" w:type="dxa"/>
            <w:vAlign w:val="bottom"/>
          </w:tcPr>
          <w:p>
            <w:pPr>
              <w:spacing w:after="0"/>
              <w:rPr>
                <w:sz w:val="21"/>
                <w:szCs w:val="21"/>
                <w:color w:val="auto"/>
              </w:rPr>
            </w:pPr>
          </w:p>
        </w:tc>
      </w:tr>
      <w:tr>
        <w:trPr>
          <w:trHeight w:val="867"/>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120"/>
      </w:cols>
      <w:pgMar w:left="1440" w:top="12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2022-04-21T15:45:44Z</dcterms:created>
  <dcterms:modified xsi:type="dcterms:W3CDTF">2022-04-21T15:45:44Z</dcterms:modified>
</cp:coreProperties>
</file>