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3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SCHEDULE 14A</w:t>
      </w:r>
    </w:p>
    <w:p>
      <w:pPr>
        <w:spacing w:after="0" w:line="3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(RULE 14A-101)</w:t>
      </w:r>
    </w:p>
    <w:p>
      <w:pPr>
        <w:spacing w:after="0" w:line="142" w:lineRule="exact"/>
        <w:rPr>
          <w:sz w:val="24"/>
          <w:szCs w:val="24"/>
          <w:color w:val="auto"/>
        </w:rPr>
      </w:pPr>
    </w:p>
    <w:p>
      <w:pPr>
        <w:ind w:left="170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30" w:lineRule="exact"/>
        <w:rPr>
          <w:sz w:val="24"/>
          <w:szCs w:val="24"/>
          <w:color w:val="auto"/>
        </w:rPr>
      </w:pPr>
    </w:p>
    <w:p>
      <w:pPr>
        <w:ind w:left="2380"/>
        <w:spacing w:after="0"/>
        <w:rPr>
          <w:sz w:val="20"/>
          <w:szCs w:val="20"/>
          <w:color w:val="auto"/>
        </w:rPr>
      </w:pPr>
      <w:r>
        <w:rPr>
          <w:rFonts w:ascii="Courier New" w:cs="Courier New" w:eastAsia="Courier New" w:hAnsi="Courier New"/>
          <w:sz w:val="14"/>
          <w:szCs w:val="14"/>
          <w:color w:val="auto"/>
        </w:rPr>
        <w:t>SCHEDULE 14A INFORMATION</w:t>
      </w:r>
    </w:p>
    <w:p>
      <w:pPr>
        <w:spacing w:after="0" w:line="142"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0" w:lineRule="exact"/>
        <w:rPr>
          <w:sz w:val="24"/>
          <w:szCs w:val="24"/>
          <w:color w:val="auto"/>
        </w:rPr>
      </w:pPr>
    </w:p>
    <w:p>
      <w:pPr>
        <w:jc w:val="center"/>
        <w:ind w:right="3359"/>
        <w:spacing w:after="0"/>
        <w:tabs>
          <w:tab w:leader="none" w:pos="140" w:val="left"/>
        </w:tabs>
        <w:rPr>
          <w:sz w:val="20"/>
          <w:szCs w:val="20"/>
          <w:color w:val="auto"/>
        </w:rPr>
      </w:pPr>
      <w:r>
        <w:rPr>
          <w:rFonts w:ascii="Courier New" w:cs="Courier New" w:eastAsia="Courier New" w:hAnsi="Courier New"/>
          <w:sz w:val="14"/>
          <w:szCs w:val="14"/>
          <w:color w:val="auto"/>
        </w:rPr>
        <w:t>EXCHANGE ACT OF 1934 (AMENDMENT NO.</w:t>
        <w:tab/>
        <w:t>)</w:t>
      </w:r>
    </w:p>
    <w:p>
      <w:pPr>
        <w:spacing w:after="0" w:line="14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Filed by the registrant [X]</w:t>
      </w:r>
    </w:p>
    <w:p>
      <w:pPr>
        <w:spacing w:after="0" w:line="16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Filed by a party other than the registrant [ ]</w:t>
      </w:r>
    </w:p>
    <w:p>
      <w:pPr>
        <w:sectPr>
          <w:pgSz w:w="11900" w:h="16838" w:orient="portrait"/>
          <w:cols w:equalWidth="0" w:num="1">
            <w:col w:w="10159"/>
          </w:cols>
          <w:pgMar w:left="300" w:top="202" w:right="1440" w:bottom="1440" w:gutter="0" w:footer="0" w:header="0"/>
        </w:sectPr>
      </w:pPr>
    </w:p>
    <w:p>
      <w:pPr>
        <w:spacing w:after="0" w:line="16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Check the appropriate box:</w:t>
      </w:r>
    </w:p>
    <w:p>
      <w:pPr>
        <w:spacing w:after="0" w:line="16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Preliminary proxy statement.</w:t>
      </w:r>
    </w:p>
    <w:p>
      <w:pPr>
        <w:spacing w:after="0" w:line="200" w:lineRule="exact"/>
        <w:rPr>
          <w:sz w:val="24"/>
          <w:szCs w:val="24"/>
          <w:color w:val="auto"/>
        </w:rPr>
      </w:pPr>
    </w:p>
    <w:p>
      <w:pPr>
        <w:spacing w:after="0" w:line="29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 Definitive proxy statement.</w:t>
      </w:r>
    </w:p>
    <w:p>
      <w:pPr>
        <w:spacing w:after="0" w:line="16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ind w:left="342" w:right="3359" w:hanging="342"/>
        <w:spacing w:after="0" w:line="306" w:lineRule="auto"/>
        <w:tabs>
          <w:tab w:leader="none" w:pos="17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698" w:lineRule="exact"/>
        <w:rPr>
          <w:sz w:val="24"/>
          <w:szCs w:val="24"/>
          <w:color w:val="auto"/>
        </w:rPr>
      </w:pPr>
    </w:p>
    <w:p>
      <w:pPr>
        <w:sectPr>
          <w:pgSz w:w="11900" w:h="16838" w:orient="portrait"/>
          <w:cols w:equalWidth="0" w:num="2">
            <w:col w:w="3480" w:space="258"/>
            <w:col w:w="6421"/>
          </w:cols>
          <w:pgMar w:left="300" w:top="20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 ] Soliciting material pursuant to Rule 14a-11(c) or Rule 14a-12.</w:t>
      </w:r>
    </w:p>
    <w:p>
      <w:pPr>
        <w:spacing w:after="0" w:line="168" w:lineRule="exact"/>
        <w:rPr>
          <w:sz w:val="24"/>
          <w:szCs w:val="24"/>
          <w:color w:val="auto"/>
        </w:rPr>
      </w:pPr>
    </w:p>
    <w:p>
      <w:pPr>
        <w:ind w:left="2040"/>
        <w:spacing w:after="0"/>
        <w:rPr>
          <w:sz w:val="20"/>
          <w:szCs w:val="20"/>
          <w:color w:val="auto"/>
        </w:rPr>
      </w:pPr>
      <w:r>
        <w:rPr>
          <w:rFonts w:ascii="Courier New" w:cs="Courier New" w:eastAsia="Courier New" w:hAnsi="Courier New"/>
          <w:sz w:val="14"/>
          <w:szCs w:val="14"/>
          <w:color w:val="auto"/>
        </w:rPr>
        <w:t>Universal Forest Products, Inc.</w:t>
      </w:r>
    </w:p>
    <w:p>
      <w:pPr>
        <w:spacing w:after="0" w:line="30" w:lineRule="exact"/>
        <w:rPr>
          <w:sz w:val="24"/>
          <w:szCs w:val="24"/>
          <w:color w:val="auto"/>
        </w:rPr>
      </w:pP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41"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0"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6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 No fee required.</w:t>
      </w:r>
    </w:p>
    <w:p>
      <w:pPr>
        <w:spacing w:after="0" w:line="168" w:lineRule="exact"/>
        <w:rPr>
          <w:sz w:val="24"/>
          <w:szCs w:val="24"/>
          <w:color w:val="auto"/>
        </w:rPr>
      </w:pPr>
    </w:p>
    <w:p>
      <w:pPr>
        <w:ind w:left="780" w:right="3799" w:hanging="349"/>
        <w:spacing w:after="0" w:line="366" w:lineRule="auto"/>
        <w:tabs>
          <w:tab w:leader="none" w:pos="61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6" w:lineRule="exact"/>
        <w:rPr>
          <w:sz w:val="24"/>
          <w:szCs w:val="24"/>
          <w:color w:val="auto"/>
        </w:rPr>
      </w:pPr>
    </w:p>
    <w:p>
      <w:pPr>
        <w:ind w:left="780" w:hanging="349"/>
        <w:spacing w:after="0"/>
        <w:tabs>
          <w:tab w:leader="none" w:pos="7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right="3539" w:hanging="349"/>
        <w:spacing w:after="0" w:line="306" w:lineRule="auto"/>
        <w:tabs>
          <w:tab w:leader="none" w:pos="78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45"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ind w:left="600" w:hanging="169"/>
        <w:spacing w:after="0"/>
        <w:tabs>
          <w:tab w:leader="none" w:pos="6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30"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2" w:lineRule="exact"/>
        <w:rPr>
          <w:sz w:val="24"/>
          <w:szCs w:val="24"/>
          <w:color w:val="auto"/>
        </w:rPr>
      </w:pPr>
    </w:p>
    <w:p>
      <w:pPr>
        <w:ind w:left="600" w:hanging="169"/>
        <w:spacing w:after="0"/>
        <w:tabs>
          <w:tab w:leader="none" w:pos="6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w:t>
      </w:r>
    </w:p>
    <w:p>
      <w:pPr>
        <w:spacing w:after="0" w:line="30" w:lineRule="exact"/>
        <w:rPr>
          <w:rFonts w:ascii="Courier New" w:cs="Courier New" w:eastAsia="Courier New" w:hAnsi="Courier New"/>
          <w:sz w:val="14"/>
          <w:szCs w:val="14"/>
          <w:color w:val="auto"/>
        </w:rPr>
      </w:pPr>
    </w:p>
    <w:p>
      <w:pPr>
        <w:ind w:left="780" w:right="3539"/>
        <w:spacing w:after="0" w:line="28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Rule 0-11(a)(2) and identify the filing for which the offsetting fee was paid previously. Identify the previous filing by registration statement number, or the form or schedule and the date of its filing.</w:t>
      </w:r>
    </w:p>
    <w:p>
      <w:pPr>
        <w:spacing w:after="0" w:line="59" w:lineRule="exact"/>
        <w:rPr>
          <w:sz w:val="24"/>
          <w:szCs w:val="24"/>
          <w:color w:val="auto"/>
        </w:rPr>
      </w:pPr>
    </w:p>
    <w:p>
      <w:pPr>
        <w:ind w:left="780" w:hanging="349"/>
        <w:spacing w:after="0"/>
        <w:tabs>
          <w:tab w:leader="none" w:pos="78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780" w:hanging="349"/>
        <w:spacing w:after="0"/>
        <w:tabs>
          <w:tab w:leader="none" w:pos="7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67" w:lineRule="exact"/>
        <w:rPr>
          <w:rFonts w:ascii="Courier New" w:cs="Courier New" w:eastAsia="Courier New" w:hAnsi="Courier New"/>
          <w:sz w:val="14"/>
          <w:szCs w:val="14"/>
          <w:color w:val="auto"/>
        </w:rPr>
      </w:pPr>
    </w:p>
    <w:p>
      <w:pPr>
        <w:ind w:left="180" w:hanging="173"/>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02"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UNIVERSAL FOREST PRODUCTS, INC.</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ANNUAL MEETING</w:t>
      </w:r>
    </w:p>
    <w:p>
      <w:pPr>
        <w:spacing w:after="0" w:line="142"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4"/>
          <w:szCs w:val="14"/>
          <w:color w:val="auto"/>
        </w:rPr>
        <w:t>UNIVERSAL FOREST PRODUCTS, INC. 2801 East Beltline NE</w:t>
        <w:tab/>
        <w:t>Grand Rapids, MI 49525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21, 2000</w:t>
      </w:r>
    </w:p>
    <w:p>
      <w:pPr>
        <w:spacing w:after="0" w:line="168" w:lineRule="exact"/>
        <w:rPr>
          <w:sz w:val="20"/>
          <w:szCs w:val="20"/>
          <w:color w:val="auto"/>
        </w:rPr>
      </w:pPr>
    </w:p>
    <w:p>
      <w:pPr>
        <w:ind w:right="3459"/>
        <w:spacing w:after="0" w:line="286" w:lineRule="auto"/>
        <w:rPr>
          <w:sz w:val="20"/>
          <w:szCs w:val="20"/>
          <w:color w:val="auto"/>
        </w:rPr>
      </w:pPr>
      <w:r>
        <w:rPr>
          <w:rFonts w:ascii="Courier New" w:cs="Courier New" w:eastAsia="Courier New" w:hAnsi="Courier New"/>
          <w:sz w:val="14"/>
          <w:szCs w:val="14"/>
          <w:color w:val="auto"/>
        </w:rPr>
        <w:t>The Annual Meeting of Shareholders of Universal Forest Products, Inc. will be held in the Continental Ballroom at the Amway Grand Plaza Hotel, 187 Monroe NW, Grand Rapids, Michigan, on Wednesday, April 19, 2000, at 8:30 a.m. local time (registration begins at 8:00 a.m.) for the following purposes:</w:t>
      </w:r>
    </w:p>
    <w:p>
      <w:pPr>
        <w:spacing w:after="0" w:line="59" w:lineRule="exact"/>
        <w:rPr>
          <w:sz w:val="20"/>
          <w:szCs w:val="20"/>
          <w:color w:val="auto"/>
        </w:rPr>
      </w:pPr>
    </w:p>
    <w:p>
      <w:pPr>
        <w:ind w:left="340" w:hanging="333"/>
        <w:spacing w:after="0"/>
        <w:tabs>
          <w:tab w:leader="none" w:pos="3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two directors for three-year terms expiring in 2003.</w:t>
      </w:r>
    </w:p>
    <w:p>
      <w:pPr>
        <w:spacing w:after="0" w:line="167" w:lineRule="exact"/>
        <w:rPr>
          <w:rFonts w:ascii="Courier New" w:cs="Courier New" w:eastAsia="Courier New" w:hAnsi="Courier New"/>
          <w:sz w:val="14"/>
          <w:szCs w:val="14"/>
          <w:color w:val="auto"/>
        </w:rPr>
      </w:pPr>
    </w:p>
    <w:p>
      <w:pPr>
        <w:ind w:left="340" w:right="3879" w:hanging="333"/>
        <w:spacing w:after="0" w:line="366" w:lineRule="auto"/>
        <w:tabs>
          <w:tab w:leader="none" w:pos="3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 of such other business as may properly come before the meeting.</w:t>
      </w:r>
    </w:p>
    <w:p>
      <w:pPr>
        <w:spacing w:after="0" w:line="6" w:lineRule="exact"/>
        <w:rPr>
          <w:sz w:val="20"/>
          <w:szCs w:val="20"/>
          <w:color w:val="auto"/>
        </w:rPr>
      </w:pPr>
    </w:p>
    <w:p>
      <w:pPr>
        <w:ind w:right="3539"/>
        <w:spacing w:after="0" w:line="366" w:lineRule="auto"/>
        <w:rPr>
          <w:sz w:val="20"/>
          <w:szCs w:val="20"/>
          <w:color w:val="auto"/>
        </w:rPr>
      </w:pPr>
      <w:r>
        <w:rPr>
          <w:rFonts w:ascii="Courier New" w:cs="Courier New" w:eastAsia="Courier New" w:hAnsi="Courier New"/>
          <w:sz w:val="14"/>
          <w:szCs w:val="14"/>
          <w:color w:val="auto"/>
        </w:rPr>
        <w:t>Shareholders of record at the close of business on March 1, 2000, are entitled to notice of, and to vote at the meeting.</w:t>
      </w:r>
    </w:p>
    <w:p>
      <w:pPr>
        <w:spacing w:after="0" w:line="6"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To vote by telephone, shareholders of record (shareholders who possess a certificate representing their shares) may call toll free on a touch-tone telephone 1-800-PROXIES (1-800-776-9437), enter the control number located on the proxy card and follow the recorded instructions. To vote by Internet, go to the site http://www.voteproxy.com, enter the control number located on the proxy card and follow the instructions provided.</w:t>
      </w:r>
    </w:p>
    <w:p>
      <w:pPr>
        <w:spacing w:after="0" w:line="71" w:lineRule="exact"/>
        <w:rPr>
          <w:sz w:val="20"/>
          <w:szCs w:val="20"/>
          <w:color w:val="auto"/>
        </w:rPr>
      </w:pPr>
    </w:p>
    <w:p>
      <w:pPr>
        <w:ind w:right="3799"/>
        <w:spacing w:after="0" w:line="286" w:lineRule="auto"/>
        <w:rPr>
          <w:sz w:val="20"/>
          <w:szCs w:val="20"/>
          <w:color w:val="auto"/>
        </w:rPr>
      </w:pPr>
      <w:r>
        <w:rPr>
          <w:rFonts w:ascii="Courier New" w:cs="Courier New" w:eastAsia="Courier New" w:hAnsi="Courier New"/>
          <w:sz w:val="14"/>
          <w:szCs w:val="14"/>
          <w:color w:val="auto"/>
        </w:rPr>
        <w:t>If your shares are held through a bank or a broker (referred to as "street name"), you may also be eligible to vote your shares electronically. Simply follow the instructions on your voting form, using either the toll free telephone number or the Internet address that is listed.</w:t>
      </w:r>
    </w:p>
    <w:p>
      <w:pPr>
        <w:spacing w:after="0" w:line="59" w:lineRule="exact"/>
        <w:rPr>
          <w:sz w:val="20"/>
          <w:szCs w:val="20"/>
          <w:color w:val="auto"/>
        </w:rPr>
      </w:pPr>
    </w:p>
    <w:p>
      <w:pPr>
        <w:ind w:right="3799"/>
        <w:spacing w:after="0" w:line="366" w:lineRule="auto"/>
        <w:rPr>
          <w:sz w:val="20"/>
          <w:szCs w:val="20"/>
          <w:color w:val="auto"/>
        </w:rPr>
      </w:pPr>
      <w:r>
        <w:rPr>
          <w:rFonts w:ascii="Courier New" w:cs="Courier New" w:eastAsia="Courier New" w:hAnsi="Courier New"/>
          <w:sz w:val="14"/>
          <w:szCs w:val="14"/>
          <w:color w:val="auto"/>
        </w:rPr>
        <w:t>A copy of the Annual Report to Shareholders for the year ended December 25, 1999, is being mailed to you concurrently with this Notice.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Missad, Secretary</w:t>
      </w:r>
    </w:p>
    <w:p>
      <w:pPr>
        <w:spacing w:after="0" w:line="168" w:lineRule="exact"/>
        <w:rPr>
          <w:sz w:val="20"/>
          <w:szCs w:val="20"/>
          <w:color w:val="auto"/>
        </w:rPr>
      </w:pPr>
    </w:p>
    <w:p>
      <w:pPr>
        <w:ind w:right="4819"/>
        <w:spacing w:after="0" w:line="366" w:lineRule="auto"/>
        <w:rPr>
          <w:sz w:val="20"/>
          <w:szCs w:val="20"/>
          <w:color w:val="auto"/>
        </w:rPr>
      </w:pPr>
      <w:r>
        <w:rPr>
          <w:rFonts w:ascii="Courier New" w:cs="Courier New" w:eastAsia="Courier New" w:hAnsi="Courier New"/>
          <w:sz w:val="14"/>
          <w:szCs w:val="14"/>
          <w:color w:val="auto"/>
        </w:rPr>
        <w:t>YOUR VOTE IS IMPORTANT. EVEN IF YOU PLAN TO ATTEND THE MEETING, PLEASE SIGN, DATE AND RETURN THE ENCLOSED PROXY PROMPTLY.</w:t>
      </w:r>
    </w:p>
    <w:p>
      <w:pPr>
        <w:sectPr>
          <w:pgSz w:w="11900" w:h="16838" w:orient="portrait"/>
          <w:cols w:equalWidth="0" w:num="1">
            <w:col w:w="10159"/>
          </w:cols>
          <w:pgMar w:left="300" w:top="25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6200"/>
        <w:spacing w:after="0"/>
        <w:rPr>
          <w:sz w:val="20"/>
          <w:szCs w:val="20"/>
          <w:color w:val="auto"/>
        </w:rPr>
      </w:pPr>
      <w:r>
        <w:rPr>
          <w:rFonts w:ascii="Courier New" w:cs="Courier New" w:eastAsia="Courier New" w:hAnsi="Courier New"/>
          <w:sz w:val="14"/>
          <w:szCs w:val="14"/>
          <w:color w:val="auto"/>
        </w:rPr>
        <w:t>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SHAREHOLDERS</w:t>
      </w:r>
    </w:p>
    <w:p>
      <w:pPr>
        <w:spacing w:after="0" w:line="168" w:lineRule="exact"/>
        <w:rPr>
          <w:sz w:val="20"/>
          <w:szCs w:val="20"/>
          <w:color w:val="auto"/>
        </w:rPr>
      </w:pPr>
    </w:p>
    <w:p>
      <w:pPr>
        <w:ind w:right="3619"/>
        <w:spacing w:after="0" w:line="366" w:lineRule="auto"/>
        <w:rPr>
          <w:sz w:val="20"/>
          <w:szCs w:val="20"/>
          <w:color w:val="auto"/>
        </w:rPr>
      </w:pPr>
      <w:r>
        <w:rPr>
          <w:rFonts w:ascii="Courier New" w:cs="Courier New" w:eastAsia="Courier New" w:hAnsi="Courier New"/>
          <w:sz w:val="14"/>
          <w:szCs w:val="14"/>
          <w:color w:val="auto"/>
        </w:rPr>
        <w:t>UNIVERSAL FOREST PRODUCTS, INC. 2801 East Beltline NE Grand Rapids, Michigan 49525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21,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pacing w:after="0" w:line="168"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SOLICITATION OF PROXIES. This Proxy Statement and the enclosed Proxy are being furnished to holders of Common Stock, no par value, of Universal Forest Products, Inc. (the "Company"). The Board of Directors is soliciting proxies for use at the Annual Meeting of Shareholders to be held on April 19, 2000, and at any adjournment of that meeting. The annual meeting will be held in the Continental Ballroom of the Amway Grand Plaza Hotel, 187 Monroe NW, Grand Rapids, Michigan, at 8:30 a.m. local time. Registration for the meeting begins at 8:00 a.m.</w:t>
      </w:r>
    </w:p>
    <w:p>
      <w:pPr>
        <w:spacing w:after="0" w:line="77"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If the enclosed Proxy is properly executed and returned to the Company, the shares represented by the Proxy will be voted at the annual meeting and at any adjournment thereof. If a shareholder specifies a choice, the Proxy will be voted as specified. If no choice is specified, the shares represented by the Proxy will be voted for the election of all nominees named in the Proxy Statement and in accordance with the judgment of the persons named as proxies with respect to any other matter which may come before the meeting. A Proxy may be revoked at any time before it is exercised, by written notice delivered to the Secretary of the Company, by executing a subsequent Proxy, or by attending the annual meeting and voting in person.</w:t>
      </w:r>
    </w:p>
    <w:p>
      <w:pPr>
        <w:spacing w:after="0" w:line="76"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The cost of the solicitation of Proxies will be paid by the Company. In addition to the use of the mails, Proxies may be solicited personally, by telephone, by facsimile or by electronic mail by regular employees of the Company who will not receive additional compensation. The Company does not intend to pay any compensation for the solicitation of Proxies, except that brokers, nominees, custodians and other fiduciaries will be reimbursed by the Company for their expenses in connection with sending proxy materials to beneficial owners and obtaining their Proxies.</w:t>
      </w:r>
    </w:p>
    <w:p>
      <w:pPr>
        <w:spacing w:after="0" w:line="77"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VOTING SECURITIES. Holders of record of Common Stock at the close of business on March 1, 2000, will be entitled to vote at the annual meeting. As of March 1, 2000, there were 20,127,181 shares of Common Stock outstanding. A shareholder is entitled to one vote for each share of Common Stock registered in the shareholder's name at the close of business on March 1, 2000. Votes cast at the meeting or submitted by Proxy will be counted by inspectors of the meeting who will be appointed by the Company.</w:t>
      </w:r>
    </w:p>
    <w:p>
      <w:pPr>
        <w:spacing w:after="0" w:line="7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ELECTION OF DIRECTORS</w:t>
      </w:r>
    </w:p>
    <w:p>
      <w:pPr>
        <w:spacing w:after="0" w:line="168"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The Company's Articles of Incorporation provide that the Board of Directors, which consists of seven members unless otherwise specified by 2/3 of the Board, shall be divided into three classes, as equal in number as possible, with the classes to hold office for staggered terms of three years each. At the recommendation of the Nominating Committee, the Board of Directors has nominated incumbent directors John W. Garside and Peter F. Secchia for re-election as directors for three-year terms expiring at the 2003 annual meeting.</w:t>
      </w:r>
    </w:p>
    <w:p>
      <w:pPr>
        <w:sectPr>
          <w:pgSz w:w="11900" w:h="16838" w:orient="portrait"/>
          <w:cols w:equalWidth="0" w:num="1">
            <w:col w:w="10159"/>
          </w:cols>
          <w:pgMar w:left="300" w:top="25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spacing w:after="0" w:line="306" w:lineRule="auto"/>
        <w:rPr>
          <w:sz w:val="20"/>
          <w:szCs w:val="20"/>
          <w:color w:val="auto"/>
        </w:rPr>
      </w:pPr>
      <w:r>
        <w:rPr>
          <w:rFonts w:ascii="Courier New" w:cs="Courier New" w:eastAsia="Courier New" w:hAnsi="Courier New"/>
          <w:sz w:val="14"/>
          <w:szCs w:val="14"/>
          <w:color w:val="auto"/>
        </w:rPr>
        <w:t>Richard M. DeVos is retiring from the Board following the April 19, 2000 Board Meeting. The Company would like to thank Mr. DeVos for the wisdom and insight he provided to the Company during his term on the Board.</w:t>
      </w:r>
    </w:p>
    <w:p>
      <w:pPr>
        <w:spacing w:after="0" w:line="46"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The persons named as proxy holders in the accompanying Proxy will vote for the above-named nominees, unless the shareholder directs them differently on the proxy card. If a nominee is not available for election as a director at the time of the annual meeting (a situation which is not now anticipated), the Board of Directors may designate a substitute nominee, and the accompanying Proxy will be voted for the substituted nominee.</w:t>
      </w:r>
    </w:p>
    <w:p>
      <w:pPr>
        <w:spacing w:after="0" w:line="71"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A vote of the shareholders holding a plurality of the shares present in person or represented by proxy is required to elect directors. The two individuals who receive the greatest number of votes cast at the meeting will be elected as directors. For purposes of counting votes on the election of directors, abstentions, broker non-votes, and shares otherwise withheld from voting will not be counted as shares cast at the meeting, and will not have an affect on the outcome of the election.</w:t>
      </w:r>
    </w:p>
    <w:p>
      <w:pPr>
        <w:spacing w:after="0" w:line="74" w:lineRule="exact"/>
        <w:rPr>
          <w:sz w:val="20"/>
          <w:szCs w:val="20"/>
          <w:color w:val="auto"/>
        </w:rPr>
      </w:pPr>
    </w:p>
    <w:p>
      <w:pPr>
        <w:ind w:right="4039"/>
        <w:spacing w:after="0" w:line="366" w:lineRule="auto"/>
        <w:rPr>
          <w:sz w:val="20"/>
          <w:szCs w:val="20"/>
          <w:color w:val="auto"/>
        </w:rPr>
      </w:pPr>
      <w:r>
        <w:rPr>
          <w:rFonts w:ascii="Courier New" w:cs="Courier New" w:eastAsia="Courier New" w:hAnsi="Courier New"/>
          <w:sz w:val="14"/>
          <w:szCs w:val="14"/>
          <w:color w:val="auto"/>
        </w:rPr>
        <w:t>THE BOARD OF DIRECTORS RECOMMENDS A VOTE FOR THE ELECTION OF EACH PERSON NOMINATED BY THE BOARD.</w:t>
      </w:r>
    </w:p>
    <w:p>
      <w:pPr>
        <w:spacing w:after="0" w:line="6"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The following table provides certain biographical information for each person who is nominated for election as a director at the annual meeting and for each person who is continuing as an incumbent director.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NAMES, (AGES), POSITIONS AND BACKGROUNDS OF</w:t>
            </w:r>
          </w:p>
        </w:tc>
        <w:tc>
          <w:tcPr>
            <w:tcW w:w="2500" w:type="dxa"/>
            <w:vAlign w:val="bottom"/>
            <w:vMerge w:val="restart"/>
          </w:tcPr>
          <w:p>
            <w:pPr>
              <w:ind w:left="720"/>
              <w:spacing w:after="0"/>
              <w:rPr>
                <w:sz w:val="20"/>
                <w:szCs w:val="20"/>
                <w:color w:val="auto"/>
              </w:rPr>
            </w:pPr>
            <w:r>
              <w:rPr>
                <w:rFonts w:ascii="Courier New" w:cs="Courier New" w:eastAsia="Courier New" w:hAnsi="Courier New"/>
                <w:sz w:val="14"/>
                <w:szCs w:val="14"/>
                <w:color w:val="auto"/>
                <w:w w:val="99"/>
              </w:rPr>
              <w:t>SERVICE AS A DIRECTOR</w:t>
            </w:r>
          </w:p>
        </w:tc>
        <w:tc>
          <w:tcPr>
            <w:tcW w:w="0" w:type="dxa"/>
            <w:vAlign w:val="bottom"/>
          </w:tcPr>
          <w:p>
            <w:pPr>
              <w:spacing w:after="0"/>
              <w:rPr>
                <w:sz w:val="1"/>
                <w:szCs w:val="1"/>
                <w:color w:val="auto"/>
              </w:rPr>
            </w:pPr>
          </w:p>
        </w:tc>
      </w:tr>
      <w:tr>
        <w:trPr>
          <w:trHeight w:val="163"/>
        </w:trPr>
        <w:tc>
          <w:tcPr>
            <w:tcW w:w="4960" w:type="dxa"/>
            <w:vAlign w:val="bottom"/>
          </w:tcPr>
          <w:p>
            <w:pPr>
              <w:ind w:left="1440"/>
              <w:spacing w:after="0"/>
              <w:rPr>
                <w:sz w:val="20"/>
                <w:szCs w:val="20"/>
                <w:color w:val="auto"/>
              </w:rPr>
            </w:pPr>
            <w:r>
              <w:rPr>
                <w:rFonts w:ascii="Courier New" w:cs="Courier New" w:eastAsia="Courier New" w:hAnsi="Courier New"/>
                <w:sz w:val="14"/>
                <w:szCs w:val="14"/>
                <w:color w:val="auto"/>
              </w:rPr>
              <w:t>DIRECTORS AND NOMINEES</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500" w:type="dxa"/>
            <w:vAlign w:val="bottom"/>
          </w:tcPr>
          <w:p>
            <w:pPr>
              <w:ind w:left="72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25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Nominees for Terms Expiring in 2003</w:t>
            </w:r>
          </w:p>
        </w:tc>
        <w:tc>
          <w:tcPr>
            <w:tcW w:w="25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Director since 1967.</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PETER F. SECCHIA (62) joined the Company in 1962, and</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has been the Chairman of the Board since January of</w:t>
            </w:r>
          </w:p>
        </w:tc>
        <w:tc>
          <w:tcPr>
            <w:tcW w:w="2500" w:type="dxa"/>
            <w:vAlign w:val="bottom"/>
          </w:tcPr>
          <w:p>
            <w:pPr>
              <w:ind w:left="300"/>
              <w:spacing w:after="0"/>
              <w:rPr>
                <w:sz w:val="20"/>
                <w:szCs w:val="20"/>
                <w:color w:val="auto"/>
              </w:rPr>
            </w:pPr>
            <w:r>
              <w:rPr>
                <w:rFonts w:ascii="Courier New" w:cs="Courier New" w:eastAsia="Courier New" w:hAnsi="Courier New"/>
                <w:sz w:val="14"/>
                <w:szCs w:val="14"/>
                <w:color w:val="auto"/>
              </w:rPr>
              <w:t>Chairman of Nominating</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1993. From 1971 until 1989, Mr. Secchia was the</w:t>
            </w:r>
          </w:p>
        </w:tc>
        <w:tc>
          <w:tcPr>
            <w:tcW w:w="2500" w:type="dxa"/>
            <w:vAlign w:val="bottom"/>
          </w:tcPr>
          <w:p>
            <w:pPr>
              <w:ind w:left="300"/>
              <w:spacing w:after="0"/>
              <w:rPr>
                <w:sz w:val="20"/>
                <w:szCs w:val="20"/>
                <w:color w:val="auto"/>
              </w:rPr>
            </w:pPr>
            <w:r>
              <w:rPr>
                <w:rFonts w:ascii="Courier New" w:cs="Courier New" w:eastAsia="Courier New" w:hAnsi="Courier New"/>
                <w:sz w:val="14"/>
                <w:szCs w:val="14"/>
                <w:color w:val="auto"/>
              </w:rPr>
              <w:t>Committee.</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President, Chief Executive Officer, and Chairman of the</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Company. From 1989 until January of 1993, Mr. Secchia</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served as U.S. Ambassador to Italy. Mr. Secchia also</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serves as a director of Old Kent Financial Corporation,</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and on the board of John Cabot University of Rome.</w:t>
            </w:r>
          </w:p>
        </w:tc>
        <w:tc>
          <w:tcPr>
            <w:tcW w:w="25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Director since 1993.</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JOHN W. GARSIDE (60) is the President and Treasurer of</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Woodruff Coal Company of Kalamazoo, Michigan. Mr.</w:t>
            </w:r>
          </w:p>
        </w:tc>
        <w:tc>
          <w:tcPr>
            <w:tcW w:w="2500" w:type="dxa"/>
            <w:vAlign w:val="bottom"/>
          </w:tcPr>
          <w:p>
            <w:pPr>
              <w:ind w:left="300"/>
              <w:spacing w:after="0"/>
              <w:rPr>
                <w:sz w:val="20"/>
                <w:szCs w:val="20"/>
                <w:color w:val="auto"/>
              </w:rPr>
            </w:pPr>
            <w:r>
              <w:rPr>
                <w:rFonts w:ascii="Courier New" w:cs="Courier New" w:eastAsia="Courier New" w:hAnsi="Courier New"/>
                <w:sz w:val="14"/>
                <w:szCs w:val="14"/>
                <w:color w:val="auto"/>
              </w:rPr>
              <w:t>Chairman of Personnel and</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Garside also serves as a Commissioner for the Michigan</w:t>
            </w:r>
          </w:p>
        </w:tc>
        <w:tc>
          <w:tcPr>
            <w:tcW w:w="2500" w:type="dxa"/>
            <w:vAlign w:val="bottom"/>
          </w:tcPr>
          <w:p>
            <w:pPr>
              <w:ind w:left="300"/>
              <w:spacing w:after="0"/>
              <w:rPr>
                <w:sz w:val="20"/>
                <w:szCs w:val="20"/>
                <w:color w:val="auto"/>
              </w:rPr>
            </w:pPr>
            <w:r>
              <w:rPr>
                <w:rFonts w:ascii="Courier New" w:cs="Courier New" w:eastAsia="Courier New" w:hAnsi="Courier New"/>
                <w:sz w:val="14"/>
                <w:szCs w:val="14"/>
                <w:color w:val="auto"/>
              </w:rPr>
              <w:t>Compensation Committee.</w:t>
            </w:r>
          </w:p>
        </w:tc>
        <w:tc>
          <w:tcPr>
            <w:tcW w:w="0" w:type="dxa"/>
            <w:vAlign w:val="bottom"/>
          </w:tcPr>
          <w:p>
            <w:pPr>
              <w:spacing w:after="0"/>
              <w:rPr>
                <w:sz w:val="1"/>
                <w:szCs w:val="1"/>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Department of Transportation, and as a director and</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r>
              <w:rPr>
                <w:rFonts w:ascii="Courier New" w:cs="Courier New" w:eastAsia="Courier New" w:hAnsi="Courier New"/>
                <w:sz w:val="14"/>
                <w:szCs w:val="14"/>
                <w:color w:val="auto"/>
              </w:rPr>
              <w:t>member of the compensation committee of PRAB, Inc.</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25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20" w:type="dxa"/>
            <w:vAlign w:val="bottom"/>
          </w:tcPr>
          <w:p>
            <w:pPr>
              <w:ind w:left="1180"/>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578"/>
        </w:trPr>
        <w:tc>
          <w:tcPr>
            <w:tcW w:w="50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NAMES, (AGES), POSITIONS AND BACKGROUNDS OF</w:t>
            </w:r>
          </w:p>
        </w:tc>
        <w:tc>
          <w:tcPr>
            <w:tcW w:w="2620" w:type="dxa"/>
            <w:vAlign w:val="bottom"/>
            <w:vMerge w:val="restart"/>
          </w:tcPr>
          <w:p>
            <w:pPr>
              <w:ind w:left="660"/>
              <w:spacing w:after="0"/>
              <w:rPr>
                <w:sz w:val="20"/>
                <w:szCs w:val="20"/>
                <w:color w:val="auto"/>
              </w:rPr>
            </w:pPr>
            <w:r>
              <w:rPr>
                <w:rFonts w:ascii="Courier New" w:cs="Courier New" w:eastAsia="Courier New" w:hAnsi="Courier New"/>
                <w:sz w:val="14"/>
                <w:szCs w:val="14"/>
                <w:color w:val="auto"/>
              </w:rPr>
              <w:t>SERVICE AS A DIRECTOR</w:t>
            </w:r>
          </w:p>
        </w:tc>
        <w:tc>
          <w:tcPr>
            <w:tcW w:w="0" w:type="dxa"/>
            <w:vAlign w:val="bottom"/>
          </w:tcPr>
          <w:p>
            <w:pPr>
              <w:spacing w:after="0"/>
              <w:rPr>
                <w:sz w:val="1"/>
                <w:szCs w:val="1"/>
                <w:color w:val="auto"/>
              </w:rPr>
            </w:pPr>
          </w:p>
        </w:tc>
      </w:tr>
      <w:tr>
        <w:trPr>
          <w:trHeight w:val="163"/>
        </w:trPr>
        <w:tc>
          <w:tcPr>
            <w:tcW w:w="502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DIRECTORS AND NOMINEES</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0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Incumbent Directors --</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Terms Expiring in 2001</w:t>
            </w:r>
          </w:p>
        </w:tc>
        <w:tc>
          <w:tcPr>
            <w:tcW w:w="26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Director since 1978.</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WILLIAM G. CURRIE (52) is the Chief Executive Officer</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and Vice Chairman of the Board of the Company. He joined</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the Company in 1971, serving as a Salesman, General</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Manager, Vice President, and Executive Vice President</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from 1971 to 1983. From 1983 to 1990, Mr. Currie was</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President of Universal Forest Products, Inc. Since 1989</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he has been the Chief Executive Officer of the Company,</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and on January 1, 2000, also became Vice Chairman of the</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Board.</w:t>
            </w:r>
          </w:p>
        </w:tc>
        <w:tc>
          <w:tcPr>
            <w:tcW w:w="3060" w:type="dxa"/>
            <w:vAlign w:val="bottom"/>
          </w:tcPr>
          <w:p>
            <w:pPr>
              <w:spacing w:after="0"/>
              <w:rPr>
                <w:sz w:val="14"/>
                <w:szCs w:val="14"/>
                <w:color w:val="auto"/>
              </w:rPr>
            </w:pPr>
          </w:p>
        </w:tc>
        <w:tc>
          <w:tcPr>
            <w:tcW w:w="26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Director since 1993.</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PHILIP M. NOVELL (62) is a consultant with the Compass</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Group of Birmingham, Michigan. Mr. Novell retired as</w:t>
            </w:r>
          </w:p>
        </w:tc>
        <w:tc>
          <w:tcPr>
            <w:tcW w:w="2620" w:type="dxa"/>
            <w:vAlign w:val="bottom"/>
          </w:tcPr>
          <w:p>
            <w:pPr>
              <w:ind w:left="240"/>
              <w:spacing w:after="0"/>
              <w:rPr>
                <w:sz w:val="20"/>
                <w:szCs w:val="20"/>
                <w:color w:val="auto"/>
              </w:rPr>
            </w:pPr>
            <w:r>
              <w:rPr>
                <w:rFonts w:ascii="Courier New" w:cs="Courier New" w:eastAsia="Courier New" w:hAnsi="Courier New"/>
                <w:sz w:val="14"/>
                <w:szCs w:val="14"/>
                <w:color w:val="auto"/>
              </w:rPr>
              <w:t>Member of Audit Committee.</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General Sales Manager for the Ford Division of Ford</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Motor Company on December 31, 1998, with whom he had</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been affiliated since 1961. Mr. Novell is also a member</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of the Michigan Exposition and Fairgrounds Advisory</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Council.</w:t>
            </w:r>
          </w:p>
        </w:tc>
        <w:tc>
          <w:tcPr>
            <w:tcW w:w="3060" w:type="dxa"/>
            <w:vAlign w:val="bottom"/>
            <w:vMerge w:val="restart"/>
          </w:tcPr>
          <w:p>
            <w:pPr>
              <w:spacing w:after="0"/>
              <w:rPr>
                <w:sz w:val="20"/>
                <w:szCs w:val="20"/>
                <w:color w:val="auto"/>
              </w:rPr>
            </w:pPr>
            <w:r>
              <w:rPr>
                <w:rFonts w:ascii="Courier New" w:cs="Courier New" w:eastAsia="Courier New" w:hAnsi="Courier New"/>
                <w:sz w:val="14"/>
                <w:szCs w:val="14"/>
                <w:color w:val="auto"/>
              </w:rPr>
              <w:t>Terms Expiring in 2002</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Incumbent Directors --</w:t>
            </w:r>
          </w:p>
        </w:tc>
        <w:tc>
          <w:tcPr>
            <w:tcW w:w="3060" w:type="dxa"/>
            <w:vAlign w:val="bottom"/>
            <w:vMerge w:val="continue"/>
          </w:tcPr>
          <w:p>
            <w:pPr>
              <w:spacing w:after="0"/>
              <w:rPr>
                <w:sz w:val="14"/>
                <w:szCs w:val="14"/>
                <w:color w:val="auto"/>
              </w:rPr>
            </w:pPr>
          </w:p>
        </w:tc>
        <w:tc>
          <w:tcPr>
            <w:tcW w:w="26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Director since 1993.</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LOUIS A. SMITH (60) is President of the law firm of</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Smith and Johnson, Attorneys, P.C., of Traverse City,</w:t>
            </w:r>
          </w:p>
        </w:tc>
        <w:tc>
          <w:tcPr>
            <w:tcW w:w="2620" w:type="dxa"/>
            <w:vAlign w:val="bottom"/>
          </w:tcPr>
          <w:p>
            <w:pPr>
              <w:ind w:left="240"/>
              <w:spacing w:after="0"/>
              <w:rPr>
                <w:sz w:val="20"/>
                <w:szCs w:val="20"/>
                <w:color w:val="auto"/>
              </w:rPr>
            </w:pPr>
            <w:r>
              <w:rPr>
                <w:rFonts w:ascii="Courier New" w:cs="Courier New" w:eastAsia="Courier New" w:hAnsi="Courier New"/>
                <w:sz w:val="14"/>
                <w:szCs w:val="14"/>
                <w:color w:val="auto"/>
              </w:rPr>
              <w:t>Chairman of Audit Committee.</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Michigan. Mr. Smith also serves as a director of Empire</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National Bank, is a Trustee for the Interlochen Center</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for the Arts and serves as a member of the Advisory</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Council to the University of Notre Dame Law School.</w:t>
            </w:r>
          </w:p>
        </w:tc>
        <w:tc>
          <w:tcPr>
            <w:tcW w:w="26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Director since 1996.</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JOHN C. CANEPA (69) is a Consulting Principal for Crowe</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Chizek and Company, LLP, of Grand Rapids, Michigan. Mr.</w:t>
            </w:r>
          </w:p>
        </w:tc>
        <w:tc>
          <w:tcPr>
            <w:tcW w:w="2620" w:type="dxa"/>
            <w:vAlign w:val="bottom"/>
          </w:tcPr>
          <w:p>
            <w:pPr>
              <w:ind w:left="240"/>
              <w:spacing w:after="0"/>
              <w:rPr>
                <w:sz w:val="20"/>
                <w:szCs w:val="20"/>
                <w:color w:val="auto"/>
              </w:rPr>
            </w:pPr>
            <w:r>
              <w:rPr>
                <w:rFonts w:ascii="Courier New" w:cs="Courier New" w:eastAsia="Courier New" w:hAnsi="Courier New"/>
                <w:sz w:val="14"/>
                <w:szCs w:val="14"/>
                <w:color w:val="auto"/>
              </w:rPr>
              <w:t>Member of Personnel and</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Canepa retired as Chairman of the Board of Old Kent</w:t>
            </w:r>
          </w:p>
        </w:tc>
        <w:tc>
          <w:tcPr>
            <w:tcW w:w="2620" w:type="dxa"/>
            <w:vAlign w:val="bottom"/>
          </w:tcPr>
          <w:p>
            <w:pPr>
              <w:ind w:left="240"/>
              <w:spacing w:after="0"/>
              <w:rPr>
                <w:sz w:val="20"/>
                <w:szCs w:val="20"/>
                <w:color w:val="auto"/>
              </w:rPr>
            </w:pPr>
            <w:r>
              <w:rPr>
                <w:rFonts w:ascii="Courier New" w:cs="Courier New" w:eastAsia="Courier New" w:hAnsi="Courier New"/>
                <w:sz w:val="14"/>
                <w:szCs w:val="14"/>
                <w:color w:val="auto"/>
              </w:rPr>
              <w:t>Compensation Committee.</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Financial Corporation on November 1, 1995, with whom he</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had been affiliated since its formation in 1972. Mr.</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Canepa also serves on the board of Foremost Corporation</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of America.</w:t>
            </w:r>
          </w:p>
        </w:tc>
        <w:tc>
          <w:tcPr>
            <w:tcW w:w="3060" w:type="dxa"/>
            <w:vAlign w:val="bottom"/>
          </w:tcPr>
          <w:p>
            <w:pPr>
              <w:spacing w:after="0"/>
              <w:rPr>
                <w:sz w:val="14"/>
                <w:szCs w:val="14"/>
                <w:color w:val="auto"/>
              </w:rPr>
            </w:pPr>
          </w:p>
        </w:tc>
        <w:tc>
          <w:tcPr>
            <w:tcW w:w="2620" w:type="dxa"/>
            <w:vAlign w:val="bottom"/>
            <w:vMerge w:val="restart"/>
          </w:tcPr>
          <w:p>
            <w:pPr>
              <w:ind w:left="240"/>
              <w:spacing w:after="0"/>
              <w:rPr>
                <w:sz w:val="20"/>
                <w:szCs w:val="20"/>
                <w:color w:val="auto"/>
              </w:rPr>
            </w:pPr>
            <w:r>
              <w:rPr>
                <w:rFonts w:ascii="Courier New" w:cs="Courier New" w:eastAsia="Courier New" w:hAnsi="Courier New"/>
                <w:sz w:val="14"/>
                <w:szCs w:val="14"/>
                <w:color w:val="auto"/>
              </w:rPr>
              <w:t>Director since 1998.</w:t>
            </w:r>
          </w:p>
        </w:tc>
        <w:tc>
          <w:tcPr>
            <w:tcW w:w="0" w:type="dxa"/>
            <w:vAlign w:val="bottom"/>
          </w:tcPr>
          <w:p>
            <w:pPr>
              <w:spacing w:after="0"/>
              <w:rPr>
                <w:sz w:val="1"/>
                <w:szCs w:val="1"/>
                <w:color w:val="auto"/>
              </w:rPr>
            </w:pPr>
          </w:p>
        </w:tc>
      </w:tr>
      <w:tr>
        <w:trPr>
          <w:trHeight w:val="163"/>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CARROLL M. SHOFFNER (67) is the Chairman of Shoffner</w:t>
            </w: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rPr>
              <w:t>Industries, L.L.C. of Burlington, North Carolina, which</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he began in 1964. Mr. Shoffner also serves on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Mid Carolina Bank of Burlington.</w:t>
      </w: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The Board of Directors has appointed an Audit Committee. The Audit Committee recommends the selection of independent accountants; approves the nature and scope of services to be performed by the independent accountants and reviews the range of fees for such services; confers with the independent accountants and reviews the results of the annual audit; reviews with the independent accountants the Company's internal auditing, accounting and financial</w:t>
      </w:r>
    </w:p>
    <w:p>
      <w:pPr>
        <w:sectPr>
          <w:pgSz w:w="11900" w:h="16838" w:orient="portrait"/>
          <w:cols w:equalWidth="0" w:num="1">
            <w:col w:w="10159"/>
          </w:cols>
          <w:pgMar w:left="300" w:top="25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right="3459"/>
        <w:spacing w:after="0" w:line="306" w:lineRule="auto"/>
        <w:rPr>
          <w:sz w:val="20"/>
          <w:szCs w:val="20"/>
          <w:color w:val="auto"/>
        </w:rPr>
      </w:pPr>
      <w:r>
        <w:rPr>
          <w:rFonts w:ascii="Courier New" w:cs="Courier New" w:eastAsia="Courier New" w:hAnsi="Courier New"/>
          <w:sz w:val="14"/>
          <w:szCs w:val="14"/>
          <w:color w:val="auto"/>
        </w:rPr>
        <w:t>controls; and reviews policies and practices regarding compliance with laws and conflicts of interest. During 1999, the Audit Committee held two formal meetings.</w:t>
      </w:r>
    </w:p>
    <w:p>
      <w:pPr>
        <w:spacing w:after="0" w:line="4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Board of Directors has a Nominating Committee that is responsible for recommending to the Board suitable candidates for nomination for positions on the Board of Directors and committees of the Board of Directors. During 1999, the Nominating Committee held one meeting. The Nominating Committee will consider nominees recommended by shareholders, provided that a recommendation is submitted in writing to the Chairman of the Nominating Committee at the address of the Company, on or before the 30th day preceding the date of the annual meeting, and includes a description of the proposed nominee, his or her consent to serve as a director and other information regarding the proposed nominee as would be required to be included in a proxy statement filed under the Securities Exchange Act.</w:t>
      </w:r>
    </w:p>
    <w:p>
      <w:pPr>
        <w:spacing w:after="0" w:line="82"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The Board of Directors has a Personnel and Compensation Committee, consisting entirely of outside directors, that is responsible for reviewing and recommending to the Board of Directors the timing and amount of compensation for key employees, including salaries, bonuses and other benefits. The Personnel and Compensation Committee also is responsible for administering the Company's stock option and other equity-based incentive plans, recommending retainer and attendance fees for non-employee directors, reviewing compensation plans and awards as they relate to key employees and administering the Company's retirement plans. During 1999, the Personnel and Compensation Committee held one meeting.</w:t>
      </w:r>
    </w:p>
    <w:p>
      <w:pPr>
        <w:spacing w:after="0" w:line="76" w:lineRule="exact"/>
        <w:rPr>
          <w:sz w:val="20"/>
          <w:szCs w:val="20"/>
          <w:color w:val="auto"/>
        </w:rPr>
      </w:pPr>
    </w:p>
    <w:p>
      <w:pPr>
        <w:ind w:right="3539"/>
        <w:spacing w:after="0" w:line="276" w:lineRule="auto"/>
        <w:rPr>
          <w:sz w:val="20"/>
          <w:szCs w:val="20"/>
          <w:color w:val="auto"/>
        </w:rPr>
      </w:pPr>
      <w:r>
        <w:rPr>
          <w:rFonts w:ascii="Courier New" w:cs="Courier New" w:eastAsia="Courier New" w:hAnsi="Courier New"/>
          <w:sz w:val="14"/>
          <w:szCs w:val="14"/>
          <w:color w:val="auto"/>
        </w:rPr>
        <w:t>During the Company's last fiscal year, there were four regular meetings of the Board of Directors, and the Board took action by unanimous written consent on two occasions. Each of the incumbent directors attended 75% or more of the aggregate number of meetings of the Board of Directors and meetings of committees on which they were eligible to attend.</w:t>
      </w:r>
    </w:p>
    <w:p>
      <w:pPr>
        <w:spacing w:after="0" w:line="67"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COMPENSATION OF DIRECTORS. Directors who are also employees of the Company receive no annual retainer and are not compensated for attendance at Board or committee meetings. Directors who are not employees of the Company receive a $10,000.00 annual retainer fee, plus $500.00 for attendance at each regular and special meeting of the Board of Directors. In addition, each outside Director is granted 100 shares of stock for each Board meeting attended, up to a maximum of 400 shares per year. Directors receive no compensation for attendance at a committee meeting held on the day of a Board meeting. However, a Director does receive a $500.00 meeting fee for a committee meeting held on a day other than the day of a Board meeting.</w:t>
      </w:r>
    </w:p>
    <w:p>
      <w:pPr>
        <w:spacing w:after="0" w:line="76" w:lineRule="exact"/>
        <w:rPr>
          <w:sz w:val="20"/>
          <w:szCs w:val="20"/>
          <w:color w:val="auto"/>
        </w:rPr>
      </w:pPr>
    </w:p>
    <w:p>
      <w:pPr>
        <w:ind w:right="3699"/>
        <w:spacing w:after="0" w:line="276" w:lineRule="auto"/>
        <w:rPr>
          <w:sz w:val="20"/>
          <w:szCs w:val="20"/>
          <w:color w:val="auto"/>
        </w:rPr>
      </w:pPr>
      <w:r>
        <w:rPr>
          <w:rFonts w:ascii="Courier New" w:cs="Courier New" w:eastAsia="Courier New" w:hAnsi="Courier New"/>
          <w:sz w:val="14"/>
          <w:szCs w:val="14"/>
          <w:color w:val="auto"/>
        </w:rPr>
        <w:t>Each Director who is not an employee of the Company may participate in the Director Retainer Stock Plan. The Director Retainer Stock Plan, approved by shareholders in April 1994, provides that each Director may elect to receive Company stock, on a deferred basis, in lieu of cash compensation for the Director's retainer and meeting fees.</w:t>
      </w:r>
    </w:p>
    <w:p>
      <w:pPr>
        <w:spacing w:after="0" w:line="67" w:lineRule="exact"/>
        <w:rPr>
          <w:sz w:val="20"/>
          <w:szCs w:val="20"/>
          <w:color w:val="auto"/>
        </w:rPr>
      </w:pPr>
    </w:p>
    <w:p>
      <w:pPr>
        <w:ind w:right="3459"/>
        <w:spacing w:after="0" w:line="306" w:lineRule="auto"/>
        <w:rPr>
          <w:sz w:val="20"/>
          <w:szCs w:val="20"/>
          <w:color w:val="auto"/>
        </w:rPr>
      </w:pPr>
      <w:r>
        <w:rPr>
          <w:rFonts w:ascii="Courier New" w:cs="Courier New" w:eastAsia="Courier New" w:hAnsi="Courier New"/>
          <w:sz w:val="14"/>
          <w:szCs w:val="14"/>
          <w:color w:val="auto"/>
        </w:rPr>
        <w:t>Directors receive reimbursement of ordinary and necessary expenses to attend meetings. The Chairmen of the Audit, Personnel and Compensation, and Nominating Committees do not receive additional compensation for serving as a Chairman.</w:t>
      </w:r>
    </w:p>
    <w:p>
      <w:pPr>
        <w:sectPr>
          <w:pgSz w:w="11900" w:h="16838" w:orient="portrait"/>
          <w:cols w:equalWidth="0" w:num="1">
            <w:col w:w="10159"/>
          </w:cols>
          <w:pgMar w:left="300" w:top="25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68" w:lineRule="exact"/>
        <w:rPr>
          <w:sz w:val="20"/>
          <w:szCs w:val="20"/>
          <w:color w:val="auto"/>
        </w:rPr>
      </w:pPr>
    </w:p>
    <w:p>
      <w:pPr>
        <w:ind w:left="620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ind w:right="3359"/>
        <w:spacing w:after="0" w:line="286" w:lineRule="auto"/>
        <w:rPr>
          <w:sz w:val="20"/>
          <w:szCs w:val="20"/>
          <w:color w:val="auto"/>
        </w:rPr>
      </w:pPr>
      <w:r>
        <w:rPr>
          <w:rFonts w:ascii="Courier New" w:cs="Courier New" w:eastAsia="Courier New" w:hAnsi="Courier New"/>
          <w:sz w:val="14"/>
          <w:szCs w:val="14"/>
          <w:color w:val="auto"/>
        </w:rPr>
        <w:t>OWNERSHIP OF COMMON STOCK. The following table sets forth information as to each shareholder known to the Company to have been the beneficial owner of more than five percent (5%) of the Company's outstanding shares of Common Stock as of March 1, 2000: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3740" w:type="dxa"/>
            <w:vAlign w:val="bottom"/>
          </w:tcPr>
          <w:p>
            <w:pPr>
              <w:ind w:left="1360"/>
              <w:spacing w:after="0"/>
              <w:rPr>
                <w:sz w:val="20"/>
                <w:szCs w:val="20"/>
                <w:color w:val="auto"/>
              </w:rPr>
            </w:pPr>
            <w:r>
              <w:rPr>
                <w:rFonts w:ascii="Courier New" w:cs="Courier New" w:eastAsia="Courier New" w:hAnsi="Courier New"/>
                <w:sz w:val="14"/>
                <w:szCs w:val="14"/>
                <w:color w:val="auto"/>
              </w:rPr>
              <w:t>NAME AND ADDRESS OF</w:t>
            </w:r>
          </w:p>
        </w:tc>
        <w:tc>
          <w:tcPr>
            <w:tcW w:w="31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AMOUNT AND NATURE OF</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PERCENT</w:t>
            </w:r>
          </w:p>
        </w:tc>
        <w:tc>
          <w:tcPr>
            <w:tcW w:w="0" w:type="dxa"/>
            <w:vAlign w:val="bottom"/>
          </w:tcPr>
          <w:p>
            <w:pPr>
              <w:spacing w:after="0"/>
              <w:rPr>
                <w:sz w:val="1"/>
                <w:szCs w:val="1"/>
                <w:color w:val="auto"/>
              </w:rPr>
            </w:pPr>
          </w:p>
        </w:tc>
      </w:tr>
      <w:tr>
        <w:trPr>
          <w:trHeight w:val="163"/>
        </w:trPr>
        <w:tc>
          <w:tcPr>
            <w:tcW w:w="3740" w:type="dxa"/>
            <w:vAlign w:val="bottom"/>
          </w:tcPr>
          <w:p>
            <w:pPr>
              <w:ind w:left="1540"/>
              <w:spacing w:after="0"/>
              <w:rPr>
                <w:sz w:val="20"/>
                <w:szCs w:val="20"/>
                <w:color w:val="auto"/>
              </w:rPr>
            </w:pPr>
            <w:r>
              <w:rPr>
                <w:rFonts w:ascii="Courier New" w:cs="Courier New" w:eastAsia="Courier New" w:hAnsi="Courier New"/>
                <w:sz w:val="14"/>
                <w:szCs w:val="14"/>
                <w:color w:val="auto"/>
              </w:rPr>
              <w:t>BENEFICIAL OWNER</w:t>
            </w:r>
          </w:p>
        </w:tc>
        <w:tc>
          <w:tcPr>
            <w:tcW w:w="3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BENEFICIAL OWNERSHIP(1)</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OF CLASS(2)</w:t>
            </w:r>
          </w:p>
        </w:tc>
        <w:tc>
          <w:tcPr>
            <w:tcW w:w="0" w:type="dxa"/>
            <w:vAlign w:val="bottom"/>
          </w:tcPr>
          <w:p>
            <w:pPr>
              <w:spacing w:after="0"/>
              <w:rPr>
                <w:sz w:val="1"/>
                <w:szCs w:val="1"/>
                <w:color w:val="auto"/>
              </w:rPr>
            </w:pPr>
          </w:p>
        </w:tc>
      </w:tr>
      <w:tr>
        <w:trPr>
          <w:trHeight w:val="238"/>
        </w:trPr>
        <w:tc>
          <w:tcPr>
            <w:tcW w:w="374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740" w:type="dxa"/>
            <w:vAlign w:val="bottom"/>
          </w:tcPr>
          <w:p>
            <w:pPr>
              <w:spacing w:after="0"/>
              <w:rPr>
                <w:sz w:val="20"/>
                <w:szCs w:val="20"/>
                <w:color w:val="auto"/>
              </w:rPr>
            </w:pPr>
            <w:r>
              <w:rPr>
                <w:rFonts w:ascii="Courier New" w:cs="Courier New" w:eastAsia="Courier New" w:hAnsi="Courier New"/>
                <w:sz w:val="14"/>
                <w:szCs w:val="14"/>
                <w:color w:val="auto"/>
              </w:rPr>
              <w:t>Peter F. Secchia</w:t>
            </w:r>
          </w:p>
        </w:tc>
        <w:tc>
          <w:tcPr>
            <w:tcW w:w="3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4,001,220(3)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2801 East Beltline NE</w:t>
            </w:r>
          </w:p>
        </w:tc>
        <w:tc>
          <w:tcPr>
            <w:tcW w:w="3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Grand Rapids, MI 49525</w:t>
            </w:r>
          </w:p>
        </w:tc>
        <w:tc>
          <w:tcPr>
            <w:tcW w:w="31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2,570,250(4)</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12.7%</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Carroll M. Shoffner</w:t>
            </w:r>
          </w:p>
        </w:tc>
        <w:tc>
          <w:tcPr>
            <w:tcW w:w="3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5631 S. NC 62</w:t>
            </w:r>
          </w:p>
        </w:tc>
        <w:tc>
          <w:tcPr>
            <w:tcW w:w="3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Burlington, NC 27215</w:t>
            </w:r>
          </w:p>
        </w:tc>
        <w:tc>
          <w:tcPr>
            <w:tcW w:w="3140" w:type="dxa"/>
            <w:vAlign w:val="bottom"/>
            <w:vMerge w:val="restart"/>
          </w:tcPr>
          <w:p>
            <w:pPr>
              <w:jc w:val="right"/>
              <w:ind w:right="349"/>
              <w:spacing w:after="0"/>
              <w:rPr>
                <w:sz w:val="20"/>
                <w:szCs w:val="20"/>
                <w:color w:val="auto"/>
              </w:rPr>
            </w:pPr>
            <w:r>
              <w:rPr>
                <w:rFonts w:ascii="Courier New" w:cs="Courier New" w:eastAsia="Courier New" w:hAnsi="Courier New"/>
                <w:sz w:val="14"/>
                <w:szCs w:val="14"/>
                <w:color w:val="auto"/>
              </w:rPr>
              <w:t>1,162,350(5)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J.P. Morgan &amp; Co. Incorporated</w:t>
            </w:r>
          </w:p>
        </w:tc>
        <w:tc>
          <w:tcPr>
            <w:tcW w:w="3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color w:val="auto"/>
              </w:rPr>
              <w:t>60 Wall Street</w:t>
            </w:r>
          </w:p>
        </w:tc>
        <w:tc>
          <w:tcPr>
            <w:tcW w:w="3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New York, NY 10260</w:t>
            </w:r>
          </w:p>
        </w:tc>
        <w:tc>
          <w:tcPr>
            <w:tcW w:w="3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right="3359" w:firstLine="7"/>
        <w:spacing w:after="0" w:line="327" w:lineRule="auto"/>
        <w:tabs>
          <w:tab w:leader="none" w:pos="33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indicated by footnote, each named person has sole voting and investment power with respect to the shares indicated.</w:t>
      </w:r>
    </w:p>
    <w:p>
      <w:pPr>
        <w:spacing w:after="0" w:line="31" w:lineRule="exact"/>
        <w:rPr>
          <w:rFonts w:ascii="Courier New" w:cs="Courier New" w:eastAsia="Courier New" w:hAnsi="Courier New"/>
          <w:sz w:val="14"/>
          <w:szCs w:val="14"/>
          <w:color w:val="auto"/>
        </w:rPr>
      </w:pPr>
    </w:p>
    <w:p>
      <w:pPr>
        <w:ind w:right="3619" w:firstLine="7"/>
        <w:spacing w:after="0" w:line="286" w:lineRule="auto"/>
        <w:tabs>
          <w:tab w:leader="none" w:pos="33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outstanding for this calculation include 60,000 shares which are subject to options exercisable in 60 days, 18,320 shares which are subject to issuance under the Director Retainer Stock Plan, and 83,851 shares which are subject to issuance under a Deferred Compensation Plan.</w:t>
      </w:r>
    </w:p>
    <w:p>
      <w:pPr>
        <w:spacing w:after="0" w:line="59" w:lineRule="exact"/>
        <w:rPr>
          <w:rFonts w:ascii="Courier New" w:cs="Courier New" w:eastAsia="Courier New" w:hAnsi="Courier New"/>
          <w:sz w:val="14"/>
          <w:szCs w:val="14"/>
          <w:color w:val="auto"/>
        </w:rPr>
      </w:pPr>
    </w:p>
    <w:p>
      <w:pPr>
        <w:jc w:val="both"/>
        <w:ind w:right="3539" w:firstLine="7"/>
        <w:spacing w:after="0" w:line="286" w:lineRule="auto"/>
        <w:tabs>
          <w:tab w:leader="none" w:pos="33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shares owned by Mr. Secchia's wife; 676,268 shares held by limited liability companies of which Mr. Secchia is a member; 1,493,439 shares held by a family limited partnership of which Mr. Secchia is a partner; and 100,000 shares held by a family foundation.</w:t>
      </w:r>
    </w:p>
    <w:p>
      <w:pPr>
        <w:spacing w:after="0" w:line="59" w:lineRule="exact"/>
        <w:rPr>
          <w:rFonts w:ascii="Courier New" w:cs="Courier New" w:eastAsia="Courier New" w:hAnsi="Courier New"/>
          <w:sz w:val="14"/>
          <w:szCs w:val="14"/>
          <w:color w:val="auto"/>
        </w:rPr>
      </w:pPr>
    </w:p>
    <w:p>
      <w:pPr>
        <w:ind w:right="3359" w:firstLine="7"/>
        <w:spacing w:after="0" w:line="366" w:lineRule="auto"/>
        <w:tabs>
          <w:tab w:leader="none" w:pos="33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600,000 shares held by a charitable remainder unitrust of which Mr. Shoffner and his spouse are lifetime beneficiaries.</w:t>
      </w:r>
    </w:p>
    <w:p>
      <w:pPr>
        <w:spacing w:after="0" w:line="5" w:lineRule="exact"/>
        <w:rPr>
          <w:rFonts w:ascii="Courier New" w:cs="Courier New" w:eastAsia="Courier New" w:hAnsi="Courier New"/>
          <w:sz w:val="14"/>
          <w:szCs w:val="14"/>
          <w:color w:val="auto"/>
        </w:rPr>
      </w:pPr>
    </w:p>
    <w:p>
      <w:pPr>
        <w:ind w:right="3459" w:firstLine="7"/>
        <w:spacing w:after="0" w:line="259" w:lineRule="auto"/>
        <w:tabs>
          <w:tab w:leader="none" w:pos="33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form 13G filed by the named person, as of December 31, 1999. Includes 231,400 shares which the named person does not have the power to vote, but does have the power to dispose.</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SECURITIES OWNERSHIP OF MANAGEMENT. The table on the following page contains information with respect to ownership of the Company's Common Stock by all directors, nominees for election as director, executive officers named in the tables under the caption "Executive Compensation," and all executive officers and directors as a group. The information in this table was furnished by the Company's officers, directors and nominees for election of directors, and represents the Company's understanding of circumstances in existence as of March 1, 2000.</w:t>
      </w:r>
    </w:p>
    <w:p>
      <w:pPr>
        <w:sectPr>
          <w:pgSz w:w="11900" w:h="16838" w:orient="portrait"/>
          <w:cols w:equalWidth="0" w:num="1">
            <w:col w:w="10159"/>
          </w:cols>
          <w:pgMar w:left="300" w:top="25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80" w:type="dxa"/>
            <w:vAlign w:val="bottom"/>
            <w:vMerge w:val="restart"/>
          </w:tcPr>
          <w:p>
            <w:pPr>
              <w:ind w:left="1100"/>
              <w:spacing w:after="0"/>
              <w:rPr>
                <w:sz w:val="20"/>
                <w:szCs w:val="20"/>
                <w:color w:val="auto"/>
              </w:rPr>
            </w:pPr>
            <w:r>
              <w:rPr>
                <w:rFonts w:ascii="Courier New" w:cs="Courier New" w:eastAsia="Courier New" w:hAnsi="Courier New"/>
                <w:sz w:val="14"/>
                <w:szCs w:val="14"/>
                <w:color w:val="auto"/>
              </w:rPr>
              <w:t>NAME OF BENEFICIAL OWNER</w:t>
            </w:r>
          </w:p>
        </w:tc>
        <w:tc>
          <w:tcPr>
            <w:tcW w:w="22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AMOUNT AND NATURE OF</w:t>
            </w:r>
          </w:p>
        </w:tc>
        <w:tc>
          <w:tcPr>
            <w:tcW w:w="0" w:type="dxa"/>
            <w:vAlign w:val="bottom"/>
          </w:tcPr>
          <w:p>
            <w:pPr>
              <w:spacing w:after="0"/>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BENEFICIAL OWNERSHIP(1)</w:t>
            </w:r>
          </w:p>
        </w:tc>
        <w:tc>
          <w:tcPr>
            <w:tcW w:w="0" w:type="dxa"/>
            <w:vAlign w:val="bottom"/>
          </w:tcPr>
          <w:p>
            <w:pPr>
              <w:spacing w:after="0"/>
              <w:rPr>
                <w:sz w:val="1"/>
                <w:szCs w:val="1"/>
                <w:color w:val="auto"/>
              </w:rPr>
            </w:pPr>
          </w:p>
        </w:tc>
      </w:tr>
      <w:tr>
        <w:trPr>
          <w:trHeight w:val="238"/>
        </w:trPr>
        <w:tc>
          <w:tcPr>
            <w:tcW w:w="4280" w:type="dxa"/>
            <w:vAlign w:val="bottom"/>
          </w:tcPr>
          <w:p>
            <w:pPr>
              <w:ind w:left="1100"/>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4280" w:type="dxa"/>
            <w:vAlign w:val="bottom"/>
          </w:tcPr>
          <w:p>
            <w:pPr>
              <w:spacing w:after="0"/>
              <w:rPr>
                <w:sz w:val="20"/>
                <w:szCs w:val="20"/>
                <w:color w:val="auto"/>
              </w:rPr>
            </w:pPr>
            <w:r>
              <w:rPr>
                <w:rFonts w:ascii="Courier New" w:cs="Courier New" w:eastAsia="Courier New" w:hAnsi="Courier New"/>
                <w:sz w:val="14"/>
                <w:szCs w:val="14"/>
                <w:color w:val="auto"/>
              </w:rPr>
              <w:t>Peter F. Secchia</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4,001,220(3)</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Carroll M. Shoffner</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2,750,250(6)</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William G. Currie</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768,942(4)(5)</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Michael B. Glenn</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380,152(4)</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Robert K. Hill</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255,829(4)</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James H. Ward</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190,521(4)</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Gary A. Wright</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130,000</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Richard M. DeVos</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25,400</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John W. Garside</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24,350</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Louis A. Smith</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20,996(7)</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John C. Canepa</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11,567(7)</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Philip M. Novell</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9,157(7)</w:t>
            </w: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8,141,112(2)(4)(7)</w:t>
            </w:r>
          </w:p>
        </w:tc>
        <w:tc>
          <w:tcPr>
            <w:tcW w:w="0" w:type="dxa"/>
            <w:vAlign w:val="bottom"/>
          </w:tcPr>
          <w:p>
            <w:pPr>
              <w:spacing w:after="0"/>
              <w:rPr>
                <w:sz w:val="1"/>
                <w:szCs w:val="1"/>
                <w:color w:val="auto"/>
              </w:rPr>
            </w:pPr>
          </w:p>
        </w:tc>
      </w:tr>
      <w:tr>
        <w:trPr>
          <w:trHeight w:val="238"/>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(19 persons)</w:t>
            </w:r>
          </w:p>
        </w:tc>
        <w:tc>
          <w:tcPr>
            <w:tcW w:w="2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180" w:hanging="173"/>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0"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one percent (1%).</w:t>
      </w:r>
    </w:p>
    <w:p>
      <w:pPr>
        <w:spacing w:after="0" w:line="142" w:lineRule="exact"/>
        <w:rPr>
          <w:sz w:val="20"/>
          <w:szCs w:val="20"/>
          <w:color w:val="auto"/>
        </w:rPr>
      </w:pPr>
    </w:p>
    <w:p>
      <w:pPr>
        <w:ind w:firstLine="7"/>
        <w:spacing w:after="0" w:line="366"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indicated by footnote, each named person has sole voting and investment power with respect to the shares indicated.</w:t>
      </w:r>
    </w:p>
    <w:p>
      <w:pPr>
        <w:spacing w:after="0" w:line="5" w:lineRule="exact"/>
        <w:rPr>
          <w:rFonts w:ascii="Courier New" w:cs="Courier New" w:eastAsia="Courier New" w:hAnsi="Courier New"/>
          <w:sz w:val="14"/>
          <w:szCs w:val="14"/>
          <w:color w:val="auto"/>
        </w:rPr>
      </w:pPr>
    </w:p>
    <w:p>
      <w:pPr>
        <w:ind w:right="260" w:firstLine="7"/>
        <w:spacing w:after="0" w:line="286"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outstanding for this calculation include 60,000 shares which are subject to options exercisable in 60 days, 18,320 shares which are subject to issuance under the Director Retainer Stock Plan, and 83,851 shares which are subject to issuance under a Deferred Compensation Plan.</w:t>
      </w:r>
    </w:p>
    <w:p>
      <w:pPr>
        <w:spacing w:after="0" w:line="59" w:lineRule="exact"/>
        <w:rPr>
          <w:rFonts w:ascii="Courier New" w:cs="Courier New" w:eastAsia="Courier New" w:hAnsi="Courier New"/>
          <w:sz w:val="14"/>
          <w:szCs w:val="14"/>
          <w:color w:val="auto"/>
        </w:rPr>
      </w:pPr>
    </w:p>
    <w:p>
      <w:pPr>
        <w:jc w:val="both"/>
        <w:ind w:right="180" w:firstLine="7"/>
        <w:spacing w:after="0" w:line="286"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 shares owned by Mr. Secchia's wife; 676,268 shares held by limited liability companies of which Mr. Secchia is a member; 1,493,439 shares held by a family limited partnership of which Mr. Secchia is a partner; and 100,000 shares held by a family foundation.</w:t>
      </w:r>
    </w:p>
    <w:p>
      <w:pPr>
        <w:spacing w:after="0" w:line="59" w:lineRule="exact"/>
        <w:rPr>
          <w:rFonts w:ascii="Courier New" w:cs="Courier New" w:eastAsia="Courier New" w:hAnsi="Courier New"/>
          <w:sz w:val="14"/>
          <w:szCs w:val="14"/>
          <w:color w:val="auto"/>
        </w:rPr>
      </w:pPr>
    </w:p>
    <w:p>
      <w:pPr>
        <w:ind w:firstLine="7"/>
        <w:spacing w:after="0" w:line="266"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Twenty-two current and former employees of the Company, including Messrs. Currie, Ward, Glenn and Hill, along with other executive officers of the Company, are partners of a general partnership that owns 180,000 shares of the Company's Common Stock. The terms of this Partnership Agreement provide that Mr. Currie has the authority to vote all the shares held by the partnership. Each partner is deemed to have beneficial ownership of all the shares held by this partnership.</w:t>
      </w:r>
    </w:p>
    <w:p>
      <w:pPr>
        <w:spacing w:after="0" w:line="74" w:lineRule="exact"/>
        <w:rPr>
          <w:rFonts w:ascii="Courier New" w:cs="Courier New" w:eastAsia="Courier New" w:hAnsi="Courier New"/>
          <w:sz w:val="14"/>
          <w:szCs w:val="14"/>
          <w:color w:val="auto"/>
        </w:rPr>
      </w:pPr>
    </w:p>
    <w:p>
      <w:pPr>
        <w:ind w:right="100" w:firstLine="7"/>
        <w:spacing w:after="0" w:line="286"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16,444 shares held by a partnership of which Mr. Currie is a general partner. The Partnership Agreement provides that Mr. Currie has the authority to vote all of the shares held by the partnership. Each partner is deemed to have beneficial ownership of all the shares held by this partnership.</w:t>
      </w:r>
    </w:p>
    <w:p>
      <w:pPr>
        <w:spacing w:after="0" w:line="59" w:lineRule="exact"/>
        <w:rPr>
          <w:rFonts w:ascii="Courier New" w:cs="Courier New" w:eastAsia="Courier New" w:hAnsi="Courier New"/>
          <w:sz w:val="14"/>
          <w:szCs w:val="14"/>
          <w:color w:val="auto"/>
        </w:rPr>
      </w:pPr>
    </w:p>
    <w:p>
      <w:pPr>
        <w:ind w:firstLine="7"/>
        <w:spacing w:after="0" w:line="366"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600,000 shares held by a charitable remainder unitrust of which Mr. Shoffner and his spouse are lifetime beneficiaries.</w:t>
      </w:r>
    </w:p>
    <w:p>
      <w:pPr>
        <w:spacing w:after="0" w:line="5" w:lineRule="exact"/>
        <w:rPr>
          <w:rFonts w:ascii="Courier New" w:cs="Courier New" w:eastAsia="Courier New" w:hAnsi="Courier New"/>
          <w:sz w:val="14"/>
          <w:szCs w:val="14"/>
          <w:color w:val="auto"/>
        </w:rPr>
      </w:pPr>
    </w:p>
    <w:p>
      <w:pPr>
        <w:ind w:right="100" w:firstLine="7"/>
        <w:spacing w:after="0" w:line="259" w:lineRule="auto"/>
        <w:tabs>
          <w:tab w:leader="none" w:pos="33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obtained through the Company's Director Retainer Stock Plan for Mr. Smith, Mr. Novell, and Mr. Canepa who hold 7,796 shares, 7,157 shares, and 3,367 shares through such plan, respectively.</w:t>
      </w:r>
    </w:p>
    <w:p>
      <w:pPr>
        <w:spacing w:after="0" w:line="1"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4"/>
          <w:szCs w:val="14"/>
          <w:color w:val="auto"/>
        </w:rPr>
        <w:t>PERCENT</w:t>
      </w:r>
    </w:p>
    <w:p>
      <w:pPr>
        <w:spacing w:after="0" w:line="3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3"/>
          <w:szCs w:val="13"/>
          <w:color w:val="auto"/>
        </w:rPr>
        <w:t>OF CLASS(2)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53"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19.7%</w:t>
      </w:r>
    </w:p>
    <w:p>
      <w:pPr>
        <w:spacing w:after="0" w:line="30"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12.7%</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3.8%</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1.9%</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1.3%</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4"/>
          <w:szCs w:val="14"/>
          <w:color w:val="auto"/>
        </w:rPr>
        <w:t>40.1%</w:t>
      </w:r>
    </w:p>
    <w:p>
      <w:pPr>
        <w:sectPr>
          <w:pgSz w:w="11900" w:h="16838" w:orient="portrait"/>
          <w:cols w:equalWidth="0" w:num="2">
            <w:col w:w="6800" w:space="340"/>
            <w:col w:w="3019"/>
          </w:cols>
          <w:pgMar w:left="300" w:top="25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ind w:left="6200"/>
        <w:spacing w:after="0"/>
        <w:rPr>
          <w:sz w:val="20"/>
          <w:szCs w:val="20"/>
          <w:color w:val="auto"/>
        </w:rPr>
      </w:pPr>
      <w:r>
        <w:rPr>
          <w:rFonts w:ascii="Courier New" w:cs="Courier New" w:eastAsia="Courier New" w:hAnsi="Courier New"/>
          <w:sz w:val="14"/>
          <w:szCs w:val="14"/>
          <w:color w:val="auto"/>
        </w:rPr>
        <w:t>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68" w:lineRule="exact"/>
        <w:rPr>
          <w:sz w:val="20"/>
          <w:szCs w:val="20"/>
          <w:color w:val="auto"/>
        </w:rPr>
      </w:pPr>
    </w:p>
    <w:p>
      <w:pPr>
        <w:ind w:right="3359"/>
        <w:spacing w:after="0" w:line="276" w:lineRule="auto"/>
        <w:rPr>
          <w:sz w:val="20"/>
          <w:szCs w:val="20"/>
          <w:color w:val="auto"/>
        </w:rPr>
      </w:pPr>
      <w:r>
        <w:rPr>
          <w:rFonts w:ascii="Courier New" w:cs="Courier New" w:eastAsia="Courier New" w:hAnsi="Courier New"/>
          <w:sz w:val="14"/>
          <w:szCs w:val="14"/>
          <w:color w:val="auto"/>
        </w:rPr>
        <w:t>SUMMARY COMPENSATION TABLE. The following Summary Compensation Table shows certain information concerning the compensation for the Chief Executive Officer, the Chairman and each of the Company's four most highly compensated executive officers for fiscal 1999 (the "Named Executives"), and their compensation for 1998 and 1997: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3700" w:type="dxa"/>
            <w:vAlign w:val="bottom"/>
            <w:vMerge w:val="restart"/>
          </w:tcPr>
          <w:p>
            <w:pPr>
              <w:ind w:left="1360"/>
              <w:spacing w:after="0"/>
              <w:rPr>
                <w:sz w:val="20"/>
                <w:szCs w:val="20"/>
                <w:color w:val="auto"/>
              </w:rPr>
            </w:pPr>
            <w:r>
              <w:rPr>
                <w:rFonts w:ascii="Courier New" w:cs="Courier New" w:eastAsia="Courier New" w:hAnsi="Courier New"/>
                <w:sz w:val="14"/>
                <w:szCs w:val="14"/>
                <w:color w:val="auto"/>
              </w:rPr>
              <w:t>PRINCIPAL POSITION</w:t>
            </w:r>
          </w:p>
        </w:tc>
        <w:tc>
          <w:tcPr>
            <w:tcW w:w="126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YEAR</w:t>
            </w:r>
          </w:p>
        </w:tc>
        <w:tc>
          <w:tcPr>
            <w:tcW w:w="2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ANNUAL COMPENSATION</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3"/>
        </w:trPr>
        <w:tc>
          <w:tcPr>
            <w:tcW w:w="37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SALARY(1)</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BONUS(2)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COMPENSATION(3)</w:t>
            </w:r>
          </w:p>
        </w:tc>
        <w:tc>
          <w:tcPr>
            <w:tcW w:w="0" w:type="dxa"/>
            <w:vAlign w:val="bottom"/>
          </w:tcPr>
          <w:p>
            <w:pPr>
              <w:spacing w:after="0"/>
              <w:rPr>
                <w:sz w:val="1"/>
                <w:szCs w:val="1"/>
                <w:color w:val="auto"/>
              </w:rPr>
            </w:pPr>
          </w:p>
        </w:tc>
      </w:tr>
      <w:tr>
        <w:trPr>
          <w:trHeight w:val="238"/>
        </w:trPr>
        <w:tc>
          <w:tcPr>
            <w:tcW w:w="370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0"/>
                <w:szCs w:val="20"/>
                <w:color w:val="auto"/>
              </w:rPr>
            </w:pPr>
            <w:r>
              <w:rPr>
                <w:rFonts w:ascii="Courier New" w:cs="Courier New" w:eastAsia="Courier New" w:hAnsi="Courier New"/>
                <w:sz w:val="14"/>
                <w:szCs w:val="14"/>
                <w:color w:val="auto"/>
              </w:rPr>
              <w:t>Peter F. Secchia</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$300,000</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$250,000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$8,734</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Chairman of the Board</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302,229</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250,000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9,645</w:t>
            </w:r>
          </w:p>
        </w:tc>
        <w:tc>
          <w:tcPr>
            <w:tcW w:w="0" w:type="dxa"/>
            <w:vAlign w:val="bottom"/>
          </w:tcPr>
          <w:p>
            <w:pPr>
              <w:spacing w:after="0"/>
              <w:rPr>
                <w:sz w:val="1"/>
                <w:szCs w:val="1"/>
                <w:color w:val="auto"/>
              </w:rPr>
            </w:pPr>
          </w:p>
        </w:tc>
      </w:tr>
      <w:tr>
        <w:trPr>
          <w:trHeight w:val="163"/>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William G. Currie</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326,333</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350,000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9,288</w:t>
            </w:r>
          </w:p>
        </w:tc>
        <w:tc>
          <w:tcPr>
            <w:tcW w:w="0" w:type="dxa"/>
            <w:vAlign w:val="bottom"/>
          </w:tcPr>
          <w:p>
            <w:pPr>
              <w:spacing w:after="0"/>
              <w:rPr>
                <w:sz w:val="1"/>
                <w:szCs w:val="1"/>
                <w:color w:val="auto"/>
              </w:rPr>
            </w:pPr>
          </w:p>
        </w:tc>
      </w:tr>
      <w:tr>
        <w:trPr>
          <w:trHeight w:val="163"/>
        </w:trPr>
        <w:tc>
          <w:tcPr>
            <w:tcW w:w="3700" w:type="dxa"/>
            <w:vAlign w:val="bottom"/>
            <w:vMerge w:val="continue"/>
          </w:tcPr>
          <w:p>
            <w:pPr>
              <w:spacing w:after="0"/>
              <w:rPr>
                <w:sz w:val="14"/>
                <w:szCs w:val="14"/>
                <w:color w:val="auto"/>
              </w:rPr>
            </w:pP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397,229</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768,000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8,734</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366,333</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637,000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9,645</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and Vice Chairman of the Board</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360,500</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418,000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9,288</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Michael B. Glenn</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245,770</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507,000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8,734</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231,666</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477,726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9,645</w:t>
            </w:r>
          </w:p>
        </w:tc>
        <w:tc>
          <w:tcPr>
            <w:tcW w:w="0" w:type="dxa"/>
            <w:vAlign w:val="bottom"/>
          </w:tcPr>
          <w:p>
            <w:pPr>
              <w:spacing w:after="0"/>
              <w:rPr>
                <w:sz w:val="1"/>
                <w:szCs w:val="1"/>
                <w:color w:val="auto"/>
              </w:rPr>
            </w:pPr>
          </w:p>
        </w:tc>
      </w:tr>
      <w:tr>
        <w:trPr>
          <w:trHeight w:val="163"/>
        </w:trPr>
        <w:tc>
          <w:tcPr>
            <w:tcW w:w="3700" w:type="dxa"/>
            <w:vAlign w:val="bottom"/>
            <w:vMerge w:val="restart"/>
          </w:tcPr>
          <w:p>
            <w:pPr>
              <w:spacing w:after="0"/>
              <w:rPr>
                <w:sz w:val="20"/>
                <w:szCs w:val="20"/>
                <w:color w:val="auto"/>
              </w:rPr>
            </w:pPr>
            <w:r>
              <w:rPr>
                <w:rFonts w:ascii="Courier New" w:cs="Courier New" w:eastAsia="Courier New" w:hAnsi="Courier New"/>
                <w:sz w:val="14"/>
                <w:szCs w:val="14"/>
                <w:color w:val="auto"/>
              </w:rPr>
              <w:t>James H. Ward</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194,333</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474,871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9,288</w:t>
            </w:r>
          </w:p>
        </w:tc>
        <w:tc>
          <w:tcPr>
            <w:tcW w:w="0" w:type="dxa"/>
            <w:vAlign w:val="bottom"/>
          </w:tcPr>
          <w:p>
            <w:pPr>
              <w:spacing w:after="0"/>
              <w:rPr>
                <w:sz w:val="1"/>
                <w:szCs w:val="1"/>
                <w:color w:val="auto"/>
              </w:rPr>
            </w:pPr>
          </w:p>
        </w:tc>
      </w:tr>
      <w:tr>
        <w:trPr>
          <w:trHeight w:val="163"/>
        </w:trPr>
        <w:tc>
          <w:tcPr>
            <w:tcW w:w="3700" w:type="dxa"/>
            <w:vAlign w:val="bottom"/>
            <w:vMerge w:val="continue"/>
          </w:tcPr>
          <w:p>
            <w:pPr>
              <w:spacing w:after="0"/>
              <w:rPr>
                <w:sz w:val="14"/>
                <w:szCs w:val="14"/>
                <w:color w:val="auto"/>
              </w:rPr>
            </w:pP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245,770</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495,000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8,734</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235,000</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477,750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9,645</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Universal Forest Products</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201,791</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239,251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9,288</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Eastern Division</w:t>
            </w:r>
          </w:p>
        </w:tc>
        <w:tc>
          <w:tcPr>
            <w:tcW w:w="126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1999</w:t>
            </w:r>
          </w:p>
        </w:tc>
        <w:tc>
          <w:tcPr>
            <w:tcW w:w="128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211,000</w:t>
            </w:r>
          </w:p>
        </w:tc>
        <w:tc>
          <w:tcPr>
            <w:tcW w:w="11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465,000(4)</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8,734</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Robert K. Hill</w:t>
            </w:r>
          </w:p>
        </w:tc>
        <w:tc>
          <w:tcPr>
            <w:tcW w:w="1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198,333</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341,259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9,645</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Universal Forest Products</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178,958</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254,927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9,288</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Western Division</w:t>
            </w:r>
          </w:p>
        </w:tc>
        <w:tc>
          <w:tcPr>
            <w:tcW w:w="1260" w:type="dxa"/>
            <w:vAlign w:val="bottom"/>
            <w:vMerge w:val="restart"/>
          </w:tcPr>
          <w:p>
            <w:pPr>
              <w:ind w:left="800"/>
              <w:spacing w:after="0"/>
              <w:rPr>
                <w:sz w:val="20"/>
                <w:szCs w:val="20"/>
                <w:color w:val="auto"/>
              </w:rPr>
            </w:pPr>
            <w:r>
              <w:rPr>
                <w:rFonts w:ascii="Courier New" w:cs="Courier New" w:eastAsia="Courier New" w:hAnsi="Courier New"/>
                <w:sz w:val="14"/>
                <w:szCs w:val="14"/>
                <w:color w:val="auto"/>
              </w:rPr>
              <w:t>1999</w:t>
            </w:r>
          </w:p>
        </w:tc>
        <w:tc>
          <w:tcPr>
            <w:tcW w:w="1280" w:type="dxa"/>
            <w:vAlign w:val="bottom"/>
            <w:vMerge w:val="restart"/>
          </w:tcPr>
          <w:p>
            <w:pPr>
              <w:jc w:val="right"/>
              <w:ind w:right="389"/>
              <w:spacing w:after="0"/>
              <w:rPr>
                <w:sz w:val="20"/>
                <w:szCs w:val="20"/>
                <w:color w:val="auto"/>
              </w:rPr>
            </w:pPr>
            <w:r>
              <w:rPr>
                <w:rFonts w:ascii="Courier New" w:cs="Courier New" w:eastAsia="Courier New" w:hAnsi="Courier New"/>
                <w:sz w:val="14"/>
                <w:szCs w:val="14"/>
                <w:color w:val="auto"/>
              </w:rPr>
              <w:t>250,000</w:t>
            </w:r>
          </w:p>
        </w:tc>
        <w:tc>
          <w:tcPr>
            <w:tcW w:w="11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412,382(5)</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4,800</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Gary A. Wright</w:t>
            </w:r>
          </w:p>
        </w:tc>
        <w:tc>
          <w:tcPr>
            <w:tcW w:w="12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260" w:type="dxa"/>
            <w:vAlign w:val="bottom"/>
          </w:tcPr>
          <w:p>
            <w:pPr>
              <w:ind w:left="800"/>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199,520(6)</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342,597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0" w:type="dxa"/>
            <w:vAlign w:val="bottom"/>
          </w:tcPr>
          <w:p>
            <w:pPr>
              <w:spacing w:after="0"/>
              <w:rPr>
                <w:sz w:val="1"/>
                <w:szCs w:val="1"/>
                <w:color w:val="auto"/>
              </w:rPr>
            </w:pPr>
          </w:p>
        </w:tc>
      </w:tr>
      <w:tr>
        <w:trPr>
          <w:trHeight w:val="238"/>
        </w:trPr>
        <w:tc>
          <w:tcPr>
            <w:tcW w:w="3700" w:type="dxa"/>
            <w:vAlign w:val="bottom"/>
          </w:tcPr>
          <w:p>
            <w:pPr>
              <w:spacing w:after="0"/>
              <w:rPr>
                <w:sz w:val="20"/>
                <w:szCs w:val="20"/>
                <w:color w:val="auto"/>
              </w:rPr>
            </w:pPr>
            <w:r>
              <w:rPr>
                <w:rFonts w:ascii="Courier New" w:cs="Courier New" w:eastAsia="Courier New" w:hAnsi="Courier New"/>
                <w:sz w:val="14"/>
                <w:szCs w:val="14"/>
                <w:color w:val="auto"/>
              </w:rPr>
              <w:t>Shoffner Industries, L.L.C.</w:t>
            </w: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right="3619" w:firstLine="7"/>
        <w:spacing w:after="0" w:line="327" w:lineRule="auto"/>
        <w:tabs>
          <w:tab w:leader="none" w:pos="3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deferred by Named Executives, including amounts deferred under the Company's 401(k) Plan.</w:t>
      </w:r>
    </w:p>
    <w:p>
      <w:pPr>
        <w:spacing w:after="0" w:line="31" w:lineRule="exact"/>
        <w:rPr>
          <w:rFonts w:ascii="Courier New" w:cs="Courier New" w:eastAsia="Courier New" w:hAnsi="Courier New"/>
          <w:sz w:val="14"/>
          <w:szCs w:val="14"/>
          <w:color w:val="auto"/>
        </w:rPr>
      </w:pPr>
    </w:p>
    <w:p>
      <w:pPr>
        <w:ind w:right="3539" w:firstLine="7"/>
        <w:spacing w:after="0" w:line="286" w:lineRule="auto"/>
        <w:tabs>
          <w:tab w:leader="none" w:pos="3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annual bonus payments under performance-based bonus plans tied to the Company's operating profit and return on investment, which covers substantially all salaried employees. The bonus amounts herein represent the amounts earned in each respective year, which are paid in the subsequent year.</w:t>
      </w:r>
    </w:p>
    <w:p>
      <w:pPr>
        <w:spacing w:after="0" w:line="59" w:lineRule="exact"/>
        <w:rPr>
          <w:rFonts w:ascii="Courier New" w:cs="Courier New" w:eastAsia="Courier New" w:hAnsi="Courier New"/>
          <w:sz w:val="14"/>
          <w:szCs w:val="14"/>
          <w:color w:val="auto"/>
        </w:rPr>
      </w:pPr>
    </w:p>
    <w:p>
      <w:pPr>
        <w:ind w:right="3459" w:firstLine="7"/>
        <w:spacing w:after="0" w:line="276" w:lineRule="auto"/>
        <w:tabs>
          <w:tab w:leader="none" w:pos="3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set forth in this column represent Company contributions to the Company's Profit Sharing and 401(k) Plan. Subject to certain age and service requirements, all employees of the Company and its subsidiaries are eligible to participate in the Plan. A subsidiary acquired during 1998 has a separate retirement plan.</w:t>
      </w:r>
    </w:p>
    <w:p>
      <w:pPr>
        <w:spacing w:after="0" w:line="66" w:lineRule="exact"/>
        <w:rPr>
          <w:rFonts w:ascii="Courier New" w:cs="Courier New" w:eastAsia="Courier New" w:hAnsi="Courier New"/>
          <w:sz w:val="14"/>
          <w:szCs w:val="14"/>
          <w:color w:val="auto"/>
        </w:rPr>
      </w:pPr>
    </w:p>
    <w:p>
      <w:pPr>
        <w:ind w:right="3959" w:firstLine="7"/>
        <w:spacing w:after="0" w:line="366" w:lineRule="auto"/>
        <w:tabs>
          <w:tab w:leader="none" w:pos="3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in 1999 as a result of Mr. Hill's relocation to Colorado.</w:t>
      </w:r>
    </w:p>
    <w:p>
      <w:pPr>
        <w:spacing w:after="0" w:line="5"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production bonuses paid in 1999.</w:t>
      </w:r>
    </w:p>
    <w:p>
      <w:pPr>
        <w:spacing w:after="0" w:line="167" w:lineRule="exact"/>
        <w:rPr>
          <w:rFonts w:ascii="Courier New" w:cs="Courier New" w:eastAsia="Courier New" w:hAnsi="Courier New"/>
          <w:sz w:val="14"/>
          <w:szCs w:val="14"/>
          <w:color w:val="auto"/>
        </w:rPr>
      </w:pPr>
    </w:p>
    <w:p>
      <w:pPr>
        <w:ind w:right="3799" w:firstLine="7"/>
        <w:spacing w:after="0" w:line="266" w:lineRule="auto"/>
        <w:tabs>
          <w:tab w:leader="none" w:pos="3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Company's merger with Shoffner Industries, Inc., Mr. Wright became an employee of the Company on March 30, 1998.</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5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right="3699"/>
        <w:spacing w:after="0" w:line="306" w:lineRule="auto"/>
        <w:rPr>
          <w:sz w:val="20"/>
          <w:szCs w:val="20"/>
          <w:color w:val="auto"/>
        </w:rPr>
      </w:pPr>
      <w:r>
        <w:rPr>
          <w:rFonts w:ascii="Courier New" w:cs="Courier New" w:eastAsia="Courier New" w:hAnsi="Courier New"/>
          <w:sz w:val="14"/>
          <w:szCs w:val="14"/>
          <w:color w:val="auto"/>
        </w:rPr>
        <w:t>AGGREGATED OPTION EXERCISES IN LAST FISCAL YEAR AND FISCAL YEAR-END OPTION VALUES. The following table sets forth information regarding the exercise of options in the last fiscal year by the Named Executives.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5"/>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1660" w:type="dxa"/>
            <w:vAlign w:val="bottom"/>
          </w:tcPr>
          <w:p>
            <w:pPr>
              <w:spacing w:after="0"/>
              <w:rPr>
                <w:sz w:val="24"/>
                <w:szCs w:val="24"/>
                <w:color w:val="auto"/>
              </w:rPr>
            </w:pPr>
          </w:p>
        </w:tc>
        <w:tc>
          <w:tcPr>
            <w:tcW w:w="1360" w:type="dxa"/>
            <w:vAlign w:val="bottom"/>
            <w:vMerge w:val="restart"/>
          </w:tcPr>
          <w:p>
            <w:pPr>
              <w:jc w:val="center"/>
              <w:ind w:left="9"/>
              <w:spacing w:after="0"/>
              <w:rPr>
                <w:sz w:val="20"/>
                <w:szCs w:val="20"/>
                <w:color w:val="auto"/>
              </w:rPr>
            </w:pPr>
            <w:r>
              <w:rPr>
                <w:rFonts w:ascii="Courier New" w:cs="Courier New" w:eastAsia="Courier New" w:hAnsi="Courier New"/>
                <w:sz w:val="14"/>
                <w:szCs w:val="14"/>
                <w:color w:val="auto"/>
              </w:rPr>
              <w:t>SHARES</w:t>
            </w:r>
          </w:p>
        </w:tc>
        <w:tc>
          <w:tcPr>
            <w:tcW w:w="1440" w:type="dxa"/>
            <w:vAlign w:val="bottom"/>
          </w:tcPr>
          <w:p>
            <w:pPr>
              <w:spacing w:after="0"/>
              <w:rPr>
                <w:sz w:val="24"/>
                <w:szCs w:val="24"/>
                <w:color w:val="auto"/>
              </w:rPr>
            </w:pPr>
          </w:p>
        </w:tc>
        <w:tc>
          <w:tcPr>
            <w:tcW w:w="254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NUMBER OF SECURITIES</w:t>
            </w:r>
          </w:p>
        </w:tc>
        <w:tc>
          <w:tcPr>
            <w:tcW w:w="2420" w:type="dxa"/>
            <w:vAlign w:val="bottom"/>
            <w:gridSpan w:val="2"/>
            <w:vMerge w:val="restart"/>
          </w:tcPr>
          <w:p>
            <w:pPr>
              <w:jc w:val="right"/>
              <w:ind w:right="269"/>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3"/>
        </w:trPr>
        <w:tc>
          <w:tcPr>
            <w:tcW w:w="16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254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UNDERLYING UNEXERCISED</w:t>
            </w: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60" w:type="dxa"/>
            <w:vAlign w:val="bottom"/>
          </w:tcPr>
          <w:p>
            <w:pPr>
              <w:spacing w:after="0"/>
              <w:rPr>
                <w:sz w:val="14"/>
                <w:szCs w:val="14"/>
                <w:color w:val="auto"/>
              </w:rPr>
            </w:pPr>
          </w:p>
        </w:tc>
        <w:tc>
          <w:tcPr>
            <w:tcW w:w="1360" w:type="dxa"/>
            <w:vAlign w:val="bottom"/>
          </w:tcPr>
          <w:p>
            <w:pPr>
              <w:jc w:val="center"/>
              <w:ind w:left="9"/>
              <w:spacing w:after="0"/>
              <w:rPr>
                <w:sz w:val="20"/>
                <w:szCs w:val="20"/>
                <w:color w:val="auto"/>
              </w:rPr>
            </w:pPr>
            <w:r>
              <w:rPr>
                <w:rFonts w:ascii="Courier New" w:cs="Courier New" w:eastAsia="Courier New" w:hAnsi="Courier New"/>
                <w:sz w:val="14"/>
                <w:szCs w:val="14"/>
                <w:color w:val="auto"/>
              </w:rPr>
              <w:t>ACQUIRED</w:t>
            </w:r>
          </w:p>
        </w:tc>
        <w:tc>
          <w:tcPr>
            <w:tcW w:w="1440" w:type="dxa"/>
            <w:vAlign w:val="bottom"/>
            <w:vMerge w:val="restart"/>
          </w:tcPr>
          <w:p>
            <w:pPr>
              <w:jc w:val="right"/>
              <w:ind w:right="489"/>
              <w:spacing w:after="0"/>
              <w:rPr>
                <w:sz w:val="20"/>
                <w:szCs w:val="20"/>
                <w:color w:val="auto"/>
              </w:rPr>
            </w:pPr>
            <w:r>
              <w:rPr>
                <w:rFonts w:ascii="Courier New" w:cs="Courier New" w:eastAsia="Courier New" w:hAnsi="Courier New"/>
                <w:sz w:val="14"/>
                <w:szCs w:val="14"/>
                <w:color w:val="auto"/>
              </w:rPr>
              <w:t>VALUE</w:t>
            </w:r>
          </w:p>
        </w:tc>
        <w:tc>
          <w:tcPr>
            <w:tcW w:w="2540" w:type="dxa"/>
            <w:vAlign w:val="bottom"/>
            <w:gridSpan w:val="2"/>
          </w:tcPr>
          <w:p>
            <w:pPr>
              <w:jc w:val="right"/>
              <w:ind w:right="809"/>
              <w:spacing w:after="0"/>
              <w:rPr>
                <w:sz w:val="20"/>
                <w:szCs w:val="20"/>
                <w:color w:val="auto"/>
              </w:rPr>
            </w:pPr>
            <w:r>
              <w:rPr>
                <w:rFonts w:ascii="Courier New" w:cs="Courier New" w:eastAsia="Courier New" w:hAnsi="Courier New"/>
                <w:sz w:val="14"/>
                <w:szCs w:val="14"/>
                <w:color w:val="auto"/>
              </w:rPr>
              <w:t>OPTIONS AT</w:t>
            </w:r>
          </w:p>
        </w:tc>
        <w:tc>
          <w:tcPr>
            <w:tcW w:w="2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IN-THE-MONEY OPTIONS</w:t>
            </w:r>
          </w:p>
        </w:tc>
        <w:tc>
          <w:tcPr>
            <w:tcW w:w="0" w:type="dxa"/>
            <w:vAlign w:val="bottom"/>
          </w:tcPr>
          <w:p>
            <w:pPr>
              <w:spacing w:after="0"/>
              <w:rPr>
                <w:sz w:val="1"/>
                <w:szCs w:val="1"/>
                <w:color w:val="auto"/>
              </w:rPr>
            </w:pPr>
          </w:p>
        </w:tc>
      </w:tr>
      <w:tr>
        <w:trPr>
          <w:trHeight w:val="163"/>
        </w:trPr>
        <w:tc>
          <w:tcPr>
            <w:tcW w:w="166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EXECUTIVE</w:t>
            </w:r>
          </w:p>
        </w:tc>
        <w:tc>
          <w:tcPr>
            <w:tcW w:w="1360" w:type="dxa"/>
            <w:vAlign w:val="bottom"/>
          </w:tcPr>
          <w:p>
            <w:pPr>
              <w:jc w:val="center"/>
              <w:ind w:left="9"/>
              <w:spacing w:after="0"/>
              <w:rPr>
                <w:sz w:val="20"/>
                <w:szCs w:val="20"/>
                <w:color w:val="auto"/>
              </w:rPr>
            </w:pPr>
            <w:r>
              <w:rPr>
                <w:rFonts w:ascii="Courier New" w:cs="Courier New" w:eastAsia="Courier New" w:hAnsi="Courier New"/>
                <w:sz w:val="14"/>
                <w:szCs w:val="14"/>
                <w:color w:val="auto"/>
                <w:w w:val="94"/>
              </w:rPr>
              <w:t>ON</w:t>
            </w:r>
          </w:p>
        </w:tc>
        <w:tc>
          <w:tcPr>
            <w:tcW w:w="1440" w:type="dxa"/>
            <w:vAlign w:val="bottom"/>
            <w:vMerge w:val="continue"/>
          </w:tcPr>
          <w:p>
            <w:pPr>
              <w:spacing w:after="0"/>
              <w:rPr>
                <w:sz w:val="14"/>
                <w:szCs w:val="14"/>
                <w:color w:val="auto"/>
              </w:rPr>
            </w:pPr>
          </w:p>
        </w:tc>
        <w:tc>
          <w:tcPr>
            <w:tcW w:w="254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DECEMBER 25, 1999(#)</w:t>
            </w: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AT DECEMBER 25, 1999($)(2)</w:t>
            </w:r>
          </w:p>
        </w:tc>
        <w:tc>
          <w:tcPr>
            <w:tcW w:w="0" w:type="dxa"/>
            <w:vAlign w:val="bottom"/>
          </w:tcPr>
          <w:p>
            <w:pPr>
              <w:spacing w:after="0"/>
              <w:rPr>
                <w:sz w:val="1"/>
                <w:szCs w:val="1"/>
                <w:color w:val="auto"/>
              </w:rPr>
            </w:pPr>
          </w:p>
        </w:tc>
      </w:tr>
      <w:tr>
        <w:trPr>
          <w:trHeight w:val="163"/>
        </w:trPr>
        <w:tc>
          <w:tcPr>
            <w:tcW w:w="1660" w:type="dxa"/>
            <w:vAlign w:val="bottom"/>
            <w:vMerge w:val="continue"/>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EXERCISE(#)</w:t>
            </w:r>
          </w:p>
        </w:tc>
        <w:tc>
          <w:tcPr>
            <w:tcW w:w="398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REALIZED($)(1)   EXERCISABLE   UNEXERCISABLE</w:t>
            </w:r>
          </w:p>
        </w:tc>
        <w:tc>
          <w:tcPr>
            <w:tcW w:w="1200" w:type="dxa"/>
            <w:vAlign w:val="bottom"/>
          </w:tcPr>
          <w:p>
            <w:pPr>
              <w:ind w:left="140"/>
              <w:spacing w:after="0"/>
              <w:rPr>
                <w:sz w:val="20"/>
                <w:szCs w:val="20"/>
                <w:color w:val="auto"/>
              </w:rPr>
            </w:pPr>
            <w:r>
              <w:rPr>
                <w:rFonts w:ascii="Courier New" w:cs="Courier New" w:eastAsia="Courier New" w:hAnsi="Courier New"/>
                <w:sz w:val="14"/>
                <w:szCs w:val="14"/>
                <w:color w:val="auto"/>
              </w:rPr>
              <w:t>EXERCISABLE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38"/>
        </w:trPr>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left="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1"/>
        </w:trPr>
        <w:tc>
          <w:tcPr>
            <w:tcW w:w="1660" w:type="dxa"/>
            <w:vAlign w:val="bottom"/>
          </w:tcPr>
          <w:p>
            <w:pPr>
              <w:spacing w:after="0"/>
              <w:rPr>
                <w:sz w:val="20"/>
                <w:szCs w:val="20"/>
                <w:color w:val="auto"/>
              </w:rPr>
            </w:pPr>
            <w:r>
              <w:rPr>
                <w:rFonts w:ascii="Courier New" w:cs="Courier New" w:eastAsia="Courier New" w:hAnsi="Courier New"/>
                <w:sz w:val="14"/>
                <w:szCs w:val="14"/>
                <w:color w:val="auto"/>
              </w:rPr>
              <w:t>Peter F. Secchia</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25,000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$403,250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37,500</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$ 323,437</w:t>
            </w:r>
          </w:p>
        </w:tc>
        <w:tc>
          <w:tcPr>
            <w:tcW w:w="0" w:type="dxa"/>
            <w:vAlign w:val="bottom"/>
          </w:tcPr>
          <w:p>
            <w:pPr>
              <w:spacing w:after="0"/>
              <w:rPr>
                <w:sz w:val="1"/>
                <w:szCs w:val="1"/>
                <w:color w:val="auto"/>
              </w:rPr>
            </w:pPr>
          </w:p>
        </w:tc>
      </w:tr>
      <w:tr>
        <w:trPr>
          <w:trHeight w:val="163"/>
        </w:trPr>
        <w:tc>
          <w:tcPr>
            <w:tcW w:w="1660" w:type="dxa"/>
            <w:vAlign w:val="bottom"/>
          </w:tcPr>
          <w:p>
            <w:pPr>
              <w:spacing w:after="0"/>
              <w:rPr>
                <w:sz w:val="20"/>
                <w:szCs w:val="20"/>
                <w:color w:val="auto"/>
              </w:rPr>
            </w:pPr>
            <w:r>
              <w:rPr>
                <w:rFonts w:ascii="Courier New" w:cs="Courier New" w:eastAsia="Courier New" w:hAnsi="Courier New"/>
                <w:sz w:val="14"/>
                <w:szCs w:val="14"/>
                <w:color w:val="auto"/>
              </w:rPr>
              <w:t>William G. Currie</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50,000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806,500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75,000</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646,875</w:t>
            </w:r>
          </w:p>
        </w:tc>
        <w:tc>
          <w:tcPr>
            <w:tcW w:w="0" w:type="dxa"/>
            <w:vAlign w:val="bottom"/>
          </w:tcPr>
          <w:p>
            <w:pPr>
              <w:spacing w:after="0"/>
              <w:rPr>
                <w:sz w:val="1"/>
                <w:szCs w:val="1"/>
                <w:color w:val="auto"/>
              </w:rPr>
            </w:pPr>
          </w:p>
        </w:tc>
      </w:tr>
      <w:tr>
        <w:trPr>
          <w:trHeight w:val="163"/>
        </w:trPr>
        <w:tc>
          <w:tcPr>
            <w:tcW w:w="1660" w:type="dxa"/>
            <w:vAlign w:val="bottom"/>
          </w:tcPr>
          <w:p>
            <w:pPr>
              <w:spacing w:after="0"/>
              <w:rPr>
                <w:sz w:val="20"/>
                <w:szCs w:val="20"/>
                <w:color w:val="auto"/>
              </w:rPr>
            </w:pPr>
            <w:r>
              <w:rPr>
                <w:rFonts w:ascii="Courier New" w:cs="Courier New" w:eastAsia="Courier New" w:hAnsi="Courier New"/>
                <w:sz w:val="14"/>
                <w:szCs w:val="14"/>
                <w:color w:val="auto"/>
              </w:rPr>
              <w:t>James H. Ward</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35,000</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269,375</w:t>
            </w:r>
          </w:p>
        </w:tc>
        <w:tc>
          <w:tcPr>
            <w:tcW w:w="0" w:type="dxa"/>
            <w:vAlign w:val="bottom"/>
          </w:tcPr>
          <w:p>
            <w:pPr>
              <w:spacing w:after="0"/>
              <w:rPr>
                <w:sz w:val="1"/>
                <w:szCs w:val="1"/>
                <w:color w:val="auto"/>
              </w:rPr>
            </w:pPr>
          </w:p>
        </w:tc>
      </w:tr>
      <w:tr>
        <w:trPr>
          <w:trHeight w:val="163"/>
        </w:trPr>
        <w:tc>
          <w:tcPr>
            <w:tcW w:w="1660" w:type="dxa"/>
            <w:vAlign w:val="bottom"/>
          </w:tcPr>
          <w:p>
            <w:pPr>
              <w:spacing w:after="0"/>
              <w:rPr>
                <w:sz w:val="20"/>
                <w:szCs w:val="20"/>
                <w:color w:val="auto"/>
              </w:rPr>
            </w:pPr>
            <w:r>
              <w:rPr>
                <w:rFonts w:ascii="Courier New" w:cs="Courier New" w:eastAsia="Courier New" w:hAnsi="Courier New"/>
                <w:sz w:val="14"/>
                <w:szCs w:val="14"/>
                <w:color w:val="auto"/>
              </w:rPr>
              <w:t>Michael B. Glenn</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10,000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161,250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35,000</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269,375</w:t>
            </w:r>
          </w:p>
        </w:tc>
        <w:tc>
          <w:tcPr>
            <w:tcW w:w="0" w:type="dxa"/>
            <w:vAlign w:val="bottom"/>
          </w:tcPr>
          <w:p>
            <w:pPr>
              <w:spacing w:after="0"/>
              <w:rPr>
                <w:sz w:val="1"/>
                <w:szCs w:val="1"/>
                <w:color w:val="auto"/>
              </w:rPr>
            </w:pPr>
          </w:p>
        </w:tc>
      </w:tr>
      <w:tr>
        <w:trPr>
          <w:trHeight w:val="163"/>
        </w:trPr>
        <w:tc>
          <w:tcPr>
            <w:tcW w:w="1660" w:type="dxa"/>
            <w:vAlign w:val="bottom"/>
          </w:tcPr>
          <w:p>
            <w:pPr>
              <w:spacing w:after="0"/>
              <w:rPr>
                <w:sz w:val="20"/>
                <w:szCs w:val="20"/>
                <w:color w:val="auto"/>
              </w:rPr>
            </w:pPr>
            <w:r>
              <w:rPr>
                <w:rFonts w:ascii="Courier New" w:cs="Courier New" w:eastAsia="Courier New" w:hAnsi="Courier New"/>
                <w:sz w:val="14"/>
                <w:szCs w:val="14"/>
                <w:color w:val="auto"/>
              </w:rPr>
              <w:t>Gary A. Wright</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50,000</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(523,317)</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Courier New" w:cs="Courier New" w:eastAsia="Courier New" w:hAnsi="Courier New"/>
                <w:sz w:val="14"/>
                <w:szCs w:val="14"/>
                <w:color w:val="auto"/>
              </w:rPr>
              <w:t>Robert K. Hill</w:t>
            </w:r>
          </w:p>
        </w:tc>
        <w:tc>
          <w:tcPr>
            <w:tcW w:w="13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10,000</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161,250</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35,000</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269,375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0" w:lineRule="exact"/>
        <w:rPr>
          <w:sz w:val="20"/>
          <w:szCs w:val="20"/>
          <w:color w:val="auto"/>
        </w:rPr>
      </w:pPr>
    </w:p>
    <w:p>
      <w:pPr>
        <w:ind w:left="340" w:right="3359" w:hanging="333"/>
        <w:spacing w:after="0" w:line="327" w:lineRule="auto"/>
        <w:tabs>
          <w:tab w:leader="none" w:pos="3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aggregate market value of shares at the time of exercise less the aggregate exercise price paid by the Named Executives.</w:t>
      </w:r>
    </w:p>
    <w:p>
      <w:pPr>
        <w:spacing w:after="0" w:line="31" w:lineRule="exact"/>
        <w:rPr>
          <w:rFonts w:ascii="Courier New" w:cs="Courier New" w:eastAsia="Courier New" w:hAnsi="Courier New"/>
          <w:sz w:val="14"/>
          <w:szCs w:val="14"/>
          <w:color w:val="auto"/>
        </w:rPr>
      </w:pPr>
    </w:p>
    <w:p>
      <w:pPr>
        <w:ind w:left="340" w:hanging="333"/>
        <w:spacing w:after="0"/>
        <w:tabs>
          <w:tab w:leader="none" w:pos="3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Values based on the difference between the closing market price of the</w:t>
      </w:r>
    </w:p>
    <w:p>
      <w:pPr>
        <w:spacing w:after="0" w:line="30" w:lineRule="exact"/>
        <w:rPr>
          <w:sz w:val="20"/>
          <w:szCs w:val="20"/>
          <w:color w:val="auto"/>
        </w:rPr>
      </w:pPr>
    </w:p>
    <w:p>
      <w:pPr>
        <w:ind w:left="340" w:right="3459"/>
        <w:spacing w:after="0" w:line="246" w:lineRule="auto"/>
        <w:rPr>
          <w:sz w:val="20"/>
          <w:szCs w:val="20"/>
          <w:color w:val="auto"/>
        </w:rPr>
      </w:pPr>
      <w:r>
        <w:rPr>
          <w:rFonts w:ascii="Courier New" w:cs="Courier New" w:eastAsia="Courier New" w:hAnsi="Courier New"/>
          <w:sz w:val="14"/>
          <w:szCs w:val="14"/>
          <w:color w:val="auto"/>
        </w:rPr>
        <w:t>Company's stock as of December 25, 1999 ($13.125) and the exercise price of the options.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PERSONNEL AND COMPENSATION COMMITTEE REPORT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Personnel and Compensation Committee (the "Committee") of the Board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has furnished the following report on executive compensation:</w:t>
      </w:r>
    </w:p>
    <w:p>
      <w:pPr>
        <w:spacing w:after="0" w:line="142" w:lineRule="exact"/>
        <w:rPr>
          <w:sz w:val="20"/>
          <w:szCs w:val="20"/>
          <w:color w:val="auto"/>
        </w:rPr>
      </w:pPr>
    </w:p>
    <w:p>
      <w:pPr>
        <w:ind w:left="440" w:right="3459"/>
        <w:spacing w:after="0" w:line="366" w:lineRule="auto"/>
        <w:rPr>
          <w:sz w:val="20"/>
          <w:szCs w:val="20"/>
          <w:color w:val="auto"/>
        </w:rPr>
      </w:pPr>
      <w:r>
        <w:rPr>
          <w:rFonts w:ascii="Courier New" w:cs="Courier New" w:eastAsia="Courier New" w:hAnsi="Courier New"/>
          <w:sz w:val="14"/>
          <w:szCs w:val="14"/>
          <w:color w:val="auto"/>
        </w:rPr>
        <w:t>During 1999, the Company maintained its compensation program in accordance with the following Committee goals:</w:t>
      </w:r>
    </w:p>
    <w:p>
      <w:pPr>
        <w:spacing w:after="0" w:line="6" w:lineRule="exact"/>
        <w:rPr>
          <w:sz w:val="20"/>
          <w:szCs w:val="20"/>
          <w:color w:val="auto"/>
        </w:rPr>
      </w:pPr>
    </w:p>
    <w:p>
      <w:pPr>
        <w:ind w:left="780" w:hanging="349"/>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and appropriate base salaries, based upon job duties.</w:t>
      </w:r>
    </w:p>
    <w:p>
      <w:pPr>
        <w:spacing w:after="0" w:line="167" w:lineRule="exact"/>
        <w:rPr>
          <w:rFonts w:ascii="Courier New" w:cs="Courier New" w:eastAsia="Courier New" w:hAnsi="Courier New"/>
          <w:sz w:val="14"/>
          <w:szCs w:val="14"/>
          <w:color w:val="auto"/>
        </w:rPr>
      </w:pPr>
    </w:p>
    <w:p>
      <w:pPr>
        <w:ind w:left="780" w:right="3459" w:hanging="349"/>
        <w:spacing w:after="0" w:line="266" w:lineRule="auto"/>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compensation tied to Company objectives, including: (a) Return on Investment; (b) Progress on Performance 2002 objectives; and</w:t>
      </w:r>
    </w:p>
    <w:p>
      <w:pPr>
        <w:ind w:left="1100" w:hanging="330"/>
        <w:spacing w:after="0"/>
        <w:tabs>
          <w:tab w:leader="none" w:pos="110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Growth in Sales and Earnings.</w:t>
      </w:r>
    </w:p>
    <w:p>
      <w:pPr>
        <w:spacing w:after="0" w:line="142" w:lineRule="exact"/>
        <w:rPr>
          <w:sz w:val="20"/>
          <w:szCs w:val="20"/>
          <w:color w:val="auto"/>
        </w:rPr>
      </w:pPr>
    </w:p>
    <w:p>
      <w:pPr>
        <w:ind w:left="440" w:right="3959"/>
        <w:spacing w:after="0" w:line="366" w:lineRule="auto"/>
        <w:rPr>
          <w:sz w:val="20"/>
          <w:szCs w:val="20"/>
          <w:color w:val="auto"/>
        </w:rPr>
      </w:pPr>
      <w:r>
        <w:rPr>
          <w:rFonts w:ascii="Courier New" w:cs="Courier New" w:eastAsia="Courier New" w:hAnsi="Courier New"/>
          <w:sz w:val="14"/>
          <w:szCs w:val="14"/>
          <w:color w:val="auto"/>
        </w:rPr>
        <w:t>The Committee has determined that the following categories will best motivate Company executives to achieve the Company goals:</w:t>
      </w:r>
    </w:p>
    <w:p>
      <w:pPr>
        <w:spacing w:after="0" w:line="6" w:lineRule="exact"/>
        <w:rPr>
          <w:sz w:val="20"/>
          <w:szCs w:val="20"/>
          <w:color w:val="auto"/>
        </w:rPr>
      </w:pPr>
    </w:p>
    <w:p>
      <w:pPr>
        <w:ind w:left="440" w:right="3359"/>
        <w:spacing w:after="0" w:line="270" w:lineRule="auto"/>
        <w:rPr>
          <w:sz w:val="20"/>
          <w:szCs w:val="20"/>
          <w:color w:val="auto"/>
        </w:rPr>
      </w:pPr>
      <w:r>
        <w:rPr>
          <w:rFonts w:ascii="Courier New" w:cs="Courier New" w:eastAsia="Courier New" w:hAnsi="Courier New"/>
          <w:sz w:val="14"/>
          <w:szCs w:val="14"/>
          <w:color w:val="auto"/>
        </w:rPr>
        <w:t>Base Salaries. Annual base salaries are based on past and present corporate and individual performance, with reference to base salary data of similar-sized corporations and industry competitors so such salaries are generally competitive in the market place. Salary comparisons with peer group companies are reviewed and analyzed to account for differences in size and business complexity among peer companies.</w:t>
      </w:r>
    </w:p>
    <w:p>
      <w:pPr>
        <w:sectPr>
          <w:pgSz w:w="11900" w:h="16838" w:orient="portrait"/>
          <w:cols w:equalWidth="0" w:num="1">
            <w:col w:w="10159"/>
          </w:cols>
          <w:pgMar w:left="300" w:top="25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11</w:t>
      </w:r>
    </w:p>
    <w:p>
      <w:pPr>
        <w:spacing w:after="0" w:line="168" w:lineRule="exact"/>
        <w:rPr>
          <w:sz w:val="20"/>
          <w:szCs w:val="20"/>
          <w:color w:val="auto"/>
        </w:rPr>
      </w:pPr>
    </w:p>
    <w:p>
      <w:pPr>
        <w:ind w:left="5940"/>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ind w:left="180" w:right="3619"/>
        <w:spacing w:after="0" w:line="276" w:lineRule="auto"/>
        <w:rPr>
          <w:sz w:val="20"/>
          <w:szCs w:val="20"/>
          <w:color w:val="auto"/>
        </w:rPr>
      </w:pPr>
      <w:r>
        <w:rPr>
          <w:rFonts w:ascii="Courier New" w:cs="Courier New" w:eastAsia="Courier New" w:hAnsi="Courier New"/>
          <w:sz w:val="14"/>
          <w:szCs w:val="14"/>
          <w:color w:val="auto"/>
        </w:rPr>
        <w:t>The Committee has complete discretion in determining base salary amounts (including the grant and amount of any annual discretionary incentive payments or stock option awards), regardless of whether corporate or individual performance goals are achieved. The Committee exercised this discretion in setting base salaries for 1999.</w:t>
      </w:r>
    </w:p>
    <w:p>
      <w:pPr>
        <w:spacing w:after="0" w:line="67" w:lineRule="exact"/>
        <w:rPr>
          <w:sz w:val="20"/>
          <w:szCs w:val="20"/>
          <w:color w:val="auto"/>
        </w:rPr>
      </w:pPr>
    </w:p>
    <w:p>
      <w:pPr>
        <w:ind w:left="180" w:right="3459"/>
        <w:spacing w:after="0" w:line="270" w:lineRule="auto"/>
        <w:rPr>
          <w:sz w:val="20"/>
          <w:szCs w:val="20"/>
          <w:color w:val="auto"/>
        </w:rPr>
      </w:pPr>
      <w:r>
        <w:rPr>
          <w:rFonts w:ascii="Courier New" w:cs="Courier New" w:eastAsia="Courier New" w:hAnsi="Courier New"/>
          <w:sz w:val="14"/>
          <w:szCs w:val="14"/>
          <w:color w:val="auto"/>
        </w:rPr>
        <w:t>Each year the Committee reviews, with the Chief Executive Officer, and approves, with such modifications as it may deem appropriate, an annual salary adjustment target for executives for the ensuing February 1 to January 31, based on current available survey data, cost of living factors and performance judgments as to the past and expected future contributions of the individual officers.</w:t>
      </w:r>
    </w:p>
    <w:p>
      <w:pPr>
        <w:spacing w:after="0" w:line="71" w:lineRule="exact"/>
        <w:rPr>
          <w:sz w:val="20"/>
          <w:szCs w:val="20"/>
          <w:color w:val="auto"/>
        </w:rPr>
      </w:pPr>
    </w:p>
    <w:p>
      <w:pPr>
        <w:ind w:left="180" w:right="3359"/>
        <w:spacing w:after="0" w:line="256" w:lineRule="auto"/>
        <w:rPr>
          <w:sz w:val="20"/>
          <w:szCs w:val="20"/>
          <w:color w:val="auto"/>
        </w:rPr>
      </w:pPr>
      <w:r>
        <w:rPr>
          <w:rFonts w:ascii="Courier New" w:cs="Courier New" w:eastAsia="Courier New" w:hAnsi="Courier New"/>
          <w:sz w:val="14"/>
          <w:szCs w:val="14"/>
          <w:color w:val="auto"/>
        </w:rPr>
        <w:t>Incentive Compensation. The Company relies heavily on annual incentive compensation to attract and retain Company officers and other key employees of outstanding abilities, and to motivate them to perform to the full extent of their abilities. The Company's incentive compensation system in 1999 focused on Return on Investment (ROI). For Messrs. Ward, Glenn and Hill, 1999 bonuses are based on the ROI of their respective operations, with adjustments to the bonus based on attainment of certain Company and Divisional goals. For Mr. Wright, bonus is based on the pretax operating profit of Shoffner Industries, L.L.C. which was the method utilized by Shoffner Industries prior to its acquisition by the Company in March of 1998. In addition, Mr. Wright, together with all Shoffner employees, is eligible for bonuses based on productivity. For Mr. Currie, incentive compensation is based entirely on the ROI of the Company as a whole.</w:t>
      </w:r>
    </w:p>
    <w:p>
      <w:pPr>
        <w:spacing w:after="0" w:line="84" w:lineRule="exact"/>
        <w:rPr>
          <w:sz w:val="20"/>
          <w:szCs w:val="20"/>
          <w:color w:val="auto"/>
        </w:rPr>
      </w:pPr>
    </w:p>
    <w:p>
      <w:pPr>
        <w:ind w:left="180" w:right="3359"/>
        <w:spacing w:after="0" w:line="258" w:lineRule="auto"/>
        <w:rPr>
          <w:sz w:val="20"/>
          <w:szCs w:val="20"/>
          <w:color w:val="auto"/>
        </w:rPr>
      </w:pPr>
      <w:r>
        <w:rPr>
          <w:rFonts w:ascii="Courier New" w:cs="Courier New" w:eastAsia="Courier New" w:hAnsi="Courier New"/>
          <w:sz w:val="14"/>
          <w:szCs w:val="14"/>
          <w:color w:val="auto"/>
        </w:rPr>
        <w:t>Chief Executive. The Committee annually reviews and establishes the discretionary component of the base salary of the Chief Executive Officer. His salary is based on comparable compensation data, the Committee's assessment of his past performance and its expectation as to his future contributions in leading the Company and its businesses. The Chief Executive Officer's base salary fell within the middle-range of the salaries of comparable executives. When compared with the peer group of the Company (as discussed under "Stock Performance Graph"), the Chief Executive Officer's base salary fell in the upper quartile of the peer group. The Committee has complete discretion in setting base salary for Mr. Currie (who does not have an employment agreement with the Company).</w:t>
      </w:r>
    </w:p>
    <w:p>
      <w:pPr>
        <w:spacing w:after="0" w:line="82" w:lineRule="exact"/>
        <w:rPr>
          <w:sz w:val="20"/>
          <w:szCs w:val="20"/>
          <w:color w:val="auto"/>
        </w:rPr>
      </w:pPr>
    </w:p>
    <w:p>
      <w:pPr>
        <w:ind w:left="180" w:right="3359"/>
        <w:spacing w:after="0" w:line="276" w:lineRule="auto"/>
        <w:rPr>
          <w:sz w:val="20"/>
          <w:szCs w:val="20"/>
          <w:color w:val="auto"/>
        </w:rPr>
      </w:pPr>
      <w:r>
        <w:rPr>
          <w:rFonts w:ascii="Courier New" w:cs="Courier New" w:eastAsia="Courier New" w:hAnsi="Courier New"/>
          <w:sz w:val="14"/>
          <w:szCs w:val="14"/>
          <w:color w:val="auto"/>
        </w:rPr>
        <w:t>The Chief Executive Officer's incentive bonus amount for 1999 was based upon performance determined under the Company's Performance Bonus Plan. The Chief Executive Officer's bonus for 1999 reflects the Company's overall performance, including record sales and record net earnings achieved in 1999, in spite of a slight decline in ROI.</w:t>
      </w:r>
    </w:p>
    <w:p>
      <w:pPr>
        <w:sectPr>
          <w:pgSz w:w="11900" w:h="16838" w:orient="portrait"/>
          <w:cols w:equalWidth="0" w:num="1">
            <w:col w:w="9899"/>
          </w:cols>
          <w:pgMar w:left="560" w:top="25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w:t>
      </w:r>
    </w:p>
    <w:p>
      <w:pPr>
        <w:spacing w:after="0" w:line="168" w:lineRule="exact"/>
        <w:rPr>
          <w:sz w:val="20"/>
          <w:szCs w:val="20"/>
          <w:color w:val="auto"/>
        </w:rPr>
      </w:pPr>
    </w:p>
    <w:p>
      <w:pPr>
        <w:ind w:left="440" w:right="3359"/>
        <w:spacing w:after="0" w:line="266" w:lineRule="auto"/>
        <w:rPr>
          <w:sz w:val="20"/>
          <w:szCs w:val="20"/>
          <w:color w:val="auto"/>
        </w:rPr>
      </w:pPr>
      <w:r>
        <w:rPr>
          <w:rFonts w:ascii="Courier New" w:cs="Courier New" w:eastAsia="Courier New" w:hAnsi="Courier New"/>
          <w:sz w:val="14"/>
          <w:szCs w:val="14"/>
          <w:color w:val="auto"/>
        </w:rPr>
        <w:t>Incentive Bonus Program. For fiscal 2000, the Company will continue to use the ROI based Performance Bonus Plan described above. By basing the individual's incentive compensation on the ROI generated by the profit center, the individual is rewarded for properly managing assets, increasing cash flow and obtaining higher net margins. A discretionary bonus component is available for salaried personnel at operations which have not yet hit the ROI target, but which demonstrate improvement over the previous year.</w:t>
      </w:r>
    </w:p>
    <w:p>
      <w:pPr>
        <w:spacing w:after="0" w:line="74" w:lineRule="exact"/>
        <w:rPr>
          <w:sz w:val="20"/>
          <w:szCs w:val="20"/>
          <w:color w:val="auto"/>
        </w:rPr>
      </w:pPr>
    </w:p>
    <w:p>
      <w:pPr>
        <w:ind w:left="440" w:right="3699"/>
        <w:spacing w:after="0" w:line="306" w:lineRule="auto"/>
        <w:rPr>
          <w:sz w:val="20"/>
          <w:szCs w:val="20"/>
          <w:color w:val="auto"/>
        </w:rPr>
      </w:pPr>
      <w:r>
        <w:rPr>
          <w:rFonts w:ascii="Courier New" w:cs="Courier New" w:eastAsia="Courier New" w:hAnsi="Courier New"/>
          <w:sz w:val="14"/>
          <w:szCs w:val="14"/>
          <w:color w:val="auto"/>
        </w:rPr>
        <w:t>For the Chief Executive and the other Named Executives, incentive compensation will be paid as provided in the Performance Bonus Plan, as approved by the Committee.</w:t>
      </w:r>
    </w:p>
    <w:p>
      <w:pPr>
        <w:spacing w:after="0" w:line="46" w:lineRule="exact"/>
        <w:rPr>
          <w:sz w:val="20"/>
          <w:szCs w:val="20"/>
          <w:color w:val="auto"/>
        </w:rPr>
      </w:pPr>
    </w:p>
    <w:p>
      <w:pPr>
        <w:ind w:left="440" w:right="3359"/>
        <w:spacing w:after="0" w:line="270" w:lineRule="auto"/>
        <w:rPr>
          <w:sz w:val="20"/>
          <w:szCs w:val="20"/>
          <w:color w:val="auto"/>
        </w:rPr>
      </w:pPr>
      <w:r>
        <w:rPr>
          <w:rFonts w:ascii="Courier New" w:cs="Courier New" w:eastAsia="Courier New" w:hAnsi="Courier New"/>
          <w:sz w:val="14"/>
          <w:szCs w:val="14"/>
          <w:color w:val="auto"/>
        </w:rPr>
        <w:t>The Company's policy is to pay all earned compensation regardless of whether it exceeds the One Million Dollar ($1,000,000.00) limitation on compensation deductions set forth in Section 162(m) of the Internal Revenue Code. To ensure the maximum tax deductibility for the Company, the Company received shareholder approval of its Performance Bonus Plan at its 1999 Annual Meeting of Shareholders.</w:t>
      </w:r>
    </w:p>
    <w:p>
      <w:pPr>
        <w:spacing w:after="0" w:line="71" w:lineRule="exact"/>
        <w:rPr>
          <w:sz w:val="20"/>
          <w:szCs w:val="20"/>
          <w:color w:val="auto"/>
        </w:rPr>
      </w:pPr>
    </w:p>
    <w:p>
      <w:pPr>
        <w:ind w:left="440" w:right="3359"/>
        <w:spacing w:after="0" w:line="286" w:lineRule="auto"/>
        <w:rPr>
          <w:sz w:val="20"/>
          <w:szCs w:val="20"/>
          <w:color w:val="auto"/>
        </w:rPr>
      </w:pPr>
      <w:r>
        <w:rPr>
          <w:rFonts w:ascii="Courier New" w:cs="Courier New" w:eastAsia="Courier New" w:hAnsi="Courier New"/>
          <w:sz w:val="14"/>
          <w:szCs w:val="14"/>
          <w:color w:val="auto"/>
        </w:rPr>
        <w:t>The Committee recognizes that as the strategic objectives of the Company are modified and refined, the compensation formulas must also be refined to maintain the direct correlation between individual compensation and Company performance.</w:t>
      </w:r>
    </w:p>
    <w:p>
      <w:pPr>
        <w:spacing w:after="0" w:line="59" w:lineRule="exact"/>
        <w:rPr>
          <w:sz w:val="20"/>
          <w:szCs w:val="20"/>
          <w:color w:val="auto"/>
        </w:rPr>
      </w:pPr>
    </w:p>
    <w:p>
      <w:pPr>
        <w:ind w:right="4039"/>
        <w:spacing w:after="0" w:line="366" w:lineRule="auto"/>
        <w:rPr>
          <w:sz w:val="20"/>
          <w:szCs w:val="20"/>
          <w:color w:val="auto"/>
        </w:rPr>
      </w:pPr>
      <w:r>
        <w:rPr>
          <w:rFonts w:ascii="Courier New" w:cs="Courier New" w:eastAsia="Courier New" w:hAnsi="Courier New"/>
          <w:sz w:val="14"/>
          <w:szCs w:val="14"/>
          <w:color w:val="auto"/>
        </w:rPr>
        <w:t>This report has been furnished by the members of the Board of Directors' Personnel and Compensation Committee.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W. Garside, Chairman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C. Canepa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M. DeVos</w:t>
      </w:r>
    </w:p>
    <w:p>
      <w:pPr>
        <w:spacing w:after="0" w:line="142"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4"/>
          <w:szCs w:val="14"/>
          <w:color w:val="auto"/>
        </w:rPr>
        <w:t>The report of the Personnel and Compensation Committee shall not be deemed incorporated by reference in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ectPr>
          <w:pgSz w:w="11900" w:h="16838" w:orient="portrait"/>
          <w:cols w:equalWidth="0" w:num="1">
            <w:col w:w="10159"/>
          </w:cols>
          <w:pgMar w:left="300" w:top="25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11</w:t>
      </w:r>
    </w:p>
    <w:p>
      <w:pPr>
        <w:spacing w:after="0" w:line="168" w:lineRule="exact"/>
        <w:rPr>
          <w:sz w:val="20"/>
          <w:szCs w:val="20"/>
          <w:color w:val="auto"/>
        </w:rPr>
      </w:pPr>
    </w:p>
    <w:p>
      <w:pPr>
        <w:ind w:right="3900"/>
        <w:spacing w:after="0" w:line="270" w:lineRule="auto"/>
        <w:rPr>
          <w:sz w:val="20"/>
          <w:szCs w:val="20"/>
          <w:color w:val="auto"/>
        </w:rPr>
      </w:pPr>
      <w:r>
        <w:rPr>
          <w:rFonts w:ascii="Courier New" w:cs="Courier New" w:eastAsia="Courier New" w:hAnsi="Courier New"/>
          <w:sz w:val="14"/>
          <w:szCs w:val="14"/>
          <w:color w:val="auto"/>
        </w:rPr>
        <w:t>STOCK PERFORMANCE GRAPHS. The following graph depicts the cumulative total return on the Company's Common Stock compared to the cumulative total return on the indices for The NASDAQ Stock Market(SM) (all U.S. companies) and an industry peer group selected by the Company. The graph assumes an investment of $100.00 on December 23, 1994 and reinvestment of dividends in all cases. [COLD PEER GROUP LINE GRAPH]</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UNIVERSAL FOREST</w:t>
            </w:r>
          </w:p>
        </w:tc>
        <w:tc>
          <w:tcPr>
            <w:tcW w:w="9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NASDAQ</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STOCK MARKET</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SELF-DETERMINED PEER</w:t>
            </w:r>
          </w:p>
        </w:tc>
      </w:tr>
      <w:tr>
        <w:trPr>
          <w:trHeight w:val="163"/>
        </w:trPr>
        <w:tc>
          <w:tcPr>
            <w:tcW w:w="3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PRODUCTS, INC.</w:t>
            </w:r>
          </w:p>
        </w:tc>
        <w:tc>
          <w:tcPr>
            <w:tcW w:w="238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(U.S. COMPANIES)</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GROUP</w:t>
            </w:r>
          </w:p>
        </w:tc>
      </w:tr>
      <w:tr>
        <w:trPr>
          <w:trHeight w:val="238"/>
        </w:trPr>
        <w:tc>
          <w:tcPr>
            <w:tcW w:w="3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80"/>
              </w:rPr>
              <w:t>----------------</w:t>
            </w:r>
          </w:p>
        </w:tc>
        <w:tc>
          <w:tcPr>
            <w:tcW w:w="760" w:type="dxa"/>
            <w:vAlign w:val="bottom"/>
          </w:tcPr>
          <w:p>
            <w:pPr>
              <w:spacing w:after="0"/>
              <w:rPr>
                <w:sz w:val="20"/>
                <w:szCs w:val="20"/>
                <w:color w:val="auto"/>
              </w:rPr>
            </w:pPr>
          </w:p>
        </w:tc>
        <w:tc>
          <w:tcPr>
            <w:tcW w:w="238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52"/>
        </w:trPr>
        <w:tc>
          <w:tcPr>
            <w:tcW w:w="3180" w:type="dxa"/>
            <w:vAlign w:val="bottom"/>
          </w:tcPr>
          <w:p>
            <w:pPr>
              <w:spacing w:after="0"/>
              <w:rPr>
                <w:sz w:val="20"/>
                <w:szCs w:val="20"/>
                <w:color w:val="auto"/>
              </w:rPr>
            </w:pPr>
            <w:r>
              <w:rPr>
                <w:rFonts w:ascii="Courier New" w:cs="Courier New" w:eastAsia="Courier New" w:hAnsi="Courier New"/>
                <w:sz w:val="14"/>
                <w:szCs w:val="14"/>
                <w:color w:val="auto"/>
              </w:rPr>
              <w:t>12/23/94</w:t>
            </w: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100</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12/22/95</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150.9</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142.6</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102.5</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12/24/96</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217.8</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176</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106.7</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12/24/97</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208.6</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206.2</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110.8</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12/24/98</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328.5</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300.3</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104</w:t>
            </w:r>
          </w:p>
        </w:tc>
      </w:tr>
      <w:tr>
        <w:trPr>
          <w:trHeight w:val="238"/>
        </w:trPr>
        <w:tc>
          <w:tcPr>
            <w:tcW w:w="3180" w:type="dxa"/>
            <w:vAlign w:val="bottom"/>
          </w:tcPr>
          <w:p>
            <w:pPr>
              <w:spacing w:after="0"/>
              <w:rPr>
                <w:sz w:val="20"/>
                <w:szCs w:val="20"/>
                <w:color w:val="auto"/>
              </w:rPr>
            </w:pPr>
            <w:r>
              <w:rPr>
                <w:rFonts w:ascii="Courier New" w:cs="Courier New" w:eastAsia="Courier New" w:hAnsi="Courier New"/>
                <w:sz w:val="14"/>
                <w:szCs w:val="14"/>
                <w:color w:val="auto"/>
              </w:rPr>
              <w:t>12/23/99</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216.6</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536.2</w:t>
            </w:r>
          </w:p>
        </w:tc>
        <w:tc>
          <w:tcPr>
            <w:tcW w:w="20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127.7</w:t>
            </w:r>
          </w:p>
        </w:tc>
      </w:tr>
      <w:tr>
        <w:trPr>
          <w:trHeight w:val="815"/>
        </w:trPr>
        <w:tc>
          <w:tcPr>
            <w:tcW w:w="318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12/1994</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12/1995</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12/1996</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12/1997</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12/1998</w:t>
            </w:r>
          </w:p>
        </w:tc>
        <w:tc>
          <w:tcPr>
            <w:tcW w:w="158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rPr>
              <w:t>12/1999</w:t>
            </w:r>
          </w:p>
        </w:tc>
        <w:tc>
          <w:tcPr>
            <w:tcW w:w="2040" w:type="dxa"/>
            <w:vAlign w:val="bottom"/>
          </w:tcPr>
          <w:p>
            <w:pPr>
              <w:spacing w:after="0"/>
              <w:rPr>
                <w:sz w:val="24"/>
                <w:szCs w:val="24"/>
                <w:color w:val="auto"/>
              </w:rPr>
            </w:pPr>
          </w:p>
        </w:tc>
      </w:tr>
      <w:tr>
        <w:trPr>
          <w:trHeight w:val="252"/>
        </w:trPr>
        <w:tc>
          <w:tcPr>
            <w:tcW w:w="3180" w:type="dxa"/>
            <w:vAlign w:val="bottom"/>
          </w:tcPr>
          <w:p>
            <w:pPr>
              <w:spacing w:after="0"/>
              <w:rPr>
                <w:sz w:val="20"/>
                <w:szCs w:val="20"/>
                <w:color w:val="auto"/>
              </w:rPr>
            </w:pPr>
            <w:r>
              <w:rPr>
                <w:rFonts w:ascii="Courier New" w:cs="Courier New" w:eastAsia="Courier New" w:hAnsi="Courier New"/>
                <w:sz w:val="14"/>
                <w:szCs w:val="14"/>
                <w:color w:val="auto"/>
              </w:rPr>
              <w:t>M Universal Forest Products, Inc.</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100.0</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150.9</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217.8</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208.6</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328.5</w:t>
            </w:r>
          </w:p>
        </w:tc>
        <w:tc>
          <w:tcPr>
            <w:tcW w:w="180" w:type="dxa"/>
            <w:vAlign w:val="bottom"/>
          </w:tcPr>
          <w:p>
            <w:pPr>
              <w:spacing w:after="0"/>
              <w:rPr>
                <w:sz w:val="21"/>
                <w:szCs w:val="21"/>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216.6</w:t>
            </w:r>
          </w:p>
        </w:tc>
        <w:tc>
          <w:tcPr>
            <w:tcW w:w="2040" w:type="dxa"/>
            <w:vAlign w:val="bottom"/>
          </w:tcPr>
          <w:p>
            <w:pPr>
              <w:spacing w:after="0"/>
              <w:rPr>
                <w:sz w:val="21"/>
                <w:szCs w:val="21"/>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O Nasdaq Stock Market (US Companies)</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100.0</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142.6</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176.0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206.2</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300.3</w:t>
            </w:r>
          </w:p>
        </w:tc>
        <w:tc>
          <w:tcPr>
            <w:tcW w:w="180" w:type="dxa"/>
            <w:vAlign w:val="bottom"/>
          </w:tcPr>
          <w:p>
            <w:pPr>
              <w:spacing w:after="0"/>
              <w:rPr>
                <w:sz w:val="14"/>
                <w:szCs w:val="14"/>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536.2</w:t>
            </w:r>
          </w:p>
        </w:tc>
        <w:tc>
          <w:tcPr>
            <w:tcW w:w="2040" w:type="dxa"/>
            <w:vAlign w:val="bottom"/>
          </w:tcPr>
          <w:p>
            <w:pPr>
              <w:spacing w:after="0"/>
              <w:rPr>
                <w:sz w:val="14"/>
                <w:szCs w:val="14"/>
                <w:color w:val="auto"/>
              </w:rPr>
            </w:pPr>
          </w:p>
        </w:tc>
      </w:tr>
      <w:tr>
        <w:trPr>
          <w:trHeight w:val="238"/>
        </w:trPr>
        <w:tc>
          <w:tcPr>
            <w:tcW w:w="3180" w:type="dxa"/>
            <w:vAlign w:val="bottom"/>
          </w:tcPr>
          <w:p>
            <w:pPr>
              <w:spacing w:after="0"/>
              <w:rPr>
                <w:sz w:val="20"/>
                <w:szCs w:val="20"/>
                <w:color w:val="auto"/>
              </w:rPr>
            </w:pPr>
            <w:r>
              <w:rPr>
                <w:rFonts w:ascii="Courier New" w:cs="Courier New" w:eastAsia="Courier New" w:hAnsi="Courier New"/>
                <w:sz w:val="14"/>
                <w:szCs w:val="14"/>
                <w:color w:val="auto"/>
              </w:rPr>
              <w:t>K Self-Determined Peer Group</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100.0</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102.5</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110.8</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104.0</w:t>
            </w:r>
          </w:p>
        </w:tc>
        <w:tc>
          <w:tcPr>
            <w:tcW w:w="180" w:type="dxa"/>
            <w:vAlign w:val="bottom"/>
          </w:tcPr>
          <w:p>
            <w:pPr>
              <w:spacing w:after="0"/>
              <w:rPr>
                <w:sz w:val="20"/>
                <w:szCs w:val="20"/>
                <w:color w:val="auto"/>
              </w:rPr>
            </w:pPr>
          </w:p>
        </w:tc>
        <w:tc>
          <w:tcPr>
            <w:tcW w:w="140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127.7</w:t>
            </w:r>
          </w:p>
        </w:tc>
        <w:tc>
          <w:tcPr>
            <w:tcW w:w="2040" w:type="dxa"/>
            <w:vAlign w:val="bottom"/>
          </w:tcPr>
          <w:p>
            <w:pPr>
              <w:spacing w:after="0"/>
              <w:rPr>
                <w:sz w:val="20"/>
                <w:szCs w:val="20"/>
                <w:color w:val="auto"/>
              </w:rPr>
            </w:pPr>
          </w:p>
        </w:tc>
      </w:tr>
      <w:tr>
        <w:trPr>
          <w:trHeight w:val="415"/>
        </w:trPr>
        <w:tc>
          <w:tcPr>
            <w:tcW w:w="7080" w:type="dxa"/>
            <w:vAlign w:val="bottom"/>
            <w:gridSpan w:val="6"/>
          </w:tcPr>
          <w:p>
            <w:pPr>
              <w:spacing w:after="0"/>
              <w:rPr>
                <w:sz w:val="20"/>
                <w:szCs w:val="20"/>
                <w:color w:val="auto"/>
              </w:rPr>
            </w:pPr>
            <w:r>
              <w:rPr>
                <w:rFonts w:ascii="Courier New" w:cs="Courier New" w:eastAsia="Courier New" w:hAnsi="Courier New"/>
                <w:sz w:val="14"/>
                <w:szCs w:val="14"/>
                <w:color w:val="auto"/>
              </w:rPr>
              <w:t>The companies included in the Company's self-determined industry peer group are</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8"/>
        </w:trPr>
        <w:tc>
          <w:tcPr>
            <w:tcW w:w="3180" w:type="dxa"/>
            <w:vAlign w:val="bottom"/>
          </w:tcPr>
          <w:p>
            <w:pPr>
              <w:spacing w:after="0"/>
              <w:rPr>
                <w:sz w:val="20"/>
                <w:szCs w:val="20"/>
                <w:color w:val="auto"/>
              </w:rPr>
            </w:pPr>
            <w:r>
              <w:rPr>
                <w:rFonts w:ascii="Courier New" w:cs="Courier New" w:eastAsia="Courier New" w:hAnsi="Courier New"/>
                <w:sz w:val="14"/>
                <w:szCs w:val="14"/>
                <w:color w:val="auto"/>
              </w:rPr>
              <w:t>as follows:</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78"/>
        </w:trPr>
        <w:tc>
          <w:tcPr>
            <w:tcW w:w="3180" w:type="dxa"/>
            <w:vAlign w:val="bottom"/>
          </w:tcPr>
          <w:p>
            <w:pPr>
              <w:spacing w:after="0"/>
              <w:rPr>
                <w:sz w:val="20"/>
                <w:szCs w:val="20"/>
                <w:color w:val="auto"/>
              </w:rPr>
            </w:pPr>
            <w:r>
              <w:rPr>
                <w:rFonts w:ascii="Courier New" w:cs="Courier New" w:eastAsia="Courier New" w:hAnsi="Courier New"/>
                <w:sz w:val="14"/>
                <w:szCs w:val="14"/>
                <w:color w:val="auto"/>
              </w:rPr>
              <w:t>Armstrong World Industries, Inc.</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Building Materials Holding Corp.</w:t>
            </w:r>
          </w:p>
        </w:tc>
        <w:tc>
          <w:tcPr>
            <w:tcW w:w="2040" w:type="dxa"/>
            <w:vAlign w:val="bottom"/>
          </w:tcPr>
          <w:p>
            <w:pPr>
              <w:spacing w:after="0"/>
              <w:rPr>
                <w:sz w:val="24"/>
                <w:szCs w:val="24"/>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Georgia Pacific Corp.</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Kevco Inc.</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Louisiana Pacific Corp.</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Patrick Industries Inc.</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38"/>
        </w:trPr>
        <w:tc>
          <w:tcPr>
            <w:tcW w:w="3180" w:type="dxa"/>
            <w:vAlign w:val="bottom"/>
          </w:tcPr>
          <w:p>
            <w:pPr>
              <w:spacing w:after="0"/>
              <w:rPr>
                <w:sz w:val="20"/>
                <w:szCs w:val="20"/>
                <w:color w:val="auto"/>
              </w:rPr>
            </w:pPr>
            <w:r>
              <w:rPr>
                <w:rFonts w:ascii="Courier New" w:cs="Courier New" w:eastAsia="Courier New" w:hAnsi="Courier New"/>
                <w:sz w:val="14"/>
                <w:szCs w:val="14"/>
                <w:color w:val="auto"/>
              </w:rPr>
              <w:t>TJ International Inc.</w:t>
            </w: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52" w:lineRule="exact"/>
        <w:rPr>
          <w:sz w:val="20"/>
          <w:szCs w:val="20"/>
          <w:color w:val="auto"/>
        </w:rPr>
      </w:pPr>
    </w:p>
    <w:p>
      <w:pPr>
        <w:ind w:right="4080"/>
        <w:spacing w:after="0" w:line="259" w:lineRule="auto"/>
        <w:rPr>
          <w:sz w:val="20"/>
          <w:szCs w:val="20"/>
          <w:color w:val="auto"/>
        </w:rPr>
      </w:pPr>
      <w:r>
        <w:rPr>
          <w:rFonts w:ascii="Courier New" w:cs="Courier New" w:eastAsia="Courier New" w:hAnsi="Courier New"/>
          <w:sz w:val="14"/>
          <w:szCs w:val="14"/>
          <w:color w:val="auto"/>
        </w:rPr>
        <w:t>The returns of each company included in the self-determined peer group are weighted according to each respective company's stock market capitalization at the beginning of each period presented in the graph above.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700"/>
          </w:cols>
          <w:pgMar w:left="300" w:top="257" w:right="89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ind w:right="3459"/>
        <w:spacing w:after="0" w:line="260" w:lineRule="auto"/>
        <w:rPr>
          <w:sz w:val="20"/>
          <w:szCs w:val="20"/>
          <w:color w:val="auto"/>
        </w:rPr>
      </w:pPr>
      <w:r>
        <w:rPr>
          <w:rFonts w:ascii="Courier New" w:cs="Courier New" w:eastAsia="Courier New" w:hAnsi="Courier New"/>
          <w:sz w:val="14"/>
          <w:szCs w:val="14"/>
          <w:color w:val="auto"/>
        </w:rPr>
        <w:t>SECTION 16(a) BENEFICIAL OWNERSHIP REPORTING COMPLIANCE. 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the Company with copies of all Section 16(a) reports they file. Based solely upon review of the copies of such reports furnished to the Company, or written representations that no such reports were required, all Section 16(a) filing requirements applicable to the reporting persons were complied with, except for Mr. Hill and Mr. Ward who each filed one late Form 4 report covering one transaction each.</w:t>
      </w:r>
    </w:p>
    <w:p>
      <w:pPr>
        <w:spacing w:after="0" w:line="76" w:lineRule="exact"/>
        <w:rPr>
          <w:sz w:val="20"/>
          <w:szCs w:val="20"/>
          <w:color w:val="auto"/>
        </w:rPr>
      </w:pPr>
    </w:p>
    <w:p>
      <w:pPr>
        <w:ind w:right="3359"/>
        <w:spacing w:after="0" w:line="263" w:lineRule="auto"/>
        <w:rPr>
          <w:sz w:val="20"/>
          <w:szCs w:val="20"/>
          <w:color w:val="auto"/>
        </w:rPr>
      </w:pPr>
      <w:r>
        <w:rPr>
          <w:rFonts w:ascii="Courier New" w:cs="Courier New" w:eastAsia="Courier New" w:hAnsi="Courier New"/>
          <w:sz w:val="14"/>
          <w:szCs w:val="14"/>
          <w:color w:val="auto"/>
        </w:rPr>
        <w:t>INDEPENDENT PUBLIC ACCOUNTANTS. Deloitte &amp; Touche LLP, certified public accountants, have audited the financial statements of the Company and its subsidiaries for the fiscal year ended December 25, 1999, and management intends to recommend the reappointment of the firm of Deloitte &amp; Touche LLP as independent auditors of the Company for the current fiscal year. Representatives of Deloitte &amp; Touche LLP are expected to be present at the annual meeting, will have an opportunity to make a statement and are expected to be able to respond to appropriate questions from the shareholders.</w:t>
      </w:r>
    </w:p>
    <w:p>
      <w:pPr>
        <w:spacing w:after="0" w:line="77"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4"/>
          <w:szCs w:val="14"/>
          <w:color w:val="auto"/>
        </w:rPr>
        <w:t>AVAILABILITY OF FORM 10-K. Shares of the Company's stock are traded under the symbol UFPI on The NASDAQ Stock Market(SM). The Company's 10-K Report filed with the Securities and Exchange Commission will be provided free of charge to any shareholder upon written request. Other significant financial information is available on the Company's web site at http://www.ufpinc.com. For more information, contact the Investor Relations Department, 2801 East Beltline NE, Grand Rapids, Michigan 49525.</w:t>
      </w:r>
    </w:p>
    <w:p>
      <w:pPr>
        <w:spacing w:after="0" w:line="74" w:lineRule="exact"/>
        <w:rPr>
          <w:sz w:val="20"/>
          <w:szCs w:val="20"/>
          <w:color w:val="auto"/>
        </w:rPr>
      </w:pPr>
    </w:p>
    <w:p>
      <w:pPr>
        <w:ind w:right="3459"/>
        <w:spacing w:after="0" w:line="263" w:lineRule="auto"/>
        <w:rPr>
          <w:sz w:val="20"/>
          <w:szCs w:val="20"/>
          <w:color w:val="auto"/>
        </w:rPr>
      </w:pPr>
      <w:r>
        <w:rPr>
          <w:rFonts w:ascii="Courier New" w:cs="Courier New" w:eastAsia="Courier New" w:hAnsi="Courier New"/>
          <w:sz w:val="14"/>
          <w:szCs w:val="14"/>
          <w:color w:val="auto"/>
        </w:rPr>
        <w:t>SHAREHOLDER PROPOSALS. Shareholder proposals intended to be presented at the 2001 Annual Meeting of Shareholders must be received by the Company no later than November 22, 2000, to be considered for inclusion in the proxy materials relating to that meeting. Proposals of shareholders should be addressed to the attention of Secretary, 2801 East Beltline NE, Grand Rapids, Michigan 49525. If the Company receives notice of a shareholder proposal after February 4, 2001, the persons named as proxies for the 2001 Annual Meeting of Shareholders will have discretionary voting authority to vote on that proposal at the meeting.</w:t>
      </w:r>
    </w:p>
    <w:p>
      <w:pPr>
        <w:sectPr>
          <w:pgSz w:w="11900" w:h="16838" w:orient="portrait"/>
          <w:cols w:equalWidth="0" w:num="1">
            <w:col w:w="10159"/>
          </w:cols>
          <w:pgMar w:left="300" w:top="25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68"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ind w:right="3459"/>
        <w:spacing w:after="0" w:line="270" w:lineRule="auto"/>
        <w:rPr>
          <w:sz w:val="20"/>
          <w:szCs w:val="20"/>
          <w:color w:val="auto"/>
        </w:rPr>
      </w:pPr>
      <w:r>
        <w:rPr>
          <w:rFonts w:ascii="Courier New" w:cs="Courier New" w:eastAsia="Courier New" w:hAnsi="Courier New"/>
          <w:sz w:val="14"/>
          <w:szCs w:val="14"/>
          <w:color w:val="auto"/>
        </w:rPr>
        <w:t>FUTURE PROXY SOLICITATION. The Company has expanded its use of the Internet to solicit proxies from its shareholders. As stated on the Notice of Annual Meeting, we will also accept voting by telephone or via electronic mail. If, in the future, you are interested in accepting proxy solicitations via the Internet, please visit our web site at http://www.ufpinc.com, and request to be put on our e-mail list by clicking on the "Information Request" icon.</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Matthew J. Missad, 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21, 2000</w:t>
      </w:r>
    </w:p>
    <w:p>
      <w:pPr>
        <w:sectPr>
          <w:pgSz w:w="11900" w:h="16838" w:orient="portrait"/>
          <w:cols w:equalWidth="0" w:num="1">
            <w:col w:w="10159"/>
          </w:cols>
          <w:pgMar w:left="300" w:top="25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0" w:lineRule="exact"/>
        <w:rPr>
          <w:sz w:val="20"/>
          <w:szCs w:val="20"/>
          <w:color w:val="auto"/>
        </w:rPr>
      </w:pPr>
    </w:p>
    <w:p>
      <w:pPr>
        <w:ind w:left="180" w:hanging="173"/>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1" w:lineRule="exact"/>
        <w:rPr>
          <w:rFonts w:ascii="Courier New" w:cs="Courier New" w:eastAsia="Courier New" w:hAnsi="Courier New"/>
          <w:sz w:val="14"/>
          <w:szCs w:val="14"/>
          <w:color w:val="auto"/>
        </w:rPr>
      </w:pPr>
    </w:p>
    <w:p>
      <w:pPr>
        <w:ind w:left="2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UNIVERSAL FOREST PRODUCTS, INC.</w:t>
      </w:r>
    </w:p>
    <w:p>
      <w:pPr>
        <w:spacing w:after="0" w:line="16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68" w:lineRule="exact"/>
        <w:rPr>
          <w:sz w:val="20"/>
          <w:szCs w:val="20"/>
          <w:color w:val="auto"/>
        </w:rPr>
      </w:pPr>
    </w:p>
    <w:p>
      <w:pPr>
        <w:ind w:right="3539" w:firstLine="254"/>
        <w:spacing w:after="0" w:line="270" w:lineRule="auto"/>
        <w:rPr>
          <w:sz w:val="20"/>
          <w:szCs w:val="20"/>
          <w:color w:val="auto"/>
        </w:rPr>
      </w:pPr>
      <w:r>
        <w:rPr>
          <w:rFonts w:ascii="Courier New" w:cs="Courier New" w:eastAsia="Courier New" w:hAnsi="Courier New"/>
          <w:sz w:val="14"/>
          <w:szCs w:val="14"/>
          <w:color w:val="auto"/>
        </w:rPr>
        <w:t>The undersigned hereby appoints William G. Currie and Matthew J. Missad as Proxies, each with the power to appoint his substitute, and hereby authorizes them to represent and to vote, as designated below, all the shares of Common Stock of Universal Forest Products, Inc. held of record by the undersigned on March 1, 2000 at the Annual Meeting of Shareholders to be held April 19, 2000, and at any adjournment thereof.</w:t>
      </w:r>
    </w:p>
    <w:p>
      <w:pPr>
        <w:spacing w:after="0" w:line="71"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(TO BE SIGNED ON REVERSE SIDE)</w:t>
      </w:r>
    </w:p>
    <w:p>
      <w:pPr>
        <w:sectPr>
          <w:pgSz w:w="11900" w:h="16838" w:orient="portrait"/>
          <w:cols w:equalWidth="0" w:num="1">
            <w:col w:w="10159"/>
          </w:cols>
          <w:pgMar w:left="300" w:top="25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PLEASE DATE, SIGN AND MAIL YOUR</w:t>
      </w:r>
    </w:p>
    <w:p>
      <w:pPr>
        <w:spacing w:after="0" w:line="30" w:lineRule="exact"/>
        <w:rPr>
          <w:sz w:val="20"/>
          <w:szCs w:val="20"/>
          <w:color w:val="auto"/>
        </w:rPr>
      </w:pPr>
    </w:p>
    <w:p>
      <w:pPr>
        <w:jc w:val="right"/>
        <w:ind w:right="6280"/>
        <w:spacing w:after="0"/>
        <w:rPr>
          <w:sz w:val="20"/>
          <w:szCs w:val="20"/>
          <w:color w:val="auto"/>
        </w:rPr>
      </w:pPr>
      <w:r>
        <w:rPr>
          <w:rFonts w:ascii="Courier New" w:cs="Courier New" w:eastAsia="Courier New" w:hAnsi="Courier New"/>
          <w:sz w:val="14"/>
          <w:szCs w:val="14"/>
          <w:color w:val="auto"/>
        </w:rPr>
        <w:t>PROXY CARD BACK AS SOON AS POSSIBLE!</w:t>
      </w:r>
    </w:p>
    <w:p>
      <w:pPr>
        <w:spacing w:after="0" w:line="30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ANNUAL MEETING OF SHAREHOLDERS</w:t>
      </w:r>
    </w:p>
    <w:p>
      <w:pPr>
        <w:spacing w:after="0" w:line="30"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UNIVERSAL FOREST PRODUCTS, INC.</w:t>
      </w:r>
    </w:p>
    <w:p>
      <w:pPr>
        <w:spacing w:after="0" w:line="142"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APRIL 19, 2000</w:t>
      </w:r>
    </w:p>
    <w:p>
      <w:pPr>
        <w:sectPr>
          <w:pgSz w:w="11900" w:h="16838" w:orient="portrait"/>
          <w:cols w:equalWidth="0" w:num="1">
            <w:col w:w="11200"/>
          </w:cols>
          <w:pgMar w:left="300" w:top="2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Please Detach and Mail in the Envelope Provided \/</w:t>
            </w:r>
          </w:p>
        </w:tc>
        <w:tc>
          <w:tcPr>
            <w:tcW w:w="0" w:type="dxa"/>
            <w:vAlign w:val="bottom"/>
          </w:tcPr>
          <w:p>
            <w:pPr>
              <w:spacing w:after="0"/>
              <w:rPr>
                <w:sz w:val="1"/>
                <w:szCs w:val="1"/>
                <w:color w:val="auto"/>
              </w:rPr>
            </w:pPr>
          </w:p>
        </w:tc>
      </w:tr>
      <w:tr>
        <w:trPr>
          <w:trHeight w:val="238"/>
        </w:trPr>
        <w:tc>
          <w:tcPr>
            <w:tcW w:w="7040" w:type="dxa"/>
            <w:vAlign w:val="bottom"/>
            <w:gridSpan w:val="5"/>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2"/>
        </w:trPr>
        <w:tc>
          <w:tcPr>
            <w:tcW w:w="2980" w:type="dxa"/>
            <w:vAlign w:val="bottom"/>
            <w:gridSpan w:val="3"/>
          </w:tcPr>
          <w:p>
            <w:pPr>
              <w:jc w:val="right"/>
              <w:ind w:right="949"/>
              <w:spacing w:after="0"/>
              <w:rPr>
                <w:sz w:val="20"/>
                <w:szCs w:val="20"/>
                <w:color w:val="auto"/>
              </w:rPr>
            </w:pPr>
            <w:r>
              <w:rPr>
                <w:rFonts w:ascii="Courier New" w:cs="Courier New" w:eastAsia="Courier New" w:hAnsi="Courier New"/>
                <w:sz w:val="14"/>
                <w:szCs w:val="14"/>
                <w:color w:val="auto"/>
              </w:rPr>
              <w:t>A [ X ]Please mark your</w:t>
            </w:r>
          </w:p>
        </w:tc>
        <w:tc>
          <w:tcPr>
            <w:tcW w:w="17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votes as</w:t>
            </w: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this</w:t>
            </w:r>
          </w:p>
        </w:tc>
        <w:tc>
          <w:tcPr>
            <w:tcW w:w="1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example.</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 the nominees</w:t>
            </w:r>
          </w:p>
        </w:tc>
        <w:tc>
          <w:tcPr>
            <w:tcW w:w="1740" w:type="dxa"/>
            <w:vAlign w:val="bottom"/>
          </w:tcPr>
          <w:p>
            <w:pPr>
              <w:ind w:left="580"/>
              <w:spacing w:after="0"/>
              <w:rPr>
                <w:sz w:val="20"/>
                <w:szCs w:val="20"/>
                <w:color w:val="auto"/>
              </w:rPr>
            </w:pPr>
            <w:r>
              <w:rPr>
                <w:rFonts w:ascii="Courier New" w:cs="Courier New" w:eastAsia="Courier New" w:hAnsi="Courier New"/>
                <w:sz w:val="14"/>
                <w:szCs w:val="14"/>
                <w:color w:val="auto"/>
              </w:rPr>
              <w:t>WITHHOLD</w:t>
            </w: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listed at right</w:t>
            </w:r>
          </w:p>
        </w:tc>
        <w:tc>
          <w:tcPr>
            <w:tcW w:w="1740" w:type="dxa"/>
            <w:vAlign w:val="bottom"/>
          </w:tcPr>
          <w:p>
            <w:pPr>
              <w:ind w:left="580"/>
              <w:spacing w:after="0"/>
              <w:rPr>
                <w:sz w:val="20"/>
                <w:szCs w:val="20"/>
                <w:color w:val="auto"/>
              </w:rPr>
            </w:pPr>
            <w:r>
              <w:rPr>
                <w:rFonts w:ascii="Courier New" w:cs="Courier New" w:eastAsia="Courier New" w:hAnsi="Courier New"/>
                <w:sz w:val="14"/>
                <w:szCs w:val="14"/>
                <w:color w:val="auto"/>
              </w:rPr>
              <w:t>AUTHORITY</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(except as marked to</w:t>
            </w:r>
          </w:p>
        </w:tc>
        <w:tc>
          <w:tcPr>
            <w:tcW w:w="4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 vote for all nominees</w:t>
            </w:r>
          </w:p>
        </w:tc>
        <w:tc>
          <w:tcPr>
            <w:tcW w:w="0" w:type="dxa"/>
            <w:vAlign w:val="bottom"/>
          </w:tcPr>
          <w:p>
            <w:pPr>
              <w:spacing w:after="0"/>
              <w:rPr>
                <w:sz w:val="1"/>
                <w:szCs w:val="1"/>
                <w:color w:val="auto"/>
              </w:rPr>
            </w:pPr>
          </w:p>
        </w:tc>
      </w:tr>
      <w:tr>
        <w:trPr>
          <w:trHeight w:val="163"/>
        </w:trPr>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1. Directors to</w:t>
            </w: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the contrary below)</w:t>
            </w:r>
          </w:p>
        </w:tc>
        <w:tc>
          <w:tcPr>
            <w:tcW w:w="1740" w:type="dxa"/>
            <w:vAlign w:val="bottom"/>
          </w:tcPr>
          <w:p>
            <w:pPr>
              <w:ind w:left="340"/>
              <w:spacing w:after="0"/>
              <w:rPr>
                <w:sz w:val="20"/>
                <w:szCs w:val="20"/>
                <w:color w:val="auto"/>
              </w:rPr>
            </w:pPr>
            <w:r>
              <w:rPr>
                <w:rFonts w:ascii="Courier New" w:cs="Courier New" w:eastAsia="Courier New" w:hAnsi="Courier New"/>
                <w:sz w:val="14"/>
                <w:szCs w:val="14"/>
                <w:color w:val="auto"/>
              </w:rPr>
              <w:t>listed at right</w:t>
            </w:r>
          </w:p>
        </w:tc>
        <w:tc>
          <w:tcPr>
            <w:tcW w:w="2320" w:type="dxa"/>
            <w:vAlign w:val="bottom"/>
            <w:vMerge w:val="restart"/>
          </w:tcPr>
          <w:p>
            <w:pPr>
              <w:jc w:val="right"/>
              <w:ind w:right="9"/>
              <w:spacing w:after="0"/>
              <w:rPr>
                <w:sz w:val="20"/>
                <w:szCs w:val="20"/>
                <w:color w:val="auto"/>
              </w:rPr>
            </w:pPr>
            <w:r>
              <w:rPr>
                <w:rFonts w:ascii="Courier New" w:cs="Courier New" w:eastAsia="Courier New" w:hAnsi="Courier New"/>
                <w:sz w:val="14"/>
                <w:szCs w:val="14"/>
                <w:color w:val="auto"/>
              </w:rPr>
              <w:t>NOMINEES: John W. Garside</w:t>
            </w:r>
          </w:p>
        </w:tc>
        <w:tc>
          <w:tcPr>
            <w:tcW w:w="0" w:type="dxa"/>
            <w:vAlign w:val="bottom"/>
          </w:tcPr>
          <w:p>
            <w:pPr>
              <w:spacing w:after="0"/>
              <w:rPr>
                <w:sz w:val="1"/>
                <w:szCs w:val="1"/>
                <w:color w:val="auto"/>
              </w:rPr>
            </w:pPr>
          </w:p>
        </w:tc>
      </w:tr>
      <w:tr>
        <w:trPr>
          <w:trHeight w:val="163"/>
        </w:trPr>
        <w:tc>
          <w:tcPr>
            <w:tcW w:w="1280" w:type="dxa"/>
            <w:vAlign w:val="bottom"/>
            <w:vMerge w:val="continue"/>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be</w:t>
            </w:r>
          </w:p>
        </w:tc>
        <w:tc>
          <w:tcPr>
            <w:tcW w:w="128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  ]</w:t>
            </w:r>
          </w:p>
        </w:tc>
        <w:tc>
          <w:tcPr>
            <w:tcW w:w="1740" w:type="dxa"/>
            <w:vAlign w:val="bottom"/>
          </w:tcPr>
          <w:p>
            <w:pPr>
              <w:ind w:left="840"/>
              <w:spacing w:after="0"/>
              <w:rPr>
                <w:sz w:val="20"/>
                <w:szCs w:val="20"/>
                <w:color w:val="auto"/>
              </w:rPr>
            </w:pPr>
            <w:r>
              <w:rPr>
                <w:rFonts w:ascii="Courier New" w:cs="Courier New" w:eastAsia="Courier New" w:hAnsi="Courier New"/>
                <w:sz w:val="14"/>
                <w:szCs w:val="14"/>
                <w:color w:val="auto"/>
              </w:rPr>
              <w:t>[  ]</w:t>
            </w: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Elected by</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Peter F. Secchia</w:t>
            </w:r>
          </w:p>
        </w:tc>
        <w:tc>
          <w:tcPr>
            <w:tcW w:w="0" w:type="dxa"/>
            <w:vAlign w:val="bottom"/>
          </w:tcPr>
          <w:p>
            <w:pPr>
              <w:spacing w:after="0"/>
              <w:rPr>
                <w:sz w:val="1"/>
                <w:szCs w:val="1"/>
                <w:color w:val="auto"/>
              </w:rPr>
            </w:pPr>
          </w:p>
        </w:tc>
      </w:tr>
      <w:tr>
        <w:trPr>
          <w:trHeight w:val="163"/>
        </w:trPr>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Holders of</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1600"/>
        <w:spacing w:after="0" w:line="306" w:lineRule="auto"/>
        <w:rPr>
          <w:sz w:val="20"/>
          <w:szCs w:val="20"/>
          <w:color w:val="auto"/>
        </w:rPr>
      </w:pPr>
      <w:r>
        <w:rPr>
          <w:rFonts w:ascii="Courier New" w:cs="Courier New" w:eastAsia="Courier New" w:hAnsi="Courier New"/>
          <w:sz w:val="14"/>
          <w:szCs w:val="14"/>
          <w:color w:val="auto"/>
        </w:rPr>
        <w:t>(Instruction: To withhold authority to vote for any individual nominee, strike a line through the nominee's name in the list at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6"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this Proxy will be voted FOR all nominees listed in Proposal 1.</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DATE, SIGN AND RETURN PROMPTLY.</w:t>
      </w:r>
    </w:p>
    <w:p>
      <w:pPr>
        <w:spacing w:after="0" w:line="811" w:lineRule="exact"/>
        <w:rPr>
          <w:sz w:val="20"/>
          <w:szCs w:val="20"/>
          <w:color w:val="auto"/>
        </w:rPr>
      </w:pPr>
    </w:p>
    <w:p>
      <w:pPr>
        <w:sectPr>
          <w:pgSz w:w="11900" w:h="16838" w:orient="portrait"/>
          <w:cols w:equalWidth="0" w:num="2">
            <w:col w:w="7040" w:space="180"/>
            <w:col w:w="3980"/>
          </w:cols>
          <w:pgMar w:left="300" w:top="25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180" w:type="dxa"/>
            <w:vAlign w:val="bottom"/>
          </w:tcPr>
          <w:p>
            <w:pPr>
              <w:ind w:left="760"/>
              <w:spacing w:after="0"/>
              <w:rPr>
                <w:sz w:val="20"/>
                <w:szCs w:val="20"/>
                <w:color w:val="auto"/>
              </w:rPr>
            </w:pPr>
            <w:r>
              <w:rPr>
                <w:rFonts w:ascii="Courier New" w:cs="Courier New" w:eastAsia="Courier New" w:hAnsi="Courier New"/>
                <w:sz w:val="14"/>
                <w:szCs w:val="14"/>
                <w:color w:val="auto"/>
              </w:rPr>
              <w:t>DATE:</w:t>
            </w:r>
          </w:p>
        </w:tc>
        <w:tc>
          <w:tcPr>
            <w:tcW w:w="0" w:type="dxa"/>
            <w:vAlign w:val="bottom"/>
          </w:tcPr>
          <w:p>
            <w:pPr>
              <w:spacing w:after="0"/>
              <w:rPr>
                <w:sz w:val="1"/>
                <w:szCs w:val="1"/>
                <w:color w:val="auto"/>
              </w:rPr>
            </w:pPr>
          </w:p>
        </w:tc>
      </w:tr>
      <w:tr>
        <w:trPr>
          <w:trHeight w:val="163"/>
        </w:trPr>
        <w:tc>
          <w:tcPr>
            <w:tcW w:w="4340" w:type="dxa"/>
            <w:vAlign w:val="bottom"/>
            <w:vMerge w:val="restart"/>
          </w:tcPr>
          <w:p>
            <w:pPr>
              <w:spacing w:after="0"/>
              <w:rPr>
                <w:sz w:val="20"/>
                <w:szCs w:val="20"/>
                <w:color w:val="auto"/>
              </w:rPr>
            </w:pPr>
            <w:r>
              <w:rPr>
                <w:rFonts w:ascii="Courier New" w:cs="Courier New" w:eastAsia="Courier New" w:hAnsi="Courier New"/>
                <w:sz w:val="17"/>
                <w:szCs w:val="17"/>
                <w:color w:val="auto"/>
                <w:w w:val="74"/>
                <w:vertAlign w:val="subscript"/>
              </w:rPr>
              <w:t>NOTE: Please</w:t>
            </w:r>
            <w:r>
              <w:rPr>
                <w:rFonts w:ascii="Courier New" w:cs="Courier New" w:eastAsia="Courier New" w:hAnsi="Courier New"/>
                <w:sz w:val="10"/>
                <w:szCs w:val="10"/>
                <w:color w:val="auto"/>
                <w:w w:val="74"/>
              </w:rPr>
              <w:t>------------------------------------------------</w:t>
            </w:r>
            <w:r>
              <w:rPr>
                <w:rFonts w:ascii="Courier New" w:cs="Courier New" w:eastAsia="Courier New" w:hAnsi="Courier New"/>
                <w:sz w:val="17"/>
                <w:szCs w:val="17"/>
                <w:color w:val="auto"/>
                <w:w w:val="74"/>
                <w:vertAlign w:val="subscript"/>
              </w:rPr>
              <w:t>signexactlyasnameappearshereon.</w:t>
            </w:r>
          </w:p>
        </w:tc>
        <w:tc>
          <w:tcPr>
            <w:tcW w:w="618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89"/>
        </w:trPr>
        <w:tc>
          <w:tcPr>
            <w:tcW w:w="4340" w:type="dxa"/>
            <w:vAlign w:val="bottom"/>
            <w:vMerge w:val="continue"/>
          </w:tcPr>
          <w:p>
            <w:pPr>
              <w:spacing w:after="0"/>
              <w:rPr>
                <w:sz w:val="16"/>
                <w:szCs w:val="16"/>
                <w:color w:val="auto"/>
              </w:rPr>
            </w:pPr>
          </w:p>
        </w:tc>
        <w:tc>
          <w:tcPr>
            <w:tcW w:w="6180" w:type="dxa"/>
            <w:vAlign w:val="bottom"/>
          </w:tcPr>
          <w:p>
            <w:pPr>
              <w:spacing w:after="0"/>
              <w:rPr>
                <w:sz w:val="20"/>
                <w:szCs w:val="20"/>
                <w:color w:val="auto"/>
              </w:rPr>
            </w:pPr>
            <w:r>
              <w:rPr>
                <w:rFonts w:ascii="Courier New" w:cs="Courier New" w:eastAsia="Courier New" w:hAnsi="Courier New"/>
                <w:sz w:val="14"/>
                <w:szCs w:val="14"/>
                <w:color w:val="auto"/>
              </w:rPr>
              <w:t>When shares are given by joint tenants, both should sign. When signing as</w:t>
            </w:r>
          </w:p>
        </w:tc>
        <w:tc>
          <w:tcPr>
            <w:tcW w:w="0" w:type="dxa"/>
            <w:vAlign w:val="bottom"/>
          </w:tcPr>
          <w:p>
            <w:pPr>
              <w:spacing w:after="0"/>
              <w:rPr>
                <w:sz w:val="1"/>
                <w:szCs w:val="1"/>
                <w:color w:val="auto"/>
              </w:rPr>
            </w:pPr>
          </w:p>
        </w:tc>
      </w:tr>
    </w:tbl>
    <w:p>
      <w:pPr>
        <w:ind w:left="520" w:right="80"/>
        <w:spacing w:after="0" w:line="286" w:lineRule="auto"/>
        <w:rPr>
          <w:sz w:val="20"/>
          <w:szCs w:val="20"/>
          <w:color w:val="auto"/>
        </w:rPr>
      </w:pPr>
      <w:r>
        <w:rPr>
          <w:rFonts w:ascii="Courier New" w:cs="Courier New" w:eastAsia="Courier New" w:hAnsi="Courier New"/>
          <w:sz w:val="14"/>
          <w:szCs w:val="14"/>
          <w:color w:val="auto"/>
        </w:rPr>
        <w:t>attorney, executor, administrator, trustee or guardian, please give full title as such. If a corporation, please sign in full corporate name by president or other authorized officer. If a partnership, please sign in partnership name by authorized person.</w:t>
      </w:r>
    </w:p>
    <w:p>
      <w:pPr>
        <w:sectPr>
          <w:pgSz w:w="11900" w:h="16838" w:orient="portrait"/>
          <w:cols w:equalWidth="0" w:num="1">
            <w:col w:w="11200"/>
          </w:cols>
          <w:pgMar w:left="300" w:top="257" w:right="399"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gridSpan w:val="3"/>
          </w:tcPr>
          <w:p>
            <w:pPr>
              <w:jc w:val="center"/>
              <w:ind w:right="1109"/>
              <w:spacing w:after="0"/>
              <w:rPr>
                <w:sz w:val="20"/>
                <w:szCs w:val="20"/>
                <w:color w:val="auto"/>
              </w:rPr>
            </w:pPr>
            <w:r>
              <w:rPr>
                <w:rFonts w:ascii="Courier New" w:cs="Courier New" w:eastAsia="Courier New" w:hAnsi="Courier New"/>
                <w:sz w:val="14"/>
                <w:szCs w:val="14"/>
                <w:color w:val="auto"/>
              </w:rPr>
              <w:t>UNIVERSAL FOREST PRODUCTS, INC.</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5600" w:type="dxa"/>
            <w:vAlign w:val="bottom"/>
            <w:gridSpan w:val="2"/>
          </w:tcPr>
          <w:p>
            <w:pPr>
              <w:jc w:val="right"/>
              <w:ind w:right="3829"/>
              <w:spacing w:after="0"/>
              <w:rPr>
                <w:sz w:val="20"/>
                <w:szCs w:val="20"/>
                <w:color w:val="auto"/>
              </w:rPr>
            </w:pPr>
            <w:r>
              <w:rPr>
                <w:rFonts w:ascii="Courier New" w:cs="Courier New" w:eastAsia="Courier New" w:hAnsi="Courier New"/>
                <w:sz w:val="14"/>
                <w:szCs w:val="14"/>
                <w:color w:val="auto"/>
              </w:rPr>
              <w:t>APRIL 19, 2000</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5600" w:type="dxa"/>
            <w:vAlign w:val="bottom"/>
            <w:gridSpan w:val="2"/>
          </w:tcPr>
          <w:p>
            <w:pPr>
              <w:jc w:val="center"/>
              <w:ind w:right="34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3"/>
        </w:trPr>
        <w:tc>
          <w:tcPr>
            <w:tcW w:w="2300" w:type="dxa"/>
            <w:vAlign w:val="bottom"/>
          </w:tcPr>
          <w:p>
            <w:pPr>
              <w:spacing w:after="0"/>
              <w:rPr>
                <w:sz w:val="14"/>
                <w:szCs w:val="14"/>
                <w:color w:val="auto"/>
              </w:rPr>
            </w:pPr>
          </w:p>
        </w:tc>
        <w:tc>
          <w:tcPr>
            <w:tcW w:w="5600" w:type="dxa"/>
            <w:vAlign w:val="bottom"/>
            <w:gridSpan w:val="2"/>
          </w:tcPr>
          <w:p>
            <w:pPr>
              <w:jc w:val="center"/>
              <w:ind w:right="3409"/>
              <w:spacing w:after="0"/>
              <w:rPr>
                <w:sz w:val="20"/>
                <w:szCs w:val="20"/>
                <w:color w:val="auto"/>
              </w:rPr>
            </w:pPr>
            <w:r>
              <w:rPr>
                <w:rFonts w:ascii="Courier New" w:cs="Courier New" w:eastAsia="Courier New" w:hAnsi="Courier New"/>
                <w:sz w:val="14"/>
                <w:szCs w:val="14"/>
                <w:color w:val="auto"/>
              </w:rPr>
              <w:t>PROXY VOTING INSTRUCTIONS</w:t>
            </w:r>
          </w:p>
        </w:tc>
        <w:tc>
          <w:tcPr>
            <w:tcW w:w="0" w:type="dxa"/>
            <w:vAlign w:val="bottom"/>
          </w:tcPr>
          <w:p>
            <w:pPr>
              <w:spacing w:after="0"/>
              <w:rPr>
                <w:sz w:val="1"/>
                <w:szCs w:val="1"/>
                <w:color w:val="auto"/>
              </w:rPr>
            </w:pPr>
          </w:p>
        </w:tc>
      </w:tr>
      <w:tr>
        <w:trPr>
          <w:trHeight w:val="238"/>
        </w:trPr>
        <w:tc>
          <w:tcPr>
            <w:tcW w:w="2300" w:type="dxa"/>
            <w:vAlign w:val="bottom"/>
            <w:vMerge w:val="restart"/>
          </w:tcPr>
          <w:p>
            <w:pPr>
              <w:spacing w:after="0"/>
              <w:rPr>
                <w:sz w:val="20"/>
                <w:szCs w:val="20"/>
                <w:color w:val="auto"/>
              </w:rPr>
            </w:pPr>
            <w:r>
              <w:rPr>
                <w:rFonts w:ascii="Courier New" w:cs="Courier New" w:eastAsia="Courier New" w:hAnsi="Courier New"/>
                <w:sz w:val="14"/>
                <w:szCs w:val="14"/>
                <w:color w:val="auto"/>
              </w:rPr>
              <w:t>TO VOTE BY MAIL</w:t>
            </w:r>
          </w:p>
        </w:tc>
        <w:tc>
          <w:tcPr>
            <w:tcW w:w="5600" w:type="dxa"/>
            <w:vAlign w:val="bottom"/>
            <w:gridSpan w:val="2"/>
          </w:tcPr>
          <w:p>
            <w:pPr>
              <w:jc w:val="center"/>
              <w:ind w:right="340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88"/>
        </w:trPr>
        <w:tc>
          <w:tcPr>
            <w:tcW w:w="230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900" w:type="dxa"/>
            <w:vAlign w:val="bottom"/>
            <w:gridSpan w:val="3"/>
          </w:tcPr>
          <w:p>
            <w:pPr>
              <w:spacing w:after="0"/>
              <w:rPr>
                <w:sz w:val="20"/>
                <w:szCs w:val="20"/>
                <w:color w:val="auto"/>
              </w:rPr>
            </w:pPr>
            <w:r>
              <w:rPr>
                <w:rFonts w:ascii="Courier New" w:cs="Courier New" w:eastAsia="Courier New" w:hAnsi="Courier New"/>
                <w:sz w:val="14"/>
                <w:szCs w:val="14"/>
                <w:color w:val="auto"/>
              </w:rPr>
              <w:t>PLEASE DATE, SIGN AND MAIL YOUR PROXY CARD IN THE ENVELOPE PROVIDED AS SOON AS</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r>
              <w:rPr>
                <w:rFonts w:ascii="Courier New" w:cs="Courier New" w:eastAsia="Courier New" w:hAnsi="Courier New"/>
                <w:sz w:val="14"/>
                <w:szCs w:val="14"/>
                <w:color w:val="auto"/>
              </w:rPr>
              <w:t>POSSIBLE.</w:t>
            </w:r>
          </w:p>
        </w:tc>
        <w:tc>
          <w:tcPr>
            <w:tcW w:w="12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900" w:type="dxa"/>
            <w:vAlign w:val="bottom"/>
            <w:gridSpan w:val="3"/>
          </w:tcPr>
          <w:p>
            <w:pPr>
              <w:spacing w:after="0"/>
              <w:rPr>
                <w:sz w:val="20"/>
                <w:szCs w:val="20"/>
                <w:color w:val="auto"/>
              </w:rPr>
            </w:pPr>
            <w:r>
              <w:rPr>
                <w:rFonts w:ascii="Courier New" w:cs="Courier New" w:eastAsia="Courier New" w:hAnsi="Courier New"/>
                <w:sz w:val="14"/>
                <w:szCs w:val="14"/>
                <w:color w:val="auto"/>
              </w:rPr>
              <w:t>TO VOTE BY TELEPHONE (TOUCH-TONE PHONE ONLY)</w:t>
            </w:r>
          </w:p>
        </w:tc>
        <w:tc>
          <w:tcPr>
            <w:tcW w:w="0" w:type="dxa"/>
            <w:vAlign w:val="bottom"/>
          </w:tcPr>
          <w:p>
            <w:pPr>
              <w:spacing w:after="0"/>
              <w:rPr>
                <w:sz w:val="1"/>
                <w:szCs w:val="1"/>
                <w:color w:val="auto"/>
              </w:rPr>
            </w:pPr>
          </w:p>
        </w:tc>
      </w:tr>
      <w:tr>
        <w:trPr>
          <w:trHeight w:val="163"/>
        </w:trPr>
        <w:tc>
          <w:tcPr>
            <w:tcW w:w="7900" w:type="dxa"/>
            <w:vAlign w:val="bottom"/>
            <w:gridSpan w:val="3"/>
          </w:tcPr>
          <w:p>
            <w:pPr>
              <w:spacing w:after="0"/>
              <w:rPr>
                <w:sz w:val="20"/>
                <w:szCs w:val="20"/>
                <w:color w:val="auto"/>
              </w:rPr>
            </w:pPr>
            <w:r>
              <w:rPr>
                <w:rFonts w:ascii="Courier New" w:cs="Courier New" w:eastAsia="Courier New" w:hAnsi="Courier New"/>
                <w:sz w:val="14"/>
                <w:szCs w:val="14"/>
                <w:color w:val="auto"/>
              </w:rPr>
              <w:t>PLEASE CALL TOLL-FREE 1-800-PROXIES AND FOLLOW THE INSTRUCTIONS. HAVE YOUR</w:t>
            </w:r>
          </w:p>
        </w:tc>
        <w:tc>
          <w:tcPr>
            <w:tcW w:w="0" w:type="dxa"/>
            <w:vAlign w:val="bottom"/>
          </w:tcPr>
          <w:p>
            <w:pPr>
              <w:spacing w:after="0"/>
              <w:rPr>
                <w:sz w:val="1"/>
                <w:szCs w:val="1"/>
                <w:color w:val="auto"/>
              </w:rPr>
            </w:pPr>
          </w:p>
        </w:tc>
      </w:tr>
      <w:tr>
        <w:trPr>
          <w:trHeight w:val="238"/>
        </w:trPr>
        <w:tc>
          <w:tcPr>
            <w:tcW w:w="7900" w:type="dxa"/>
            <w:vAlign w:val="bottom"/>
            <w:gridSpan w:val="3"/>
          </w:tcPr>
          <w:p>
            <w:pPr>
              <w:spacing w:after="0"/>
              <w:rPr>
                <w:sz w:val="20"/>
                <w:szCs w:val="20"/>
                <w:color w:val="auto"/>
              </w:rPr>
            </w:pPr>
            <w:r>
              <w:rPr>
                <w:rFonts w:ascii="Courier New" w:cs="Courier New" w:eastAsia="Courier New" w:hAnsi="Courier New"/>
                <w:sz w:val="14"/>
                <w:szCs w:val="14"/>
                <w:color w:val="auto"/>
              </w:rPr>
              <w:t>CONTROL NUMBER AND THE PROXY CARD AVAILABLE WHEN YOU CALL.</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 VOTE BY INTERNET</w:t>
            </w:r>
          </w:p>
        </w:tc>
        <w:tc>
          <w:tcPr>
            <w:tcW w:w="12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900" w:type="dxa"/>
            <w:vAlign w:val="bottom"/>
            <w:gridSpan w:val="3"/>
          </w:tcPr>
          <w:p>
            <w:pPr>
              <w:spacing w:after="0"/>
              <w:rPr>
                <w:sz w:val="20"/>
                <w:szCs w:val="20"/>
                <w:color w:val="auto"/>
              </w:rPr>
            </w:pPr>
            <w:r>
              <w:rPr>
                <w:rFonts w:ascii="Courier New" w:cs="Courier New" w:eastAsia="Courier New" w:hAnsi="Courier New"/>
                <w:sz w:val="14"/>
                <w:szCs w:val="14"/>
                <w:color w:val="auto"/>
              </w:rPr>
              <w:t>PLEASE ACCESS THE WEB PAGE AT "WWW.VOTEPROXY.COM" AND FOLLOW THE ON-SCREEN</w:t>
            </w:r>
          </w:p>
        </w:tc>
        <w:tc>
          <w:tcPr>
            <w:tcW w:w="0" w:type="dxa"/>
            <w:vAlign w:val="bottom"/>
          </w:tcPr>
          <w:p>
            <w:pPr>
              <w:spacing w:after="0"/>
              <w:rPr>
                <w:sz w:val="1"/>
                <w:szCs w:val="1"/>
                <w:color w:val="auto"/>
              </w:rPr>
            </w:pPr>
          </w:p>
        </w:tc>
      </w:tr>
      <w:tr>
        <w:trPr>
          <w:trHeight w:val="238"/>
        </w:trPr>
        <w:tc>
          <w:tcPr>
            <w:tcW w:w="7900" w:type="dxa"/>
            <w:vAlign w:val="bottom"/>
            <w:gridSpan w:val="3"/>
          </w:tcPr>
          <w:p>
            <w:pPr>
              <w:spacing w:after="0"/>
              <w:rPr>
                <w:sz w:val="20"/>
                <w:szCs w:val="20"/>
                <w:color w:val="auto"/>
              </w:rPr>
            </w:pPr>
            <w:r>
              <w:rPr>
                <w:rFonts w:ascii="Courier New" w:cs="Courier New" w:eastAsia="Courier New" w:hAnsi="Courier New"/>
                <w:sz w:val="14"/>
                <w:szCs w:val="14"/>
                <w:color w:val="auto"/>
              </w:rPr>
              <w:t>INSTRUCTIONS. HAVE YOUR CONTROL NUMBER AVAILABLE WHEN YOU ACCESS THE WEB PAGE.</w:t>
            </w:r>
          </w:p>
        </w:tc>
        <w:tc>
          <w:tcPr>
            <w:tcW w:w="0" w:type="dxa"/>
            <w:vAlign w:val="bottom"/>
          </w:tcPr>
          <w:p>
            <w:pPr>
              <w:spacing w:after="0"/>
              <w:rPr>
                <w:sz w:val="1"/>
                <w:szCs w:val="1"/>
                <w:color w:val="auto"/>
              </w:rPr>
            </w:pPr>
          </w:p>
        </w:tc>
      </w:tr>
      <w:tr>
        <w:trPr>
          <w:trHeight w:val="326"/>
        </w:trPr>
        <w:tc>
          <w:tcPr>
            <w:tcW w:w="2300" w:type="dxa"/>
            <w:vAlign w:val="bottom"/>
          </w:tcPr>
          <w:p>
            <w:pPr>
              <w:spacing w:after="0"/>
              <w:rPr>
                <w:sz w:val="20"/>
                <w:szCs w:val="20"/>
                <w:color w:val="auto"/>
              </w:rPr>
            </w:pPr>
            <w:r>
              <w:rPr>
                <w:rFonts w:ascii="Courier New" w:cs="Courier New" w:eastAsia="Courier New" w:hAnsi="Courier New"/>
                <w:sz w:val="14"/>
                <w:szCs w:val="14"/>
                <w:color w:val="auto"/>
              </w:rPr>
              <w:t>YOUR CONTROL NUMBER IS   =&gt;</w:t>
            </w:r>
          </w:p>
        </w:tc>
        <w:tc>
          <w:tcPr>
            <w:tcW w:w="122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jc w:val="right"/>
              <w:ind w:right="3069"/>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767"/>
        </w:trPr>
        <w:tc>
          <w:tcPr>
            <w:tcW w:w="2300" w:type="dxa"/>
            <w:vAlign w:val="bottom"/>
          </w:tcPr>
          <w:p>
            <w:pPr>
              <w:spacing w:after="0"/>
              <w:rPr>
                <w:sz w:val="24"/>
                <w:szCs w:val="24"/>
                <w:color w:val="auto"/>
              </w:rPr>
            </w:pP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380" w:type="dxa"/>
            <w:vAlign w:val="bottom"/>
          </w:tcPr>
          <w:p>
            <w:pPr>
              <w:jc w:val="right"/>
              <w:spacing w:after="0"/>
              <w:rPr>
                <w:sz w:val="20"/>
                <w:szCs w:val="20"/>
                <w:color w:val="auto"/>
              </w:rPr>
            </w:pPr>
            <w:r>
              <w:rPr>
                <w:rFonts w:ascii="Courier New" w:cs="Courier New" w:eastAsia="Courier New" w:hAnsi="Courier New"/>
                <w:sz w:val="14"/>
                <w:szCs w:val="14"/>
                <w:color w:val="auto"/>
              </w:rPr>
              <w:t>Please Detach and Mail in the Envelope Provided \/</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360"/>
          </w:cols>
          <w:pgMar w:left="300" w:top="257" w:right="239" w:bottom="1440" w:gutter="0" w:footer="0" w:header="0"/>
        </w:sectPr>
      </w:pPr>
    </w:p>
    <w:p>
      <w:pPr>
        <w:spacing w:after="0" w:line="53" w:lineRule="exact"/>
        <w:rPr>
          <w:sz w:val="20"/>
          <w:szCs w:val="20"/>
          <w:color w:val="auto"/>
        </w:rPr>
      </w:pPr>
    </w:p>
    <w:p>
      <w:pPr>
        <w:ind w:left="520" w:hanging="508"/>
        <w:spacing w:after="0" w:line="246" w:lineRule="auto"/>
        <w:rPr>
          <w:sz w:val="20"/>
          <w:szCs w:val="20"/>
          <w:color w:val="auto"/>
        </w:rPr>
      </w:pPr>
      <w:r>
        <w:rPr>
          <w:rFonts w:ascii="Courier New" w:cs="Courier New" w:eastAsia="Courier New" w:hAnsi="Courier New"/>
          <w:sz w:val="14"/>
          <w:szCs w:val="14"/>
          <w:color w:val="auto"/>
        </w:rPr>
        <w:t>A [X] Please mark your</w:t>
      </w:r>
      <w:r>
        <w:rPr>
          <w:sz w:val="20"/>
          <w:szCs w:val="20"/>
          <w:color w:val="auto"/>
        </w:rPr>
        <w:t xml:space="preserve"> </w:t>
      </w:r>
      <w:r>
        <w:rPr>
          <w:rFonts w:ascii="Courier New" w:cs="Courier New" w:eastAsia="Courier New" w:hAnsi="Courier New"/>
          <w:sz w:val="14"/>
          <w:szCs w:val="14"/>
          <w:color w:val="auto"/>
        </w:rPr>
        <w:t>-- | votes as in this | | example.</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79" w:lineRule="exact"/>
        <w:rPr>
          <w:sz w:val="20"/>
          <w:szCs w:val="20"/>
          <w:color w:val="auto"/>
        </w:rPr>
      </w:pPr>
    </w:p>
    <w:p>
      <w:pPr>
        <w:sectPr>
          <w:pgSz w:w="11900" w:h="16838" w:orient="portrait"/>
          <w:cols w:equalWidth="0" w:num="2">
            <w:col w:w="10700" w:space="0"/>
            <w:col w:w="660"/>
          </w:cols>
          <w:pgMar w:left="300" w:top="257" w:right="239" w:bottom="1440" w:gutter="0" w:footer="0" w:header="0"/>
          <w:type w:val="continuous"/>
        </w:sectPr>
      </w:pPr>
    </w:p>
    <w:p>
      <w:pPr>
        <w:ind w:left="1100"/>
        <w:spacing w:after="0"/>
        <w:rPr>
          <w:sz w:val="20"/>
          <w:szCs w:val="20"/>
          <w:color w:val="auto"/>
        </w:rPr>
      </w:pPr>
      <w:r>
        <w:rPr>
          <w:rFonts w:ascii="Courier New" w:cs="Courier New" w:eastAsia="Courier New" w:hAnsi="Courier New"/>
          <w:sz w:val="14"/>
          <w:szCs w:val="14"/>
          <w:color w:val="auto"/>
        </w:rPr>
        <w:t>FOR the nominees</w:t>
      </w:r>
    </w:p>
    <w:p>
      <w:pPr>
        <w:spacing w:after="0" w:line="30"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listed at right</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(except as marked to</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contrary below)</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WITHHOLD</w:t>
      </w:r>
    </w:p>
    <w:p>
      <w:pPr>
        <w:spacing w:after="0" w:line="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AUTHORITY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listed at right</w:t>
      </w:r>
    </w:p>
    <w:p>
      <w:pPr>
        <w:spacing w:after="0" w:line="142" w:lineRule="exact"/>
        <w:rPr>
          <w:sz w:val="20"/>
          <w:szCs w:val="20"/>
          <w:color w:val="auto"/>
        </w:rPr>
      </w:pPr>
    </w:p>
    <w:p>
      <w:pPr>
        <w:sectPr>
          <w:pgSz w:w="11900" w:h="16838" w:orient="portrait"/>
          <w:cols w:equalWidth="0" w:num="2">
            <w:col w:w="2640" w:space="160"/>
            <w:col w:w="8560"/>
          </w:cols>
          <w:pgMar w:left="300" w:top="257" w:right="239" w:bottom="1440" w:gutter="0" w:footer="0" w:header="0"/>
          <w:type w:val="continuous"/>
        </w:sectPr>
      </w:pPr>
    </w:p>
    <w:p>
      <w:pPr>
        <w:ind w:left="260" w:hanging="259"/>
        <w:spacing w:after="0" w:line="286" w:lineRule="auto"/>
        <w:tabs>
          <w:tab w:leader="none" w:pos="240" w:val="left"/>
        </w:tabs>
        <w:rPr>
          <w:sz w:val="20"/>
          <w:szCs w:val="20"/>
          <w:color w:val="auto"/>
        </w:rPr>
      </w:pPr>
      <w:r>
        <w:rPr>
          <w:rFonts w:ascii="Courier New" w:cs="Courier New" w:eastAsia="Courier New" w:hAnsi="Courier New"/>
          <w:sz w:val="14"/>
          <w:szCs w:val="14"/>
          <w:color w:val="auto"/>
        </w:rPr>
        <w:t>1.</w:t>
        <w:tab/>
        <w:t>Directors to be elected by holders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20" w:val="left"/>
          <w:tab w:leader="none" w:pos="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NOMINEES:</w:t>
      </w:r>
    </w:p>
    <w:p>
      <w:pPr>
        <w:spacing w:after="0" w:line="30"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66" w:lineRule="auto"/>
        <w:rPr>
          <w:sz w:val="20"/>
          <w:szCs w:val="20"/>
          <w:color w:val="auto"/>
        </w:rPr>
      </w:pPr>
      <w:r>
        <w:rPr>
          <w:rFonts w:ascii="Courier New" w:cs="Courier New" w:eastAsia="Courier New" w:hAnsi="Courier New"/>
          <w:sz w:val="14"/>
          <w:szCs w:val="14"/>
          <w:color w:val="auto"/>
        </w:rPr>
        <w:t>John W. Garside Peter F. Secchia</w:t>
      </w:r>
    </w:p>
    <w:p>
      <w:pPr>
        <w:spacing w:after="0" w:line="20" w:lineRule="exact"/>
        <w:rPr>
          <w:sz w:val="20"/>
          <w:szCs w:val="20"/>
          <w:color w:val="auto"/>
        </w:rPr>
      </w:pPr>
      <w:r>
        <w:rPr>
          <w:sz w:val="20"/>
          <w:szCs w:val="20"/>
          <w:color w:val="auto"/>
        </w:rPr>
        <w:br w:type="column"/>
      </w:r>
    </w:p>
    <w:p>
      <w:pPr>
        <w:ind w:right="240"/>
        <w:spacing w:after="0" w:line="286"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this Proxy will be voted FOR all nominees listed in Proposal 1.</w:t>
      </w:r>
    </w:p>
    <w:p>
      <w:pPr>
        <w:spacing w:after="0" w:line="200" w:lineRule="exact"/>
        <w:rPr>
          <w:sz w:val="20"/>
          <w:szCs w:val="20"/>
          <w:color w:val="auto"/>
        </w:rPr>
      </w:pPr>
    </w:p>
    <w:p>
      <w:pPr>
        <w:sectPr>
          <w:pgSz w:w="11900" w:h="16838" w:orient="portrait"/>
          <w:cols w:equalWidth="0" w:num="6">
            <w:col w:w="1540" w:space="160"/>
            <w:col w:w="80" w:space="340"/>
            <w:col w:w="640" w:space="720"/>
            <w:col w:w="1440" w:space="260"/>
            <w:col w:w="1360" w:space="160"/>
            <w:col w:w="4660"/>
          </w:cols>
          <w:pgMar w:left="300" w:top="257" w:right="239" w:bottom="1440" w:gutter="0" w:footer="0" w:header="0"/>
          <w:type w:val="continuous"/>
        </w:sectPr>
      </w:pPr>
    </w:p>
    <w:p>
      <w:pPr>
        <w:spacing w:after="0" w:line="22"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PLEASE DATE, SIGN AND RETURN PROMPTLY.</w:t>
      </w:r>
    </w:p>
    <w:p>
      <w:pPr>
        <w:spacing w:after="0" w:line="3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(Instruction:</w:t>
        <w:tab/>
        <w:t>To withhold authority to vote for any individual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 strike a line through the nominee's name in the list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30" w:lineRule="exact"/>
        <w:rPr>
          <w:sz w:val="20"/>
          <w:szCs w:val="20"/>
          <w:color w:val="auto"/>
        </w:rPr>
      </w:pPr>
    </w:p>
    <w:p>
      <w:pPr>
        <w:ind w:left="1020"/>
        <w:spacing w:after="0"/>
        <w:tabs>
          <w:tab w:leader="none" w:pos="6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600" w:right="240" w:hanging="599"/>
        <w:spacing w:after="0" w:line="273" w:lineRule="auto"/>
        <w:tabs>
          <w:tab w:leader="none" w:pos="580" w:val="left"/>
        </w:tabs>
        <w:rPr>
          <w:sz w:val="20"/>
          <w:szCs w:val="20"/>
          <w:color w:val="auto"/>
        </w:rPr>
      </w:pPr>
      <w:r>
        <w:rPr>
          <w:rFonts w:ascii="Courier New" w:cs="Courier New" w:eastAsia="Courier New" w:hAnsi="Courier New"/>
          <w:sz w:val="14"/>
          <w:szCs w:val="14"/>
          <w:color w:val="auto"/>
        </w:rPr>
        <w:t>NOTE:</w:t>
        <w:tab/>
        <w:t>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sectPr>
      <w:pgSz w:w="11900" w:h="16838" w:orient="portrait"/>
      <w:cols w:equalWidth="0" w:num="1">
        <w:col w:w="11360"/>
      </w:cols>
      <w:pgMar w:left="300" w:top="2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
      <w:numFmt w:val="bullet"/>
      <w:start w:val="1"/>
    </w:lvl>
    <w:lvl w:ilvl="1">
      <w:lvlJc w:val="left"/>
      <w:lvlText w:val="(%2)"/>
      <w:numFmt w:val="decimal"/>
      <w:start w:val="2"/>
    </w:lvl>
  </w:abstractNum>
  <w:abstractNum w:abstractNumId="5">
    <w:nsid w:val="DED7263"/>
    <w:multiLevelType w:val="hybridMultilevel"/>
    <w:lvl w:ilvl="0">
      <w:lvlJc w:val="left"/>
      <w:lvlText w:val="-"/>
      <w:numFmt w:val="bullet"/>
      <w:start w:val="1"/>
    </w:lvl>
    <w:lvl w:ilvl="1">
      <w:lvlJc w:val="left"/>
      <w:lvlText w:val="(%2)"/>
      <w:numFmt w:val="decimal"/>
      <w:start w:val="3"/>
    </w:lvl>
  </w:abstractNum>
  <w:abstractNum w:abstractNumId="6">
    <w:nsid w:val="7FDCC233"/>
    <w:multiLevelType w:val="hybridMultilevel"/>
    <w:lvl w:ilvl="0">
      <w:lvlJc w:val="left"/>
      <w:lvlText w:val="-"/>
      <w:numFmt w:val="bullet"/>
      <w:start w:val="1"/>
    </w:lvl>
    <w:lvl w:ilvl="1">
      <w:lvlJc w:val="left"/>
      <w:lvlText w:val="(%2)"/>
      <w:numFmt w:val="decimal"/>
      <w:start w:val="4"/>
    </w:lvl>
  </w:abstractNum>
  <w:abstractNum w:abstractNumId="7">
    <w:nsid w:val="1BEFD79F"/>
    <w:multiLevelType w:val="hybridMultilevel"/>
    <w:lvl w:ilvl="0">
      <w:lvlJc w:val="left"/>
      <w:lvlText w:val="-"/>
      <w:numFmt w:val="bullet"/>
      <w:start w:val="1"/>
    </w:lvl>
    <w:lvl w:ilvl="1">
      <w:lvlJc w:val="left"/>
      <w:lvlText w:val="(%2)"/>
      <w:numFmt w:val="decimal"/>
      <w:start w:val="5"/>
    </w:lvl>
  </w:abstractNum>
  <w:abstractNum w:abstractNumId="8">
    <w:nsid w:val="41A7C4C9"/>
    <w:multiLevelType w:val="hybridMultilevel"/>
    <w:lvl w:ilvl="0">
      <w:lvlJc w:val="left"/>
      <w:lvlText w:val="-"/>
      <w:numFmt w:val="bullet"/>
      <w:start w:val="1"/>
    </w:lvl>
    <w:lvl w:ilvl="1">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lvl w:ilvl="1">
      <w:lvlJc w:val="left"/>
      <w:lvlText w:val="(%2)"/>
      <w:numFmt w:val="decimal"/>
      <w:start w:val="1"/>
    </w:lvl>
  </w:abstractNum>
  <w:abstractNum w:abstractNumId="11">
    <w:nsid w:val="25E45D32"/>
    <w:multiLevelType w:val="hybridMultilevel"/>
    <w:lvl w:ilvl="0">
      <w:lvlJc w:val="left"/>
      <w:lvlText w:val="-"/>
      <w:numFmt w:val="bullet"/>
      <w:start w:val="1"/>
    </w:lvl>
    <w:lvl w:ilvl="1">
      <w:lvlJc w:val="left"/>
      <w:lvlText w:val="(%2)"/>
      <w:numFmt w:val="decimal"/>
      <w:start w:val="2"/>
    </w:lvl>
  </w:abstractNum>
  <w:abstractNum w:abstractNumId="12">
    <w:nsid w:val="519B500D"/>
    <w:multiLevelType w:val="hybridMultilevel"/>
    <w:lvl w:ilvl="0">
      <w:lvlJc w:val="left"/>
      <w:lvlText w:val="-"/>
      <w:numFmt w:val="bullet"/>
      <w:start w:val="1"/>
    </w:lvl>
    <w:lvl w:ilvl="1">
      <w:lvlJc w:val="left"/>
      <w:lvlText w:val="(%2)"/>
      <w:numFmt w:val="decimal"/>
      <w:start w:val="3"/>
    </w:lvl>
  </w:abstractNum>
  <w:abstractNum w:abstractNumId="13">
    <w:nsid w:val="431BD7B7"/>
    <w:multiLevelType w:val="hybridMultilevel"/>
    <w:lvl w:ilvl="0">
      <w:lvlJc w:val="left"/>
      <w:lvlText w:val="-"/>
      <w:numFmt w:val="bullet"/>
      <w:start w:val="1"/>
    </w:lvl>
    <w:lvl w:ilvl="1">
      <w:lvlJc w:val="left"/>
      <w:lvlText w:val="(%2)"/>
      <w:numFmt w:val="decimal"/>
      <w:start w:val="4"/>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lvl w:ilvl="1">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upperLetter"/>
      <w:start w:val="1"/>
    </w:lvl>
    <w:lvl w:ilvl="1">
      <w:lvlJc w:val="left"/>
      <w:lvlText w:val="(%2)"/>
      <w:numFmt w:val="lowerLetter"/>
      <w:start w:val="3"/>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2020-10-05T18:31:06Z</dcterms:created>
  <dcterms:modified xsi:type="dcterms:W3CDTF">2020-10-05T18:31:06Z</dcterms:modified>
</cp:coreProperties>
</file>