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7"/>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ind w:left="3442"/>
        <w:spacing w:after="0"/>
        <w:rPr>
          <w:sz w:val="20"/>
          <w:szCs w:val="20"/>
          <w:color w:val="auto"/>
        </w:rPr>
      </w:pPr>
      <w:r>
        <w:rPr>
          <w:rFonts w:ascii="Courier New" w:cs="Courier New" w:eastAsia="Courier New" w:hAnsi="Courier New"/>
          <w:sz w:val="16"/>
          <w:szCs w:val="16"/>
          <w:color w:val="auto"/>
        </w:rPr>
        <w:t>FORM 10-Q</w:t>
      </w:r>
    </w:p>
    <w:p>
      <w:pPr>
        <w:spacing w:after="0" w:line="186" w:lineRule="exact"/>
        <w:rPr>
          <w:sz w:val="24"/>
          <w:szCs w:val="24"/>
          <w:color w:val="auto"/>
        </w:rPr>
      </w:pPr>
    </w:p>
    <w:p>
      <w:pPr>
        <w:ind w:left="862" w:hanging="767"/>
        <w:spacing w:after="0"/>
        <w:tabs>
          <w:tab w:leader="none" w:pos="86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EXCHANGE ACT OF 1934</w:t>
      </w:r>
    </w:p>
    <w:p>
      <w:pPr>
        <w:spacing w:after="0" w:line="186" w:lineRule="exact"/>
        <w:rPr>
          <w:sz w:val="24"/>
          <w:szCs w:val="24"/>
          <w:color w:val="auto"/>
        </w:rPr>
      </w:pPr>
    </w:p>
    <w:p>
      <w:pPr>
        <w:jc w:val="right"/>
        <w:ind w:right="4019"/>
        <w:spacing w:after="0"/>
        <w:rPr>
          <w:sz w:val="20"/>
          <w:szCs w:val="20"/>
          <w:color w:val="auto"/>
        </w:rPr>
      </w:pPr>
      <w:r>
        <w:rPr>
          <w:rFonts w:ascii="Courier New" w:cs="Courier New" w:eastAsia="Courier New" w:hAnsi="Courier New"/>
          <w:sz w:val="16"/>
          <w:szCs w:val="16"/>
          <w:color w:val="auto"/>
        </w:rPr>
        <w:t>For the quarterly period ended September 29, 2001</w:t>
      </w:r>
    </w:p>
    <w:p>
      <w:pPr>
        <w:spacing w:after="0" w:line="2" w:lineRule="exact"/>
        <w:rPr>
          <w:sz w:val="24"/>
          <w:szCs w:val="24"/>
          <w:color w:val="auto"/>
        </w:rPr>
      </w:pPr>
    </w:p>
    <w:p>
      <w:pPr>
        <w:jc w:val="right"/>
        <w:ind w:right="4019"/>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722"/>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21"/>
          </w:cols>
          <w:pgMar w:left="238" w:top="606" w:right="1440" w:bottom="1440" w:gutter="0" w:footer="0" w:header="0"/>
        </w:sectPr>
      </w:pPr>
    </w:p>
    <w:p>
      <w:pPr>
        <w:spacing w:after="0" w:line="372"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ind w:right="2979" w:hanging="190"/>
        <w:spacing w:after="0" w:line="239" w:lineRule="auto"/>
        <w:rPr>
          <w:sz w:val="20"/>
          <w:szCs w:val="20"/>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186" w:lineRule="exact"/>
        <w:rPr>
          <w:sz w:val="24"/>
          <w:szCs w:val="24"/>
          <w:color w:val="auto"/>
        </w:rPr>
      </w:pPr>
    </w:p>
    <w:p>
      <w:pPr>
        <w:sectPr>
          <w:pgSz w:w="11900" w:h="16838" w:orient="portrait"/>
          <w:cols w:equalWidth="0" w:num="2">
            <w:col w:w="482" w:space="560"/>
            <w:col w:w="9179"/>
          </w:cols>
          <w:pgMar w:left="238" w:top="606" w:right="1440" w:bottom="1440" w:gutter="0" w:footer="0" w:header="0"/>
          <w:type w:val="continuous"/>
        </w:sectPr>
      </w:pPr>
    </w:p>
    <w:p>
      <w:pPr>
        <w:jc w:val="right"/>
        <w:ind w:right="4979"/>
        <w:spacing w:after="0"/>
        <w:rPr>
          <w:sz w:val="20"/>
          <w:szCs w:val="20"/>
          <w:color w:val="auto"/>
        </w:rPr>
      </w:pPr>
      <w:r>
        <w:rPr>
          <w:rFonts w:ascii="Courier New" w:cs="Courier New" w:eastAsia="Courier New" w:hAnsi="Courier New"/>
          <w:sz w:val="16"/>
          <w:szCs w:val="16"/>
          <w:color w:val="auto"/>
        </w:rPr>
        <w:t>Commission File Number 0-22684</w:t>
      </w:r>
    </w:p>
    <w:p>
      <w:pPr>
        <w:spacing w:after="0" w:line="2" w:lineRule="exact"/>
        <w:rPr>
          <w:sz w:val="24"/>
          <w:szCs w:val="24"/>
          <w:color w:val="auto"/>
        </w:rPr>
      </w:pPr>
    </w:p>
    <w:p>
      <w:pPr>
        <w:jc w:val="right"/>
        <w:ind w:right="4979"/>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UNIVERSAL FOREST PRODUCTS, INC.</w:t>
      </w:r>
    </w:p>
    <w:p>
      <w:pPr>
        <w:spacing w:after="0" w:line="5"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1"/>
          </w:cols>
          <w:pgMar w:left="238" w:top="606" w:right="1440" w:bottom="1440" w:gutter="0" w:footer="0" w:header="0"/>
          <w:type w:val="continuous"/>
        </w:sectPr>
      </w:pPr>
    </w:p>
    <w:p>
      <w:pPr>
        <w:spacing w:after="0" w:line="194" w:lineRule="exact"/>
        <w:rPr>
          <w:sz w:val="24"/>
          <w:szCs w:val="24"/>
          <w:color w:val="auto"/>
        </w:rPr>
      </w:pPr>
    </w:p>
    <w:p>
      <w:pPr>
        <w:ind w:left="1422"/>
        <w:spacing w:after="0"/>
        <w:rPr>
          <w:sz w:val="20"/>
          <w:szCs w:val="20"/>
          <w:color w:val="auto"/>
        </w:rPr>
      </w:pPr>
      <w:r>
        <w:rPr>
          <w:rFonts w:ascii="Courier New" w:cs="Courier New" w:eastAsia="Courier New" w:hAnsi="Courier New"/>
          <w:sz w:val="16"/>
          <w:szCs w:val="16"/>
          <w:color w:val="auto"/>
        </w:rPr>
        <w:t>Michigan</w:t>
      </w:r>
    </w:p>
    <w:p>
      <w:pPr>
        <w:spacing w:after="0" w:line="5" w:lineRule="exact"/>
        <w:rPr>
          <w:sz w:val="24"/>
          <w:szCs w:val="24"/>
          <w:color w:val="auto"/>
        </w:rPr>
      </w:pPr>
    </w:p>
    <w:p>
      <w:pPr>
        <w:ind w:left="582"/>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ind w:left="582"/>
        <w:spacing w:after="0"/>
        <w:rPr>
          <w:sz w:val="20"/>
          <w:szCs w:val="20"/>
          <w:color w:val="auto"/>
        </w:rPr>
      </w:pPr>
      <w:r>
        <w:rPr>
          <w:rFonts w:ascii="Courier New" w:cs="Courier New" w:eastAsia="Courier New" w:hAnsi="Courier New"/>
          <w:sz w:val="16"/>
          <w:szCs w:val="16"/>
          <w:color w:val="auto"/>
        </w:rPr>
        <w:t>(State or other jurisdiction of</w:t>
      </w:r>
    </w:p>
    <w:p>
      <w:pPr>
        <w:spacing w:after="0" w:line="2" w:lineRule="exact"/>
        <w:rPr>
          <w:sz w:val="24"/>
          <w:szCs w:val="24"/>
          <w:color w:val="auto"/>
        </w:rPr>
      </w:pPr>
    </w:p>
    <w:p>
      <w:pPr>
        <w:ind w:left="582"/>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38-1465835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(I.R.S. Employer</w:t>
      </w:r>
    </w:p>
    <w:p>
      <w:pPr>
        <w:spacing w:after="0" w:line="2"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422" w:space="720"/>
            <w:col w:w="5079"/>
          </w:cols>
          <w:pgMar w:left="238" w:top="606" w:right="1440" w:bottom="1440" w:gutter="0" w:footer="0" w:header="0"/>
          <w:type w:val="continuous"/>
        </w:sectPr>
      </w:pPr>
    </w:p>
    <w:p>
      <w:pPr>
        <w:spacing w:after="0" w:line="172" w:lineRule="exact"/>
        <w:rPr>
          <w:sz w:val="24"/>
          <w:szCs w:val="24"/>
          <w:color w:val="auto"/>
        </w:rPr>
      </w:pPr>
    </w:p>
    <w:p>
      <w:pPr>
        <w:jc w:val="both"/>
        <w:ind w:left="582" w:right="140"/>
        <w:spacing w:after="0" w:line="265" w:lineRule="auto"/>
        <w:rPr>
          <w:sz w:val="20"/>
          <w:szCs w:val="20"/>
          <w:color w:val="auto"/>
        </w:rPr>
      </w:pPr>
      <w:r>
        <w:rPr>
          <w:rFonts w:ascii="Courier New" w:cs="Courier New" w:eastAsia="Courier New" w:hAnsi="Courier New"/>
          <w:sz w:val="15"/>
          <w:szCs w:val="15"/>
          <w:color w:val="auto"/>
        </w:rPr>
        <w:t>2801 East Beltline NE, Grand Rapids, Michigan --------------------------------------------- (Address of principal executive offices)</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49525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(Zip Code)</w:t>
      </w:r>
    </w:p>
    <w:p>
      <w:pPr>
        <w:spacing w:after="0" w:line="217" w:lineRule="exact"/>
        <w:rPr>
          <w:sz w:val="24"/>
          <w:szCs w:val="24"/>
          <w:color w:val="auto"/>
        </w:rPr>
      </w:pPr>
    </w:p>
    <w:p>
      <w:pPr>
        <w:sectPr>
          <w:pgSz w:w="11900" w:h="16838" w:orient="portrait"/>
          <w:cols w:equalWidth="0" w:num="2">
            <w:col w:w="5002" w:space="720"/>
            <w:col w:w="4499"/>
          </w:cols>
          <w:pgMar w:left="238" w:top="606" w:right="1440" w:bottom="1440" w:gutter="0" w:footer="0" w:header="0"/>
          <w:type w:val="continuous"/>
        </w:sectPr>
      </w:pPr>
    </w:p>
    <w:p>
      <w:pPr>
        <w:spacing w:after="0" w:line="154" w:lineRule="exact"/>
        <w:rPr>
          <w:sz w:val="24"/>
          <w:szCs w:val="24"/>
          <w:color w:val="auto"/>
        </w:rPr>
      </w:pPr>
    </w:p>
    <w:p>
      <w:pPr>
        <w:jc w:val="right"/>
        <w:ind w:left="762" w:right="3259"/>
        <w:spacing w:after="0" w:line="239" w:lineRule="auto"/>
        <w:rPr>
          <w:sz w:val="20"/>
          <w:szCs w:val="20"/>
          <w:color w:val="auto"/>
        </w:rPr>
      </w:pPr>
      <w:r>
        <w:rPr>
          <w:rFonts w:ascii="Courier New" w:cs="Courier New" w:eastAsia="Courier New" w:hAnsi="Courier New"/>
          <w:sz w:val="16"/>
          <w:szCs w:val="16"/>
          <w:color w:val="auto"/>
        </w:rPr>
        <w:t>Registrant's telephone number, including area code (616) 364-6161 --------------</w:t>
      </w:r>
    </w:p>
    <w:p>
      <w:pPr>
        <w:spacing w:after="0" w:line="370" w:lineRule="exact"/>
        <w:rPr>
          <w:sz w:val="24"/>
          <w:szCs w:val="24"/>
          <w:color w:val="auto"/>
        </w:rPr>
      </w:pPr>
    </w:p>
    <w:p>
      <w:pPr>
        <w:ind w:left="3622"/>
        <w:spacing w:after="0"/>
        <w:rPr>
          <w:sz w:val="20"/>
          <w:szCs w:val="20"/>
          <w:color w:val="auto"/>
        </w:rPr>
      </w:pPr>
      <w:r>
        <w:rPr>
          <w:rFonts w:ascii="Courier New" w:cs="Courier New" w:eastAsia="Courier New" w:hAnsi="Courier New"/>
          <w:sz w:val="16"/>
          <w:szCs w:val="16"/>
          <w:color w:val="auto"/>
        </w:rPr>
        <w:t>NONE</w:t>
      </w:r>
    </w:p>
    <w:p>
      <w:pPr>
        <w:spacing w:after="0" w:line="2" w:lineRule="exact"/>
        <w:rPr>
          <w:sz w:val="24"/>
          <w:szCs w:val="24"/>
          <w:color w:val="auto"/>
        </w:rPr>
      </w:pPr>
    </w:p>
    <w:p>
      <w:pPr>
        <w:ind w:left="13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862"/>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21"/>
          </w:cols>
          <w:pgMar w:left="238" w:top="606" w:right="1440" w:bottom="1440" w:gutter="0" w:footer="0" w:header="0"/>
          <w:type w:val="continuous"/>
        </w:sectPr>
      </w:pPr>
    </w:p>
    <w:p>
      <w:pPr>
        <w:spacing w:after="0" w:line="188" w:lineRule="exact"/>
        <w:rPr>
          <w:sz w:val="24"/>
          <w:szCs w:val="24"/>
          <w:color w:val="auto"/>
        </w:rPr>
      </w:pPr>
    </w:p>
    <w:p>
      <w:pPr>
        <w:ind w:left="2" w:right="2599"/>
        <w:spacing w:after="0" w:line="241"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4" w:lineRule="exact"/>
        <w:rPr>
          <w:sz w:val="24"/>
          <w:szCs w:val="24"/>
          <w:color w:val="auto"/>
        </w:rPr>
      </w:pPr>
    </w:p>
    <w:p>
      <w:pPr>
        <w:ind w:left="3622"/>
        <w:spacing w:after="0"/>
        <w:tabs>
          <w:tab w:leader="none" w:pos="418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8" w:lineRule="exact"/>
        <w:rPr>
          <w:sz w:val="24"/>
          <w:szCs w:val="24"/>
          <w:color w:val="auto"/>
        </w:rPr>
      </w:pPr>
    </w:p>
    <w:p>
      <w:pPr>
        <w:ind w:left="2" w:right="2779"/>
        <w:spacing w:after="0" w:line="239" w:lineRule="auto"/>
        <w:rPr>
          <w:sz w:val="20"/>
          <w:szCs w:val="20"/>
          <w:color w:val="auto"/>
        </w:rPr>
      </w:pPr>
      <w:r>
        <w:rPr>
          <w:rFonts w:ascii="Courier New" w:cs="Courier New" w:eastAsia="Courier New" w:hAnsi="Courier New"/>
          <w:sz w:val="16"/>
          <w:szCs w:val="16"/>
          <w:color w:val="auto"/>
        </w:rPr>
        <w:t>Indicate the number of shares of each of the issuer's classes of common stock, as of the latest practicable date:</w:t>
      </w:r>
    </w:p>
    <w:p>
      <w:pPr>
        <w:sectPr>
          <w:pgSz w:w="11900" w:h="16838" w:orient="portrait"/>
          <w:cols w:equalWidth="0" w:num="1">
            <w:col w:w="10221"/>
          </w:cols>
          <w:pgMar w:left="238" w:top="606" w:right="1440" w:bottom="1440" w:gutter="0" w:footer="0" w:header="0"/>
          <w:type w:val="continuous"/>
        </w:sectPr>
      </w:pPr>
    </w:p>
    <w:p>
      <w:pPr>
        <w:spacing w:after="0" w:line="186" w:lineRule="exact"/>
        <w:rPr>
          <w:sz w:val="24"/>
          <w:szCs w:val="24"/>
          <w:color w:val="auto"/>
        </w:rPr>
      </w:pPr>
    </w:p>
    <w:p>
      <w:pPr>
        <w:ind w:left="1622"/>
        <w:spacing w:after="0"/>
        <w:rPr>
          <w:sz w:val="20"/>
          <w:szCs w:val="20"/>
          <w:color w:val="auto"/>
        </w:rPr>
      </w:pPr>
      <w:r>
        <w:rPr>
          <w:rFonts w:ascii="Courier New" w:cs="Courier New" w:eastAsia="Courier New" w:hAnsi="Courier New"/>
          <w:sz w:val="16"/>
          <w:szCs w:val="16"/>
          <w:color w:val="auto"/>
        </w:rPr>
        <w:t>Class</w:t>
      </w:r>
    </w:p>
    <w:p>
      <w:pPr>
        <w:spacing w:after="0" w:line="5" w:lineRule="exact"/>
        <w:rPr>
          <w:sz w:val="24"/>
          <w:szCs w:val="24"/>
          <w:color w:val="auto"/>
        </w:rPr>
      </w:pPr>
    </w:p>
    <w:p>
      <w:pPr>
        <w:ind w:left="282"/>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ind w:left="282"/>
        <w:spacing w:after="0"/>
        <w:rPr>
          <w:sz w:val="20"/>
          <w:szCs w:val="20"/>
          <w:color w:val="auto"/>
        </w:rPr>
      </w:pPr>
      <w:r>
        <w:rPr>
          <w:rFonts w:ascii="Courier New" w:cs="Courier New" w:eastAsia="Courier New" w:hAnsi="Courier New"/>
          <w:sz w:val="16"/>
          <w:szCs w:val="16"/>
          <w:color w:val="auto"/>
        </w:rPr>
        <w:t>Common stock, no par value</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as of November 1, 2001</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19,787,835</w:t>
      </w:r>
    </w:p>
    <w:p>
      <w:pPr>
        <w:spacing w:after="0" w:line="188" w:lineRule="exact"/>
        <w:rPr>
          <w:sz w:val="24"/>
          <w:szCs w:val="24"/>
          <w:color w:val="auto"/>
        </w:rPr>
      </w:pPr>
    </w:p>
    <w:p>
      <w:pPr>
        <w:sectPr>
          <w:pgSz w:w="11900" w:h="16838" w:orient="portrait"/>
          <w:cols w:equalWidth="0" w:num="2">
            <w:col w:w="3622" w:space="660"/>
            <w:col w:w="5939"/>
          </w:cols>
          <w:pgMar w:left="238" w:top="606" w:right="1440" w:bottom="1440" w:gutter="0" w:footer="0" w:header="0"/>
          <w:type w:val="continuous"/>
        </w:sectPr>
      </w:pPr>
    </w:p>
    <w:p>
      <w:pPr>
        <w:ind w:left="2"/>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4"/>
          <w:szCs w:val="24"/>
          <w:color w:val="auto"/>
        </w:rPr>
      </w:pPr>
    </w:p>
    <w:p>
      <w:pPr>
        <w:ind w:left="3242"/>
        <w:spacing w:after="0"/>
        <w:rPr>
          <w:sz w:val="20"/>
          <w:szCs w:val="20"/>
          <w:color w:val="auto"/>
        </w:rPr>
      </w:pPr>
      <w:r>
        <w:rPr>
          <w:rFonts w:ascii="Courier New" w:cs="Courier New" w:eastAsia="Courier New" w:hAnsi="Courier New"/>
          <w:sz w:val="16"/>
          <w:szCs w:val="16"/>
          <w:color w:val="auto"/>
        </w:rPr>
        <w:t>Page 1 of 21</w:t>
      </w:r>
    </w:p>
    <w:p>
      <w:pPr>
        <w:sectPr>
          <w:pgSz w:w="11900" w:h="16838" w:orient="portrait"/>
          <w:cols w:equalWidth="0" w:num="1">
            <w:col w:w="10221"/>
          </w:cols>
          <w:pgMar w:left="238" w:top="606"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1380" w:type="dxa"/>
            <w:vAlign w:val="bottom"/>
          </w:tcPr>
          <w:p>
            <w:pPr>
              <w:spacing w:after="0"/>
              <w:rPr>
                <w:sz w:val="15"/>
                <w:szCs w:val="15"/>
                <w:color w:val="auto"/>
              </w:rPr>
            </w:pPr>
          </w:p>
        </w:tc>
        <w:tc>
          <w:tcPr>
            <w:tcW w:w="7580" w:type="dxa"/>
            <w:vAlign w:val="bottom"/>
          </w:tcPr>
          <w:p>
            <w:pPr>
              <w:ind w:left="2240"/>
              <w:spacing w:after="0"/>
              <w:rPr>
                <w:sz w:val="20"/>
                <w:szCs w:val="20"/>
                <w:color w:val="auto"/>
              </w:rPr>
            </w:pPr>
            <w:r>
              <w:rPr>
                <w:rFonts w:ascii="Courier New" w:cs="Courier New" w:eastAsia="Courier New" w:hAnsi="Courier New"/>
                <w:sz w:val="16"/>
                <w:szCs w:val="16"/>
                <w:color w:val="auto"/>
              </w:rPr>
              <w:t>INDEX</w:t>
            </w:r>
          </w:p>
        </w:tc>
        <w:tc>
          <w:tcPr>
            <w:tcW w:w="2000" w:type="dxa"/>
            <w:vAlign w:val="bottom"/>
          </w:tcPr>
          <w:p>
            <w:pPr>
              <w:spacing w:after="0"/>
              <w:rPr>
                <w:sz w:val="15"/>
                <w:szCs w:val="15"/>
                <w:color w:val="auto"/>
              </w:rPr>
            </w:pPr>
          </w:p>
        </w:tc>
      </w:tr>
      <w:tr>
        <w:trPr>
          <w:trHeight w:val="734"/>
        </w:trPr>
        <w:tc>
          <w:tcPr>
            <w:tcW w:w="13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83"/>
        </w:trPr>
        <w:tc>
          <w:tcPr>
            <w:tcW w:w="138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138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7580" w:type="dxa"/>
            <w:vAlign w:val="bottom"/>
          </w:tcPr>
          <w:p>
            <w:pPr>
              <w:ind w:left="240"/>
              <w:spacing w:after="0"/>
              <w:rPr>
                <w:sz w:val="20"/>
                <w:szCs w:val="20"/>
                <w:color w:val="auto"/>
              </w:rPr>
            </w:pPr>
            <w:r>
              <w:rPr>
                <w:rFonts w:ascii="Courier New" w:cs="Courier New" w:eastAsia="Courier New" w:hAnsi="Courier New"/>
                <w:sz w:val="16"/>
                <w:szCs w:val="16"/>
                <w:color w:val="auto"/>
              </w:rPr>
              <w:t>FINANCIAL INFORMATION.</w:t>
            </w:r>
          </w:p>
        </w:tc>
        <w:tc>
          <w:tcPr>
            <w:tcW w:w="2000" w:type="dxa"/>
            <w:vAlign w:val="bottom"/>
          </w:tcPr>
          <w:p>
            <w:pPr>
              <w:spacing w:after="0"/>
              <w:rPr>
                <w:sz w:val="24"/>
                <w:szCs w:val="24"/>
                <w:color w:val="auto"/>
              </w:rPr>
            </w:pPr>
          </w:p>
        </w:tc>
      </w:tr>
      <w:tr>
        <w:trPr>
          <w:trHeight w:val="367"/>
        </w:trPr>
        <w:tc>
          <w:tcPr>
            <w:tcW w:w="1380" w:type="dxa"/>
            <w:vAlign w:val="bottom"/>
          </w:tcPr>
          <w:p>
            <w:pPr>
              <w:ind w:left="480"/>
              <w:spacing w:after="0"/>
              <w:rPr>
                <w:sz w:val="20"/>
                <w:szCs w:val="20"/>
                <w:color w:val="auto"/>
              </w:rPr>
            </w:pPr>
            <w:r>
              <w:rPr>
                <w:rFonts w:ascii="Courier New" w:cs="Courier New" w:eastAsia="Courier New" w:hAnsi="Courier New"/>
                <w:sz w:val="16"/>
                <w:szCs w:val="16"/>
                <w:color w:val="auto"/>
              </w:rPr>
              <w:t>Item 1.</w:t>
            </w:r>
          </w:p>
        </w:tc>
        <w:tc>
          <w:tcPr>
            <w:tcW w:w="7580" w:type="dxa"/>
            <w:vAlign w:val="bottom"/>
          </w:tcPr>
          <w:p>
            <w:pPr>
              <w:ind w:left="240"/>
              <w:spacing w:after="0"/>
              <w:rPr>
                <w:sz w:val="20"/>
                <w:szCs w:val="20"/>
                <w:color w:val="auto"/>
              </w:rPr>
            </w:pPr>
            <w:r>
              <w:rPr>
                <w:rFonts w:ascii="Courier New" w:cs="Courier New" w:eastAsia="Courier New" w:hAnsi="Courier New"/>
                <w:sz w:val="16"/>
                <w:szCs w:val="16"/>
                <w:color w:val="auto"/>
              </w:rPr>
              <w:t>Financial Statements.</w:t>
            </w:r>
          </w:p>
        </w:tc>
        <w:tc>
          <w:tcPr>
            <w:tcW w:w="2000" w:type="dxa"/>
            <w:vAlign w:val="bottom"/>
          </w:tcPr>
          <w:p>
            <w:pPr>
              <w:spacing w:after="0"/>
              <w:rPr>
                <w:sz w:val="24"/>
                <w:szCs w:val="24"/>
                <w:color w:val="auto"/>
              </w:rPr>
            </w:pPr>
          </w:p>
        </w:tc>
      </w:tr>
      <w:tr>
        <w:trPr>
          <w:trHeight w:val="367"/>
        </w:trPr>
        <w:tc>
          <w:tcPr>
            <w:tcW w:w="1380" w:type="dxa"/>
            <w:vAlign w:val="bottom"/>
          </w:tcPr>
          <w:p>
            <w:pPr>
              <w:spacing w:after="0"/>
              <w:rPr>
                <w:sz w:val="24"/>
                <w:szCs w:val="24"/>
                <w:color w:val="auto"/>
              </w:rPr>
            </w:pPr>
          </w:p>
        </w:tc>
        <w:tc>
          <w:tcPr>
            <w:tcW w:w="7580" w:type="dxa"/>
            <w:vAlign w:val="bottom"/>
          </w:tcPr>
          <w:p>
            <w:pPr>
              <w:ind w:left="240"/>
              <w:spacing w:after="0"/>
              <w:rPr>
                <w:sz w:val="20"/>
                <w:szCs w:val="20"/>
                <w:color w:val="auto"/>
              </w:rPr>
            </w:pPr>
            <w:r>
              <w:rPr>
                <w:rFonts w:ascii="Courier New" w:cs="Courier New" w:eastAsia="Courier New" w:hAnsi="Courier New"/>
                <w:sz w:val="16"/>
                <w:szCs w:val="16"/>
                <w:color w:val="auto"/>
              </w:rPr>
              <w:t>Consolidated Condensed Balance Sheets at September 29, 2001</w:t>
            </w:r>
          </w:p>
        </w:tc>
        <w:tc>
          <w:tcPr>
            <w:tcW w:w="2000" w:type="dxa"/>
            <w:vAlign w:val="bottom"/>
          </w:tcPr>
          <w:p>
            <w:pPr>
              <w:spacing w:after="0"/>
              <w:rPr>
                <w:sz w:val="24"/>
                <w:szCs w:val="24"/>
                <w:color w:val="auto"/>
              </w:rPr>
            </w:pPr>
          </w:p>
        </w:tc>
      </w:tr>
      <w:tr>
        <w:trPr>
          <w:trHeight w:val="183"/>
        </w:trPr>
        <w:tc>
          <w:tcPr>
            <w:tcW w:w="1380" w:type="dxa"/>
            <w:vAlign w:val="bottom"/>
          </w:tcPr>
          <w:p>
            <w:pPr>
              <w:spacing w:after="0"/>
              <w:rPr>
                <w:sz w:val="15"/>
                <w:szCs w:val="15"/>
                <w:color w:val="auto"/>
              </w:rPr>
            </w:pPr>
          </w:p>
        </w:tc>
        <w:tc>
          <w:tcPr>
            <w:tcW w:w="7580" w:type="dxa"/>
            <w:vAlign w:val="bottom"/>
          </w:tcPr>
          <w:p>
            <w:pPr>
              <w:ind w:left="620"/>
              <w:spacing w:after="0"/>
              <w:rPr>
                <w:sz w:val="20"/>
                <w:szCs w:val="20"/>
                <w:color w:val="auto"/>
              </w:rPr>
            </w:pPr>
            <w:r>
              <w:rPr>
                <w:rFonts w:ascii="Courier New" w:cs="Courier New" w:eastAsia="Courier New" w:hAnsi="Courier New"/>
                <w:sz w:val="16"/>
                <w:szCs w:val="16"/>
                <w:color w:val="auto"/>
              </w:rPr>
              <w:t>and December 30, 2000.</w:t>
            </w:r>
          </w:p>
        </w:tc>
        <w:tc>
          <w:tcPr>
            <w:tcW w:w="2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w:t>
            </w:r>
          </w:p>
        </w:tc>
      </w:tr>
      <w:tr>
        <w:trPr>
          <w:trHeight w:val="367"/>
        </w:trPr>
        <w:tc>
          <w:tcPr>
            <w:tcW w:w="1380" w:type="dxa"/>
            <w:vAlign w:val="bottom"/>
          </w:tcPr>
          <w:p>
            <w:pPr>
              <w:spacing w:after="0"/>
              <w:rPr>
                <w:sz w:val="24"/>
                <w:szCs w:val="24"/>
                <w:color w:val="auto"/>
              </w:rPr>
            </w:pPr>
          </w:p>
        </w:tc>
        <w:tc>
          <w:tcPr>
            <w:tcW w:w="7580" w:type="dxa"/>
            <w:vAlign w:val="bottom"/>
          </w:tcPr>
          <w:p>
            <w:pPr>
              <w:ind w:left="240"/>
              <w:spacing w:after="0"/>
              <w:rPr>
                <w:sz w:val="20"/>
                <w:szCs w:val="20"/>
                <w:color w:val="auto"/>
              </w:rPr>
            </w:pPr>
            <w:r>
              <w:rPr>
                <w:rFonts w:ascii="Courier New" w:cs="Courier New" w:eastAsia="Courier New" w:hAnsi="Courier New"/>
                <w:sz w:val="16"/>
                <w:szCs w:val="16"/>
                <w:color w:val="auto"/>
              </w:rPr>
              <w:t>Consolidated Condensed Statements of Earnings for the Three and</w:t>
            </w:r>
          </w:p>
        </w:tc>
        <w:tc>
          <w:tcPr>
            <w:tcW w:w="2000" w:type="dxa"/>
            <w:vAlign w:val="bottom"/>
          </w:tcPr>
          <w:p>
            <w:pPr>
              <w:spacing w:after="0"/>
              <w:rPr>
                <w:sz w:val="24"/>
                <w:szCs w:val="24"/>
                <w:color w:val="auto"/>
              </w:rPr>
            </w:pPr>
          </w:p>
        </w:tc>
      </w:tr>
      <w:tr>
        <w:trPr>
          <w:trHeight w:val="183"/>
        </w:trPr>
        <w:tc>
          <w:tcPr>
            <w:tcW w:w="1380" w:type="dxa"/>
            <w:vAlign w:val="bottom"/>
          </w:tcPr>
          <w:p>
            <w:pPr>
              <w:spacing w:after="0"/>
              <w:rPr>
                <w:sz w:val="15"/>
                <w:szCs w:val="15"/>
                <w:color w:val="auto"/>
              </w:rPr>
            </w:pPr>
          </w:p>
        </w:tc>
        <w:tc>
          <w:tcPr>
            <w:tcW w:w="7580" w:type="dxa"/>
            <w:vAlign w:val="bottom"/>
          </w:tcPr>
          <w:p>
            <w:pPr>
              <w:ind w:left="620"/>
              <w:spacing w:after="0"/>
              <w:rPr>
                <w:sz w:val="20"/>
                <w:szCs w:val="20"/>
                <w:color w:val="auto"/>
              </w:rPr>
            </w:pPr>
            <w:r>
              <w:rPr>
                <w:rFonts w:ascii="Courier New" w:cs="Courier New" w:eastAsia="Courier New" w:hAnsi="Courier New"/>
                <w:sz w:val="16"/>
                <w:szCs w:val="16"/>
                <w:color w:val="auto"/>
              </w:rPr>
              <w:t>Nine Months Ended September 29, 2001 and September 23, 2000.</w:t>
            </w:r>
          </w:p>
        </w:tc>
        <w:tc>
          <w:tcPr>
            <w:tcW w:w="2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w:t>
            </w:r>
          </w:p>
        </w:tc>
      </w:tr>
      <w:tr>
        <w:trPr>
          <w:trHeight w:val="367"/>
        </w:trPr>
        <w:tc>
          <w:tcPr>
            <w:tcW w:w="1380" w:type="dxa"/>
            <w:vAlign w:val="bottom"/>
          </w:tcPr>
          <w:p>
            <w:pPr>
              <w:spacing w:after="0"/>
              <w:rPr>
                <w:sz w:val="24"/>
                <w:szCs w:val="24"/>
                <w:color w:val="auto"/>
              </w:rPr>
            </w:pPr>
          </w:p>
        </w:tc>
        <w:tc>
          <w:tcPr>
            <w:tcW w:w="7580" w:type="dxa"/>
            <w:vAlign w:val="bottom"/>
          </w:tcPr>
          <w:p>
            <w:pPr>
              <w:ind w:left="240"/>
              <w:spacing w:after="0"/>
              <w:rPr>
                <w:sz w:val="20"/>
                <w:szCs w:val="20"/>
                <w:color w:val="auto"/>
              </w:rPr>
            </w:pPr>
            <w:r>
              <w:rPr>
                <w:rFonts w:ascii="Courier New" w:cs="Courier New" w:eastAsia="Courier New" w:hAnsi="Courier New"/>
                <w:sz w:val="16"/>
                <w:szCs w:val="16"/>
                <w:color w:val="auto"/>
              </w:rPr>
              <w:t>Consolidated Condensed Statements of Cash Flows for the Nine</w:t>
            </w:r>
          </w:p>
        </w:tc>
        <w:tc>
          <w:tcPr>
            <w:tcW w:w="2000" w:type="dxa"/>
            <w:vAlign w:val="bottom"/>
          </w:tcPr>
          <w:p>
            <w:pPr>
              <w:spacing w:after="0"/>
              <w:rPr>
                <w:sz w:val="24"/>
                <w:szCs w:val="24"/>
                <w:color w:val="auto"/>
              </w:rPr>
            </w:pPr>
          </w:p>
        </w:tc>
      </w:tr>
      <w:tr>
        <w:trPr>
          <w:trHeight w:val="183"/>
        </w:trPr>
        <w:tc>
          <w:tcPr>
            <w:tcW w:w="1380" w:type="dxa"/>
            <w:vAlign w:val="bottom"/>
          </w:tcPr>
          <w:p>
            <w:pPr>
              <w:spacing w:after="0"/>
              <w:rPr>
                <w:sz w:val="15"/>
                <w:szCs w:val="15"/>
                <w:color w:val="auto"/>
              </w:rPr>
            </w:pPr>
          </w:p>
        </w:tc>
        <w:tc>
          <w:tcPr>
            <w:tcW w:w="7580" w:type="dxa"/>
            <w:vAlign w:val="bottom"/>
          </w:tcPr>
          <w:p>
            <w:pPr>
              <w:ind w:left="620"/>
              <w:spacing w:after="0"/>
              <w:rPr>
                <w:sz w:val="20"/>
                <w:szCs w:val="20"/>
                <w:color w:val="auto"/>
              </w:rPr>
            </w:pPr>
            <w:r>
              <w:rPr>
                <w:rFonts w:ascii="Courier New" w:cs="Courier New" w:eastAsia="Courier New" w:hAnsi="Courier New"/>
                <w:sz w:val="16"/>
                <w:szCs w:val="16"/>
                <w:color w:val="auto"/>
              </w:rPr>
              <w:t>Months Ended September 29, 2001 and September 23, 2000.</w:t>
            </w:r>
          </w:p>
        </w:tc>
        <w:tc>
          <w:tcPr>
            <w:tcW w:w="2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w:t>
            </w:r>
          </w:p>
        </w:tc>
      </w:tr>
      <w:tr>
        <w:trPr>
          <w:trHeight w:val="367"/>
        </w:trPr>
        <w:tc>
          <w:tcPr>
            <w:tcW w:w="1380" w:type="dxa"/>
            <w:vAlign w:val="bottom"/>
          </w:tcPr>
          <w:p>
            <w:pPr>
              <w:spacing w:after="0"/>
              <w:rPr>
                <w:sz w:val="24"/>
                <w:szCs w:val="24"/>
                <w:color w:val="auto"/>
              </w:rPr>
            </w:pPr>
          </w:p>
        </w:tc>
        <w:tc>
          <w:tcPr>
            <w:tcW w:w="7580" w:type="dxa"/>
            <w:vAlign w:val="bottom"/>
          </w:tcPr>
          <w:p>
            <w:pPr>
              <w:ind w:left="240"/>
              <w:spacing w:after="0"/>
              <w:rPr>
                <w:sz w:val="20"/>
                <w:szCs w:val="20"/>
                <w:color w:val="auto"/>
              </w:rPr>
            </w:pPr>
            <w:r>
              <w:rPr>
                <w:rFonts w:ascii="Courier New" w:cs="Courier New" w:eastAsia="Courier New" w:hAnsi="Courier New"/>
                <w:sz w:val="16"/>
                <w:szCs w:val="16"/>
                <w:color w:val="auto"/>
              </w:rPr>
              <w:t>Notes to Consolidated Condensed Financial Statements.</w:t>
            </w:r>
          </w:p>
        </w:tc>
        <w:tc>
          <w:tcPr>
            <w:tcW w:w="2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6-8</w:t>
            </w:r>
          </w:p>
        </w:tc>
      </w:tr>
      <w:tr>
        <w:trPr>
          <w:trHeight w:val="367"/>
        </w:trPr>
        <w:tc>
          <w:tcPr>
            <w:tcW w:w="1380" w:type="dxa"/>
            <w:vAlign w:val="bottom"/>
          </w:tcPr>
          <w:p>
            <w:pPr>
              <w:ind w:left="480"/>
              <w:spacing w:after="0"/>
              <w:rPr>
                <w:sz w:val="20"/>
                <w:szCs w:val="20"/>
                <w:color w:val="auto"/>
              </w:rPr>
            </w:pPr>
            <w:r>
              <w:rPr>
                <w:rFonts w:ascii="Courier New" w:cs="Courier New" w:eastAsia="Courier New" w:hAnsi="Courier New"/>
                <w:sz w:val="16"/>
                <w:szCs w:val="16"/>
                <w:color w:val="auto"/>
              </w:rPr>
              <w:t>Item 2.</w:t>
            </w:r>
          </w:p>
        </w:tc>
        <w:tc>
          <w:tcPr>
            <w:tcW w:w="7580" w:type="dxa"/>
            <w:vAlign w:val="bottom"/>
          </w:tcPr>
          <w:p>
            <w:pPr>
              <w:ind w:left="240"/>
              <w:spacing w:after="0"/>
              <w:rPr>
                <w:sz w:val="20"/>
                <w:szCs w:val="20"/>
                <w:color w:val="auto"/>
              </w:rPr>
            </w:pPr>
            <w:r>
              <w:rPr>
                <w:rFonts w:ascii="Courier New" w:cs="Courier New" w:eastAsia="Courier New" w:hAnsi="Courier New"/>
                <w:sz w:val="16"/>
                <w:szCs w:val="16"/>
                <w:color w:val="auto"/>
              </w:rPr>
              <w:t>Management's Discussion and Analysis of Financial</w:t>
            </w:r>
          </w:p>
        </w:tc>
        <w:tc>
          <w:tcPr>
            <w:tcW w:w="2000" w:type="dxa"/>
            <w:vAlign w:val="bottom"/>
          </w:tcPr>
          <w:p>
            <w:pPr>
              <w:spacing w:after="0"/>
              <w:rPr>
                <w:sz w:val="24"/>
                <w:szCs w:val="24"/>
                <w:color w:val="auto"/>
              </w:rPr>
            </w:pPr>
          </w:p>
        </w:tc>
      </w:tr>
      <w:tr>
        <w:trPr>
          <w:trHeight w:val="183"/>
        </w:trPr>
        <w:tc>
          <w:tcPr>
            <w:tcW w:w="1380" w:type="dxa"/>
            <w:vAlign w:val="bottom"/>
          </w:tcPr>
          <w:p>
            <w:pPr>
              <w:spacing w:after="0"/>
              <w:rPr>
                <w:sz w:val="15"/>
                <w:szCs w:val="15"/>
                <w:color w:val="auto"/>
              </w:rPr>
            </w:pPr>
          </w:p>
        </w:tc>
        <w:tc>
          <w:tcPr>
            <w:tcW w:w="7580" w:type="dxa"/>
            <w:vAlign w:val="bottom"/>
          </w:tcPr>
          <w:p>
            <w:pPr>
              <w:ind w:left="620"/>
              <w:spacing w:after="0"/>
              <w:rPr>
                <w:sz w:val="20"/>
                <w:szCs w:val="20"/>
                <w:color w:val="auto"/>
              </w:rPr>
            </w:pPr>
            <w:r>
              <w:rPr>
                <w:rFonts w:ascii="Courier New" w:cs="Courier New" w:eastAsia="Courier New" w:hAnsi="Courier New"/>
                <w:sz w:val="16"/>
                <w:szCs w:val="16"/>
                <w:color w:val="auto"/>
              </w:rPr>
              <w:t>Condition and Results of Operations.</w:t>
            </w:r>
          </w:p>
        </w:tc>
        <w:tc>
          <w:tcPr>
            <w:tcW w:w="2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9-18</w:t>
            </w:r>
          </w:p>
        </w:tc>
      </w:tr>
      <w:tr>
        <w:trPr>
          <w:trHeight w:val="367"/>
        </w:trPr>
        <w:tc>
          <w:tcPr>
            <w:tcW w:w="1380" w:type="dxa"/>
            <w:vAlign w:val="bottom"/>
          </w:tcPr>
          <w:p>
            <w:pPr>
              <w:ind w:left="480"/>
              <w:spacing w:after="0"/>
              <w:rPr>
                <w:sz w:val="20"/>
                <w:szCs w:val="20"/>
                <w:color w:val="auto"/>
              </w:rPr>
            </w:pPr>
            <w:r>
              <w:rPr>
                <w:rFonts w:ascii="Courier New" w:cs="Courier New" w:eastAsia="Courier New" w:hAnsi="Courier New"/>
                <w:sz w:val="16"/>
                <w:szCs w:val="16"/>
                <w:color w:val="auto"/>
              </w:rPr>
              <w:t>Item 3.</w:t>
            </w:r>
          </w:p>
        </w:tc>
        <w:tc>
          <w:tcPr>
            <w:tcW w:w="7580" w:type="dxa"/>
            <w:vAlign w:val="bottom"/>
          </w:tcPr>
          <w:p>
            <w:pPr>
              <w:ind w:left="240"/>
              <w:spacing w:after="0"/>
              <w:rPr>
                <w:sz w:val="20"/>
                <w:szCs w:val="20"/>
                <w:color w:val="auto"/>
              </w:rPr>
            </w:pPr>
            <w:r>
              <w:rPr>
                <w:rFonts w:ascii="Courier New" w:cs="Courier New" w:eastAsia="Courier New" w:hAnsi="Courier New"/>
                <w:sz w:val="16"/>
                <w:szCs w:val="16"/>
                <w:color w:val="auto"/>
              </w:rPr>
              <w:t>Quantitative and Qualitative Disclosures About Market Risk</w:t>
            </w:r>
          </w:p>
        </w:tc>
        <w:tc>
          <w:tcPr>
            <w:tcW w:w="2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w:t>
            </w:r>
          </w:p>
        </w:tc>
      </w:tr>
      <w:tr>
        <w:trPr>
          <w:trHeight w:val="550"/>
        </w:trPr>
        <w:tc>
          <w:tcPr>
            <w:tcW w:w="138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7580" w:type="dxa"/>
            <w:vAlign w:val="bottom"/>
          </w:tcPr>
          <w:p>
            <w:pPr>
              <w:ind w:left="240"/>
              <w:spacing w:after="0"/>
              <w:rPr>
                <w:sz w:val="20"/>
                <w:szCs w:val="20"/>
                <w:color w:val="auto"/>
              </w:rPr>
            </w:pPr>
            <w:r>
              <w:rPr>
                <w:rFonts w:ascii="Courier New" w:cs="Courier New" w:eastAsia="Courier New" w:hAnsi="Courier New"/>
                <w:sz w:val="16"/>
                <w:szCs w:val="16"/>
                <w:color w:val="auto"/>
              </w:rPr>
              <w:t>OTHER INFORMATION.</w:t>
            </w:r>
          </w:p>
        </w:tc>
        <w:tc>
          <w:tcPr>
            <w:tcW w:w="2000" w:type="dxa"/>
            <w:vAlign w:val="bottom"/>
          </w:tcPr>
          <w:p>
            <w:pPr>
              <w:spacing w:after="0"/>
              <w:rPr>
                <w:sz w:val="24"/>
                <w:szCs w:val="24"/>
                <w:color w:val="auto"/>
              </w:rPr>
            </w:pPr>
          </w:p>
        </w:tc>
      </w:tr>
      <w:tr>
        <w:trPr>
          <w:trHeight w:val="367"/>
        </w:trPr>
        <w:tc>
          <w:tcPr>
            <w:tcW w:w="1380" w:type="dxa"/>
            <w:vAlign w:val="bottom"/>
          </w:tcPr>
          <w:p>
            <w:pPr>
              <w:ind w:left="480"/>
              <w:spacing w:after="0"/>
              <w:rPr>
                <w:sz w:val="20"/>
                <w:szCs w:val="20"/>
                <w:color w:val="auto"/>
              </w:rPr>
            </w:pPr>
            <w:r>
              <w:rPr>
                <w:rFonts w:ascii="Courier New" w:cs="Courier New" w:eastAsia="Courier New" w:hAnsi="Courier New"/>
                <w:sz w:val="16"/>
                <w:szCs w:val="16"/>
                <w:color w:val="auto"/>
              </w:rPr>
              <w:t>Item 1.</w:t>
            </w:r>
          </w:p>
        </w:tc>
        <w:tc>
          <w:tcPr>
            <w:tcW w:w="7580" w:type="dxa"/>
            <w:vAlign w:val="bottom"/>
          </w:tcPr>
          <w:p>
            <w:pPr>
              <w:ind w:left="240"/>
              <w:spacing w:after="0"/>
              <w:rPr>
                <w:sz w:val="20"/>
                <w:szCs w:val="20"/>
                <w:color w:val="auto"/>
              </w:rPr>
            </w:pPr>
            <w:r>
              <w:rPr>
                <w:rFonts w:ascii="Courier New" w:cs="Courier New" w:eastAsia="Courier New" w:hAnsi="Courier New"/>
                <w:sz w:val="16"/>
                <w:szCs w:val="16"/>
                <w:color w:val="auto"/>
              </w:rPr>
              <w:t>Legal Proceedings.</w:t>
            </w:r>
          </w:p>
        </w:tc>
        <w:tc>
          <w:tcPr>
            <w:tcW w:w="2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w:t>
            </w:r>
          </w:p>
        </w:tc>
      </w:tr>
      <w:tr>
        <w:trPr>
          <w:trHeight w:val="367"/>
        </w:trPr>
        <w:tc>
          <w:tcPr>
            <w:tcW w:w="1380" w:type="dxa"/>
            <w:vAlign w:val="bottom"/>
          </w:tcPr>
          <w:p>
            <w:pPr>
              <w:ind w:left="480"/>
              <w:spacing w:after="0"/>
              <w:rPr>
                <w:sz w:val="20"/>
                <w:szCs w:val="20"/>
                <w:color w:val="auto"/>
              </w:rPr>
            </w:pPr>
            <w:r>
              <w:rPr>
                <w:rFonts w:ascii="Courier New" w:cs="Courier New" w:eastAsia="Courier New" w:hAnsi="Courier New"/>
                <w:sz w:val="16"/>
                <w:szCs w:val="16"/>
                <w:color w:val="auto"/>
              </w:rPr>
              <w:t>Item 2.</w:t>
            </w:r>
          </w:p>
        </w:tc>
        <w:tc>
          <w:tcPr>
            <w:tcW w:w="7580" w:type="dxa"/>
            <w:vAlign w:val="bottom"/>
          </w:tcPr>
          <w:p>
            <w:pPr>
              <w:ind w:left="240"/>
              <w:spacing w:after="0"/>
              <w:rPr>
                <w:sz w:val="20"/>
                <w:szCs w:val="20"/>
                <w:color w:val="auto"/>
              </w:rPr>
            </w:pPr>
            <w:r>
              <w:rPr>
                <w:rFonts w:ascii="Courier New" w:cs="Courier New" w:eastAsia="Courier New" w:hAnsi="Courier New"/>
                <w:sz w:val="16"/>
                <w:szCs w:val="16"/>
                <w:color w:val="auto"/>
              </w:rPr>
              <w:t>Changes in Securities.</w:t>
            </w:r>
          </w:p>
        </w:tc>
        <w:tc>
          <w:tcPr>
            <w:tcW w:w="2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w:t>
            </w:r>
          </w:p>
        </w:tc>
      </w:tr>
      <w:tr>
        <w:trPr>
          <w:trHeight w:val="367"/>
        </w:trPr>
        <w:tc>
          <w:tcPr>
            <w:tcW w:w="1380" w:type="dxa"/>
            <w:vAlign w:val="bottom"/>
          </w:tcPr>
          <w:p>
            <w:pPr>
              <w:ind w:left="480"/>
              <w:spacing w:after="0"/>
              <w:rPr>
                <w:sz w:val="20"/>
                <w:szCs w:val="20"/>
                <w:color w:val="auto"/>
              </w:rPr>
            </w:pPr>
            <w:r>
              <w:rPr>
                <w:rFonts w:ascii="Courier New" w:cs="Courier New" w:eastAsia="Courier New" w:hAnsi="Courier New"/>
                <w:sz w:val="16"/>
                <w:szCs w:val="16"/>
                <w:color w:val="auto"/>
              </w:rPr>
              <w:t>Item 3.</w:t>
            </w:r>
          </w:p>
        </w:tc>
        <w:tc>
          <w:tcPr>
            <w:tcW w:w="7580" w:type="dxa"/>
            <w:vAlign w:val="bottom"/>
          </w:tcPr>
          <w:p>
            <w:pPr>
              <w:ind w:left="240"/>
              <w:spacing w:after="0"/>
              <w:rPr>
                <w:sz w:val="20"/>
                <w:szCs w:val="20"/>
                <w:color w:val="auto"/>
              </w:rPr>
            </w:pPr>
            <w:r>
              <w:rPr>
                <w:rFonts w:ascii="Courier New" w:cs="Courier New" w:eastAsia="Courier New" w:hAnsi="Courier New"/>
                <w:sz w:val="16"/>
                <w:szCs w:val="16"/>
                <w:color w:val="auto"/>
              </w:rPr>
              <w:t>Defaults Upon Senior Securities - NONE.</w:t>
            </w:r>
          </w:p>
        </w:tc>
        <w:tc>
          <w:tcPr>
            <w:tcW w:w="2000" w:type="dxa"/>
            <w:vAlign w:val="bottom"/>
          </w:tcPr>
          <w:p>
            <w:pPr>
              <w:spacing w:after="0"/>
              <w:rPr>
                <w:sz w:val="24"/>
                <w:szCs w:val="24"/>
                <w:color w:val="auto"/>
              </w:rPr>
            </w:pPr>
          </w:p>
        </w:tc>
      </w:tr>
      <w:tr>
        <w:trPr>
          <w:trHeight w:val="367"/>
        </w:trPr>
        <w:tc>
          <w:tcPr>
            <w:tcW w:w="1380" w:type="dxa"/>
            <w:vAlign w:val="bottom"/>
          </w:tcPr>
          <w:p>
            <w:pPr>
              <w:ind w:left="480"/>
              <w:spacing w:after="0"/>
              <w:rPr>
                <w:sz w:val="20"/>
                <w:szCs w:val="20"/>
                <w:color w:val="auto"/>
              </w:rPr>
            </w:pPr>
            <w:r>
              <w:rPr>
                <w:rFonts w:ascii="Courier New" w:cs="Courier New" w:eastAsia="Courier New" w:hAnsi="Courier New"/>
                <w:sz w:val="16"/>
                <w:szCs w:val="16"/>
                <w:color w:val="auto"/>
              </w:rPr>
              <w:t>Item 4.</w:t>
            </w:r>
          </w:p>
        </w:tc>
        <w:tc>
          <w:tcPr>
            <w:tcW w:w="7580" w:type="dxa"/>
            <w:vAlign w:val="bottom"/>
          </w:tcPr>
          <w:p>
            <w:pPr>
              <w:ind w:left="240"/>
              <w:spacing w:after="0"/>
              <w:rPr>
                <w:sz w:val="20"/>
                <w:szCs w:val="20"/>
                <w:color w:val="auto"/>
              </w:rPr>
            </w:pPr>
            <w:r>
              <w:rPr>
                <w:rFonts w:ascii="Courier New" w:cs="Courier New" w:eastAsia="Courier New" w:hAnsi="Courier New"/>
                <w:sz w:val="16"/>
                <w:szCs w:val="16"/>
                <w:color w:val="auto"/>
              </w:rPr>
              <w:t>Submission of Matters to a Vote of Security Holders - NONE</w:t>
            </w:r>
          </w:p>
        </w:tc>
        <w:tc>
          <w:tcPr>
            <w:tcW w:w="2000" w:type="dxa"/>
            <w:vAlign w:val="bottom"/>
          </w:tcPr>
          <w:p>
            <w:pPr>
              <w:spacing w:after="0"/>
              <w:rPr>
                <w:sz w:val="24"/>
                <w:szCs w:val="24"/>
                <w:color w:val="auto"/>
              </w:rPr>
            </w:pPr>
          </w:p>
        </w:tc>
      </w:tr>
      <w:tr>
        <w:trPr>
          <w:trHeight w:val="367"/>
        </w:trPr>
        <w:tc>
          <w:tcPr>
            <w:tcW w:w="1380" w:type="dxa"/>
            <w:vAlign w:val="bottom"/>
          </w:tcPr>
          <w:p>
            <w:pPr>
              <w:ind w:left="480"/>
              <w:spacing w:after="0"/>
              <w:rPr>
                <w:sz w:val="20"/>
                <w:szCs w:val="20"/>
                <w:color w:val="auto"/>
              </w:rPr>
            </w:pPr>
            <w:r>
              <w:rPr>
                <w:rFonts w:ascii="Courier New" w:cs="Courier New" w:eastAsia="Courier New" w:hAnsi="Courier New"/>
                <w:sz w:val="16"/>
                <w:szCs w:val="16"/>
                <w:color w:val="auto"/>
              </w:rPr>
              <w:t>Item 5.</w:t>
            </w:r>
          </w:p>
        </w:tc>
        <w:tc>
          <w:tcPr>
            <w:tcW w:w="7580" w:type="dxa"/>
            <w:vAlign w:val="bottom"/>
          </w:tcPr>
          <w:p>
            <w:pPr>
              <w:ind w:left="240"/>
              <w:spacing w:after="0"/>
              <w:rPr>
                <w:sz w:val="20"/>
                <w:szCs w:val="20"/>
                <w:color w:val="auto"/>
              </w:rPr>
            </w:pPr>
            <w:r>
              <w:rPr>
                <w:rFonts w:ascii="Courier New" w:cs="Courier New" w:eastAsia="Courier New" w:hAnsi="Courier New"/>
                <w:sz w:val="16"/>
                <w:szCs w:val="16"/>
                <w:color w:val="auto"/>
              </w:rPr>
              <w:t>Other Information - NONE.</w:t>
            </w:r>
          </w:p>
        </w:tc>
        <w:tc>
          <w:tcPr>
            <w:tcW w:w="2000" w:type="dxa"/>
            <w:vAlign w:val="bottom"/>
          </w:tcPr>
          <w:p>
            <w:pPr>
              <w:spacing w:after="0"/>
              <w:rPr>
                <w:sz w:val="24"/>
                <w:szCs w:val="24"/>
                <w:color w:val="auto"/>
              </w:rPr>
            </w:pPr>
          </w:p>
        </w:tc>
      </w:tr>
      <w:tr>
        <w:trPr>
          <w:trHeight w:val="367"/>
        </w:trPr>
        <w:tc>
          <w:tcPr>
            <w:tcW w:w="1380" w:type="dxa"/>
            <w:vAlign w:val="bottom"/>
          </w:tcPr>
          <w:p>
            <w:pPr>
              <w:ind w:left="480"/>
              <w:spacing w:after="0"/>
              <w:rPr>
                <w:sz w:val="20"/>
                <w:szCs w:val="20"/>
                <w:color w:val="auto"/>
              </w:rPr>
            </w:pPr>
            <w:r>
              <w:rPr>
                <w:rFonts w:ascii="Courier New" w:cs="Courier New" w:eastAsia="Courier New" w:hAnsi="Courier New"/>
                <w:sz w:val="16"/>
                <w:szCs w:val="16"/>
                <w:color w:val="auto"/>
              </w:rPr>
              <w:t>Item 6.</w:t>
            </w:r>
          </w:p>
        </w:tc>
        <w:tc>
          <w:tcPr>
            <w:tcW w:w="7580" w:type="dxa"/>
            <w:vAlign w:val="bottom"/>
          </w:tcPr>
          <w:p>
            <w:pPr>
              <w:ind w:left="240"/>
              <w:spacing w:after="0"/>
              <w:rPr>
                <w:sz w:val="20"/>
                <w:szCs w:val="20"/>
                <w:color w:val="auto"/>
              </w:rPr>
            </w:pPr>
            <w:r>
              <w:rPr>
                <w:rFonts w:ascii="Courier New" w:cs="Courier New" w:eastAsia="Courier New" w:hAnsi="Courier New"/>
                <w:sz w:val="16"/>
                <w:szCs w:val="16"/>
                <w:color w:val="auto"/>
              </w:rPr>
              <w:t>Exhibits and Reports on Form 8-K - NONE.</w:t>
            </w:r>
          </w:p>
        </w:tc>
        <w:tc>
          <w:tcPr>
            <w:tcW w:w="2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960"/>
          </w:cols>
          <w:pgMar w:left="240" w:top="1398" w:right="699" w:bottom="1440" w:gutter="0" w:footer="0" w:header="0"/>
        </w:sectPr>
      </w:pPr>
    </w:p>
    <w:bookmarkStart w:id="2" w:name="page3"/>
    <w:bookmarkEnd w:id="2"/>
    <w:p>
      <w:pPr>
        <w:jc w:val="center"/>
        <w:ind w:right="2760"/>
        <w:spacing w:after="0"/>
        <w:rPr>
          <w:sz w:val="20"/>
          <w:szCs w:val="20"/>
          <w:color w:val="auto"/>
        </w:rPr>
      </w:pPr>
      <w:r>
        <w:rPr>
          <w:rFonts w:ascii="Courier New" w:cs="Courier New" w:eastAsia="Courier New" w:hAnsi="Courier New"/>
          <w:sz w:val="16"/>
          <w:szCs w:val="16"/>
          <w:color w:val="auto"/>
        </w:rPr>
        <w:t>UNIVERSAL FOREST PRODUCTS, INC.</w:t>
      </w:r>
    </w:p>
    <w:p>
      <w:pPr>
        <w:spacing w:after="0" w:line="2" w:lineRule="exact"/>
        <w:rPr>
          <w:sz w:val="20"/>
          <w:szCs w:val="20"/>
          <w:color w:val="auto"/>
        </w:rPr>
      </w:pPr>
    </w:p>
    <w:p>
      <w:pPr>
        <w:jc w:val="center"/>
        <w:ind w:right="2760"/>
        <w:spacing w:after="0"/>
        <w:rPr>
          <w:sz w:val="20"/>
          <w:szCs w:val="20"/>
          <w:color w:val="auto"/>
        </w:rPr>
      </w:pPr>
      <w:r>
        <w:rPr>
          <w:rFonts w:ascii="Courier New" w:cs="Courier New" w:eastAsia="Courier New" w:hAnsi="Courier New"/>
          <w:sz w:val="16"/>
          <w:szCs w:val="16"/>
          <w:color w:val="auto"/>
        </w:rPr>
        <w:t>CONSOLIDATED CONDENSED BALANCE SHEETS</w:t>
      </w:r>
    </w:p>
    <w:p>
      <w:pPr>
        <w:spacing w:after="0" w:line="2" w:lineRule="exact"/>
        <w:rPr>
          <w:sz w:val="20"/>
          <w:szCs w:val="20"/>
          <w:color w:val="auto"/>
        </w:rPr>
      </w:pPr>
    </w:p>
    <w:p>
      <w:pPr>
        <w:jc w:val="center"/>
        <w:ind w:right="2760"/>
        <w:spacing w:after="0"/>
        <w:rPr>
          <w:sz w:val="20"/>
          <w:szCs w:val="20"/>
          <w:color w:val="auto"/>
        </w:rPr>
      </w:pPr>
      <w:r>
        <w:rPr>
          <w:rFonts w:ascii="Courier New" w:cs="Courier New" w:eastAsia="Courier New" w:hAnsi="Courier New"/>
          <w:sz w:val="16"/>
          <w:szCs w:val="16"/>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2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(in thousands, except share data)</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550"/>
        </w:trPr>
        <w:tc>
          <w:tcPr>
            <w:tcW w:w="77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September 29,</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7"/>
              </w:rPr>
              <w:t>December 30,</w:t>
            </w:r>
          </w:p>
        </w:tc>
      </w:tr>
      <w:tr>
        <w:trPr>
          <w:trHeight w:val="183"/>
        </w:trPr>
        <w:tc>
          <w:tcPr>
            <w:tcW w:w="7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3"/>
              </w:rPr>
              <w:t>2001</w:t>
            </w:r>
          </w:p>
        </w:tc>
        <w:tc>
          <w:tcPr>
            <w:tcW w:w="380" w:type="dxa"/>
            <w:vAlign w:val="bottom"/>
          </w:tcPr>
          <w:p>
            <w:pPr>
              <w:spacing w:after="0"/>
              <w:rPr>
                <w:sz w:val="15"/>
                <w:szCs w:val="15"/>
                <w:color w:val="auto"/>
              </w:rPr>
            </w:pPr>
          </w:p>
        </w:tc>
        <w:tc>
          <w:tcPr>
            <w:tcW w:w="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772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77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77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Cash and cash equivalents..................................................</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6,310</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2,392</w:t>
            </w:r>
          </w:p>
        </w:tc>
      </w:tr>
      <w:tr>
        <w:trPr>
          <w:trHeight w:val="183"/>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Restricted cash equivalents................................................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411</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1,364</w:t>
            </w:r>
          </w:p>
        </w:tc>
      </w:tr>
      <w:tr>
        <w:trPr>
          <w:trHeight w:val="183"/>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Accounts receivable (net of allowance for doubtful accounts of</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$2,159 and $1,340).......................................................</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125,150</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64,386</w:t>
            </w:r>
          </w:p>
        </w:tc>
      </w:tr>
      <w:tr>
        <w:trPr>
          <w:trHeight w:val="183"/>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Inventories:</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Raw materials.........................................................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41,558</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41,885</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Finished goods........................................................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80,670</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81,306</w:t>
            </w:r>
          </w:p>
        </w:tc>
      </w:tr>
      <w:tr>
        <w:trPr>
          <w:trHeight w:val="183"/>
        </w:trPr>
        <w:tc>
          <w:tcPr>
            <w:tcW w:w="772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122,228</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123,191</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 current assets.......................................................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7,410</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9,026</w:t>
            </w:r>
          </w:p>
        </w:tc>
      </w:tr>
      <w:tr>
        <w:trPr>
          <w:trHeight w:val="183"/>
        </w:trPr>
        <w:tc>
          <w:tcPr>
            <w:tcW w:w="772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ASSETS..............................................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261,509</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200,359</w:t>
            </w:r>
          </w:p>
        </w:tc>
      </w:tr>
      <w:tr>
        <w:trPr>
          <w:trHeight w:val="367"/>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OTHER ASSETS....................................................................</w:t>
            </w:r>
          </w:p>
        </w:tc>
        <w:tc>
          <w:tcPr>
            <w:tcW w:w="480" w:type="dxa"/>
            <w:vAlign w:val="bottom"/>
          </w:tcPr>
          <w:p>
            <w:pPr>
              <w:spacing w:after="0"/>
              <w:rPr>
                <w:sz w:val="24"/>
                <w:szCs w:val="24"/>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11,572</w:t>
            </w:r>
          </w:p>
        </w:tc>
        <w:tc>
          <w:tcPr>
            <w:tcW w:w="38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11,392</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GOODWILL AND NON-COMPETE AGREEMENTS, NET........................................</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113,652</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105,579</w:t>
            </w:r>
          </w:p>
        </w:tc>
      </w:tr>
      <w:tr>
        <w:trPr>
          <w:trHeight w:val="367"/>
        </w:trPr>
        <w:tc>
          <w:tcPr>
            <w:tcW w:w="77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Property, plant and equipment..............................................</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279,070</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256,658</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Accumulated depreciation and amortization..................................</w:t>
            </w:r>
          </w:p>
        </w:tc>
        <w:tc>
          <w:tcPr>
            <w:tcW w:w="4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(101,126)</w:t>
            </w: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(88,668)</w:t>
            </w:r>
          </w:p>
        </w:tc>
      </w:tr>
      <w:tr>
        <w:trPr>
          <w:trHeight w:val="183"/>
        </w:trPr>
        <w:tc>
          <w:tcPr>
            <w:tcW w:w="772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PROPERTY, PLANT AND EQUIPMENT, NET................................</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177,944</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167,990</w:t>
            </w:r>
          </w:p>
        </w:tc>
      </w:tr>
      <w:tr>
        <w:trPr>
          <w:trHeight w:val="183"/>
        </w:trPr>
        <w:tc>
          <w:tcPr>
            <w:tcW w:w="772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TOTAL ASSETS....................................................................</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564,677</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485,320</w:t>
            </w:r>
          </w:p>
        </w:tc>
      </w:tr>
      <w:tr>
        <w:trPr>
          <w:trHeight w:val="183"/>
        </w:trPr>
        <w:tc>
          <w:tcPr>
            <w:tcW w:w="772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772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77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Short-term debt............................................................</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669</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1,270</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payable...........................................................</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57,757</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35,589</w:t>
            </w:r>
          </w:p>
        </w:tc>
      </w:tr>
      <w:tr>
        <w:trPr>
          <w:trHeight w:val="183"/>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Accrued liabilities:</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Compensation and benefits.............................................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32,445</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29,423</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 ................................................................</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17,821</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4,973</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Current portion of long-term debt and capital lease obligations............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20,952</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8,783</w:t>
            </w:r>
          </w:p>
        </w:tc>
      </w:tr>
      <w:tr>
        <w:trPr>
          <w:trHeight w:val="183"/>
        </w:trPr>
        <w:tc>
          <w:tcPr>
            <w:tcW w:w="772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LIABILITIES.........................................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129,644</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80,038</w:t>
            </w:r>
          </w:p>
        </w:tc>
      </w:tr>
      <w:tr>
        <w:trPr>
          <w:trHeight w:val="367"/>
        </w:trPr>
        <w:tc>
          <w:tcPr>
            <w:tcW w:w="7720" w:type="dxa"/>
            <w:vAlign w:val="bottom"/>
          </w:tcPr>
          <w:p>
            <w:pPr>
              <w:spacing w:after="0"/>
              <w:rPr>
                <w:sz w:val="20"/>
                <w:szCs w:val="20"/>
                <w:color w:val="auto"/>
              </w:rPr>
            </w:pPr>
            <w:r>
              <w:rPr>
                <w:rFonts w:ascii="Courier New" w:cs="Courier New" w:eastAsia="Courier New" w:hAnsi="Courier New"/>
                <w:sz w:val="16"/>
                <w:szCs w:val="16"/>
                <w:color w:val="auto"/>
              </w:rPr>
              <w:t>LONG-TERM DEBT AND CAPITAL LEASE</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OBLIGATIONS, less current portion..............................................</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152,807</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150,807</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DEFERRED INCOME TAXES...........................................................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9,139</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9,092</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OTHER LIABILITIES...............................................................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9,589</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9,614</w:t>
            </w:r>
          </w:p>
        </w:tc>
      </w:tr>
      <w:tr>
        <w:trPr>
          <w:trHeight w:val="183"/>
        </w:trPr>
        <w:tc>
          <w:tcPr>
            <w:tcW w:w="772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LIABILITIES.................................................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301,179</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249,551</w:t>
            </w:r>
          </w:p>
        </w:tc>
      </w:tr>
      <w:tr>
        <w:trPr>
          <w:trHeight w:val="367"/>
        </w:trPr>
        <w:tc>
          <w:tcPr>
            <w:tcW w:w="77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Preferred stock, no par value; shares authorized 1,000,000; issued</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7720" w:type="dxa"/>
            <w:vAlign w:val="bottom"/>
          </w:tcPr>
          <w:p>
            <w:pPr>
              <w:jc w:val="right"/>
              <w:ind w:right="4981"/>
              <w:spacing w:after="0"/>
              <w:rPr>
                <w:sz w:val="20"/>
                <w:szCs w:val="20"/>
                <w:color w:val="auto"/>
              </w:rPr>
            </w:pPr>
            <w:r>
              <w:rPr>
                <w:rFonts w:ascii="Courier New" w:cs="Courier New" w:eastAsia="Courier New" w:hAnsi="Courier New"/>
                <w:sz w:val="16"/>
                <w:szCs w:val="16"/>
                <w:color w:val="auto"/>
              </w:rPr>
              <w:t>and outstanding, none</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Common stock, no par value; shares authorized 40,000,000; issued</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and outstanding, 19,785,280 and 19,719,114...............................</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19,785</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19,719</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Additional paid-in capital.................................................</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80,636</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79,800</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Retained earnings..........................................................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163,449</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136,645</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Accumulated other comprehensive earnings...................................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783</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860</w:t>
            </w:r>
          </w:p>
        </w:tc>
      </w:tr>
      <w:tr>
        <w:trPr>
          <w:trHeight w:val="183"/>
        </w:trPr>
        <w:tc>
          <w:tcPr>
            <w:tcW w:w="772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264,653</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237,024</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Officers' stock notes receivable...........................................</w:t>
            </w:r>
          </w:p>
        </w:tc>
        <w:tc>
          <w:tcPr>
            <w:tcW w:w="4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(1,155)</w:t>
            </w: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(1,225)</w:t>
            </w:r>
          </w:p>
        </w:tc>
      </w:tr>
      <w:tr>
        <w:trPr>
          <w:trHeight w:val="183"/>
        </w:trPr>
        <w:tc>
          <w:tcPr>
            <w:tcW w:w="772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SHAREHOLDERS' EQUITY........................................</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263,498</w:t>
            </w:r>
          </w:p>
        </w:tc>
        <w:tc>
          <w:tcPr>
            <w:tcW w:w="3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235,769</w:t>
            </w:r>
          </w:p>
        </w:tc>
      </w:tr>
      <w:tr>
        <w:trPr>
          <w:trHeight w:val="183"/>
        </w:trPr>
        <w:tc>
          <w:tcPr>
            <w:tcW w:w="772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7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TOTAL LIABILITIES AND SHAREHOLDERS' EQUITY......................................</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564,677</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485,320</w:t>
            </w:r>
          </w:p>
        </w:tc>
      </w:tr>
      <w:tr>
        <w:trPr>
          <w:trHeight w:val="183"/>
        </w:trPr>
        <w:tc>
          <w:tcPr>
            <w:tcW w:w="772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condensed financial statements.</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480"/>
          </w:cols>
          <w:pgMar w:left="240" w:top="1031" w:right="1179" w:bottom="1440" w:gutter="0" w:footer="0" w:header="0"/>
        </w:sectPr>
      </w:pPr>
    </w:p>
    <w:bookmarkStart w:id="3" w:name="page4"/>
    <w:bookmarkEnd w:id="3"/>
    <w:p>
      <w:pPr>
        <w:jc w:val="center"/>
        <w:ind w:right="3060"/>
        <w:spacing w:after="0"/>
        <w:rPr>
          <w:sz w:val="20"/>
          <w:szCs w:val="20"/>
          <w:color w:val="auto"/>
        </w:rPr>
      </w:pPr>
      <w:r>
        <w:rPr>
          <w:rFonts w:ascii="Courier New" w:cs="Courier New" w:eastAsia="Courier New" w:hAnsi="Courier New"/>
          <w:sz w:val="16"/>
          <w:szCs w:val="16"/>
          <w:color w:val="auto"/>
        </w:rPr>
        <w:t>UNIVERSAL FOREST PRODUCTS, INC.</w:t>
      </w:r>
    </w:p>
    <w:p>
      <w:pPr>
        <w:spacing w:after="0" w:line="2"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CONSOLIDATED CONDENSED STATEMENTS OF EARNINGS</w:t>
      </w:r>
    </w:p>
    <w:p>
      <w:pPr>
        <w:spacing w:after="0" w:line="2"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40" w:type="dxa"/>
            <w:vAlign w:val="bottom"/>
            <w:gridSpan w:val="3"/>
          </w:tcPr>
          <w:p>
            <w:pPr>
              <w:jc w:val="right"/>
              <w:ind w:right="541"/>
              <w:spacing w:after="0"/>
              <w:rPr>
                <w:sz w:val="20"/>
                <w:szCs w:val="20"/>
                <w:color w:val="auto"/>
              </w:rPr>
            </w:pPr>
            <w:r>
              <w:rPr>
                <w:rFonts w:ascii="Courier New" w:cs="Courier New" w:eastAsia="Courier New" w:hAnsi="Courier New"/>
                <w:sz w:val="16"/>
                <w:szCs w:val="16"/>
                <w:color w:val="auto"/>
              </w:rPr>
              <w:t>(in thousands, except per share data)</w:t>
            </w: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550"/>
        </w:trPr>
        <w:tc>
          <w:tcPr>
            <w:tcW w:w="4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gridSpan w:val="3"/>
          </w:tcPr>
          <w:p>
            <w:pPr>
              <w:jc w:val="right"/>
              <w:ind w:right="741"/>
              <w:spacing w:after="0"/>
              <w:rPr>
                <w:sz w:val="20"/>
                <w:szCs w:val="20"/>
                <w:color w:val="auto"/>
              </w:rPr>
            </w:pPr>
            <w:r>
              <w:rPr>
                <w:rFonts w:ascii="Courier New" w:cs="Courier New" w:eastAsia="Courier New" w:hAnsi="Courier New"/>
                <w:sz w:val="16"/>
                <w:szCs w:val="16"/>
                <w:color w:val="auto"/>
              </w:rPr>
              <w:t>Three Months Ended</w:t>
            </w:r>
          </w:p>
        </w:tc>
        <w:tc>
          <w:tcPr>
            <w:tcW w:w="380" w:type="dxa"/>
            <w:vAlign w:val="bottom"/>
          </w:tcPr>
          <w:p>
            <w:pPr>
              <w:spacing w:after="0"/>
              <w:rPr>
                <w:sz w:val="24"/>
                <w:szCs w:val="24"/>
                <w:color w:val="auto"/>
              </w:rPr>
            </w:pPr>
          </w:p>
        </w:tc>
        <w:tc>
          <w:tcPr>
            <w:tcW w:w="2620" w:type="dxa"/>
            <w:vAlign w:val="bottom"/>
            <w:gridSpan w:val="3"/>
          </w:tcPr>
          <w:p>
            <w:pPr>
              <w:jc w:val="right"/>
              <w:ind w:right="501"/>
              <w:spacing w:after="0"/>
              <w:rPr>
                <w:sz w:val="20"/>
                <w:szCs w:val="20"/>
                <w:color w:val="auto"/>
              </w:rPr>
            </w:pPr>
            <w:r>
              <w:rPr>
                <w:rFonts w:ascii="Courier New" w:cs="Courier New" w:eastAsia="Courier New" w:hAnsi="Courier New"/>
                <w:sz w:val="16"/>
                <w:szCs w:val="16"/>
                <w:color w:val="auto"/>
              </w:rPr>
              <w:t>Nine Months Ended</w:t>
            </w:r>
          </w:p>
        </w:tc>
      </w:tr>
      <w:tr>
        <w:trPr>
          <w:trHeight w:val="183"/>
        </w:trPr>
        <w:tc>
          <w:tcPr>
            <w:tcW w:w="472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1"/>
              </w:rPr>
              <w:t>-----------------------------</w:t>
            </w: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0" w:type="dxa"/>
            <w:vAlign w:val="bottom"/>
            <w:gridSpan w:val="4"/>
          </w:tcPr>
          <w:p>
            <w:pPr>
              <w:ind w:left="220"/>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4720" w:type="dxa"/>
            <w:vAlign w:val="bottom"/>
          </w:tcPr>
          <w:p>
            <w:pPr>
              <w:spacing w:after="0"/>
              <w:rPr>
                <w:sz w:val="15"/>
                <w:szCs w:val="15"/>
                <w:color w:val="auto"/>
              </w:rPr>
            </w:pPr>
          </w:p>
        </w:tc>
        <w:tc>
          <w:tcPr>
            <w:tcW w:w="14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September 29,</w:t>
            </w:r>
          </w:p>
        </w:tc>
        <w:tc>
          <w:tcPr>
            <w:tcW w:w="16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September 23,</w:t>
            </w:r>
          </w:p>
        </w:tc>
        <w:tc>
          <w:tcPr>
            <w:tcW w:w="162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September 29,</w:t>
            </w:r>
          </w:p>
        </w:tc>
        <w:tc>
          <w:tcPr>
            <w:tcW w:w="13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September 23,</w:t>
            </w:r>
          </w:p>
        </w:tc>
      </w:tr>
      <w:tr>
        <w:trPr>
          <w:trHeight w:val="183"/>
        </w:trPr>
        <w:tc>
          <w:tcPr>
            <w:tcW w:w="4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3"/>
              </w:rPr>
              <w:t>2001</w:t>
            </w:r>
          </w:p>
        </w:tc>
        <w:tc>
          <w:tcPr>
            <w:tcW w:w="340" w:type="dxa"/>
            <w:vAlign w:val="bottom"/>
          </w:tcPr>
          <w:p>
            <w:pPr>
              <w:spacing w:after="0"/>
              <w:rPr>
                <w:sz w:val="15"/>
                <w:szCs w:val="15"/>
                <w:color w:val="auto"/>
              </w:rPr>
            </w:pPr>
          </w:p>
        </w:tc>
        <w:tc>
          <w:tcPr>
            <w:tcW w:w="1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2000</w:t>
            </w:r>
          </w:p>
        </w:tc>
        <w:tc>
          <w:tcPr>
            <w:tcW w:w="380" w:type="dxa"/>
            <w:vAlign w:val="bottom"/>
          </w:tcPr>
          <w:p>
            <w:pPr>
              <w:spacing w:after="0"/>
              <w:rPr>
                <w:sz w:val="15"/>
                <w:szCs w:val="15"/>
                <w:color w:val="auto"/>
              </w:rPr>
            </w:pPr>
          </w:p>
        </w:tc>
        <w:tc>
          <w:tcPr>
            <w:tcW w:w="12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2001</w:t>
            </w:r>
          </w:p>
        </w:tc>
        <w:tc>
          <w:tcPr>
            <w:tcW w:w="280" w:type="dxa"/>
            <w:vAlign w:val="bottom"/>
          </w:tcPr>
          <w:p>
            <w:pPr>
              <w:spacing w:after="0"/>
              <w:rPr>
                <w:sz w:val="15"/>
                <w:szCs w:val="15"/>
                <w:color w:val="auto"/>
              </w:rPr>
            </w:pP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472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w:t>
            </w:r>
          </w:p>
        </w:tc>
      </w:tr>
      <w:tr>
        <w:trPr>
          <w:trHeight w:val="550"/>
        </w:trPr>
        <w:tc>
          <w:tcPr>
            <w:tcW w:w="4720" w:type="dxa"/>
            <w:vAlign w:val="bottom"/>
          </w:tcPr>
          <w:p>
            <w:pPr>
              <w:spacing w:after="0"/>
              <w:rPr>
                <w:sz w:val="20"/>
                <w:szCs w:val="20"/>
                <w:color w:val="auto"/>
              </w:rPr>
            </w:pPr>
            <w:r>
              <w:rPr>
                <w:rFonts w:ascii="Courier New" w:cs="Courier New" w:eastAsia="Courier New" w:hAnsi="Courier New"/>
                <w:sz w:val="16"/>
                <w:szCs w:val="16"/>
                <w:color w:val="auto"/>
                <w:w w:val="99"/>
              </w:rPr>
              <w:t>NET SALES...................................</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8"/>
              </w:rPr>
              <w:t>432,689</w:t>
            </w:r>
          </w:p>
        </w:tc>
        <w:tc>
          <w:tcPr>
            <w:tcW w:w="3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371,030</w:t>
            </w: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$ 1,203,675</w:t>
            </w:r>
          </w:p>
        </w:tc>
        <w:tc>
          <w:tcPr>
            <w:tcW w:w="13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$ 1,106,680</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w w:val="99"/>
              </w:rPr>
              <w:t>COST OF GOODS SOLD...............................</w:t>
            </w:r>
          </w:p>
        </w:tc>
        <w:tc>
          <w:tcPr>
            <w:tcW w:w="420" w:type="dxa"/>
            <w:vAlign w:val="bottom"/>
          </w:tcPr>
          <w:p>
            <w:pPr>
              <w:spacing w:after="0"/>
              <w:rPr>
                <w:sz w:val="24"/>
                <w:szCs w:val="24"/>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8"/>
              </w:rPr>
              <w:t>376,507</w:t>
            </w:r>
          </w:p>
        </w:tc>
        <w:tc>
          <w:tcPr>
            <w:tcW w:w="340" w:type="dxa"/>
            <w:vAlign w:val="bottom"/>
          </w:tcPr>
          <w:p>
            <w:pPr>
              <w:spacing w:after="0"/>
              <w:rPr>
                <w:sz w:val="24"/>
                <w:szCs w:val="24"/>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322,103</w:t>
            </w:r>
          </w:p>
        </w:tc>
        <w:tc>
          <w:tcPr>
            <w:tcW w:w="380" w:type="dxa"/>
            <w:vAlign w:val="bottom"/>
          </w:tcPr>
          <w:p>
            <w:pPr>
              <w:spacing w:after="0"/>
              <w:rPr>
                <w:sz w:val="24"/>
                <w:szCs w:val="24"/>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1,037,977</w:t>
            </w:r>
          </w:p>
        </w:tc>
        <w:tc>
          <w:tcPr>
            <w:tcW w:w="280" w:type="dxa"/>
            <w:vAlign w:val="bottom"/>
          </w:tcPr>
          <w:p>
            <w:pPr>
              <w:spacing w:after="0"/>
              <w:rPr>
                <w:sz w:val="24"/>
                <w:szCs w:val="24"/>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960,044</w:t>
            </w:r>
          </w:p>
        </w:tc>
      </w:tr>
      <w:tr>
        <w:trPr>
          <w:trHeight w:val="183"/>
        </w:trPr>
        <w:tc>
          <w:tcPr>
            <w:tcW w:w="472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w w:val="99"/>
              </w:rPr>
              <w:t>GROSS PROFIT.....................................</w:t>
            </w:r>
          </w:p>
        </w:tc>
        <w:tc>
          <w:tcPr>
            <w:tcW w:w="420" w:type="dxa"/>
            <w:vAlign w:val="bottom"/>
          </w:tcPr>
          <w:p>
            <w:pPr>
              <w:spacing w:after="0"/>
              <w:rPr>
                <w:sz w:val="24"/>
                <w:szCs w:val="24"/>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56,182</w:t>
            </w:r>
          </w:p>
        </w:tc>
        <w:tc>
          <w:tcPr>
            <w:tcW w:w="340" w:type="dxa"/>
            <w:vAlign w:val="bottom"/>
          </w:tcPr>
          <w:p>
            <w:pPr>
              <w:spacing w:after="0"/>
              <w:rPr>
                <w:sz w:val="24"/>
                <w:szCs w:val="24"/>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48,927</w:t>
            </w:r>
          </w:p>
        </w:tc>
        <w:tc>
          <w:tcPr>
            <w:tcW w:w="380" w:type="dxa"/>
            <w:vAlign w:val="bottom"/>
          </w:tcPr>
          <w:p>
            <w:pPr>
              <w:spacing w:after="0"/>
              <w:rPr>
                <w:sz w:val="24"/>
                <w:szCs w:val="24"/>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165,698</w:t>
            </w:r>
          </w:p>
        </w:tc>
        <w:tc>
          <w:tcPr>
            <w:tcW w:w="280" w:type="dxa"/>
            <w:vAlign w:val="bottom"/>
          </w:tcPr>
          <w:p>
            <w:pPr>
              <w:spacing w:after="0"/>
              <w:rPr>
                <w:sz w:val="24"/>
                <w:szCs w:val="24"/>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146,636</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ADMINISTRATIVE EXPENSES........................</w:t>
            </w:r>
          </w:p>
        </w:tc>
        <w:tc>
          <w:tcPr>
            <w:tcW w:w="42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37,525</w:t>
            </w:r>
          </w:p>
        </w:tc>
        <w:tc>
          <w:tcPr>
            <w:tcW w:w="340" w:type="dxa"/>
            <w:vAlign w:val="bottom"/>
          </w:tcPr>
          <w:p>
            <w:pPr>
              <w:spacing w:after="0"/>
              <w:rPr>
                <w:sz w:val="15"/>
                <w:szCs w:val="15"/>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31,885</w:t>
            </w:r>
          </w:p>
        </w:tc>
        <w:tc>
          <w:tcPr>
            <w:tcW w:w="3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108,667</w:t>
            </w:r>
          </w:p>
        </w:tc>
        <w:tc>
          <w:tcPr>
            <w:tcW w:w="280" w:type="dxa"/>
            <w:vAlign w:val="bottom"/>
          </w:tcPr>
          <w:p>
            <w:pPr>
              <w:spacing w:after="0"/>
              <w:rPr>
                <w:sz w:val="15"/>
                <w:szCs w:val="15"/>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91,248</w:t>
            </w:r>
          </w:p>
        </w:tc>
      </w:tr>
      <w:tr>
        <w:trPr>
          <w:trHeight w:val="183"/>
        </w:trPr>
        <w:tc>
          <w:tcPr>
            <w:tcW w:w="472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w w:val="99"/>
              </w:rPr>
              <w:t>EARNINGS FROM OPERATIONS.........................</w:t>
            </w:r>
          </w:p>
        </w:tc>
        <w:tc>
          <w:tcPr>
            <w:tcW w:w="420" w:type="dxa"/>
            <w:vAlign w:val="bottom"/>
          </w:tcPr>
          <w:p>
            <w:pPr>
              <w:spacing w:after="0"/>
              <w:rPr>
                <w:sz w:val="24"/>
                <w:szCs w:val="24"/>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18,657</w:t>
            </w:r>
          </w:p>
        </w:tc>
        <w:tc>
          <w:tcPr>
            <w:tcW w:w="340" w:type="dxa"/>
            <w:vAlign w:val="bottom"/>
          </w:tcPr>
          <w:p>
            <w:pPr>
              <w:spacing w:after="0"/>
              <w:rPr>
                <w:sz w:val="24"/>
                <w:szCs w:val="24"/>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17,042</w:t>
            </w:r>
          </w:p>
        </w:tc>
        <w:tc>
          <w:tcPr>
            <w:tcW w:w="380" w:type="dxa"/>
            <w:vAlign w:val="bottom"/>
          </w:tcPr>
          <w:p>
            <w:pPr>
              <w:spacing w:after="0"/>
              <w:rPr>
                <w:sz w:val="24"/>
                <w:szCs w:val="24"/>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57,031</w:t>
            </w:r>
          </w:p>
        </w:tc>
        <w:tc>
          <w:tcPr>
            <w:tcW w:w="280" w:type="dxa"/>
            <w:vAlign w:val="bottom"/>
          </w:tcPr>
          <w:p>
            <w:pPr>
              <w:spacing w:after="0"/>
              <w:rPr>
                <w:sz w:val="24"/>
                <w:szCs w:val="24"/>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55,388</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INTEREST, NET:</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4720" w:type="dxa"/>
            <w:vAlign w:val="bottom"/>
          </w:tcPr>
          <w:p>
            <w:pPr>
              <w:ind w:left="480"/>
              <w:spacing w:after="0"/>
              <w:rPr>
                <w:sz w:val="20"/>
                <w:szCs w:val="20"/>
                <w:color w:val="auto"/>
              </w:rPr>
            </w:pPr>
            <w:r>
              <w:rPr>
                <w:rFonts w:ascii="Courier New" w:cs="Courier New" w:eastAsia="Courier New" w:hAnsi="Courier New"/>
                <w:sz w:val="16"/>
                <w:szCs w:val="16"/>
                <w:color w:val="auto"/>
                <w:w w:val="99"/>
              </w:rPr>
              <w:t>Interest expense............................</w:t>
            </w:r>
          </w:p>
        </w:tc>
        <w:tc>
          <w:tcPr>
            <w:tcW w:w="42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2,948</w:t>
            </w:r>
          </w:p>
        </w:tc>
        <w:tc>
          <w:tcPr>
            <w:tcW w:w="340" w:type="dxa"/>
            <w:vAlign w:val="bottom"/>
          </w:tcPr>
          <w:p>
            <w:pPr>
              <w:spacing w:after="0"/>
              <w:rPr>
                <w:sz w:val="15"/>
                <w:szCs w:val="15"/>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3,648</w:t>
            </w:r>
          </w:p>
        </w:tc>
        <w:tc>
          <w:tcPr>
            <w:tcW w:w="3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9,686</w:t>
            </w:r>
          </w:p>
        </w:tc>
        <w:tc>
          <w:tcPr>
            <w:tcW w:w="280" w:type="dxa"/>
            <w:vAlign w:val="bottom"/>
          </w:tcPr>
          <w:p>
            <w:pPr>
              <w:spacing w:after="0"/>
              <w:rPr>
                <w:sz w:val="15"/>
                <w:szCs w:val="15"/>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10,423</w:t>
            </w:r>
          </w:p>
        </w:tc>
      </w:tr>
      <w:tr>
        <w:trPr>
          <w:trHeight w:val="183"/>
        </w:trPr>
        <w:tc>
          <w:tcPr>
            <w:tcW w:w="4720" w:type="dxa"/>
            <w:vAlign w:val="bottom"/>
          </w:tcPr>
          <w:p>
            <w:pPr>
              <w:ind w:left="480"/>
              <w:spacing w:after="0"/>
              <w:rPr>
                <w:sz w:val="20"/>
                <w:szCs w:val="20"/>
                <w:color w:val="auto"/>
              </w:rPr>
            </w:pPr>
            <w:r>
              <w:rPr>
                <w:rFonts w:ascii="Courier New" w:cs="Courier New" w:eastAsia="Courier New" w:hAnsi="Courier New"/>
                <w:sz w:val="16"/>
                <w:szCs w:val="16"/>
                <w:color w:val="auto"/>
                <w:w w:val="99"/>
              </w:rPr>
              <w:t>Interest income.............................</w:t>
            </w:r>
          </w:p>
        </w:tc>
        <w:tc>
          <w:tcPr>
            <w:tcW w:w="420" w:type="dxa"/>
            <w:vAlign w:val="bottom"/>
          </w:tcPr>
          <w:p>
            <w:pPr>
              <w:spacing w:after="0"/>
              <w:rPr>
                <w:sz w:val="15"/>
                <w:szCs w:val="15"/>
                <w:color w:val="auto"/>
              </w:rPr>
            </w:pPr>
          </w:p>
        </w:tc>
        <w:tc>
          <w:tcPr>
            <w:tcW w:w="10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(151)</w:t>
            </w:r>
          </w:p>
        </w:tc>
        <w:tc>
          <w:tcPr>
            <w:tcW w:w="34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(135)</w:t>
            </w:r>
          </w:p>
        </w:tc>
        <w:tc>
          <w:tcPr>
            <w:tcW w:w="38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(468)</w:t>
            </w:r>
          </w:p>
        </w:tc>
        <w:tc>
          <w:tcPr>
            <w:tcW w:w="28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(381)</w:t>
            </w:r>
          </w:p>
        </w:tc>
      </w:tr>
      <w:tr>
        <w:trPr>
          <w:trHeight w:val="183"/>
        </w:trPr>
        <w:tc>
          <w:tcPr>
            <w:tcW w:w="472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2,797</w:t>
            </w:r>
          </w:p>
        </w:tc>
        <w:tc>
          <w:tcPr>
            <w:tcW w:w="340" w:type="dxa"/>
            <w:vAlign w:val="bottom"/>
          </w:tcPr>
          <w:p>
            <w:pPr>
              <w:spacing w:after="0"/>
              <w:rPr>
                <w:sz w:val="15"/>
                <w:szCs w:val="15"/>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3,513</w:t>
            </w:r>
          </w:p>
        </w:tc>
        <w:tc>
          <w:tcPr>
            <w:tcW w:w="3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9,218</w:t>
            </w:r>
          </w:p>
        </w:tc>
        <w:tc>
          <w:tcPr>
            <w:tcW w:w="280" w:type="dxa"/>
            <w:vAlign w:val="bottom"/>
          </w:tcPr>
          <w:p>
            <w:pPr>
              <w:spacing w:after="0"/>
              <w:rPr>
                <w:sz w:val="15"/>
                <w:szCs w:val="15"/>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10,042</w:t>
            </w:r>
          </w:p>
        </w:tc>
      </w:tr>
      <w:tr>
        <w:trPr>
          <w:trHeight w:val="183"/>
        </w:trPr>
        <w:tc>
          <w:tcPr>
            <w:tcW w:w="472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EARNINGS BEFORE INCOME TAXES,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MINORITY INTEREST AND EQUITY IN</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EARNINGS (LOSS) OF INVESTEE....................</w:t>
            </w:r>
          </w:p>
        </w:tc>
        <w:tc>
          <w:tcPr>
            <w:tcW w:w="42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15,860</w:t>
            </w:r>
          </w:p>
        </w:tc>
        <w:tc>
          <w:tcPr>
            <w:tcW w:w="340" w:type="dxa"/>
            <w:vAlign w:val="bottom"/>
          </w:tcPr>
          <w:p>
            <w:pPr>
              <w:spacing w:after="0"/>
              <w:rPr>
                <w:sz w:val="15"/>
                <w:szCs w:val="15"/>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13,529</w:t>
            </w:r>
          </w:p>
        </w:tc>
        <w:tc>
          <w:tcPr>
            <w:tcW w:w="3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47,813</w:t>
            </w:r>
          </w:p>
        </w:tc>
        <w:tc>
          <w:tcPr>
            <w:tcW w:w="280" w:type="dxa"/>
            <w:vAlign w:val="bottom"/>
          </w:tcPr>
          <w:p>
            <w:pPr>
              <w:spacing w:after="0"/>
              <w:rPr>
                <w:sz w:val="15"/>
                <w:szCs w:val="15"/>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45,346</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w w:val="99"/>
              </w:rPr>
              <w:t>INCOME TAXES.....................................</w:t>
            </w:r>
          </w:p>
        </w:tc>
        <w:tc>
          <w:tcPr>
            <w:tcW w:w="420" w:type="dxa"/>
            <w:vAlign w:val="bottom"/>
          </w:tcPr>
          <w:p>
            <w:pPr>
              <w:spacing w:after="0"/>
              <w:rPr>
                <w:sz w:val="24"/>
                <w:szCs w:val="24"/>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5,519</w:t>
            </w:r>
          </w:p>
        </w:tc>
        <w:tc>
          <w:tcPr>
            <w:tcW w:w="340" w:type="dxa"/>
            <w:vAlign w:val="bottom"/>
          </w:tcPr>
          <w:p>
            <w:pPr>
              <w:spacing w:after="0"/>
              <w:rPr>
                <w:sz w:val="24"/>
                <w:szCs w:val="24"/>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5,177</w:t>
            </w:r>
          </w:p>
        </w:tc>
        <w:tc>
          <w:tcPr>
            <w:tcW w:w="380" w:type="dxa"/>
            <w:vAlign w:val="bottom"/>
          </w:tcPr>
          <w:p>
            <w:pPr>
              <w:spacing w:after="0"/>
              <w:rPr>
                <w:sz w:val="24"/>
                <w:szCs w:val="24"/>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17,554</w:t>
            </w:r>
          </w:p>
        </w:tc>
        <w:tc>
          <w:tcPr>
            <w:tcW w:w="280" w:type="dxa"/>
            <w:vAlign w:val="bottom"/>
          </w:tcPr>
          <w:p>
            <w:pPr>
              <w:spacing w:after="0"/>
              <w:rPr>
                <w:sz w:val="24"/>
                <w:szCs w:val="24"/>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17,693</w:t>
            </w:r>
          </w:p>
        </w:tc>
      </w:tr>
      <w:tr>
        <w:trPr>
          <w:trHeight w:val="183"/>
        </w:trPr>
        <w:tc>
          <w:tcPr>
            <w:tcW w:w="472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EARNINGS BEFORE MINORITY</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INTEREST AND EQUITY IN EARNINGS</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(LOSS) OF INVESTEE.............................</w:t>
            </w:r>
          </w:p>
        </w:tc>
        <w:tc>
          <w:tcPr>
            <w:tcW w:w="42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10,341</w:t>
            </w:r>
          </w:p>
        </w:tc>
        <w:tc>
          <w:tcPr>
            <w:tcW w:w="340" w:type="dxa"/>
            <w:vAlign w:val="bottom"/>
          </w:tcPr>
          <w:p>
            <w:pPr>
              <w:spacing w:after="0"/>
              <w:rPr>
                <w:sz w:val="15"/>
                <w:szCs w:val="15"/>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8,352</w:t>
            </w:r>
          </w:p>
        </w:tc>
        <w:tc>
          <w:tcPr>
            <w:tcW w:w="3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30,259</w:t>
            </w:r>
          </w:p>
        </w:tc>
        <w:tc>
          <w:tcPr>
            <w:tcW w:w="280" w:type="dxa"/>
            <w:vAlign w:val="bottom"/>
          </w:tcPr>
          <w:p>
            <w:pPr>
              <w:spacing w:after="0"/>
              <w:rPr>
                <w:sz w:val="15"/>
                <w:szCs w:val="15"/>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27,653</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w w:val="99"/>
              </w:rPr>
              <w:t>MINORITY INTEREST................................</w:t>
            </w:r>
          </w:p>
        </w:tc>
        <w:tc>
          <w:tcPr>
            <w:tcW w:w="420" w:type="dxa"/>
            <w:vAlign w:val="bottom"/>
          </w:tcPr>
          <w:p>
            <w:pPr>
              <w:spacing w:after="0"/>
              <w:rPr>
                <w:sz w:val="24"/>
                <w:szCs w:val="24"/>
                <w:color w:val="auto"/>
              </w:rPr>
            </w:pPr>
          </w:p>
        </w:tc>
        <w:tc>
          <w:tcPr>
            <w:tcW w:w="10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(618)</w:t>
            </w:r>
          </w:p>
        </w:tc>
        <w:tc>
          <w:tcPr>
            <w:tcW w:w="340" w:type="dxa"/>
            <w:vAlign w:val="bottom"/>
          </w:tcPr>
          <w:p>
            <w:pPr>
              <w:spacing w:after="0"/>
              <w:rPr>
                <w:sz w:val="24"/>
                <w:szCs w:val="24"/>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(144)</w:t>
            </w:r>
          </w:p>
        </w:tc>
        <w:tc>
          <w:tcPr>
            <w:tcW w:w="380" w:type="dxa"/>
            <w:vAlign w:val="bottom"/>
          </w:tcPr>
          <w:p>
            <w:pPr>
              <w:spacing w:after="0"/>
              <w:rPr>
                <w:sz w:val="24"/>
                <w:szCs w:val="24"/>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(1,479)</w:t>
            </w:r>
          </w:p>
        </w:tc>
        <w:tc>
          <w:tcPr>
            <w:tcW w:w="280" w:type="dxa"/>
            <w:vAlign w:val="bottom"/>
          </w:tcPr>
          <w:p>
            <w:pPr>
              <w:spacing w:after="0"/>
              <w:rPr>
                <w:sz w:val="24"/>
                <w:szCs w:val="24"/>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(474)</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EQUITY IN EARNINGS (LOSS)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OF INVESTEE....................................</w:t>
            </w:r>
          </w:p>
        </w:tc>
        <w:tc>
          <w:tcPr>
            <w:tcW w:w="42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85</w:t>
            </w:r>
          </w:p>
        </w:tc>
        <w:tc>
          <w:tcPr>
            <w:tcW w:w="34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(60)</w:t>
            </w:r>
          </w:p>
        </w:tc>
        <w:tc>
          <w:tcPr>
            <w:tcW w:w="3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243</w:t>
            </w:r>
          </w:p>
        </w:tc>
        <w:tc>
          <w:tcPr>
            <w:tcW w:w="28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w:t>
            </w:r>
          </w:p>
        </w:tc>
      </w:tr>
      <w:tr>
        <w:trPr>
          <w:trHeight w:val="183"/>
        </w:trPr>
        <w:tc>
          <w:tcPr>
            <w:tcW w:w="472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w w:val="99"/>
              </w:rPr>
              <w:t>NET EARNINGS.....................................</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9,808</w:t>
            </w:r>
          </w:p>
        </w:tc>
        <w:tc>
          <w:tcPr>
            <w:tcW w:w="3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8,148</w:t>
            </w:r>
          </w:p>
        </w:tc>
        <w:tc>
          <w:tcPr>
            <w:tcW w:w="38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29,023</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27,146</w:t>
            </w:r>
          </w:p>
        </w:tc>
      </w:tr>
      <w:tr>
        <w:trPr>
          <w:trHeight w:val="183"/>
        </w:trPr>
        <w:tc>
          <w:tcPr>
            <w:tcW w:w="472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550"/>
        </w:trPr>
        <w:tc>
          <w:tcPr>
            <w:tcW w:w="4720" w:type="dxa"/>
            <w:vAlign w:val="bottom"/>
          </w:tcPr>
          <w:p>
            <w:pPr>
              <w:spacing w:after="0"/>
              <w:rPr>
                <w:sz w:val="20"/>
                <w:szCs w:val="20"/>
                <w:color w:val="auto"/>
              </w:rPr>
            </w:pPr>
            <w:r>
              <w:rPr>
                <w:rFonts w:ascii="Courier New" w:cs="Courier New" w:eastAsia="Courier New" w:hAnsi="Courier New"/>
                <w:sz w:val="16"/>
                <w:szCs w:val="16"/>
                <w:color w:val="auto"/>
                <w:w w:val="99"/>
              </w:rPr>
              <w:t>EARNINGS PER SHARE - BASIC.......................</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0.50</w:t>
            </w:r>
          </w:p>
        </w:tc>
        <w:tc>
          <w:tcPr>
            <w:tcW w:w="3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0.40</w:t>
            </w:r>
          </w:p>
        </w:tc>
        <w:tc>
          <w:tcPr>
            <w:tcW w:w="38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1.47</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1.35</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w w:val="99"/>
              </w:rPr>
              <w:t>EARNINGS PER SHARE - DILUTED.....................</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0.48</w:t>
            </w:r>
          </w:p>
        </w:tc>
        <w:tc>
          <w:tcPr>
            <w:tcW w:w="3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0.40</w:t>
            </w:r>
          </w:p>
        </w:tc>
        <w:tc>
          <w:tcPr>
            <w:tcW w:w="38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1.43</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1.32</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WEIGHTED AVERAGE SHARES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OUTSTANDING....................................</w:t>
            </w:r>
          </w:p>
        </w:tc>
        <w:tc>
          <w:tcPr>
            <w:tcW w:w="42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19,803</w:t>
            </w:r>
          </w:p>
        </w:tc>
        <w:tc>
          <w:tcPr>
            <w:tcW w:w="340" w:type="dxa"/>
            <w:vAlign w:val="bottom"/>
          </w:tcPr>
          <w:p>
            <w:pPr>
              <w:spacing w:after="0"/>
              <w:rPr>
                <w:sz w:val="15"/>
                <w:szCs w:val="15"/>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20,123</w:t>
            </w:r>
          </w:p>
        </w:tc>
        <w:tc>
          <w:tcPr>
            <w:tcW w:w="3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19,769</w:t>
            </w:r>
          </w:p>
        </w:tc>
        <w:tc>
          <w:tcPr>
            <w:tcW w:w="280" w:type="dxa"/>
            <w:vAlign w:val="bottom"/>
          </w:tcPr>
          <w:p>
            <w:pPr>
              <w:spacing w:after="0"/>
              <w:rPr>
                <w:sz w:val="15"/>
                <w:szCs w:val="15"/>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20,134</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WEIGHTED AVERAGE SHARES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OUTSTANDING WITH COMMON</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STOCK EQUIVALENTS..............................</w:t>
            </w:r>
          </w:p>
        </w:tc>
        <w:tc>
          <w:tcPr>
            <w:tcW w:w="42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20,450</w:t>
            </w:r>
          </w:p>
        </w:tc>
        <w:tc>
          <w:tcPr>
            <w:tcW w:w="340" w:type="dxa"/>
            <w:vAlign w:val="bottom"/>
          </w:tcPr>
          <w:p>
            <w:pPr>
              <w:spacing w:after="0"/>
              <w:rPr>
                <w:sz w:val="15"/>
                <w:szCs w:val="15"/>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20,481</w:t>
            </w:r>
          </w:p>
        </w:tc>
        <w:tc>
          <w:tcPr>
            <w:tcW w:w="38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20,360</w:t>
            </w:r>
          </w:p>
        </w:tc>
        <w:tc>
          <w:tcPr>
            <w:tcW w:w="280" w:type="dxa"/>
            <w:vAlign w:val="bottom"/>
          </w:tcPr>
          <w:p>
            <w:pPr>
              <w:spacing w:after="0"/>
              <w:rPr>
                <w:sz w:val="15"/>
                <w:szCs w:val="15"/>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20,502</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condensed financial statements.</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780"/>
          </w:cols>
          <w:pgMar w:left="240" w:top="1031" w:right="879" w:bottom="1440" w:gutter="0" w:footer="0" w:header="0"/>
        </w:sectPr>
      </w:pPr>
    </w:p>
    <w:bookmarkStart w:id="4" w:name="page5"/>
    <w:bookmarkEnd w:id="4"/>
    <w:p>
      <w:pPr>
        <w:jc w:val="center"/>
        <w:ind w:right="3060"/>
        <w:spacing w:after="0"/>
        <w:rPr>
          <w:sz w:val="20"/>
          <w:szCs w:val="20"/>
          <w:color w:val="auto"/>
        </w:rPr>
      </w:pPr>
      <w:r>
        <w:rPr>
          <w:rFonts w:ascii="Courier New" w:cs="Courier New" w:eastAsia="Courier New" w:hAnsi="Courier New"/>
          <w:sz w:val="16"/>
          <w:szCs w:val="16"/>
          <w:color w:val="auto"/>
        </w:rPr>
        <w:t>UNIVERSAL FOREST PRODUCTS, INC.</w:t>
      </w:r>
    </w:p>
    <w:p>
      <w:pPr>
        <w:spacing w:after="0" w:line="2"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CONSOLIDATED CONDENSED STATEMENTS OF CASH FLOWS</w:t>
      </w:r>
    </w:p>
    <w:p>
      <w:pPr>
        <w:spacing w:after="0" w:line="2"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920" w:type="dxa"/>
            <w:vAlign w:val="bottom"/>
          </w:tcPr>
          <w:p>
            <w:pPr>
              <w:jc w:val="right"/>
              <w:ind w:right="3361"/>
              <w:spacing w:after="0"/>
              <w:rPr>
                <w:sz w:val="20"/>
                <w:szCs w:val="20"/>
                <w:color w:val="auto"/>
              </w:rPr>
            </w:pPr>
            <w:r>
              <w:rPr>
                <w:rFonts w:ascii="Courier New" w:cs="Courier New" w:eastAsia="Courier New" w:hAnsi="Courier New"/>
                <w:sz w:val="16"/>
                <w:szCs w:val="16"/>
                <w:color w:val="auto"/>
              </w:rPr>
              <w:t>(in thousands)</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550"/>
        </w:trPr>
        <w:tc>
          <w:tcPr>
            <w:tcW w:w="7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Nine Months Ended</w:t>
            </w:r>
          </w:p>
        </w:tc>
      </w:tr>
      <w:tr>
        <w:trPr>
          <w:trHeight w:val="183"/>
        </w:trPr>
        <w:tc>
          <w:tcPr>
            <w:tcW w:w="7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7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Courier New" w:cs="Courier New" w:eastAsia="Courier New" w:hAnsi="Courier New"/>
                <w:sz w:val="16"/>
                <w:szCs w:val="16"/>
                <w:color w:val="auto"/>
              </w:rPr>
              <w:t>September 29,</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w w:val="97"/>
              </w:rPr>
              <w:t>September 23,</w:t>
            </w:r>
          </w:p>
        </w:tc>
      </w:tr>
      <w:tr>
        <w:trPr>
          <w:trHeight w:val="183"/>
        </w:trPr>
        <w:tc>
          <w:tcPr>
            <w:tcW w:w="7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ind w:left="480"/>
              <w:spacing w:after="0"/>
              <w:rPr>
                <w:sz w:val="20"/>
                <w:szCs w:val="20"/>
                <w:color w:val="auto"/>
              </w:rPr>
            </w:pPr>
            <w:r>
              <w:rPr>
                <w:rFonts w:ascii="Courier New" w:cs="Courier New" w:eastAsia="Courier New" w:hAnsi="Courier New"/>
                <w:sz w:val="16"/>
                <w:szCs w:val="16"/>
                <w:color w:val="auto"/>
              </w:rPr>
              <w:t>2001</w:t>
            </w:r>
          </w:p>
        </w:tc>
        <w:tc>
          <w:tcPr>
            <w:tcW w:w="1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7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79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7920" w:type="dxa"/>
            <w:vAlign w:val="bottom"/>
          </w:tcPr>
          <w:p>
            <w:pPr>
              <w:spacing w:after="0"/>
              <w:rPr>
                <w:sz w:val="20"/>
                <w:szCs w:val="20"/>
                <w:color w:val="auto"/>
              </w:rPr>
            </w:pPr>
            <w:r>
              <w:rPr>
                <w:rFonts w:ascii="Courier New" w:cs="Courier New" w:eastAsia="Courier New" w:hAnsi="Courier New"/>
                <w:sz w:val="16"/>
                <w:szCs w:val="16"/>
                <w:color w:val="auto"/>
              </w:rPr>
              <w:t>Net earnings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29,023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27,146</w:t>
            </w:r>
          </w:p>
        </w:tc>
      </w:tr>
      <w:tr>
        <w:trPr>
          <w:trHeight w:val="183"/>
        </w:trPr>
        <w:tc>
          <w:tcPr>
            <w:tcW w:w="792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earnings to net cash from operating activities:</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Depreciation.................................................................</w:t>
            </w:r>
          </w:p>
        </w:tc>
        <w:tc>
          <w:tcPr>
            <w:tcW w:w="1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14,586</w:t>
            </w:r>
          </w:p>
        </w:tc>
        <w:tc>
          <w:tcPr>
            <w:tcW w:w="1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12,361</w:t>
            </w: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Amortization of non-compete agreements and goodwill..........................</w:t>
            </w:r>
          </w:p>
        </w:tc>
        <w:tc>
          <w:tcPr>
            <w:tcW w:w="1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3,348</w:t>
            </w:r>
          </w:p>
        </w:tc>
        <w:tc>
          <w:tcPr>
            <w:tcW w:w="1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2,673</w:t>
            </w: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Loss on sale of property, plant and equipment................................</w:t>
            </w:r>
          </w:p>
        </w:tc>
        <w:tc>
          <w:tcPr>
            <w:tcW w:w="1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588</w:t>
            </w:r>
          </w:p>
        </w:tc>
        <w:tc>
          <w:tcPr>
            <w:tcW w:w="1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72</w:t>
            </w:r>
          </w:p>
        </w:tc>
      </w:tr>
      <w:tr>
        <w:trPr>
          <w:trHeight w:val="183"/>
        </w:trPr>
        <w:tc>
          <w:tcPr>
            <w:tcW w:w="7920" w:type="dxa"/>
            <w:vAlign w:val="bottom"/>
          </w:tcPr>
          <w:p>
            <w:pPr>
              <w:jc w:val="right"/>
              <w:ind w:right="6321"/>
              <w:spacing w:after="0"/>
              <w:rPr>
                <w:sz w:val="20"/>
                <w:szCs w:val="20"/>
                <w:color w:val="auto"/>
              </w:rPr>
            </w:pPr>
            <w:r>
              <w:rPr>
                <w:rFonts w:ascii="Courier New" w:cs="Courier New" w:eastAsia="Courier New" w:hAnsi="Courier New"/>
                <w:sz w:val="16"/>
                <w:szCs w:val="16"/>
                <w:color w:val="auto"/>
              </w:rPr>
              <w:t>Changes in:</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receivable........................................................</w:t>
            </w:r>
          </w:p>
        </w:tc>
        <w:tc>
          <w:tcPr>
            <w:tcW w:w="180" w:type="dxa"/>
            <w:vAlign w:val="bottom"/>
          </w:tcPr>
          <w:p>
            <w:pPr>
              <w:spacing w:after="0"/>
              <w:rPr>
                <w:sz w:val="15"/>
                <w:szCs w:val="15"/>
                <w:color w:val="auto"/>
              </w:rPr>
            </w:pP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(52,660)</w:t>
            </w:r>
          </w:p>
        </w:tc>
        <w:tc>
          <w:tcPr>
            <w:tcW w:w="14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(21,470)</w:t>
            </w: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Inventories................................................................</w:t>
            </w:r>
          </w:p>
        </w:tc>
        <w:tc>
          <w:tcPr>
            <w:tcW w:w="1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3,891</w:t>
            </w:r>
          </w:p>
        </w:tc>
        <w:tc>
          <w:tcPr>
            <w:tcW w:w="1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22,053</w:t>
            </w: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payable...........................................................</w:t>
            </w:r>
          </w:p>
        </w:tc>
        <w:tc>
          <w:tcPr>
            <w:tcW w:w="1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20,786</w:t>
            </w:r>
          </w:p>
        </w:tc>
        <w:tc>
          <w:tcPr>
            <w:tcW w:w="1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6,822</w:t>
            </w: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Accrued liabilities and other..............................................</w:t>
            </w:r>
          </w:p>
        </w:tc>
        <w:tc>
          <w:tcPr>
            <w:tcW w:w="1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15,096</w:t>
            </w:r>
          </w:p>
        </w:tc>
        <w:tc>
          <w:tcPr>
            <w:tcW w:w="1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7,901</w:t>
            </w:r>
          </w:p>
        </w:tc>
      </w:tr>
      <w:tr>
        <w:trPr>
          <w:trHeight w:val="183"/>
        </w:trPr>
        <w:tc>
          <w:tcPr>
            <w:tcW w:w="792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CASH FROM OPERATING ACTIVITIES...........................................</w:t>
            </w:r>
          </w:p>
        </w:tc>
        <w:tc>
          <w:tcPr>
            <w:tcW w:w="1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34,658</w:t>
            </w:r>
          </w:p>
        </w:tc>
        <w:tc>
          <w:tcPr>
            <w:tcW w:w="1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57,558</w:t>
            </w:r>
          </w:p>
        </w:tc>
      </w:tr>
      <w:tr>
        <w:trPr>
          <w:trHeight w:val="367"/>
        </w:trPr>
        <w:tc>
          <w:tcPr>
            <w:tcW w:w="79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Purchases of property, plant and equipment........................................</w:t>
            </w:r>
          </w:p>
        </w:tc>
        <w:tc>
          <w:tcPr>
            <w:tcW w:w="180" w:type="dxa"/>
            <w:vAlign w:val="bottom"/>
          </w:tcPr>
          <w:p>
            <w:pPr>
              <w:spacing w:after="0"/>
              <w:rPr>
                <w:sz w:val="15"/>
                <w:szCs w:val="15"/>
                <w:color w:val="auto"/>
              </w:rPr>
            </w:pP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(22,166)</w:t>
            </w:r>
          </w:p>
        </w:tc>
        <w:tc>
          <w:tcPr>
            <w:tcW w:w="14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(23,677)</w:t>
            </w: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Acquisitions, net of cash received................................................</w:t>
            </w:r>
          </w:p>
        </w:tc>
        <w:tc>
          <w:tcPr>
            <w:tcW w:w="180" w:type="dxa"/>
            <w:vAlign w:val="bottom"/>
          </w:tcPr>
          <w:p>
            <w:pPr>
              <w:spacing w:after="0"/>
              <w:rPr>
                <w:sz w:val="15"/>
                <w:szCs w:val="15"/>
                <w:color w:val="auto"/>
              </w:rPr>
            </w:pP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(21,559)</w:t>
            </w:r>
          </w:p>
        </w:tc>
        <w:tc>
          <w:tcPr>
            <w:tcW w:w="14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(32,561)</w:t>
            </w: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Proceeds from sale of property, plant and equipment...............................</w:t>
            </w:r>
          </w:p>
        </w:tc>
        <w:tc>
          <w:tcPr>
            <w:tcW w:w="1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886</w:t>
            </w:r>
          </w:p>
        </w:tc>
        <w:tc>
          <w:tcPr>
            <w:tcW w:w="1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642</w:t>
            </w: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Other.............................................................................</w:t>
            </w:r>
          </w:p>
        </w:tc>
        <w:tc>
          <w:tcPr>
            <w:tcW w:w="1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1,608</w:t>
            </w:r>
          </w:p>
        </w:tc>
        <w:tc>
          <w:tcPr>
            <w:tcW w:w="14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(816)</w:t>
            </w:r>
          </w:p>
        </w:tc>
      </w:tr>
      <w:tr>
        <w:trPr>
          <w:trHeight w:val="183"/>
        </w:trPr>
        <w:tc>
          <w:tcPr>
            <w:tcW w:w="792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CASH FROM INVESTING ACTIVITIES...........................................</w:t>
            </w:r>
          </w:p>
        </w:tc>
        <w:tc>
          <w:tcPr>
            <w:tcW w:w="180" w:type="dxa"/>
            <w:vAlign w:val="bottom"/>
          </w:tcPr>
          <w:p>
            <w:pPr>
              <w:spacing w:after="0"/>
              <w:rPr>
                <w:sz w:val="15"/>
                <w:szCs w:val="15"/>
                <w:color w:val="auto"/>
              </w:rPr>
            </w:pP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(41,231)</w:t>
            </w:r>
          </w:p>
        </w:tc>
        <w:tc>
          <w:tcPr>
            <w:tcW w:w="14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(56,412)</w:t>
            </w:r>
          </w:p>
        </w:tc>
      </w:tr>
      <w:tr>
        <w:trPr>
          <w:trHeight w:val="367"/>
        </w:trPr>
        <w:tc>
          <w:tcPr>
            <w:tcW w:w="79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Net borrowings of notes payable and revolving credit facilities...................</w:t>
            </w:r>
          </w:p>
        </w:tc>
        <w:tc>
          <w:tcPr>
            <w:tcW w:w="1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23,106</w:t>
            </w:r>
          </w:p>
        </w:tc>
        <w:tc>
          <w:tcPr>
            <w:tcW w:w="1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11,950</w:t>
            </w: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Proceeds from issuance of long-term debt..........................................</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2,118</w:t>
            </w: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Repayment of long-term debt.......................................................</w:t>
            </w:r>
          </w:p>
        </w:tc>
        <w:tc>
          <w:tcPr>
            <w:tcW w:w="180" w:type="dxa"/>
            <w:vAlign w:val="bottom"/>
          </w:tcPr>
          <w:p>
            <w:pPr>
              <w:spacing w:after="0"/>
              <w:rPr>
                <w:sz w:val="15"/>
                <w:szCs w:val="15"/>
                <w:color w:val="auto"/>
              </w:rPr>
            </w:pP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(9,838)</w:t>
            </w:r>
          </w:p>
        </w:tc>
        <w:tc>
          <w:tcPr>
            <w:tcW w:w="14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(7,535)</w:t>
            </w: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Proceeds from issuance of common stock............................................</w:t>
            </w:r>
          </w:p>
        </w:tc>
        <w:tc>
          <w:tcPr>
            <w:tcW w:w="1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827</w:t>
            </w:r>
          </w:p>
        </w:tc>
        <w:tc>
          <w:tcPr>
            <w:tcW w:w="1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431</w:t>
            </w: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Distributions to minority shareholder.............................................</w:t>
            </w:r>
          </w:p>
        </w:tc>
        <w:tc>
          <w:tcPr>
            <w:tcW w:w="180" w:type="dxa"/>
            <w:vAlign w:val="bottom"/>
          </w:tcPr>
          <w:p>
            <w:pPr>
              <w:spacing w:after="0"/>
              <w:rPr>
                <w:sz w:val="15"/>
                <w:szCs w:val="15"/>
                <w:color w:val="auto"/>
              </w:rPr>
            </w:pP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(1,275)</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Dividends paid to shareholders....................................................</w:t>
            </w:r>
          </w:p>
        </w:tc>
        <w:tc>
          <w:tcPr>
            <w:tcW w:w="180" w:type="dxa"/>
            <w:vAlign w:val="bottom"/>
          </w:tcPr>
          <w:p>
            <w:pPr>
              <w:spacing w:after="0"/>
              <w:rPr>
                <w:sz w:val="15"/>
                <w:szCs w:val="15"/>
                <w:color w:val="auto"/>
              </w:rPr>
            </w:pP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(792)</w:t>
            </w:r>
          </w:p>
        </w:tc>
        <w:tc>
          <w:tcPr>
            <w:tcW w:w="14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(808)</w:t>
            </w: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Repurchase of common stock........................................................</w:t>
            </w:r>
          </w:p>
        </w:tc>
        <w:tc>
          <w:tcPr>
            <w:tcW w:w="180" w:type="dxa"/>
            <w:vAlign w:val="bottom"/>
          </w:tcPr>
          <w:p>
            <w:pPr>
              <w:spacing w:after="0"/>
              <w:rPr>
                <w:sz w:val="15"/>
                <w:szCs w:val="15"/>
                <w:color w:val="auto"/>
              </w:rPr>
            </w:pP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(1,537)</w:t>
            </w:r>
          </w:p>
        </w:tc>
        <w:tc>
          <w:tcPr>
            <w:tcW w:w="14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(3,628)</w:t>
            </w:r>
          </w:p>
        </w:tc>
      </w:tr>
      <w:tr>
        <w:trPr>
          <w:trHeight w:val="183"/>
        </w:trPr>
        <w:tc>
          <w:tcPr>
            <w:tcW w:w="792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CASH FROM FINANCING ACTIVITIES...........................................</w:t>
            </w:r>
          </w:p>
        </w:tc>
        <w:tc>
          <w:tcPr>
            <w:tcW w:w="1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10,491</w:t>
            </w:r>
          </w:p>
        </w:tc>
        <w:tc>
          <w:tcPr>
            <w:tcW w:w="1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2,528</w:t>
            </w:r>
          </w:p>
        </w:tc>
      </w:tr>
      <w:tr>
        <w:trPr>
          <w:trHeight w:val="183"/>
        </w:trPr>
        <w:tc>
          <w:tcPr>
            <w:tcW w:w="792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NET CHANGE IN CASH AND CASH EQUIVALENTS...........................................</w:t>
            </w:r>
          </w:p>
        </w:tc>
        <w:tc>
          <w:tcPr>
            <w:tcW w:w="180" w:type="dxa"/>
            <w:vAlign w:val="bottom"/>
          </w:tcPr>
          <w:p>
            <w:pPr>
              <w:spacing w:after="0"/>
              <w:rPr>
                <w:sz w:val="24"/>
                <w:szCs w:val="24"/>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3,918</w:t>
            </w:r>
          </w:p>
        </w:tc>
        <w:tc>
          <w:tcPr>
            <w:tcW w:w="140" w:type="dxa"/>
            <w:vAlign w:val="bottom"/>
          </w:tcPr>
          <w:p>
            <w:pPr>
              <w:spacing w:after="0"/>
              <w:rPr>
                <w:sz w:val="24"/>
                <w:szCs w:val="24"/>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3,674</w:t>
            </w:r>
          </w:p>
        </w:tc>
      </w:tr>
      <w:tr>
        <w:trPr>
          <w:trHeight w:val="367"/>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CASH AND CASH EQUIVALENTS, BEGINNING OF YEAR......................................</w:t>
            </w:r>
          </w:p>
        </w:tc>
        <w:tc>
          <w:tcPr>
            <w:tcW w:w="180" w:type="dxa"/>
            <w:vAlign w:val="bottom"/>
          </w:tcPr>
          <w:p>
            <w:pPr>
              <w:spacing w:after="0"/>
              <w:rPr>
                <w:sz w:val="24"/>
                <w:szCs w:val="24"/>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2,392</w:t>
            </w:r>
          </w:p>
        </w:tc>
        <w:tc>
          <w:tcPr>
            <w:tcW w:w="140" w:type="dxa"/>
            <w:vAlign w:val="bottom"/>
          </w:tcPr>
          <w:p>
            <w:pPr>
              <w:spacing w:after="0"/>
              <w:rPr>
                <w:sz w:val="24"/>
                <w:szCs w:val="24"/>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4,106</w:t>
            </w:r>
          </w:p>
        </w:tc>
      </w:tr>
      <w:tr>
        <w:trPr>
          <w:trHeight w:val="183"/>
        </w:trPr>
        <w:tc>
          <w:tcPr>
            <w:tcW w:w="792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CASH AND CASH EQUIVALENTS, END OF PERIOD..........................................</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6,310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7,780</w:t>
            </w:r>
          </w:p>
        </w:tc>
      </w:tr>
      <w:tr>
        <w:trPr>
          <w:trHeight w:val="183"/>
        </w:trPr>
        <w:tc>
          <w:tcPr>
            <w:tcW w:w="792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7920" w:type="dxa"/>
            <w:vAlign w:val="bottom"/>
          </w:tcPr>
          <w:p>
            <w:pPr>
              <w:spacing w:after="0"/>
              <w:rPr>
                <w:sz w:val="20"/>
                <w:szCs w:val="20"/>
                <w:color w:val="auto"/>
              </w:rPr>
            </w:pPr>
            <w:r>
              <w:rPr>
                <w:rFonts w:ascii="Courier New" w:cs="Courier New" w:eastAsia="Courier New" w:hAnsi="Courier New"/>
                <w:sz w:val="16"/>
                <w:szCs w:val="16"/>
                <w:color w:val="auto"/>
              </w:rPr>
              <w:t>SUPPLEMENTAL SCHEDULE OF CASH FLOW INFORMATION:</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7920" w:type="dxa"/>
            <w:vAlign w:val="bottom"/>
          </w:tcPr>
          <w:p>
            <w:pPr>
              <w:spacing w:after="0"/>
              <w:rPr>
                <w:sz w:val="20"/>
                <w:szCs w:val="20"/>
                <w:color w:val="auto"/>
              </w:rPr>
            </w:pPr>
            <w:r>
              <w:rPr>
                <w:rFonts w:ascii="Courier New" w:cs="Courier New" w:eastAsia="Courier New" w:hAnsi="Courier New"/>
                <w:sz w:val="16"/>
                <w:szCs w:val="16"/>
                <w:color w:val="auto"/>
              </w:rPr>
              <w:t>Cash paid during the period for:</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Interest.....................................................................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7,590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7,776</w:t>
            </w: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Income taxes.................................................................</w:t>
            </w:r>
          </w:p>
        </w:tc>
        <w:tc>
          <w:tcPr>
            <w:tcW w:w="1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9,169</w:t>
            </w:r>
          </w:p>
        </w:tc>
        <w:tc>
          <w:tcPr>
            <w:tcW w:w="1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7,624</w:t>
            </w:r>
          </w:p>
        </w:tc>
      </w:tr>
      <w:tr>
        <w:trPr>
          <w:trHeight w:val="367"/>
        </w:trPr>
        <w:tc>
          <w:tcPr>
            <w:tcW w:w="7920" w:type="dxa"/>
            <w:vAlign w:val="bottom"/>
          </w:tcPr>
          <w:p>
            <w:pPr>
              <w:spacing w:after="0"/>
              <w:rPr>
                <w:sz w:val="20"/>
                <w:szCs w:val="20"/>
                <w:color w:val="auto"/>
              </w:rPr>
            </w:pPr>
            <w:r>
              <w:rPr>
                <w:rFonts w:ascii="Courier New" w:cs="Courier New" w:eastAsia="Courier New" w:hAnsi="Courier New"/>
                <w:sz w:val="16"/>
                <w:szCs w:val="16"/>
                <w:color w:val="auto"/>
              </w:rPr>
              <w:t>NON-CASH FINANCING ACTIVITIES: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Property, plant and equipment acquired through capital leases.....................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220</w:t>
            </w:r>
          </w:p>
        </w:tc>
      </w:tr>
      <w:tr>
        <w:trPr>
          <w:trHeight w:val="367"/>
        </w:trPr>
        <w:tc>
          <w:tcPr>
            <w:tcW w:w="7920" w:type="dxa"/>
            <w:vAlign w:val="bottom"/>
          </w:tcPr>
          <w:p>
            <w:pPr>
              <w:spacing w:after="0"/>
              <w:rPr>
                <w:sz w:val="20"/>
                <w:szCs w:val="20"/>
                <w:color w:val="auto"/>
              </w:rPr>
            </w:pPr>
            <w:r>
              <w:rPr>
                <w:rFonts w:ascii="Courier New" w:cs="Courier New" w:eastAsia="Courier New" w:hAnsi="Courier New"/>
                <w:sz w:val="16"/>
                <w:szCs w:val="16"/>
                <w:color w:val="auto"/>
              </w:rPr>
              <w:t>NON-CASH INVESTING ACTIVITIES: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7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Stock exchanged for note receivable...............................................</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801</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condensed financial statements.</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780"/>
          </w:cols>
          <w:pgMar w:left="240" w:top="1031" w:right="879" w:bottom="1440" w:gutter="0" w:footer="0" w:header="0"/>
        </w:sectPr>
      </w:pPr>
    </w:p>
    <w:bookmarkStart w:id="5" w:name="page6"/>
    <w:bookmarkEnd w:id="5"/>
    <w:p>
      <w:pPr>
        <w:jc w:val="center"/>
        <w:ind w:right="2497"/>
        <w:spacing w:after="0"/>
        <w:rPr>
          <w:sz w:val="20"/>
          <w:szCs w:val="20"/>
          <w:color w:val="auto"/>
        </w:rPr>
      </w:pPr>
      <w:r>
        <w:rPr>
          <w:rFonts w:ascii="Courier New" w:cs="Courier New" w:eastAsia="Courier New" w:hAnsi="Courier New"/>
          <w:sz w:val="16"/>
          <w:szCs w:val="16"/>
          <w:color w:val="auto"/>
        </w:rPr>
        <w:t>UNIVERSAL FOREST PRODUCTS, INC.</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NOTES TO CONSOLIDATED CONDENSED FINANCIAL STATEMENTS</w:t>
      </w:r>
    </w:p>
    <w:p>
      <w:pPr>
        <w:spacing w:after="0" w:line="2"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(Unaudited)</w:t>
      </w:r>
    </w:p>
    <w:p>
      <w:pPr>
        <w:spacing w:after="0" w:line="369" w:lineRule="exact"/>
        <w:rPr>
          <w:sz w:val="20"/>
          <w:szCs w:val="20"/>
          <w:color w:val="auto"/>
        </w:rPr>
      </w:pPr>
    </w:p>
    <w:p>
      <w:pPr>
        <w:ind w:left="662" w:hanging="662"/>
        <w:spacing w:after="0"/>
        <w:tabs>
          <w:tab w:leader="none" w:pos="66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88" w:lineRule="exact"/>
        <w:rPr>
          <w:rFonts w:ascii="Courier New" w:cs="Courier New" w:eastAsia="Courier New" w:hAnsi="Courier New"/>
          <w:sz w:val="16"/>
          <w:szCs w:val="16"/>
          <w:color w:val="auto"/>
        </w:rPr>
      </w:pPr>
    </w:p>
    <w:p>
      <w:pPr>
        <w:ind w:left="662" w:right="27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unaudited interim consolidated condensed financial statements (the "Financial Statements") of Universal Forest Products, Inc. and its wholly-owned and majority-owned subsidiaries and partnerships (together, the "Company"),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generally accepted accounting principles. All significant intercompany transactions and balances have been eliminated. The equity method of accounting has been used for our less than 50% owned affiliates.</w:t>
      </w:r>
    </w:p>
    <w:p>
      <w:pPr>
        <w:spacing w:after="0" w:line="190" w:lineRule="exact"/>
        <w:rPr>
          <w:rFonts w:ascii="Courier New" w:cs="Courier New" w:eastAsia="Courier New" w:hAnsi="Courier New"/>
          <w:sz w:val="16"/>
          <w:szCs w:val="16"/>
          <w:color w:val="auto"/>
        </w:rPr>
      </w:pPr>
    </w:p>
    <w:p>
      <w:pPr>
        <w:ind w:left="66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management's opinion, the Financial Statements contain all material adjustments necessary to present fairly the consolidated financial position, results of operations and cash flows of the Company for the interim periods presented. All such adjustments are of a normal recurring nature. These Financial Statements should be read in conjunction with the consolidated financial statements, and footnotes thereto, included in the Company's Annual Report to Shareholders on Form 10-K for the fiscal year ended December 30, 2000.</w:t>
      </w:r>
    </w:p>
    <w:p>
      <w:pPr>
        <w:spacing w:after="0" w:line="188" w:lineRule="exact"/>
        <w:rPr>
          <w:rFonts w:ascii="Courier New" w:cs="Courier New" w:eastAsia="Courier New" w:hAnsi="Courier New"/>
          <w:sz w:val="16"/>
          <w:szCs w:val="16"/>
          <w:color w:val="auto"/>
        </w:rPr>
      </w:pPr>
    </w:p>
    <w:p>
      <w:pPr>
        <w:ind w:left="662" w:right="26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to the Financial Statements for 2000 to conform to the classifications used in 2001.</w:t>
      </w:r>
    </w:p>
    <w:p>
      <w:pPr>
        <w:spacing w:after="0" w:line="186" w:lineRule="exact"/>
        <w:rPr>
          <w:rFonts w:ascii="Courier New" w:cs="Courier New" w:eastAsia="Courier New" w:hAnsi="Courier New"/>
          <w:sz w:val="16"/>
          <w:szCs w:val="16"/>
          <w:color w:val="auto"/>
        </w:rPr>
      </w:pPr>
    </w:p>
    <w:p>
      <w:pPr>
        <w:ind w:left="662" w:hanging="662"/>
        <w:spacing w:after="0"/>
        <w:tabs>
          <w:tab w:leader="none" w:pos="66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w:t>
      </w:r>
    </w:p>
    <w:p>
      <w:pPr>
        <w:spacing w:after="0" w:line="188" w:lineRule="exact"/>
        <w:rPr>
          <w:rFonts w:ascii="Courier New" w:cs="Courier New" w:eastAsia="Courier New" w:hAnsi="Courier New"/>
          <w:sz w:val="16"/>
          <w:szCs w:val="16"/>
          <w:color w:val="auto"/>
        </w:rPr>
      </w:pPr>
    </w:p>
    <w:p>
      <w:pPr>
        <w:ind w:left="662"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 consists of net income and foreign currency translation adjustments. Comprehensive income was approximately $9.7 million and $8.1 million for the quarters ended September 29, 2001 and September 23, 2000, respectively. During the nine months ended September 29, 2001 and September 23, 2000, comprehensive income was approximately $28.9 million and $27.3 million, respectively.</w:t>
      </w:r>
    </w:p>
    <w:p>
      <w:pPr>
        <w:spacing w:after="0" w:line="184" w:lineRule="exact"/>
        <w:rPr>
          <w:rFonts w:ascii="Courier New" w:cs="Courier New" w:eastAsia="Courier New" w:hAnsi="Courier New"/>
          <w:sz w:val="16"/>
          <w:szCs w:val="16"/>
          <w:color w:val="auto"/>
        </w:rPr>
      </w:pPr>
    </w:p>
    <w:p>
      <w:pPr>
        <w:ind w:left="662" w:hanging="662"/>
        <w:spacing w:after="0"/>
        <w:tabs>
          <w:tab w:leader="none" w:pos="66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w:t>
      </w:r>
    </w:p>
    <w:p>
      <w:pPr>
        <w:spacing w:after="0" w:line="188" w:lineRule="exact"/>
        <w:rPr>
          <w:rFonts w:ascii="Courier New" w:cs="Courier New" w:eastAsia="Courier New" w:hAnsi="Courier New"/>
          <w:sz w:val="16"/>
          <w:szCs w:val="16"/>
          <w:color w:val="auto"/>
        </w:rPr>
      </w:pPr>
    </w:p>
    <w:p>
      <w:pPr>
        <w:ind w:left="662" w:right="25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 reconciliation of the changes in the numerator and the denominator from the calculation of basic EPS to the calculation of diluted EPS follows (in thousands, except per share data):</w:t>
      </w:r>
    </w:p>
    <w:p>
      <w:pPr>
        <w:spacing w:after="0" w:line="200" w:lineRule="exact"/>
        <w:rPr>
          <w:sz w:val="20"/>
          <w:szCs w:val="20"/>
          <w:color w:val="auto"/>
        </w:rPr>
      </w:pPr>
    </w:p>
    <w:p>
      <w:pPr>
        <w:spacing w:after="0" w:line="354"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8" w:top="665" w:right="1440" w:bottom="1440" w:gutter="0" w:footer="0" w:header="0"/>
        </w:sectPr>
      </w:pPr>
    </w:p>
    <w:bookmarkStart w:id="6" w:name="page7"/>
    <w:bookmarkEnd w:id="6"/>
    <w:p>
      <w:pPr>
        <w:jc w:val="center"/>
        <w:ind w:right="2958"/>
        <w:spacing w:after="0"/>
        <w:rPr>
          <w:sz w:val="20"/>
          <w:szCs w:val="20"/>
          <w:color w:val="auto"/>
        </w:rPr>
      </w:pPr>
      <w:r>
        <w:rPr>
          <w:rFonts w:ascii="Courier New" w:cs="Courier New" w:eastAsia="Courier New" w:hAnsi="Courier New"/>
          <w:sz w:val="16"/>
          <w:szCs w:val="16"/>
          <w:color w:val="auto"/>
        </w:rPr>
        <w:t>UNIVERSAL FOREST PRODUCTS, INC.</w:t>
      </w:r>
    </w:p>
    <w:p>
      <w:pPr>
        <w:spacing w:after="0" w:line="5" w:lineRule="exact"/>
        <w:rPr>
          <w:sz w:val="20"/>
          <w:szCs w:val="20"/>
          <w:color w:val="auto"/>
        </w:rPr>
      </w:pPr>
    </w:p>
    <w:p>
      <w:pPr>
        <w:jc w:val="center"/>
        <w:ind w:right="3058"/>
        <w:spacing w:after="0"/>
        <w:rPr>
          <w:sz w:val="20"/>
          <w:szCs w:val="20"/>
          <w:color w:val="auto"/>
        </w:rPr>
      </w:pPr>
      <w:r>
        <w:rPr>
          <w:rFonts w:ascii="Courier New" w:cs="Courier New" w:eastAsia="Courier New" w:hAnsi="Courier New"/>
          <w:sz w:val="15"/>
          <w:szCs w:val="15"/>
          <w:color w:val="auto"/>
        </w:rPr>
        <w:t>NOTES TO CONSOLIDATED CONDENSED FINANCIAL STATEMENTS - CONTINUED</w:t>
      </w:r>
    </w:p>
    <w:p>
      <w:pPr>
        <w:sectPr>
          <w:pgSz w:w="11900" w:h="16838" w:orient="portrait"/>
          <w:cols w:equalWidth="0" w:num="1">
            <w:col w:w="10682"/>
          </w:cols>
          <w:pgMar w:left="238" w:top="848"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902"/>
        <w:spacing w:after="0"/>
        <w:rPr>
          <w:sz w:val="20"/>
          <w:szCs w:val="20"/>
          <w:color w:val="auto"/>
        </w:rPr>
      </w:pPr>
      <w:r>
        <w:rPr>
          <w:rFonts w:ascii="Courier New" w:cs="Courier New" w:eastAsia="Courier New" w:hAnsi="Courier New"/>
          <w:sz w:val="16"/>
          <w:szCs w:val="16"/>
          <w:color w:val="auto"/>
        </w:rPr>
        <w:t>Three Months Ended 09/29/01</w:t>
      </w:r>
    </w:p>
    <w:p>
      <w:pPr>
        <w:spacing w:after="0" w:line="2"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6302"/>
        <w:spacing w:after="0"/>
        <w:rPr>
          <w:sz w:val="20"/>
          <w:szCs w:val="20"/>
          <w:color w:val="auto"/>
        </w:rPr>
      </w:pPr>
      <w:r>
        <w:rPr>
          <w:rFonts w:ascii="Courier New" w:cs="Courier New" w:eastAsia="Courier New" w:hAnsi="Courier New"/>
          <w:sz w:val="16"/>
          <w:szCs w:val="16"/>
          <w:color w:val="auto"/>
        </w:rPr>
        <w:t>Per</w:t>
      </w:r>
    </w:p>
    <w:p>
      <w:pPr>
        <w:spacing w:after="0" w:line="2" w:lineRule="exact"/>
        <w:rPr>
          <w:sz w:val="20"/>
          <w:szCs w:val="20"/>
          <w:color w:val="auto"/>
        </w:rPr>
      </w:pPr>
    </w:p>
    <w:p>
      <w:pPr>
        <w:ind w:left="3822"/>
        <w:spacing w:after="0"/>
        <w:tabs>
          <w:tab w:leader="none" w:pos="5122" w:val="left"/>
          <w:tab w:leader="none" w:pos="6182" w:val="left"/>
        </w:tabs>
        <w:rPr>
          <w:sz w:val="20"/>
          <w:szCs w:val="20"/>
          <w:color w:val="auto"/>
        </w:rPr>
      </w:pPr>
      <w:r>
        <w:rPr>
          <w:rFonts w:ascii="Courier New" w:cs="Courier New" w:eastAsia="Courier New" w:hAnsi="Courier New"/>
          <w:sz w:val="16"/>
          <w:szCs w:val="16"/>
          <w:color w:val="auto"/>
        </w:rPr>
        <w:t>Income</w:t>
      </w:r>
      <w:r>
        <w:rPr>
          <w:sz w:val="20"/>
          <w:szCs w:val="20"/>
          <w:color w:val="auto"/>
        </w:rPr>
        <w:tab/>
      </w: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Share</w:t>
      </w:r>
    </w:p>
    <w:p>
      <w:pPr>
        <w:spacing w:after="0" w:line="2" w:lineRule="exact"/>
        <w:rPr>
          <w:sz w:val="20"/>
          <w:szCs w:val="20"/>
          <w:color w:val="auto"/>
        </w:rPr>
      </w:pPr>
    </w:p>
    <w:p>
      <w:pPr>
        <w:ind w:left="3622"/>
        <w:spacing w:after="0"/>
        <w:tabs>
          <w:tab w:leader="none" w:pos="6182" w:val="left"/>
        </w:tabs>
        <w:rPr>
          <w:sz w:val="20"/>
          <w:szCs w:val="20"/>
          <w:color w:val="auto"/>
        </w:rPr>
      </w:pPr>
      <w:r>
        <w:rPr>
          <w:rFonts w:ascii="Courier New" w:cs="Courier New" w:eastAsia="Courier New" w:hAnsi="Courier New"/>
          <w:sz w:val="16"/>
          <w:szCs w:val="16"/>
          <w:color w:val="auto"/>
        </w:rPr>
        <w:t>(Numerator) (Denominator)</w:t>
      </w:r>
      <w:r>
        <w:rPr>
          <w:sz w:val="20"/>
          <w:szCs w:val="20"/>
          <w:color w:val="auto"/>
        </w:rPr>
        <w:tab/>
      </w:r>
      <w:r>
        <w:rPr>
          <w:rFonts w:ascii="Courier New" w:cs="Courier New" w:eastAsia="Courier New" w:hAnsi="Courier New"/>
          <w:sz w:val="15"/>
          <w:szCs w:val="15"/>
          <w:color w:val="auto"/>
        </w:rPr>
        <w:t>Amount</w:t>
      </w:r>
    </w:p>
    <w:p>
      <w:pPr>
        <w:spacing w:after="0" w:line="5" w:lineRule="exact"/>
        <w:rPr>
          <w:sz w:val="20"/>
          <w:szCs w:val="20"/>
          <w:color w:val="auto"/>
        </w:rPr>
      </w:pPr>
    </w:p>
    <w:p>
      <w:pPr>
        <w:ind w:left="3622"/>
        <w:spacing w:after="0"/>
        <w:rPr>
          <w:sz w:val="20"/>
          <w:szCs w:val="20"/>
          <w:color w:val="auto"/>
        </w:rPr>
      </w:pPr>
      <w:r>
        <w:rPr>
          <w:rFonts w:ascii="Courier New" w:cs="Courier New" w:eastAsia="Courier New" w:hAnsi="Courier New"/>
          <w:sz w:val="15"/>
          <w:szCs w:val="15"/>
          <w:color w:val="auto"/>
        </w:rPr>
        <w: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Three Months Ended 09/23/00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Per</w:t>
      </w:r>
    </w:p>
    <w:p>
      <w:pPr>
        <w:spacing w:after="0" w:line="2" w:lineRule="exact"/>
        <w:rPr>
          <w:sz w:val="20"/>
          <w:szCs w:val="20"/>
          <w:color w:val="auto"/>
        </w:rPr>
      </w:pPr>
    </w:p>
    <w:p>
      <w:pPr>
        <w:ind w:left="380"/>
        <w:spacing w:after="0"/>
        <w:tabs>
          <w:tab w:leader="none" w:pos="1600" w:val="left"/>
          <w:tab w:leader="none" w:pos="2740" w:val="left"/>
        </w:tabs>
        <w:rPr>
          <w:sz w:val="20"/>
          <w:szCs w:val="20"/>
          <w:color w:val="auto"/>
        </w:rPr>
      </w:pPr>
      <w:r>
        <w:rPr>
          <w:rFonts w:ascii="Courier New" w:cs="Courier New" w:eastAsia="Courier New" w:hAnsi="Courier New"/>
          <w:sz w:val="16"/>
          <w:szCs w:val="16"/>
          <w:color w:val="auto"/>
        </w:rPr>
        <w:t>Income</w:t>
      </w:r>
      <w:r>
        <w:rPr>
          <w:sz w:val="20"/>
          <w:szCs w:val="20"/>
          <w:color w:val="auto"/>
        </w:rPr>
        <w:tab/>
      </w: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Share</w:t>
      </w:r>
    </w:p>
    <w:p>
      <w:pPr>
        <w:spacing w:after="0" w:line="2" w:lineRule="exact"/>
        <w:rPr>
          <w:sz w:val="20"/>
          <w:szCs w:val="20"/>
          <w:color w:val="auto"/>
        </w:rPr>
      </w:pPr>
    </w:p>
    <w:p>
      <w:pPr>
        <w:ind w:left="200"/>
        <w:spacing w:after="0"/>
        <w:tabs>
          <w:tab w:leader="none" w:pos="2740" w:val="left"/>
        </w:tabs>
        <w:rPr>
          <w:sz w:val="20"/>
          <w:szCs w:val="20"/>
          <w:color w:val="auto"/>
        </w:rPr>
      </w:pPr>
      <w:r>
        <w:rPr>
          <w:rFonts w:ascii="Courier New" w:cs="Courier New" w:eastAsia="Courier New" w:hAnsi="Courier New"/>
          <w:sz w:val="16"/>
          <w:szCs w:val="16"/>
          <w:color w:val="auto"/>
        </w:rPr>
        <w:t>(Numerator) (Denominator)</w:t>
        <w:tab/>
        <w:t>Amount</w:t>
      </w:r>
    </w:p>
    <w:p>
      <w:pPr>
        <w:spacing w:after="0" w:line="2" w:lineRule="exact"/>
        <w:rPr>
          <w:sz w:val="20"/>
          <w:szCs w:val="20"/>
          <w:color w:val="auto"/>
        </w:rPr>
      </w:pPr>
    </w:p>
    <w:p>
      <w:pPr>
        <w:ind w:left="200"/>
        <w:spacing w:after="0"/>
        <w:tabs>
          <w:tab w:leader="none" w:pos="1420" w:val="left"/>
          <w:tab w:leader="none" w:pos="2740" w:val="left"/>
        </w:tabs>
        <w:rPr>
          <w:sz w:val="20"/>
          <w:szCs w:val="20"/>
          <w:color w:val="auto"/>
        </w:rPr>
      </w:pPr>
      <w:r>
        <w:rPr>
          <w:rFonts w:ascii="Courier New" w:cs="Courier New" w:eastAsia="Courier New" w:hAnsi="Courier New"/>
          <w:sz w:val="16"/>
          <w:szCs w:val="16"/>
          <w:color w:val="auto"/>
        </w:rPr>
        <w:t>-----------</w:t>
        <w:tab/>
        <w:t>------------</w:t>
        <w:tab/>
        <w:t>------</w:t>
      </w:r>
    </w:p>
    <w:p>
      <w:pPr>
        <w:spacing w:after="0" w:line="200" w:lineRule="exact"/>
        <w:rPr>
          <w:sz w:val="20"/>
          <w:szCs w:val="20"/>
          <w:color w:val="auto"/>
        </w:rPr>
      </w:pPr>
    </w:p>
    <w:p>
      <w:pPr>
        <w:sectPr>
          <w:pgSz w:w="11900" w:h="16838" w:orient="portrait"/>
          <w:cols w:equalWidth="0" w:num="2">
            <w:col w:w="6862" w:space="480"/>
            <w:col w:w="3340"/>
          </w:cols>
          <w:pgMar w:left="238" w:top="848" w:right="979" w:bottom="1440" w:gutter="0" w:footer="0" w:header="0"/>
          <w:type w:val="continuous"/>
        </w:sectPr>
      </w:pPr>
    </w:p>
    <w:p>
      <w:pPr>
        <w:spacing w:after="0" w:line="172" w:lineRule="exact"/>
        <w:rPr>
          <w:sz w:val="20"/>
          <w:szCs w:val="20"/>
          <w:color w:val="auto"/>
        </w:rPr>
      </w:pPr>
    </w:p>
    <w:p>
      <w:pPr>
        <w:ind w:left="662"/>
        <w:spacing w:after="0"/>
        <w:rPr>
          <w:sz w:val="20"/>
          <w:szCs w:val="20"/>
          <w:color w:val="auto"/>
        </w:rPr>
      </w:pPr>
      <w:r>
        <w:rPr>
          <w:rFonts w:ascii="Courier New" w:cs="Courier New" w:eastAsia="Courier New" w:hAnsi="Courier New"/>
          <w:sz w:val="15"/>
          <w:szCs w:val="15"/>
          <w:color w:val="auto"/>
        </w:rPr>
        <w:t>NET EARNINGS...................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9,808</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6"/>
          <w:szCs w:val="16"/>
          <w:color w:val="auto"/>
        </w:rPr>
        <w:t>$</w:t>
        <w:tab/>
        <w:t>8,148</w:t>
      </w:r>
    </w:p>
    <w:p>
      <w:pPr>
        <w:spacing w:after="0" w:line="200" w:lineRule="exact"/>
        <w:rPr>
          <w:sz w:val="20"/>
          <w:szCs w:val="20"/>
          <w:color w:val="auto"/>
        </w:rPr>
      </w:pPr>
    </w:p>
    <w:p>
      <w:pPr>
        <w:sectPr>
          <w:pgSz w:w="11900" w:h="16838" w:orient="portrait"/>
          <w:cols w:equalWidth="0" w:num="4">
            <w:col w:w="3622" w:space="200"/>
            <w:col w:w="80" w:space="200"/>
            <w:col w:w="2620" w:space="720"/>
            <w:col w:w="3240"/>
          </w:cols>
          <w:pgMar w:left="238" w:top="848" w:right="979" w:bottom="1440" w:gutter="0" w:footer="0" w:header="0"/>
          <w:type w:val="continuous"/>
        </w:sectPr>
      </w:pPr>
    </w:p>
    <w:p>
      <w:pPr>
        <w:spacing w:after="0" w:line="169"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EPS - BASIC</w:t>
      </w:r>
    </w:p>
    <w:p>
      <w:pPr>
        <w:spacing w:after="0" w:line="5" w:lineRule="exact"/>
        <w:rPr>
          <w:sz w:val="20"/>
          <w:szCs w:val="20"/>
          <w:color w:val="auto"/>
        </w:rPr>
      </w:pPr>
    </w:p>
    <w:p>
      <w:pPr>
        <w:ind w:left="662"/>
        <w:spacing w:after="0"/>
        <w:rPr>
          <w:sz w:val="20"/>
          <w:szCs w:val="20"/>
          <w:color w:val="auto"/>
        </w:rPr>
      </w:pPr>
      <w:r>
        <w:rPr>
          <w:rFonts w:ascii="Courier New" w:cs="Courier New" w:eastAsia="Courier New" w:hAnsi="Courier New"/>
          <w:sz w:val="15"/>
          <w:szCs w:val="15"/>
          <w:color w:val="auto"/>
        </w:rPr>
        <w:t>Income available to</w:t>
      </w:r>
    </w:p>
    <w:p>
      <w:pPr>
        <w:sectPr>
          <w:pgSz w:w="11900" w:h="16838" w:orient="portrait"/>
          <w:cols w:equalWidth="0" w:num="1">
            <w:col w:w="10682"/>
          </w:cols>
          <w:pgMar w:left="238" w:top="848" w:right="979" w:bottom="1440" w:gutter="0" w:footer="0" w:header="0"/>
          <w:type w:val="continuous"/>
        </w:sectPr>
      </w:pPr>
    </w:p>
    <w:p>
      <w:pPr>
        <w:spacing w:after="0" w:line="13" w:lineRule="exact"/>
        <w:rPr>
          <w:sz w:val="20"/>
          <w:szCs w:val="20"/>
          <w:color w:val="auto"/>
        </w:rPr>
      </w:pPr>
    </w:p>
    <w:p>
      <w:pPr>
        <w:ind w:left="862"/>
        <w:spacing w:after="0"/>
        <w:rPr>
          <w:sz w:val="20"/>
          <w:szCs w:val="20"/>
          <w:color w:val="auto"/>
        </w:rPr>
      </w:pPr>
      <w:r>
        <w:rPr>
          <w:rFonts w:ascii="Courier New" w:cs="Courier New" w:eastAsia="Courier New" w:hAnsi="Courier New"/>
          <w:sz w:val="15"/>
          <w:szCs w:val="15"/>
          <w:color w:val="auto"/>
        </w:rPr>
        <w:t>common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9,808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19,803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$0.50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8,148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20,123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$0.40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7">
            <w:col w:w="3622" w:space="480"/>
            <w:col w:w="520" w:space="720"/>
            <w:col w:w="580" w:space="460"/>
            <w:col w:w="720" w:space="720"/>
            <w:col w:w="480" w:space="660"/>
            <w:col w:w="580" w:space="560"/>
            <w:col w:w="580"/>
          </w:cols>
          <w:pgMar w:left="238" w:top="848" w:right="979" w:bottom="1440" w:gutter="0" w:footer="0" w:header="0"/>
          <w:type w:val="continuous"/>
        </w:sectPr>
      </w:pPr>
    </w:p>
    <w:p>
      <w:pPr>
        <w:spacing w:after="0" w:line="172" w:lineRule="exact"/>
        <w:rPr>
          <w:sz w:val="20"/>
          <w:szCs w:val="20"/>
          <w:color w:val="auto"/>
        </w:rPr>
      </w:pPr>
    </w:p>
    <w:p>
      <w:pPr>
        <w:ind w:left="662"/>
        <w:spacing w:after="0"/>
        <w:rPr>
          <w:sz w:val="20"/>
          <w:szCs w:val="20"/>
          <w:color w:val="auto"/>
        </w:rPr>
      </w:pPr>
      <w:r>
        <w:rPr>
          <w:rFonts w:ascii="Courier New" w:cs="Courier New" w:eastAsia="Courier New" w:hAnsi="Courier New"/>
          <w:sz w:val="15"/>
          <w:szCs w:val="15"/>
          <w:color w:val="auto"/>
        </w:rPr>
        <w:t>EFFECT OF DILUTIVE SECURITIES</w:t>
      </w:r>
    </w:p>
    <w:p>
      <w:pPr>
        <w:sectPr>
          <w:pgSz w:w="11900" w:h="16838" w:orient="portrait"/>
          <w:cols w:equalWidth="0" w:num="1">
            <w:col w:w="10682"/>
          </w:cols>
          <w:pgMar w:left="238" w:top="848" w:right="979" w:bottom="1440" w:gutter="0" w:footer="0" w:header="0"/>
          <w:type w:val="continuous"/>
        </w:sectPr>
      </w:pPr>
    </w:p>
    <w:p>
      <w:pPr>
        <w:spacing w:after="0" w:line="13" w:lineRule="exact"/>
        <w:rPr>
          <w:sz w:val="20"/>
          <w:szCs w:val="20"/>
          <w:color w:val="auto"/>
        </w:rPr>
      </w:pPr>
    </w:p>
    <w:p>
      <w:pPr>
        <w:ind w:left="662"/>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jc w:val="right"/>
        <w:ind w:right="2140"/>
        <w:spacing w:after="0"/>
        <w:rPr>
          <w:sz w:val="20"/>
          <w:szCs w:val="20"/>
          <w:color w:val="auto"/>
        </w:rPr>
      </w:pPr>
      <w:r>
        <w:rPr>
          <w:rFonts w:ascii="Courier New" w:cs="Courier New" w:eastAsia="Courier New" w:hAnsi="Courier New"/>
          <w:sz w:val="16"/>
          <w:szCs w:val="16"/>
          <w:color w:val="auto"/>
        </w:rPr>
        <w:t>647</w:t>
      </w:r>
    </w:p>
    <w:p>
      <w:pPr>
        <w:spacing w:after="0" w:line="5" w:lineRule="exact"/>
        <w:rPr>
          <w:sz w:val="20"/>
          <w:szCs w:val="20"/>
          <w:color w:val="auto"/>
        </w:rPr>
      </w:pPr>
    </w:p>
    <w:p>
      <w:pPr>
        <w:jc w:val="right"/>
        <w:ind w:right="21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140"/>
        <w:spacing w:after="0"/>
        <w:rPr>
          <w:sz w:val="20"/>
          <w:szCs w:val="20"/>
          <w:color w:val="auto"/>
        </w:rPr>
      </w:pPr>
      <w:r>
        <w:rPr>
          <w:rFonts w:ascii="Courier New" w:cs="Courier New" w:eastAsia="Courier New" w:hAnsi="Courier New"/>
          <w:sz w:val="16"/>
          <w:szCs w:val="16"/>
          <w:color w:val="auto"/>
        </w:rPr>
        <w:t>358</w:t>
      </w:r>
    </w:p>
    <w:p>
      <w:pPr>
        <w:spacing w:after="0" w:line="5" w:lineRule="exact"/>
        <w:rPr>
          <w:sz w:val="20"/>
          <w:szCs w:val="20"/>
          <w:color w:val="auto"/>
        </w:rPr>
      </w:pPr>
    </w:p>
    <w:p>
      <w:pPr>
        <w:jc w:val="right"/>
        <w:ind w:right="11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342" w:space="720"/>
            <w:col w:w="3000" w:space="720"/>
            <w:col w:w="1900"/>
          </w:cols>
          <w:pgMar w:left="238" w:top="848" w:right="979" w:bottom="1440" w:gutter="0" w:footer="0" w:header="0"/>
          <w:type w:val="continuous"/>
        </w:sectPr>
      </w:pPr>
    </w:p>
    <w:p>
      <w:pPr>
        <w:spacing w:after="0" w:line="177"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EPS - DILUTED</w:t>
      </w:r>
    </w:p>
    <w:p>
      <w:pPr>
        <w:spacing w:after="0" w:line="2"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Income available to</w:t>
      </w:r>
    </w:p>
    <w:p>
      <w:pPr>
        <w:spacing w:after="0" w:line="5" w:lineRule="exact"/>
        <w:rPr>
          <w:sz w:val="20"/>
          <w:szCs w:val="20"/>
          <w:color w:val="auto"/>
        </w:rPr>
      </w:pPr>
    </w:p>
    <w:p>
      <w:pPr>
        <w:ind w:left="862"/>
        <w:spacing w:after="0"/>
        <w:rPr>
          <w:sz w:val="20"/>
          <w:szCs w:val="20"/>
          <w:color w:val="auto"/>
        </w:rPr>
      </w:pPr>
      <w:r>
        <w:rPr>
          <w:rFonts w:ascii="Courier New" w:cs="Courier New" w:eastAsia="Courier New" w:hAnsi="Courier New"/>
          <w:sz w:val="15"/>
          <w:szCs w:val="15"/>
          <w:color w:val="auto"/>
        </w:rPr>
        <w:t>common stockholders and</w:t>
      </w:r>
    </w:p>
    <w:p>
      <w:pPr>
        <w:spacing w:after="0" w:line="11"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assumed options</w:t>
      </w:r>
    </w:p>
    <w:p>
      <w:pPr>
        <w:sectPr>
          <w:pgSz w:w="11900" w:h="16838" w:orient="portrait"/>
          <w:cols w:equalWidth="0" w:num="1">
            <w:col w:w="10682"/>
          </w:cols>
          <w:pgMar w:left="238" w:top="848" w:right="979" w:bottom="1440" w:gutter="0" w:footer="0" w:header="0"/>
          <w:type w:val="continuous"/>
        </w:sectPr>
      </w:pPr>
    </w:p>
    <w:p>
      <w:pPr>
        <w:spacing w:after="0" w:line="5" w:lineRule="exact"/>
        <w:rPr>
          <w:sz w:val="20"/>
          <w:szCs w:val="20"/>
          <w:color w:val="auto"/>
        </w:rPr>
      </w:pPr>
    </w:p>
    <w:p>
      <w:pPr>
        <w:ind w:left="862"/>
        <w:spacing w:after="0"/>
        <w:rPr>
          <w:sz w:val="20"/>
          <w:szCs w:val="20"/>
          <w:color w:val="auto"/>
        </w:rPr>
      </w:pPr>
      <w:r>
        <w:rPr>
          <w:rFonts w:ascii="Courier New" w:cs="Courier New" w:eastAsia="Courier New" w:hAnsi="Courier New"/>
          <w:sz w:val="15"/>
          <w:szCs w:val="15"/>
          <w:color w:val="auto"/>
        </w:rPr>
        <w:t>exercised....................</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Courier New" w:cs="Courier New" w:eastAsia="Courier New" w:hAnsi="Courier New"/>
          <w:sz w:val="15"/>
          <w:szCs w:val="15"/>
          <w:color w:val="auto"/>
        </w:rPr>
        <w:t>$ 9,808 =========</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20,450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$0.48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Courier New" w:cs="Courier New" w:eastAsia="Courier New" w:hAnsi="Courier New"/>
          <w:sz w:val="16"/>
          <w:szCs w:val="16"/>
          <w:color w:val="auto"/>
        </w:rPr>
        <w:t>$</w:t>
        <w:tab/>
        <w:t>8,148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6"/>
          <w:szCs w:val="16"/>
          <w:color w:val="auto"/>
        </w:rPr>
        <w:t>20,481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$0.40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sectPr>
          <w:pgSz w:w="11900" w:h="16838" w:orient="portrait"/>
          <w:cols w:equalWidth="0" w:num="7">
            <w:col w:w="3622" w:space="200"/>
            <w:col w:w="860" w:space="380"/>
            <w:col w:w="860" w:space="460"/>
            <w:col w:w="480" w:space="580"/>
            <w:col w:w="860" w:space="480"/>
            <w:col w:w="760" w:space="560"/>
            <w:col w:w="580"/>
          </w:cols>
          <w:pgMar w:left="238" w:top="848" w:right="979" w:bottom="1440" w:gutter="0" w:footer="0" w:header="0"/>
          <w:type w:val="continuous"/>
        </w:sectPr>
      </w:pPr>
    </w:p>
    <w:p>
      <w:pPr>
        <w:ind w:left="4102"/>
        <w:spacing w:after="0"/>
        <w:rPr>
          <w:sz w:val="20"/>
          <w:szCs w:val="20"/>
          <w:color w:val="auto"/>
        </w:rPr>
      </w:pPr>
      <w:r>
        <w:rPr>
          <w:rFonts w:ascii="Courier New" w:cs="Courier New" w:eastAsia="Courier New" w:hAnsi="Courier New"/>
          <w:sz w:val="16"/>
          <w:szCs w:val="16"/>
          <w:color w:val="auto"/>
        </w:rPr>
        <w:t>Nine Months Ended 09/29/01</w:t>
      </w:r>
    </w:p>
    <w:p>
      <w:pPr>
        <w:spacing w:after="0" w:line="2"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6382"/>
        <w:spacing w:after="0"/>
        <w:rPr>
          <w:sz w:val="20"/>
          <w:szCs w:val="20"/>
          <w:color w:val="auto"/>
        </w:rPr>
      </w:pPr>
      <w:r>
        <w:rPr>
          <w:rFonts w:ascii="Courier New" w:cs="Courier New" w:eastAsia="Courier New" w:hAnsi="Courier New"/>
          <w:sz w:val="16"/>
          <w:szCs w:val="16"/>
          <w:color w:val="auto"/>
        </w:rPr>
        <w:t>Per</w:t>
      </w:r>
    </w:p>
    <w:p>
      <w:pPr>
        <w:spacing w:after="0" w:line="2" w:lineRule="exact"/>
        <w:rPr>
          <w:sz w:val="20"/>
          <w:szCs w:val="20"/>
          <w:color w:val="auto"/>
        </w:rPr>
      </w:pPr>
    </w:p>
    <w:p>
      <w:pPr>
        <w:ind w:left="3822"/>
        <w:spacing w:after="0"/>
        <w:tabs>
          <w:tab w:leader="none" w:pos="5222" w:val="left"/>
          <w:tab w:leader="none" w:pos="6282" w:val="left"/>
        </w:tabs>
        <w:rPr>
          <w:sz w:val="20"/>
          <w:szCs w:val="20"/>
          <w:color w:val="auto"/>
        </w:rPr>
      </w:pPr>
      <w:r>
        <w:rPr>
          <w:rFonts w:ascii="Courier New" w:cs="Courier New" w:eastAsia="Courier New" w:hAnsi="Courier New"/>
          <w:sz w:val="16"/>
          <w:szCs w:val="16"/>
          <w:color w:val="auto"/>
        </w:rPr>
        <w:t>Income</w:t>
      </w:r>
      <w:r>
        <w:rPr>
          <w:sz w:val="20"/>
          <w:szCs w:val="20"/>
          <w:color w:val="auto"/>
        </w:rPr>
        <w:tab/>
      </w: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5"/>
          <w:szCs w:val="15"/>
          <w:color w:val="auto"/>
        </w:rPr>
        <w:t>Share</w:t>
      </w:r>
    </w:p>
    <w:p>
      <w:pPr>
        <w:spacing w:after="0" w:line="2" w:lineRule="exact"/>
        <w:rPr>
          <w:sz w:val="20"/>
          <w:szCs w:val="20"/>
          <w:color w:val="auto"/>
        </w:rPr>
      </w:pPr>
    </w:p>
    <w:p>
      <w:pPr>
        <w:ind w:left="3622"/>
        <w:spacing w:after="0"/>
        <w:tabs>
          <w:tab w:leader="none" w:pos="4842" w:val="left"/>
          <w:tab w:leader="none" w:pos="6282" w:val="left"/>
        </w:tabs>
        <w:rPr>
          <w:sz w:val="20"/>
          <w:szCs w:val="20"/>
          <w:color w:val="auto"/>
        </w:rPr>
      </w:pPr>
      <w:r>
        <w:rPr>
          <w:rFonts w:ascii="Courier New" w:cs="Courier New" w:eastAsia="Courier New" w:hAnsi="Courier New"/>
          <w:sz w:val="16"/>
          <w:szCs w:val="16"/>
          <w:color w:val="auto"/>
        </w:rPr>
        <w:t>(Numerator)</w:t>
        <w:tab/>
        <w:t>(Denominator)</w:t>
      </w:r>
      <w:r>
        <w:rPr>
          <w:sz w:val="20"/>
          <w:szCs w:val="20"/>
          <w:color w:val="auto"/>
        </w:rPr>
        <w:tab/>
      </w:r>
      <w:r>
        <w:rPr>
          <w:rFonts w:ascii="Courier New" w:cs="Courier New" w:eastAsia="Courier New" w:hAnsi="Courier New"/>
          <w:sz w:val="15"/>
          <w:szCs w:val="15"/>
          <w:color w:val="auto"/>
        </w:rPr>
        <w:t>Amount</w:t>
      </w:r>
    </w:p>
    <w:p>
      <w:pPr>
        <w:spacing w:after="0" w:line="2" w:lineRule="exact"/>
        <w:rPr>
          <w:sz w:val="20"/>
          <w:szCs w:val="20"/>
          <w:color w:val="auto"/>
        </w:rPr>
      </w:pPr>
    </w:p>
    <w:p>
      <w:pPr>
        <w:ind w:left="3622"/>
        <w:spacing w:after="0"/>
        <w:tabs>
          <w:tab w:leader="none" w:pos="6282"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Courier New" w:cs="Courier New" w:eastAsia="Courier New" w:hAnsi="Courier New"/>
          <w:sz w:val="16"/>
          <w:szCs w:val="16"/>
          <w:color w:val="auto"/>
        </w:rPr>
        <w:t>Nine Months Ended 09/23/00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Per</w:t>
      </w:r>
    </w:p>
    <w:p>
      <w:pPr>
        <w:spacing w:after="0" w:line="2" w:lineRule="exact"/>
        <w:rPr>
          <w:sz w:val="20"/>
          <w:szCs w:val="20"/>
          <w:color w:val="auto"/>
        </w:rPr>
      </w:pPr>
    </w:p>
    <w:p>
      <w:pPr>
        <w:ind w:left="300"/>
        <w:spacing w:after="0"/>
        <w:tabs>
          <w:tab w:leader="none" w:pos="1520" w:val="left"/>
          <w:tab w:leader="none" w:pos="2660" w:val="left"/>
        </w:tabs>
        <w:rPr>
          <w:sz w:val="20"/>
          <w:szCs w:val="20"/>
          <w:color w:val="auto"/>
        </w:rPr>
      </w:pPr>
      <w:r>
        <w:rPr>
          <w:rFonts w:ascii="Courier New" w:cs="Courier New" w:eastAsia="Courier New" w:hAnsi="Courier New"/>
          <w:sz w:val="16"/>
          <w:szCs w:val="16"/>
          <w:color w:val="auto"/>
        </w:rPr>
        <w:t>Income</w:t>
      </w:r>
      <w:r>
        <w:rPr>
          <w:sz w:val="20"/>
          <w:szCs w:val="20"/>
          <w:color w:val="auto"/>
        </w:rPr>
        <w:tab/>
      </w: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Share</w:t>
      </w:r>
    </w:p>
    <w:p>
      <w:pPr>
        <w:spacing w:after="0" w:line="2" w:lineRule="exact"/>
        <w:rPr>
          <w:sz w:val="20"/>
          <w:szCs w:val="20"/>
          <w:color w:val="auto"/>
        </w:rPr>
      </w:pPr>
    </w:p>
    <w:p>
      <w:pPr>
        <w:ind w:left="100"/>
        <w:spacing w:after="0"/>
        <w:tabs>
          <w:tab w:leader="none" w:pos="2660" w:val="left"/>
        </w:tabs>
        <w:rPr>
          <w:sz w:val="20"/>
          <w:szCs w:val="20"/>
          <w:color w:val="auto"/>
        </w:rPr>
      </w:pPr>
      <w:r>
        <w:rPr>
          <w:rFonts w:ascii="Courier New" w:cs="Courier New" w:eastAsia="Courier New" w:hAnsi="Courier New"/>
          <w:sz w:val="16"/>
          <w:szCs w:val="16"/>
          <w:color w:val="auto"/>
        </w:rPr>
        <w:t>(Numerator) (Denominator)</w:t>
      </w:r>
      <w:r>
        <w:rPr>
          <w:sz w:val="20"/>
          <w:szCs w:val="20"/>
          <w:color w:val="auto"/>
        </w:rPr>
        <w:tab/>
      </w:r>
      <w:r>
        <w:rPr>
          <w:rFonts w:ascii="Courier New" w:cs="Courier New" w:eastAsia="Courier New" w:hAnsi="Courier New"/>
          <w:sz w:val="15"/>
          <w:szCs w:val="15"/>
          <w:color w:val="auto"/>
        </w:rPr>
        <w:t>Amount</w:t>
      </w:r>
    </w:p>
    <w:p>
      <w:pPr>
        <w:spacing w:after="0" w:line="2" w:lineRule="exact"/>
        <w:rPr>
          <w:sz w:val="20"/>
          <w:szCs w:val="20"/>
          <w:color w:val="auto"/>
        </w:rPr>
      </w:pPr>
    </w:p>
    <w:p>
      <w:pPr>
        <w:ind w:left="100"/>
        <w:spacing w:after="0"/>
        <w:tabs>
          <w:tab w:leader="none" w:pos="1320" w:val="left"/>
          <w:tab w:leader="none" w:pos="2660" w:val="left"/>
        </w:tabs>
        <w:rPr>
          <w:sz w:val="20"/>
          <w:szCs w:val="20"/>
          <w:color w:val="auto"/>
        </w:rPr>
      </w:pP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6862" w:space="380"/>
            <w:col w:w="3440"/>
          </w:cols>
          <w:pgMar w:left="238" w:top="848" w:right="979" w:bottom="1440" w:gutter="0" w:footer="0" w:header="0"/>
          <w:type w:val="continuous"/>
        </w:sectPr>
      </w:pPr>
    </w:p>
    <w:p>
      <w:pPr>
        <w:spacing w:after="0" w:line="2" w:lineRule="exact"/>
        <w:rPr>
          <w:sz w:val="20"/>
          <w:szCs w:val="20"/>
          <w:color w:val="auto"/>
        </w:rPr>
      </w:pPr>
    </w:p>
    <w:p>
      <w:pPr>
        <w:ind w:left="662"/>
        <w:spacing w:after="0"/>
        <w:rPr>
          <w:sz w:val="20"/>
          <w:szCs w:val="20"/>
          <w:color w:val="auto"/>
        </w:rPr>
      </w:pPr>
      <w:r>
        <w:rPr>
          <w:rFonts w:ascii="Courier New" w:cs="Courier New" w:eastAsia="Courier New" w:hAnsi="Courier New"/>
          <w:sz w:val="15"/>
          <w:szCs w:val="15"/>
          <w:color w:val="auto"/>
        </w:rPr>
        <w:t>NET EARNINGS...................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29,023</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tab/>
        <w:t>27,146</w:t>
      </w:r>
    </w:p>
    <w:p>
      <w:pPr>
        <w:spacing w:after="0" w:line="186" w:lineRule="exact"/>
        <w:rPr>
          <w:sz w:val="20"/>
          <w:szCs w:val="20"/>
          <w:color w:val="auto"/>
        </w:rPr>
      </w:pPr>
    </w:p>
    <w:p>
      <w:pPr>
        <w:sectPr>
          <w:pgSz w:w="11900" w:h="16838" w:orient="portrait"/>
          <w:cols w:equalWidth="0" w:num="4">
            <w:col w:w="3622" w:space="200"/>
            <w:col w:w="80" w:space="200"/>
            <w:col w:w="2620" w:space="720"/>
            <w:col w:w="3240"/>
          </w:cols>
          <w:pgMar w:left="238" w:top="848" w:right="979" w:bottom="1440" w:gutter="0" w:footer="0" w:header="0"/>
          <w:type w:val="continuous"/>
        </w:sectPr>
      </w:pPr>
    </w:p>
    <w:p>
      <w:pPr>
        <w:ind w:left="662"/>
        <w:spacing w:after="0"/>
        <w:rPr>
          <w:sz w:val="20"/>
          <w:szCs w:val="20"/>
          <w:color w:val="auto"/>
        </w:rPr>
      </w:pPr>
      <w:r>
        <w:rPr>
          <w:rFonts w:ascii="Courier New" w:cs="Courier New" w:eastAsia="Courier New" w:hAnsi="Courier New"/>
          <w:sz w:val="16"/>
          <w:szCs w:val="16"/>
          <w:color w:val="auto"/>
        </w:rPr>
        <w:t>EPS - BASIC</w:t>
      </w:r>
    </w:p>
    <w:p>
      <w:pPr>
        <w:spacing w:after="0" w:line="5" w:lineRule="exact"/>
        <w:rPr>
          <w:sz w:val="20"/>
          <w:szCs w:val="20"/>
          <w:color w:val="auto"/>
        </w:rPr>
      </w:pPr>
    </w:p>
    <w:p>
      <w:pPr>
        <w:ind w:left="662"/>
        <w:spacing w:after="0"/>
        <w:rPr>
          <w:sz w:val="20"/>
          <w:szCs w:val="20"/>
          <w:color w:val="auto"/>
        </w:rPr>
      </w:pPr>
      <w:r>
        <w:rPr>
          <w:rFonts w:ascii="Courier New" w:cs="Courier New" w:eastAsia="Courier New" w:hAnsi="Courier New"/>
          <w:sz w:val="15"/>
          <w:szCs w:val="15"/>
          <w:color w:val="auto"/>
        </w:rPr>
        <w:t>Income available to</w:t>
      </w:r>
    </w:p>
    <w:p>
      <w:pPr>
        <w:sectPr>
          <w:pgSz w:w="11900" w:h="16838" w:orient="portrait"/>
          <w:cols w:equalWidth="0" w:num="1">
            <w:col w:w="10682"/>
          </w:cols>
          <w:pgMar w:left="238" w:top="848" w:right="979" w:bottom="1440" w:gutter="0" w:footer="0" w:header="0"/>
          <w:type w:val="continuous"/>
        </w:sectPr>
      </w:pPr>
    </w:p>
    <w:p>
      <w:pPr>
        <w:spacing w:after="0" w:line="13" w:lineRule="exact"/>
        <w:rPr>
          <w:sz w:val="20"/>
          <w:szCs w:val="20"/>
          <w:color w:val="auto"/>
        </w:rPr>
      </w:pPr>
    </w:p>
    <w:p>
      <w:pPr>
        <w:ind w:left="862"/>
        <w:spacing w:after="0"/>
        <w:rPr>
          <w:sz w:val="20"/>
          <w:szCs w:val="20"/>
          <w:color w:val="auto"/>
        </w:rPr>
      </w:pPr>
      <w:r>
        <w:rPr>
          <w:rFonts w:ascii="Courier New" w:cs="Courier New" w:eastAsia="Courier New" w:hAnsi="Courier New"/>
          <w:sz w:val="15"/>
          <w:szCs w:val="15"/>
          <w:color w:val="auto"/>
        </w:rPr>
        <w:t>common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29,023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19,769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$1.47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27,146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20,134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7">
            <w:col w:w="3622" w:space="480"/>
            <w:col w:w="580" w:space="660"/>
            <w:col w:w="580" w:space="460"/>
            <w:col w:w="620" w:space="720"/>
            <w:col w:w="580" w:space="660"/>
            <w:col w:w="580" w:space="560"/>
            <w:col w:w="580"/>
          </w:cols>
          <w:pgMar w:left="238" w:top="848" w:right="979" w:bottom="1440" w:gutter="0" w:footer="0" w:header="0"/>
          <w:type w:val="continuous"/>
        </w:sectPr>
      </w:pPr>
    </w:p>
    <w:p>
      <w:pPr>
        <w:ind w:left="662"/>
        <w:spacing w:after="0"/>
        <w:rPr>
          <w:sz w:val="20"/>
          <w:szCs w:val="20"/>
          <w:color w:val="auto"/>
        </w:rPr>
      </w:pPr>
      <w:r>
        <w:rPr>
          <w:rFonts w:ascii="Courier New" w:cs="Courier New" w:eastAsia="Courier New" w:hAnsi="Courier New"/>
          <w:sz w:val="15"/>
          <w:szCs w:val="15"/>
          <w:color w:val="auto"/>
        </w:rPr>
        <w:t>EFFECT OF DILUTIVE SECURITIES</w:t>
      </w:r>
    </w:p>
    <w:p>
      <w:pPr>
        <w:sectPr>
          <w:pgSz w:w="11900" w:h="16838" w:orient="portrait"/>
          <w:cols w:equalWidth="0" w:num="1">
            <w:col w:w="10682"/>
          </w:cols>
          <w:pgMar w:left="238" w:top="848" w:right="979" w:bottom="1440" w:gutter="0" w:footer="0" w:header="0"/>
          <w:type w:val="continuous"/>
        </w:sectPr>
      </w:pPr>
    </w:p>
    <w:p>
      <w:pPr>
        <w:spacing w:after="0" w:line="13" w:lineRule="exact"/>
        <w:rPr>
          <w:sz w:val="20"/>
          <w:szCs w:val="20"/>
          <w:color w:val="auto"/>
        </w:rPr>
      </w:pPr>
    </w:p>
    <w:p>
      <w:pPr>
        <w:ind w:left="662"/>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jc w:val="right"/>
        <w:ind w:right="2140"/>
        <w:spacing w:after="0"/>
        <w:rPr>
          <w:sz w:val="20"/>
          <w:szCs w:val="20"/>
          <w:color w:val="auto"/>
        </w:rPr>
      </w:pPr>
      <w:r>
        <w:rPr>
          <w:rFonts w:ascii="Courier New" w:cs="Courier New" w:eastAsia="Courier New" w:hAnsi="Courier New"/>
          <w:sz w:val="16"/>
          <w:szCs w:val="16"/>
          <w:color w:val="auto"/>
        </w:rPr>
        <w:t>591</w:t>
      </w:r>
    </w:p>
    <w:p>
      <w:pPr>
        <w:spacing w:after="0" w:line="5" w:lineRule="exact"/>
        <w:rPr>
          <w:sz w:val="20"/>
          <w:szCs w:val="20"/>
          <w:color w:val="auto"/>
        </w:rPr>
      </w:pPr>
    </w:p>
    <w:p>
      <w:pPr>
        <w:jc w:val="right"/>
        <w:ind w:right="21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140"/>
        <w:spacing w:after="0"/>
        <w:rPr>
          <w:sz w:val="20"/>
          <w:szCs w:val="20"/>
          <w:color w:val="auto"/>
        </w:rPr>
      </w:pPr>
      <w:r>
        <w:rPr>
          <w:rFonts w:ascii="Courier New" w:cs="Courier New" w:eastAsia="Courier New" w:hAnsi="Courier New"/>
          <w:sz w:val="16"/>
          <w:szCs w:val="16"/>
          <w:color w:val="auto"/>
        </w:rPr>
        <w:t>368</w:t>
      </w:r>
    </w:p>
    <w:p>
      <w:pPr>
        <w:spacing w:after="0" w:line="5" w:lineRule="exact"/>
        <w:rPr>
          <w:sz w:val="20"/>
          <w:szCs w:val="20"/>
          <w:color w:val="auto"/>
        </w:rPr>
      </w:pPr>
    </w:p>
    <w:p>
      <w:pPr>
        <w:jc w:val="right"/>
        <w:ind w:right="114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3">
            <w:col w:w="4342" w:space="720"/>
            <w:col w:w="3000" w:space="720"/>
            <w:col w:w="1900"/>
          </w:cols>
          <w:pgMar w:left="238" w:top="848" w:right="979" w:bottom="1440" w:gutter="0" w:footer="0" w:header="0"/>
          <w:type w:val="continuous"/>
        </w:sectPr>
      </w:pPr>
    </w:p>
    <w:p>
      <w:pPr>
        <w:ind w:left="662"/>
        <w:spacing w:after="0"/>
        <w:rPr>
          <w:sz w:val="20"/>
          <w:szCs w:val="20"/>
          <w:color w:val="auto"/>
        </w:rPr>
      </w:pPr>
      <w:r>
        <w:rPr>
          <w:rFonts w:ascii="Courier New" w:cs="Courier New" w:eastAsia="Courier New" w:hAnsi="Courier New"/>
          <w:sz w:val="16"/>
          <w:szCs w:val="16"/>
          <w:color w:val="auto"/>
        </w:rPr>
        <w:t>EPS - DILUTED</w:t>
      </w:r>
    </w:p>
    <w:p>
      <w:pPr>
        <w:spacing w:after="0" w:line="2"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Income available to</w:t>
      </w:r>
    </w:p>
    <w:p>
      <w:pPr>
        <w:spacing w:after="0" w:line="5" w:lineRule="exact"/>
        <w:rPr>
          <w:sz w:val="20"/>
          <w:szCs w:val="20"/>
          <w:color w:val="auto"/>
        </w:rPr>
      </w:pPr>
    </w:p>
    <w:p>
      <w:pPr>
        <w:ind w:left="862"/>
        <w:spacing w:after="0"/>
        <w:rPr>
          <w:sz w:val="20"/>
          <w:szCs w:val="20"/>
          <w:color w:val="auto"/>
        </w:rPr>
      </w:pPr>
      <w:r>
        <w:rPr>
          <w:rFonts w:ascii="Courier New" w:cs="Courier New" w:eastAsia="Courier New" w:hAnsi="Courier New"/>
          <w:sz w:val="15"/>
          <w:szCs w:val="15"/>
          <w:color w:val="auto"/>
        </w:rPr>
        <w:t>common stockholders and</w:t>
      </w:r>
    </w:p>
    <w:p>
      <w:pPr>
        <w:spacing w:after="0" w:line="11"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assumed options</w:t>
      </w:r>
    </w:p>
    <w:p>
      <w:pPr>
        <w:sectPr>
          <w:pgSz w:w="11900" w:h="16838" w:orient="portrait"/>
          <w:cols w:equalWidth="0" w:num="1">
            <w:col w:w="10682"/>
          </w:cols>
          <w:pgMar w:left="238" w:top="848" w:right="979" w:bottom="1440" w:gutter="0" w:footer="0" w:header="0"/>
          <w:type w:val="continuous"/>
        </w:sectPr>
      </w:pPr>
    </w:p>
    <w:p>
      <w:pPr>
        <w:spacing w:after="0" w:line="5" w:lineRule="exact"/>
        <w:rPr>
          <w:sz w:val="20"/>
          <w:szCs w:val="20"/>
          <w:color w:val="auto"/>
        </w:rPr>
      </w:pPr>
    </w:p>
    <w:p>
      <w:pPr>
        <w:ind w:left="862"/>
        <w:spacing w:after="0"/>
        <w:rPr>
          <w:sz w:val="20"/>
          <w:szCs w:val="20"/>
          <w:color w:val="auto"/>
        </w:rPr>
      </w:pPr>
      <w:r>
        <w:rPr>
          <w:rFonts w:ascii="Courier New" w:cs="Courier New" w:eastAsia="Courier New" w:hAnsi="Courier New"/>
          <w:sz w:val="15"/>
          <w:szCs w:val="15"/>
          <w:color w:val="auto"/>
        </w:rPr>
        <w:t>exercised....................</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Courier New" w:cs="Courier New" w:eastAsia="Courier New" w:hAnsi="Courier New"/>
          <w:sz w:val="15"/>
          <w:szCs w:val="15"/>
          <w:color w:val="auto"/>
        </w:rPr>
        <w:t>$ 29,023 =========</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20,360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$1.43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tab/>
        <w:t>27,146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6"/>
          <w:szCs w:val="16"/>
          <w:color w:val="auto"/>
        </w:rPr>
        <w:t>20,502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1" w:lineRule="exact"/>
        <w:rPr>
          <w:sz w:val="20"/>
          <w:szCs w:val="20"/>
          <w:color w:val="auto"/>
        </w:rPr>
      </w:pPr>
    </w:p>
    <w:p>
      <w:pPr>
        <w:sectPr>
          <w:pgSz w:w="11900" w:h="16838" w:orient="portrait"/>
          <w:cols w:equalWidth="0" w:num="7">
            <w:col w:w="3622" w:space="200"/>
            <w:col w:w="860" w:space="380"/>
            <w:col w:w="860" w:space="460"/>
            <w:col w:w="480" w:space="580"/>
            <w:col w:w="860" w:space="480"/>
            <w:col w:w="760" w:space="560"/>
            <w:col w:w="580"/>
          </w:cols>
          <w:pgMar w:left="238" w:top="848" w:right="979" w:bottom="1440" w:gutter="0" w:footer="0" w:header="0"/>
          <w:type w:val="continuous"/>
        </w:sectPr>
      </w:pPr>
    </w:p>
    <w:p>
      <w:pPr>
        <w:spacing w:after="0" w:line="150" w:lineRule="exact"/>
        <w:rPr>
          <w:sz w:val="20"/>
          <w:szCs w:val="20"/>
          <w:color w:val="auto"/>
        </w:rPr>
      </w:pPr>
    </w:p>
    <w:p>
      <w:pPr>
        <w:ind w:left="662" w:right="3060"/>
        <w:spacing w:after="0" w:line="242" w:lineRule="auto"/>
        <w:rPr>
          <w:sz w:val="20"/>
          <w:szCs w:val="20"/>
          <w:color w:val="auto"/>
        </w:rPr>
      </w:pPr>
      <w:r>
        <w:rPr>
          <w:rFonts w:ascii="Courier New" w:cs="Courier New" w:eastAsia="Courier New" w:hAnsi="Courier New"/>
          <w:sz w:val="16"/>
          <w:szCs w:val="16"/>
          <w:color w:val="auto"/>
        </w:rPr>
        <w:t>Options to purchase 402,310 shares of common stock at exercise prices ranging from $19.75 to $36.01 were outstanding at September 29, 2001, but were not included in the computation of diluted EPS for the quarter and nine months ended September 29, 2001 because the options' exercise prices were greater than the average market price of the common stock and, therefore, would be antidilutive.</w:t>
      </w:r>
    </w:p>
    <w:p>
      <w:pPr>
        <w:spacing w:after="0" w:line="184" w:lineRule="exact"/>
        <w:rPr>
          <w:sz w:val="20"/>
          <w:szCs w:val="20"/>
          <w:color w:val="auto"/>
        </w:rPr>
      </w:pPr>
    </w:p>
    <w:p>
      <w:pPr>
        <w:ind w:left="662" w:hanging="662"/>
        <w:spacing w:after="0"/>
        <w:tabs>
          <w:tab w:leader="none" w:pos="66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AND OTHER INTANGIBLE ASSETS</w:t>
      </w:r>
    </w:p>
    <w:p>
      <w:pPr>
        <w:spacing w:after="0" w:line="188" w:lineRule="exact"/>
        <w:rPr>
          <w:sz w:val="20"/>
          <w:szCs w:val="20"/>
          <w:color w:val="auto"/>
        </w:rPr>
      </w:pPr>
    </w:p>
    <w:p>
      <w:pPr>
        <w:ind w:left="662" w:right="3060"/>
        <w:spacing w:after="0" w:line="241" w:lineRule="auto"/>
        <w:rPr>
          <w:sz w:val="20"/>
          <w:szCs w:val="20"/>
          <w:color w:val="auto"/>
        </w:rPr>
      </w:pPr>
      <w:r>
        <w:rPr>
          <w:rFonts w:ascii="Courier New" w:cs="Courier New" w:eastAsia="Courier New" w:hAnsi="Courier New"/>
          <w:sz w:val="16"/>
          <w:szCs w:val="16"/>
          <w:color w:val="auto"/>
        </w:rPr>
        <w:t>In July 2001, the Financial Accounting Standards Board issued Statement of Financial Accounting Standards No. 142, "Goodwill and Other Intangible Assets" ("SFAS 142"). This statement changes the accounting and reporting for goodwill and other intangible assets. Upon</w:t>
      </w:r>
    </w:p>
    <w:p>
      <w:pPr>
        <w:spacing w:after="0" w:line="186"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682"/>
          </w:cols>
          <w:pgMar w:left="238" w:top="848" w:right="979" w:bottom="1440" w:gutter="0" w:footer="0" w:header="0"/>
          <w:type w:val="continuous"/>
        </w:sectPr>
      </w:pPr>
    </w:p>
    <w:bookmarkStart w:id="7" w:name="page8"/>
    <w:bookmarkEnd w:id="7"/>
    <w:p>
      <w:pPr>
        <w:jc w:val="center"/>
        <w:ind w:right="2497"/>
        <w:spacing w:after="0"/>
        <w:rPr>
          <w:sz w:val="20"/>
          <w:szCs w:val="20"/>
          <w:color w:val="auto"/>
        </w:rPr>
      </w:pPr>
      <w:r>
        <w:rPr>
          <w:rFonts w:ascii="Courier New" w:cs="Courier New" w:eastAsia="Courier New" w:hAnsi="Courier New"/>
          <w:sz w:val="16"/>
          <w:szCs w:val="16"/>
          <w:color w:val="auto"/>
        </w:rPr>
        <w:t>UNIVERSAL FOREST PRODUCTS, INC.</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NOTES TO CONSOLIDATED CONDENSED FINANCIAL STATEMENTS - CONTINUED</w:t>
      </w:r>
    </w:p>
    <w:p>
      <w:pPr>
        <w:spacing w:after="0" w:line="372" w:lineRule="exact"/>
        <w:rPr>
          <w:sz w:val="20"/>
          <w:szCs w:val="20"/>
          <w:color w:val="auto"/>
        </w:rPr>
      </w:pPr>
    </w:p>
    <w:p>
      <w:pPr>
        <w:ind w:left="662" w:right="2599"/>
        <w:spacing w:after="0" w:line="261" w:lineRule="auto"/>
        <w:rPr>
          <w:sz w:val="20"/>
          <w:szCs w:val="20"/>
          <w:color w:val="auto"/>
        </w:rPr>
      </w:pPr>
      <w:r>
        <w:rPr>
          <w:rFonts w:ascii="Courier New" w:cs="Courier New" w:eastAsia="Courier New" w:hAnsi="Courier New"/>
          <w:sz w:val="15"/>
          <w:szCs w:val="15"/>
          <w:color w:val="auto"/>
        </w:rPr>
        <w:t>adoption of this statement, goodwill will no longer be amortized, however tests for impairment will be performed annually or when a triggering event occurs. This statement will apply to assets acquired after June 30, 2001, and existing goodwill and other intangible assets upon the adoption of SFAS 142, in fiscal 2002. Pre-tax amortization of goodwill, for the nine months ended September 29, 2001, was $2.6 million. We are evaluating the effect of SFAS 142 on our consolidated financial statements.</w:t>
      </w:r>
    </w:p>
    <w:p>
      <w:pPr>
        <w:spacing w:after="0" w:line="171" w:lineRule="exact"/>
        <w:rPr>
          <w:sz w:val="20"/>
          <w:szCs w:val="20"/>
          <w:color w:val="auto"/>
        </w:rPr>
      </w:pPr>
    </w:p>
    <w:p>
      <w:pPr>
        <w:ind w:left="662" w:hanging="662"/>
        <w:spacing w:after="0"/>
        <w:tabs>
          <w:tab w:leader="none" w:pos="66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COMBINATIONS</w:t>
      </w:r>
    </w:p>
    <w:p>
      <w:pPr>
        <w:spacing w:after="0" w:line="188" w:lineRule="exact"/>
        <w:rPr>
          <w:rFonts w:ascii="Courier New" w:cs="Courier New" w:eastAsia="Courier New" w:hAnsi="Courier New"/>
          <w:sz w:val="16"/>
          <w:szCs w:val="16"/>
          <w:color w:val="auto"/>
        </w:rPr>
      </w:pPr>
    </w:p>
    <w:p>
      <w:pPr>
        <w:ind w:left="662" w:right="2599"/>
        <w:spacing w:after="0" w:line="26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On February 28, 2001, one of our subsidiaries acquired 50% of the assets of D&amp;R Framing Contractors ("D&amp;R") of Englewood, Colorado. The total purchase price was approximately $7.6 million. The excess of the purchase price over the estimated fair value of the acquired assets, assumed liabilities and minority interest was $7.0 million, and has been recorded as goodwill. D&amp;R's results of operations are included in our consolidated condensed financial statements since the date of acquisition.</w:t>
      </w:r>
    </w:p>
    <w:p>
      <w:pPr>
        <w:spacing w:after="0" w:line="173" w:lineRule="exact"/>
        <w:rPr>
          <w:rFonts w:ascii="Courier New" w:cs="Courier New" w:eastAsia="Courier New" w:hAnsi="Courier New"/>
          <w:sz w:val="16"/>
          <w:szCs w:val="16"/>
          <w:color w:val="auto"/>
        </w:rPr>
      </w:pPr>
    </w:p>
    <w:p>
      <w:pPr>
        <w:ind w:left="662"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2, 2001, one of our subsidiaries acquired the remaining 50% of ECJW Holdings, Inc. and its two subsidiaries, Thorndale Roof Systems, Inc. and Edcor Floor Systems, Inc. (collectively "TED"). The purchase price for the remaining stock of TED was approximately $3.5 million. The excess of the purchase price over the previously recorded minority interest was $2.3 million, and has been recorded as goodwill. TED's results of operations are included in our consolidated condensed financial statements since the date of the initial acquisition.</w:t>
      </w:r>
    </w:p>
    <w:p>
      <w:pPr>
        <w:spacing w:after="0" w:line="188" w:lineRule="exact"/>
        <w:rPr>
          <w:rFonts w:ascii="Courier New" w:cs="Courier New" w:eastAsia="Courier New" w:hAnsi="Courier New"/>
          <w:sz w:val="16"/>
          <w:szCs w:val="16"/>
          <w:color w:val="auto"/>
        </w:rPr>
      </w:pPr>
    </w:p>
    <w:p>
      <w:pPr>
        <w:ind w:left="66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June 1, 2001, several of our subsidiaries acquired certain assets of the Superior Truss Division of Banks Corporation ("Superior"). The assets include operations in Syracuse, Indiana and Minneota, Minnesota which serve the site-built construction market. The total purchase price for the assets was approximately $11.0 million. The excess of the purchase price over the estimated fair value of the acquired assets was $2.1 million and has been recorded as goodwill. Superior's results of operations are included in our consolidated condensed financial statements since the date of acquisition.</w:t>
      </w:r>
    </w:p>
    <w:p>
      <w:pPr>
        <w:spacing w:after="0" w:line="186" w:lineRule="exact"/>
        <w:rPr>
          <w:rFonts w:ascii="Courier New" w:cs="Courier New" w:eastAsia="Courier New" w:hAnsi="Courier New"/>
          <w:sz w:val="16"/>
          <w:szCs w:val="16"/>
          <w:color w:val="auto"/>
        </w:rPr>
      </w:pPr>
    </w:p>
    <w:p>
      <w:pPr>
        <w:ind w:left="662" w:hanging="662"/>
        <w:spacing w:after="0"/>
        <w:tabs>
          <w:tab w:leader="none" w:pos="66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EVENTS</w:t>
      </w:r>
    </w:p>
    <w:p>
      <w:pPr>
        <w:spacing w:after="0" w:line="188" w:lineRule="exact"/>
        <w:rPr>
          <w:rFonts w:ascii="Courier New" w:cs="Courier New" w:eastAsia="Courier New" w:hAnsi="Courier New"/>
          <w:sz w:val="16"/>
          <w:szCs w:val="16"/>
          <w:color w:val="auto"/>
        </w:rPr>
      </w:pPr>
    </w:p>
    <w:p>
      <w:pPr>
        <w:ind w:left="66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15, 2001, one of our subsidiaries acquired the assets of P&amp;R Truss Company, Inc. of Clinton, New York and the stock of P&amp;R Truss-Sidney, Inc. ("P&amp;R"). P&amp;R has facilities in Auburn, Chaffee, Hudson and Sidney, New York and offices in Clinton and Wappingers Falls, New York. The total purchase price was approximately $21.0 million.</w:t>
      </w:r>
    </w:p>
    <w:p>
      <w:pPr>
        <w:spacing w:after="0" w:line="188"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1"/>
          </w:cols>
          <w:pgMar w:left="238" w:top="848" w:right="1440" w:bottom="1440" w:gutter="0" w:footer="0" w:header="0"/>
        </w:sectPr>
      </w:pPr>
    </w:p>
    <w:bookmarkStart w:id="8" w:name="page9"/>
    <w:bookmarkEnd w:id="8"/>
    <w:p>
      <w:pPr>
        <w:jc w:val="center"/>
        <w:ind w:right="2499"/>
        <w:spacing w:after="0"/>
        <w:rPr>
          <w:sz w:val="20"/>
          <w:szCs w:val="20"/>
          <w:color w:val="auto"/>
        </w:rPr>
      </w:pPr>
      <w:r>
        <w:rPr>
          <w:rFonts w:ascii="Courier New" w:cs="Courier New" w:eastAsia="Courier New" w:hAnsi="Courier New"/>
          <w:sz w:val="16"/>
          <w:szCs w:val="16"/>
          <w:color w:val="auto"/>
        </w:rPr>
        <w:t>UNIVERSAL FOREST PRODUCTS, INC.</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AND RESULTS OF OPERATIONS</w:t>
      </w:r>
    </w:p>
    <w:p>
      <w:pPr>
        <w:spacing w:after="0" w:line="369"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RISK FACTORS</w:t>
      </w:r>
    </w:p>
    <w:p>
      <w:pPr>
        <w:spacing w:after="0" w:line="188" w:lineRule="exact"/>
        <w:rPr>
          <w:sz w:val="20"/>
          <w:szCs w:val="20"/>
          <w:color w:val="auto"/>
        </w:rPr>
      </w:pPr>
    </w:p>
    <w:p>
      <w:pPr>
        <w:ind w:right="2599" w:firstLine="668"/>
        <w:spacing w:after="0" w:line="260" w:lineRule="auto"/>
        <w:rPr>
          <w:sz w:val="20"/>
          <w:szCs w:val="20"/>
          <w:color w:val="auto"/>
        </w:rPr>
      </w:pPr>
      <w:r>
        <w:rPr>
          <w:rFonts w:ascii="Courier New" w:cs="Courier New" w:eastAsia="Courier New" w:hAnsi="Courier New"/>
          <w:sz w:val="15"/>
          <w:szCs w:val="15"/>
          <w:color w:val="auto"/>
        </w:rPr>
        <w:t>Included in this report are certain forward-looking statements within the meaning of Section 27A of the Securities Act of 1933, as amended, and Section 21E of the Securities Exchange Act of 1934, as amended. The forward-looking statements are based on the beliefs and assumptions of management, together with information available to us when the statements were made. Future results could differ materially from those included in such forward-looking statements as a result of, among other things, the factors set forth below and certain economic and business factors which may be beyond our control. Investors are cautioned that all forward-looking statements involve risks and uncertainty.</w:t>
      </w:r>
    </w:p>
    <w:p>
      <w:pPr>
        <w:spacing w:after="0" w:line="177" w:lineRule="exact"/>
        <w:rPr>
          <w:sz w:val="20"/>
          <w:szCs w:val="20"/>
          <w:color w:val="auto"/>
        </w:rPr>
      </w:pPr>
    </w:p>
    <w:p>
      <w:pPr>
        <w:ind w:right="2679" w:firstLine="668"/>
        <w:spacing w:after="0" w:line="260" w:lineRule="auto"/>
        <w:rPr>
          <w:sz w:val="20"/>
          <w:szCs w:val="20"/>
          <w:color w:val="auto"/>
        </w:rPr>
      </w:pPr>
      <w:r>
        <w:rPr>
          <w:rFonts w:ascii="Courier New" w:cs="Courier New" w:eastAsia="Courier New" w:hAnsi="Courier New"/>
          <w:sz w:val="15"/>
          <w:szCs w:val="15"/>
          <w:color w:val="auto"/>
        </w:rPr>
        <w:t>WE ARE SUBJECT TO FLUCTUATIONS IN THE PRICE OF LUMBER. We experience significant fluctuations in the cost of commodity lumber products from primary producers. A variety of factors over which we have no control, including government regulations, environmental regulations, weather conditions, economic conditions and natural disasters, impact the cost of lumber products and our selling prices. While we attempt to minimize our risk from severe price fluctuations, substantial, prolonged trends in lumber prices can affect our financial results. We anticipate that these fluctuations will continue in the future. Management utilizes the Random Lengths composite price (see "Fluctuations in Lumber Prices"), which is a weighted average of nine key framing lumber prices chosen from major producing areas and species, as a broad measure of price movement in the commodity lumber market ("Lumber Market").</w:t>
      </w:r>
    </w:p>
    <w:p>
      <w:pPr>
        <w:spacing w:after="0" w:line="175" w:lineRule="exact"/>
        <w:rPr>
          <w:sz w:val="20"/>
          <w:szCs w:val="20"/>
          <w:color w:val="auto"/>
        </w:rPr>
      </w:pPr>
    </w:p>
    <w:p>
      <w:pPr>
        <w:ind w:right="2779" w:firstLine="668"/>
        <w:spacing w:after="0" w:line="261" w:lineRule="auto"/>
        <w:rPr>
          <w:sz w:val="20"/>
          <w:szCs w:val="20"/>
          <w:color w:val="auto"/>
        </w:rPr>
      </w:pPr>
      <w:r>
        <w:rPr>
          <w:rFonts w:ascii="Courier New" w:cs="Courier New" w:eastAsia="Courier New" w:hAnsi="Courier New"/>
          <w:sz w:val="15"/>
          <w:szCs w:val="15"/>
          <w:color w:val="auto"/>
        </w:rPr>
        <w:t>OUR GROWTH MAY BE LIMITED BY THE MARKETS WE SERVE. Our sales growth is dependent, in part, upon the growth of the markets we serve. If our markets do not achieve anticipated growth, or if we fail to maintain our market share, financial results could be impaired. We are subject to competitive selling and pricing pressures in our major markets. While we are generally aware of our existing competitors' capabilities, we are subject to entry in our markets by new competitors, which could negatively impact financial results.</w:t>
      </w:r>
    </w:p>
    <w:p>
      <w:pPr>
        <w:spacing w:after="0" w:line="174" w:lineRule="exact"/>
        <w:rPr>
          <w:sz w:val="20"/>
          <w:szCs w:val="20"/>
          <w:color w:val="auto"/>
        </w:rPr>
      </w:pPr>
    </w:p>
    <w:p>
      <w:pPr>
        <w:ind w:right="2779" w:firstLine="668"/>
        <w:spacing w:after="0" w:line="241" w:lineRule="auto"/>
        <w:rPr>
          <w:sz w:val="20"/>
          <w:szCs w:val="20"/>
          <w:color w:val="auto"/>
        </w:rPr>
      </w:pPr>
      <w:r>
        <w:rPr>
          <w:rFonts w:ascii="Courier New" w:cs="Courier New" w:eastAsia="Courier New" w:hAnsi="Courier New"/>
          <w:sz w:val="16"/>
          <w:szCs w:val="16"/>
          <w:color w:val="auto"/>
        </w:rPr>
        <w:t>The manufactured housing industry is currently hampered by market conditions, including an oversupply of product, increased repossessions and tightened credit policies. A continued downturn in this market could adversely affect our operating results.</w:t>
      </w:r>
    </w:p>
    <w:p>
      <w:pPr>
        <w:spacing w:after="0" w:line="189" w:lineRule="exact"/>
        <w:rPr>
          <w:sz w:val="20"/>
          <w:szCs w:val="20"/>
          <w:color w:val="auto"/>
        </w:rPr>
      </w:pPr>
    </w:p>
    <w:p>
      <w:pPr>
        <w:ind w:right="2779" w:firstLine="668"/>
        <w:spacing w:after="0"/>
        <w:rPr>
          <w:sz w:val="20"/>
          <w:szCs w:val="20"/>
          <w:color w:val="auto"/>
        </w:rPr>
      </w:pPr>
      <w:r>
        <w:rPr>
          <w:rFonts w:ascii="Courier New" w:cs="Courier New" w:eastAsia="Courier New" w:hAnsi="Courier New"/>
          <w:sz w:val="16"/>
          <w:szCs w:val="16"/>
          <w:color w:val="auto"/>
        </w:rPr>
        <w:t>Our ability to achieve growth in sales and margins to the site-built construction market is somewhat dependent on housing starts. If housing starts decline significantly, our financial results could be impacted.</w:t>
      </w:r>
    </w:p>
    <w:p>
      <w:pPr>
        <w:spacing w:after="0" w:line="190" w:lineRule="exact"/>
        <w:rPr>
          <w:sz w:val="20"/>
          <w:szCs w:val="20"/>
          <w:color w:val="auto"/>
        </w:rPr>
      </w:pPr>
    </w:p>
    <w:p>
      <w:pPr>
        <w:jc w:val="both"/>
        <w:ind w:right="2879" w:firstLine="668"/>
        <w:spacing w:after="0"/>
        <w:rPr>
          <w:sz w:val="20"/>
          <w:szCs w:val="20"/>
          <w:color w:val="auto"/>
        </w:rPr>
      </w:pPr>
      <w:r>
        <w:rPr>
          <w:rFonts w:ascii="Courier New" w:cs="Courier New" w:eastAsia="Courier New" w:hAnsi="Courier New"/>
          <w:sz w:val="16"/>
          <w:szCs w:val="16"/>
          <w:color w:val="auto"/>
        </w:rPr>
        <w:t>We are witnessing consolidation by our customers. These consolidations will result in a larger portion of our sales being made to some customers and may limit the customer base we are able to serve.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1031" w:right="1440" w:bottom="1440" w:gutter="0" w:footer="0" w:header="0"/>
        </w:sectPr>
      </w:pPr>
    </w:p>
    <w:bookmarkStart w:id="9" w:name="page10"/>
    <w:bookmarkEnd w:id="9"/>
    <w:p>
      <w:pPr>
        <w:jc w:val="center"/>
        <w:ind w:right="2499"/>
        <w:spacing w:after="0"/>
        <w:rPr>
          <w:sz w:val="20"/>
          <w:szCs w:val="20"/>
          <w:color w:val="auto"/>
        </w:rPr>
      </w:pPr>
      <w:r>
        <w:rPr>
          <w:rFonts w:ascii="Courier New" w:cs="Courier New" w:eastAsia="Courier New" w:hAnsi="Courier New"/>
          <w:sz w:val="16"/>
          <w:szCs w:val="16"/>
          <w:color w:val="auto"/>
        </w:rPr>
        <w:t>UNIVERSAL FOREST PRODUCTS, INC.</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72" w:lineRule="exact"/>
        <w:rPr>
          <w:sz w:val="20"/>
          <w:szCs w:val="20"/>
          <w:color w:val="auto"/>
        </w:rPr>
      </w:pPr>
    </w:p>
    <w:p>
      <w:pPr>
        <w:ind w:right="2599" w:firstLine="668"/>
        <w:spacing w:after="0" w:line="242" w:lineRule="auto"/>
        <w:rPr>
          <w:sz w:val="20"/>
          <w:szCs w:val="20"/>
          <w:color w:val="auto"/>
        </w:rPr>
      </w:pPr>
      <w:r>
        <w:rPr>
          <w:rFonts w:ascii="Courier New" w:cs="Courier New" w:eastAsia="Courier New" w:hAnsi="Courier New"/>
          <w:sz w:val="16"/>
          <w:szCs w:val="16"/>
          <w:color w:val="auto"/>
        </w:rPr>
        <w:t>OUR GROWTH MAY BE LIMITED BY OUR ABILITY TO MAKE SUCCESSFUL ACQUISITIONS. A key component of our growth strategy is to complete business combinations. Business combinations involve inherent risks, including assimilation and successfully managing growth. While we conduct extensive due diligence and have taken steps to ensure successful assimilation, factors beyond our control could influence the results of these acquisitions.</w:t>
      </w:r>
    </w:p>
    <w:p>
      <w:pPr>
        <w:spacing w:after="0" w:line="187" w:lineRule="exact"/>
        <w:rPr>
          <w:sz w:val="20"/>
          <w:szCs w:val="20"/>
          <w:color w:val="auto"/>
        </w:rPr>
      </w:pPr>
    </w:p>
    <w:p>
      <w:pPr>
        <w:ind w:right="2599" w:firstLine="668"/>
        <w:spacing w:after="0" w:line="242" w:lineRule="auto"/>
        <w:rPr>
          <w:sz w:val="20"/>
          <w:szCs w:val="20"/>
          <w:color w:val="auto"/>
        </w:rPr>
      </w:pPr>
      <w:r>
        <w:rPr>
          <w:rFonts w:ascii="Courier New" w:cs="Courier New" w:eastAsia="Courier New" w:hAnsi="Courier New"/>
          <w:sz w:val="16"/>
          <w:szCs w:val="16"/>
          <w:color w:val="auto"/>
        </w:rPr>
        <w:t>WE MAY BE ADVERSELY AFFECTED BY THE IMPACT OF ENVIRONMENTAL AND SAFETY REGULATIONS. We are subject to a variety of government regulations which create a financial burden on us. If additional laws and regulations are enacted in the future which restrict our ability to manufacture or market our products, including our preservative-treated products, it could adversely affect our sales and profits. If existing laws are interpreted differently, it could increase our financial cost.</w:t>
      </w:r>
    </w:p>
    <w:p>
      <w:pPr>
        <w:spacing w:after="0" w:line="188" w:lineRule="exact"/>
        <w:rPr>
          <w:sz w:val="20"/>
          <w:szCs w:val="20"/>
          <w:color w:val="auto"/>
        </w:rPr>
      </w:pPr>
    </w:p>
    <w:p>
      <w:pPr>
        <w:ind w:right="2599" w:firstLine="668"/>
        <w:spacing w:after="0" w:line="242" w:lineRule="auto"/>
        <w:rPr>
          <w:sz w:val="20"/>
          <w:szCs w:val="20"/>
          <w:color w:val="auto"/>
        </w:rPr>
      </w:pPr>
      <w:r>
        <w:rPr>
          <w:rFonts w:ascii="Courier New" w:cs="Courier New" w:eastAsia="Courier New" w:hAnsi="Courier New"/>
          <w:sz w:val="16"/>
          <w:szCs w:val="16"/>
          <w:color w:val="auto"/>
        </w:rPr>
        <w:t>The wood preservation process involves the use of a chromated copper arsenate ("CCA") solution that is applied to wood products under pressure. We understand, based on published industry reports, that CCA is a safe and effective product to prolong the use of many of our wood products. We are aware of allegations that the existence of arsenic in such products presents a threat to public health. To date, we do not have any evidence supporting the validity of any of these allegations. Nevertheless, and presumably due to these allegations, the State of Florida has imposed a moratorium on the use of CCA treated wood in Florida state parks. The expansion of limits on the use of CCA treated lumber within Florida or by other states could have a negative impact on our results of operations.</w:t>
      </w:r>
    </w:p>
    <w:p>
      <w:pPr>
        <w:spacing w:after="0" w:line="191" w:lineRule="exact"/>
        <w:rPr>
          <w:sz w:val="20"/>
          <w:szCs w:val="20"/>
          <w:color w:val="auto"/>
        </w:rPr>
      </w:pPr>
    </w:p>
    <w:p>
      <w:pPr>
        <w:ind w:right="2599" w:firstLine="668"/>
        <w:spacing w:after="0" w:line="242" w:lineRule="auto"/>
        <w:rPr>
          <w:sz w:val="20"/>
          <w:szCs w:val="20"/>
          <w:color w:val="auto"/>
        </w:rPr>
      </w:pPr>
      <w:r>
        <w:rPr>
          <w:rFonts w:ascii="Courier New" w:cs="Courier New" w:eastAsia="Courier New" w:hAnsi="Courier New"/>
          <w:sz w:val="16"/>
          <w:szCs w:val="16"/>
          <w:color w:val="auto"/>
        </w:rPr>
        <w:t>The United States government suspended the implementation of proposed changes in the arsenic drinking water standards adopted in the last days of the Clinton administration. Subsequent to the September period end, the Director of the Federal Environmental Protection Agency ("EPA") indicated that the EPA intended to adopt a drinking water standard for arsenic of 10 parts per billion. We anticipate that other threshold levels, such as storm water and soil limitations, will be reduced. These requirements, if adopted, could have a significant adverse impact on our cost of operations.</w:t>
      </w:r>
    </w:p>
    <w:p>
      <w:pPr>
        <w:spacing w:after="0" w:line="189" w:lineRule="exact"/>
        <w:rPr>
          <w:sz w:val="20"/>
          <w:szCs w:val="20"/>
          <w:color w:val="auto"/>
        </w:rPr>
      </w:pPr>
    </w:p>
    <w:p>
      <w:pPr>
        <w:ind w:right="2599" w:firstLine="668"/>
        <w:spacing w:after="0" w:line="259" w:lineRule="auto"/>
        <w:rPr>
          <w:sz w:val="20"/>
          <w:szCs w:val="20"/>
          <w:color w:val="auto"/>
        </w:rPr>
      </w:pPr>
      <w:r>
        <w:rPr>
          <w:rFonts w:ascii="Courier New" w:cs="Courier New" w:eastAsia="Courier New" w:hAnsi="Courier New"/>
          <w:sz w:val="15"/>
          <w:szCs w:val="15"/>
          <w:color w:val="auto"/>
        </w:rPr>
        <w:t>WE COULD BE ADVERSELY AFFECTED BY SEASONALITY AND WEATHER CONDITIONS. Some aspects of our business are seasonal in nature and results of operations vary from quarter to quarter. Our treated lumber and outdoor specialty products, such as fencing, decking and lattice, experience the greatest seasonal effects. Sales of treated lumber, primarily consisting of Southern Yellow Pine ("SYP"), also experience the greatest Lumber Market risk. Treated lumber sales are generally at their highest levels between April and August. This sales peak, combined with capacity constraints in the wood treatment process, requires us to build our inventory of treated lumber throughout the winter and spring. Since sales prices of treated lumber products may be indexed to the Lumber Market at the time they are shipped, our profits can be negatively affected by prolonged declines in the Lumber Market during our primary selling season. To mitigate this risk, programs are maintained with certain vendors and customers that are intended to decrease our exposure. These programs include those materials which are most susceptible to adverse changes in the Lumber Market. Vendor programs also allow us to carry a lower investment in inventories.</w:t>
      </w:r>
    </w:p>
    <w:p>
      <w:pPr>
        <w:spacing w:after="0" w:line="36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48" w:right="1440" w:bottom="1440" w:gutter="0" w:footer="0" w:header="0"/>
        </w:sectPr>
      </w:pPr>
    </w:p>
    <w:bookmarkStart w:id="10" w:name="page11"/>
    <w:bookmarkEnd w:id="10"/>
    <w:p>
      <w:pPr>
        <w:jc w:val="center"/>
        <w:ind w:right="2499"/>
        <w:spacing w:after="0"/>
        <w:rPr>
          <w:sz w:val="20"/>
          <w:szCs w:val="20"/>
          <w:color w:val="auto"/>
        </w:rPr>
      </w:pPr>
      <w:r>
        <w:rPr>
          <w:rFonts w:ascii="Courier New" w:cs="Courier New" w:eastAsia="Courier New" w:hAnsi="Courier New"/>
          <w:sz w:val="16"/>
          <w:szCs w:val="16"/>
          <w:color w:val="auto"/>
        </w:rPr>
        <w:t>UNIVERSAL FOREST PRODUCTS, INC.</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72" w:lineRule="exact"/>
        <w:rPr>
          <w:sz w:val="20"/>
          <w:szCs w:val="20"/>
          <w:color w:val="auto"/>
        </w:rPr>
      </w:pPr>
    </w:p>
    <w:p>
      <w:pPr>
        <w:ind w:right="2679" w:firstLine="954"/>
        <w:spacing w:after="0" w:line="241" w:lineRule="auto"/>
        <w:rPr>
          <w:sz w:val="20"/>
          <w:szCs w:val="20"/>
          <w:color w:val="auto"/>
        </w:rPr>
      </w:pPr>
      <w:r>
        <w:rPr>
          <w:rFonts w:ascii="Courier New" w:cs="Courier New" w:eastAsia="Courier New" w:hAnsi="Courier New"/>
          <w:sz w:val="16"/>
          <w:szCs w:val="16"/>
          <w:color w:val="auto"/>
        </w:rPr>
        <w:t>The majority of our products are used or installed in outdoor construction activities, therefore short-term sales volume and profits can be negatively affected by adverse weather conditions. In addition, adverse weather conditions can negatively impact our productivity and costs per unit.</w:t>
      </w:r>
    </w:p>
    <w:p>
      <w:pPr>
        <w:spacing w:after="0" w:line="189" w:lineRule="exact"/>
        <w:rPr>
          <w:sz w:val="20"/>
          <w:szCs w:val="20"/>
          <w:color w:val="auto"/>
        </w:rPr>
      </w:pPr>
    </w:p>
    <w:p>
      <w:pPr>
        <w:ind w:right="2599" w:firstLine="668"/>
        <w:spacing w:after="0" w:line="242" w:lineRule="auto"/>
        <w:rPr>
          <w:sz w:val="20"/>
          <w:szCs w:val="20"/>
          <w:color w:val="auto"/>
        </w:rPr>
      </w:pPr>
      <w:r>
        <w:rPr>
          <w:rFonts w:ascii="Courier New" w:cs="Courier New" w:eastAsia="Courier New" w:hAnsi="Courier New"/>
          <w:sz w:val="16"/>
          <w:szCs w:val="16"/>
          <w:color w:val="auto"/>
        </w:rPr>
        <w:t>WE MAY BE ADVERSELY AFFECTED IF OUR CUSTOMERS AND VENDORS ARE NOT WILLING TO MODIFY OUR EXISTING DISTRIBUTION STRATEGIES. While we have invested heavily in technology and established electronic business-to-business efficiencies with certain customers and vendors, the willingness of customers and vendors to modify existing distribution strategies poses a potential risk. We believe the nature of our products, together with our value-added services, ensures that we have a secure position in the supply chain.</w:t>
      </w:r>
    </w:p>
    <w:p>
      <w:pPr>
        <w:spacing w:after="0" w:line="188"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When analyzing this report to assess our future performance, please recognize the potential impact of the various factors set forth above.</w:t>
      </w:r>
    </w:p>
    <w:p>
      <w:pPr>
        <w:spacing w:after="0" w:line="186"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FLUCTUATIONS IN LUMBER PRICES</w:t>
      </w:r>
    </w:p>
    <w:p>
      <w:pPr>
        <w:spacing w:after="0" w:line="188" w:lineRule="exact"/>
        <w:rPr>
          <w:sz w:val="20"/>
          <w:szCs w:val="20"/>
          <w:color w:val="auto"/>
        </w:rPr>
      </w:pPr>
    </w:p>
    <w:p>
      <w:pPr>
        <w:ind w:right="2679" w:firstLine="668"/>
        <w:spacing w:after="0" w:line="271" w:lineRule="auto"/>
        <w:rPr>
          <w:sz w:val="20"/>
          <w:szCs w:val="20"/>
          <w:color w:val="auto"/>
        </w:rPr>
      </w:pPr>
      <w:r>
        <w:rPr>
          <w:rFonts w:ascii="Courier New" w:cs="Courier New" w:eastAsia="Courier New" w:hAnsi="Courier New"/>
          <w:sz w:val="15"/>
          <w:szCs w:val="15"/>
          <w:color w:val="auto"/>
        </w:rPr>
        <w:t>The following table presents the Random Lengths framing lumber composite price for the nine months ended September 29, 2001 and September 23, 2000:</w:t>
      </w:r>
    </w:p>
    <w:p>
      <w:pPr>
        <w:spacing w:after="0" w:line="347" w:lineRule="exact"/>
        <w:rPr>
          <w:sz w:val="20"/>
          <w:szCs w:val="20"/>
          <w:color w:val="auto"/>
        </w:rPr>
      </w:pPr>
    </w:p>
    <w:tbl>
      <w:tblPr>
        <w:tblLayout w:type="fixed"/>
        <w:tblInd w:w="1720" w:type="dxa"/>
        <w:tblCellMar>
          <w:top w:w="0" w:type="dxa"/>
          <w:left w:w="0" w:type="dxa"/>
          <w:bottom w:w="0" w:type="dxa"/>
          <w:right w:w="0" w:type="dxa"/>
        </w:tblCellMar>
      </w:tblPr>
      <w:tr>
        <w:trPr>
          <w:trHeight w:val="181"/>
        </w:trPr>
        <w:tc>
          <w:tcPr>
            <w:tcW w:w="3340" w:type="dxa"/>
            <w:vAlign w:val="bottom"/>
          </w:tcPr>
          <w:p>
            <w:pPr>
              <w:spacing w:after="0"/>
              <w:rPr>
                <w:sz w:val="15"/>
                <w:szCs w:val="15"/>
                <w:color w:val="auto"/>
              </w:rPr>
            </w:pPr>
          </w:p>
        </w:tc>
        <w:tc>
          <w:tcPr>
            <w:tcW w:w="29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Random Lengths Composite</w:t>
            </w:r>
          </w:p>
        </w:tc>
      </w:tr>
      <w:tr>
        <w:trPr>
          <w:trHeight w:val="183"/>
        </w:trPr>
        <w:tc>
          <w:tcPr>
            <w:tcW w:w="3340" w:type="dxa"/>
            <w:vAlign w:val="bottom"/>
          </w:tcPr>
          <w:p>
            <w:pPr>
              <w:spacing w:after="0"/>
              <w:rPr>
                <w:sz w:val="15"/>
                <w:szCs w:val="15"/>
                <w:color w:val="auto"/>
              </w:rPr>
            </w:pPr>
          </w:p>
        </w:tc>
        <w:tc>
          <w:tcPr>
            <w:tcW w:w="29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Average $/MBF</w:t>
            </w:r>
          </w:p>
        </w:tc>
      </w:tr>
      <w:tr>
        <w:trPr>
          <w:trHeight w:val="183"/>
        </w:trPr>
        <w:tc>
          <w:tcPr>
            <w:tcW w:w="3340" w:type="dxa"/>
            <w:vAlign w:val="bottom"/>
          </w:tcPr>
          <w:p>
            <w:pPr>
              <w:spacing w:after="0"/>
              <w:rPr>
                <w:sz w:val="15"/>
                <w:szCs w:val="15"/>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3340" w:type="dxa"/>
            <w:vAlign w:val="bottom"/>
          </w:tcPr>
          <w:p>
            <w:pPr>
              <w:spacing w:after="0"/>
              <w:rPr>
                <w:sz w:val="15"/>
                <w:szCs w:val="15"/>
                <w:color w:val="auto"/>
              </w:rPr>
            </w:pP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2001</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3340" w:type="dxa"/>
            <w:vAlign w:val="bottom"/>
          </w:tcPr>
          <w:p>
            <w:pPr>
              <w:spacing w:after="0"/>
              <w:rPr>
                <w:sz w:val="15"/>
                <w:szCs w:val="15"/>
                <w:color w:val="auto"/>
              </w:rPr>
            </w:pP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January............................</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$269</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$386</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February...........................</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285</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385</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March..............................</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306</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382</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April..............................</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331</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359</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May................................</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411</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326</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June...............................</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365</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331</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July...............................</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325</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308</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August.............................</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336</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289</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September..........................</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309</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287</w:t>
            </w:r>
          </w:p>
        </w:tc>
      </w:tr>
      <w:tr>
        <w:trPr>
          <w:trHeight w:val="550"/>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Third quarter average..............</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$323</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$295</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Year-to-date average...............</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$326</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$339</w:t>
            </w:r>
          </w:p>
        </w:tc>
      </w:tr>
      <w:tr>
        <w:trPr>
          <w:trHeight w:val="550"/>
        </w:trPr>
        <w:tc>
          <w:tcPr>
            <w:tcW w:w="3340" w:type="dxa"/>
            <w:vAlign w:val="bottom"/>
          </w:tcPr>
          <w:p>
            <w:pPr>
              <w:spacing w:after="0"/>
              <w:rPr>
                <w:sz w:val="20"/>
                <w:szCs w:val="20"/>
                <w:color w:val="auto"/>
              </w:rPr>
            </w:pPr>
            <w:r>
              <w:rPr>
                <w:rFonts w:ascii="Courier New" w:cs="Courier New" w:eastAsia="Courier New" w:hAnsi="Courier New"/>
                <w:sz w:val="16"/>
                <w:szCs w:val="16"/>
                <w:color w:val="auto"/>
              </w:rPr>
              <w:t>Third quarter percentage</w:t>
            </w: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3"/>
        </w:trPr>
        <w:tc>
          <w:tcPr>
            <w:tcW w:w="3340" w:type="dxa"/>
            <w:vAlign w:val="bottom"/>
          </w:tcPr>
          <w:p>
            <w:pPr>
              <w:jc w:val="right"/>
              <w:spacing w:after="0"/>
              <w:rPr>
                <w:sz w:val="20"/>
                <w:szCs w:val="20"/>
                <w:color w:val="auto"/>
              </w:rPr>
            </w:pPr>
            <w:r>
              <w:rPr>
                <w:rFonts w:ascii="Courier New" w:cs="Courier New" w:eastAsia="Courier New" w:hAnsi="Courier New"/>
                <w:sz w:val="16"/>
                <w:szCs w:val="16"/>
                <w:color w:val="auto"/>
              </w:rPr>
              <w:t>increase from 2000................</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9.5%</w:t>
            </w:r>
          </w:p>
        </w:tc>
        <w:tc>
          <w:tcPr>
            <w:tcW w:w="1320" w:type="dxa"/>
            <w:vAlign w:val="bottom"/>
          </w:tcPr>
          <w:p>
            <w:pPr>
              <w:spacing w:after="0"/>
              <w:rPr>
                <w:sz w:val="15"/>
                <w:szCs w:val="15"/>
                <w:color w:val="auto"/>
              </w:rPr>
            </w:pP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Year-to-date percentage</w:t>
            </w: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3"/>
        </w:trPr>
        <w:tc>
          <w:tcPr>
            <w:tcW w:w="3340" w:type="dxa"/>
            <w:vAlign w:val="bottom"/>
          </w:tcPr>
          <w:p>
            <w:pPr>
              <w:jc w:val="right"/>
              <w:spacing w:after="0"/>
              <w:rPr>
                <w:sz w:val="20"/>
                <w:szCs w:val="20"/>
                <w:color w:val="auto"/>
              </w:rPr>
            </w:pPr>
            <w:r>
              <w:rPr>
                <w:rFonts w:ascii="Courier New" w:cs="Courier New" w:eastAsia="Courier New" w:hAnsi="Courier New"/>
                <w:sz w:val="16"/>
                <w:szCs w:val="16"/>
                <w:color w:val="auto"/>
              </w:rPr>
              <w:t>decrease from 2000...............</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(3.8%)</w:t>
            </w:r>
          </w:p>
        </w:tc>
        <w:tc>
          <w:tcPr>
            <w:tcW w:w="1320" w:type="dxa"/>
            <w:vAlign w:val="bottom"/>
          </w:tcPr>
          <w:p>
            <w:pPr>
              <w:spacing w:after="0"/>
              <w:rPr>
                <w:sz w:val="15"/>
                <w:szCs w:val="15"/>
                <w:color w:val="auto"/>
              </w:rPr>
            </w:pPr>
          </w:p>
        </w:tc>
      </w:tr>
    </w:tbl>
    <w:p>
      <w:pPr>
        <w:spacing w:after="0" w:line="372" w:lineRule="exact"/>
        <w:rPr>
          <w:sz w:val="20"/>
          <w:szCs w:val="20"/>
          <w:color w:val="auto"/>
        </w:rPr>
      </w:pPr>
    </w:p>
    <w:p>
      <w:pPr>
        <w:ind w:right="2879" w:firstLine="668"/>
        <w:spacing w:after="0"/>
        <w:rPr>
          <w:sz w:val="20"/>
          <w:szCs w:val="20"/>
          <w:color w:val="auto"/>
        </w:rPr>
      </w:pPr>
      <w:r>
        <w:rPr>
          <w:rFonts w:ascii="Courier New" w:cs="Courier New" w:eastAsia="Courier New" w:hAnsi="Courier New"/>
          <w:sz w:val="16"/>
          <w:szCs w:val="16"/>
          <w:color w:val="auto"/>
        </w:rPr>
        <w:t>In addition, a SYP composite price, which we prepare and use, is presented below. Sales of products produced using this species comprise up to 50% of our sales volume.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48" w:right="1440" w:bottom="1440" w:gutter="0" w:footer="0" w:header="0"/>
        </w:sectPr>
      </w:pPr>
    </w:p>
    <w:bookmarkStart w:id="11" w:name="page12"/>
    <w:bookmarkEnd w:id="11"/>
    <w:p>
      <w:pPr>
        <w:jc w:val="center"/>
        <w:ind w:right="2499"/>
        <w:spacing w:after="0"/>
        <w:rPr>
          <w:sz w:val="20"/>
          <w:szCs w:val="20"/>
          <w:color w:val="auto"/>
        </w:rPr>
      </w:pPr>
      <w:r>
        <w:rPr>
          <w:rFonts w:ascii="Courier New" w:cs="Courier New" w:eastAsia="Courier New" w:hAnsi="Courier New"/>
          <w:sz w:val="16"/>
          <w:szCs w:val="16"/>
          <w:color w:val="auto"/>
        </w:rPr>
        <w:t>UNIVERSAL FOREST PRODUCTS, INC.</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200" w:lineRule="exact"/>
        <w:rPr>
          <w:sz w:val="20"/>
          <w:szCs w:val="20"/>
          <w:color w:val="auto"/>
        </w:rPr>
      </w:pPr>
    </w:p>
    <w:p>
      <w:pPr>
        <w:spacing w:after="0" w:line="352" w:lineRule="exact"/>
        <w:rPr>
          <w:sz w:val="20"/>
          <w:szCs w:val="20"/>
          <w:color w:val="auto"/>
        </w:rPr>
      </w:pPr>
    </w:p>
    <w:tbl>
      <w:tblPr>
        <w:tblLayout w:type="fixed"/>
        <w:tblInd w:w="1720" w:type="dxa"/>
        <w:tblCellMar>
          <w:top w:w="0" w:type="dxa"/>
          <w:left w:w="0" w:type="dxa"/>
          <w:bottom w:w="0" w:type="dxa"/>
          <w:right w:w="0" w:type="dxa"/>
        </w:tblCellMar>
      </w:tblPr>
      <w:tr>
        <w:trPr>
          <w:trHeight w:val="181"/>
        </w:trPr>
        <w:tc>
          <w:tcPr>
            <w:tcW w:w="3520" w:type="dxa"/>
            <w:vAlign w:val="bottom"/>
          </w:tcPr>
          <w:p>
            <w:pPr>
              <w:spacing w:after="0"/>
              <w:rPr>
                <w:sz w:val="15"/>
                <w:szCs w:val="15"/>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Random Lengths SYP</w:t>
            </w:r>
          </w:p>
        </w:tc>
      </w:tr>
      <w:tr>
        <w:trPr>
          <w:trHeight w:val="183"/>
        </w:trPr>
        <w:tc>
          <w:tcPr>
            <w:tcW w:w="3520" w:type="dxa"/>
            <w:vAlign w:val="bottom"/>
          </w:tcPr>
          <w:p>
            <w:pPr>
              <w:spacing w:after="0"/>
              <w:rPr>
                <w:sz w:val="15"/>
                <w:szCs w:val="15"/>
                <w:color w:val="auto"/>
              </w:rPr>
            </w:pPr>
          </w:p>
        </w:tc>
        <w:tc>
          <w:tcPr>
            <w:tcW w:w="19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Average $/MBF</w:t>
            </w:r>
          </w:p>
        </w:tc>
      </w:tr>
      <w:tr>
        <w:trPr>
          <w:trHeight w:val="183"/>
        </w:trPr>
        <w:tc>
          <w:tcPr>
            <w:tcW w:w="3520" w:type="dxa"/>
            <w:vAlign w:val="bottom"/>
          </w:tcPr>
          <w:p>
            <w:pPr>
              <w:spacing w:after="0"/>
              <w:rPr>
                <w:sz w:val="15"/>
                <w:szCs w:val="15"/>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spacing w:after="0"/>
              <w:rPr>
                <w:sz w:val="15"/>
                <w:szCs w:val="15"/>
                <w:color w:val="auto"/>
              </w:rPr>
            </w:pPr>
          </w:p>
        </w:tc>
        <w:tc>
          <w:tcPr>
            <w:tcW w:w="1140" w:type="dxa"/>
            <w:vAlign w:val="bottom"/>
          </w:tcPr>
          <w:p>
            <w:pPr>
              <w:ind w:left="480"/>
              <w:spacing w:after="0"/>
              <w:rPr>
                <w:sz w:val="20"/>
                <w:szCs w:val="20"/>
                <w:color w:val="auto"/>
              </w:rPr>
            </w:pPr>
            <w:r>
              <w:rPr>
                <w:rFonts w:ascii="Courier New" w:cs="Courier New" w:eastAsia="Courier New" w:hAnsi="Courier New"/>
                <w:sz w:val="16"/>
                <w:szCs w:val="16"/>
                <w:color w:val="auto"/>
              </w:rPr>
              <w:t>2001</w:t>
            </w: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3520" w:type="dxa"/>
            <w:vAlign w:val="bottom"/>
          </w:tcPr>
          <w:p>
            <w:pPr>
              <w:spacing w:after="0"/>
              <w:rPr>
                <w:sz w:val="15"/>
                <w:szCs w:val="15"/>
                <w:color w:val="auto"/>
              </w:rPr>
            </w:pPr>
          </w:p>
        </w:tc>
        <w:tc>
          <w:tcPr>
            <w:tcW w:w="114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$369</w:t>
            </w: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$488</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February...........................</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393</w:t>
            </w: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490</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March..............................</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408</w:t>
            </w: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494</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April .............................</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427</w:t>
            </w: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483</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May................................</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509</w:t>
            </w: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439</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June...............................</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496</w:t>
            </w: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456</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July...............................</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426</w:t>
            </w: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432</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August.............................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419</w:t>
            </w: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403</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September..........................</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406</w:t>
            </w: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395</w:t>
            </w:r>
          </w:p>
        </w:tc>
      </w:tr>
      <w:tr>
        <w:trPr>
          <w:trHeight w:val="550"/>
        </w:trPr>
        <w:tc>
          <w:tcPr>
            <w:tcW w:w="3520" w:type="dxa"/>
            <w:vAlign w:val="bottom"/>
          </w:tcPr>
          <w:p>
            <w:pPr>
              <w:spacing w:after="0"/>
              <w:rPr>
                <w:sz w:val="20"/>
                <w:szCs w:val="20"/>
                <w:color w:val="auto"/>
              </w:rPr>
            </w:pPr>
            <w:r>
              <w:rPr>
                <w:rFonts w:ascii="Courier New" w:cs="Courier New" w:eastAsia="Courier New" w:hAnsi="Courier New"/>
                <w:sz w:val="16"/>
                <w:szCs w:val="16"/>
                <w:color w:val="auto"/>
              </w:rPr>
              <w:t>Third quarter average..............</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$417</w:t>
            </w: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$410</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Year-to-date average...............</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$428</w:t>
            </w: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$453</w:t>
            </w:r>
          </w:p>
        </w:tc>
      </w:tr>
      <w:tr>
        <w:trPr>
          <w:trHeight w:val="550"/>
        </w:trPr>
        <w:tc>
          <w:tcPr>
            <w:tcW w:w="3520" w:type="dxa"/>
            <w:vAlign w:val="bottom"/>
          </w:tcPr>
          <w:p>
            <w:pPr>
              <w:spacing w:after="0"/>
              <w:rPr>
                <w:sz w:val="20"/>
                <w:szCs w:val="20"/>
                <w:color w:val="auto"/>
              </w:rPr>
            </w:pPr>
            <w:r>
              <w:rPr>
                <w:rFonts w:ascii="Courier New" w:cs="Courier New" w:eastAsia="Courier New" w:hAnsi="Courier New"/>
                <w:sz w:val="16"/>
                <w:szCs w:val="16"/>
                <w:color w:val="auto"/>
              </w:rPr>
              <w:t>Third quarter percentage</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increase from 2000...............</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w:t>
            </w:r>
          </w:p>
        </w:tc>
        <w:tc>
          <w:tcPr>
            <w:tcW w:w="780" w:type="dxa"/>
            <w:vAlign w:val="bottom"/>
          </w:tcPr>
          <w:p>
            <w:pPr>
              <w:spacing w:after="0"/>
              <w:rPr>
                <w:sz w:val="15"/>
                <w:szCs w:val="15"/>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Year-to-date percentage</w:t>
            </w: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decrease from 2000 ..............</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w:t>
            </w:r>
          </w:p>
        </w:tc>
        <w:tc>
          <w:tcPr>
            <w:tcW w:w="780" w:type="dxa"/>
            <w:vAlign w:val="bottom"/>
          </w:tcPr>
          <w:p>
            <w:pPr>
              <w:spacing w:after="0"/>
              <w:rPr>
                <w:sz w:val="15"/>
                <w:szCs w:val="15"/>
                <w:color w:val="auto"/>
              </w:rPr>
            </w:pPr>
          </w:p>
        </w:tc>
      </w:tr>
    </w:tbl>
    <w:p>
      <w:pPr>
        <w:spacing w:after="0" w:line="372" w:lineRule="exact"/>
        <w:rPr>
          <w:sz w:val="20"/>
          <w:szCs w:val="20"/>
          <w:color w:val="auto"/>
        </w:rPr>
      </w:pPr>
    </w:p>
    <w:p>
      <w:pPr>
        <w:ind w:right="3359" w:firstLine="668"/>
        <w:spacing w:after="0" w:line="239" w:lineRule="auto"/>
        <w:rPr>
          <w:sz w:val="20"/>
          <w:szCs w:val="20"/>
          <w:color w:val="auto"/>
        </w:rPr>
      </w:pPr>
      <w:r>
        <w:rPr>
          <w:rFonts w:ascii="Courier New" w:cs="Courier New" w:eastAsia="Courier New" w:hAnsi="Courier New"/>
          <w:sz w:val="16"/>
          <w:szCs w:val="16"/>
          <w:color w:val="auto"/>
        </w:rPr>
        <w:t>The effects of the Lumber Market on our results of operations are discussed below under the caption "Net Sales."</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BUSINESS COMBINATIONS</w:t>
      </w:r>
    </w:p>
    <w:p>
      <w:pPr>
        <w:spacing w:after="0" w:line="188" w:lineRule="exact"/>
        <w:rPr>
          <w:sz w:val="20"/>
          <w:szCs w:val="20"/>
          <w:color w:val="auto"/>
        </w:rPr>
      </w:pPr>
    </w:p>
    <w:p>
      <w:pPr>
        <w:ind w:right="2599" w:firstLine="668"/>
        <w:spacing w:after="0" w:line="265" w:lineRule="auto"/>
        <w:rPr>
          <w:sz w:val="20"/>
          <w:szCs w:val="20"/>
          <w:color w:val="auto"/>
        </w:rPr>
      </w:pPr>
      <w:r>
        <w:rPr>
          <w:rFonts w:ascii="Courier New" w:cs="Courier New" w:eastAsia="Courier New" w:hAnsi="Courier New"/>
          <w:sz w:val="15"/>
          <w:szCs w:val="15"/>
          <w:color w:val="auto"/>
        </w:rPr>
        <w:t>On February 28, 2001, one of our subsidiaries acquired 50% of the assets of D&amp;R Framing Contractors ("D&amp;R") of Englewood, Colorado for approximately $7.6 million. D&amp;R had net sales in fiscal 2000 totaling approximately $44 million.</w:t>
      </w:r>
    </w:p>
    <w:p>
      <w:pPr>
        <w:spacing w:after="0" w:line="171" w:lineRule="exact"/>
        <w:rPr>
          <w:sz w:val="20"/>
          <w:szCs w:val="20"/>
          <w:color w:val="auto"/>
        </w:rPr>
      </w:pPr>
    </w:p>
    <w:p>
      <w:pPr>
        <w:ind w:right="2779" w:firstLine="668"/>
        <w:spacing w:after="0" w:line="241" w:lineRule="auto"/>
        <w:rPr>
          <w:sz w:val="20"/>
          <w:szCs w:val="20"/>
          <w:color w:val="auto"/>
        </w:rPr>
      </w:pPr>
      <w:r>
        <w:rPr>
          <w:rFonts w:ascii="Courier New" w:cs="Courier New" w:eastAsia="Courier New" w:hAnsi="Courier New"/>
          <w:sz w:val="16"/>
          <w:szCs w:val="16"/>
          <w:color w:val="auto"/>
        </w:rPr>
        <w:t>On March 2, 2001, one of our subsidiaries acquired the remaining 50% of ECJW Holdings, Inc. and its two subsidiaries, Thorndale Roof Systems, Inc. and Edcor Floor Systems, Inc. (collectively "TED"). The purchase price for the remaining stock of TED was approximately $3.5 million.</w:t>
      </w:r>
    </w:p>
    <w:p>
      <w:pPr>
        <w:spacing w:after="0" w:line="189" w:lineRule="exact"/>
        <w:rPr>
          <w:sz w:val="20"/>
          <w:szCs w:val="20"/>
          <w:color w:val="auto"/>
        </w:rPr>
      </w:pPr>
    </w:p>
    <w:p>
      <w:pPr>
        <w:ind w:right="2679" w:firstLine="668"/>
        <w:spacing w:after="0" w:line="242" w:lineRule="auto"/>
        <w:rPr>
          <w:sz w:val="20"/>
          <w:szCs w:val="20"/>
          <w:color w:val="auto"/>
        </w:rPr>
      </w:pPr>
      <w:r>
        <w:rPr>
          <w:rFonts w:ascii="Courier New" w:cs="Courier New" w:eastAsia="Courier New" w:hAnsi="Courier New"/>
          <w:sz w:val="16"/>
          <w:szCs w:val="16"/>
          <w:color w:val="auto"/>
        </w:rPr>
        <w:t>On June 1, 2001, several of our subsidiaries acquired certain assets of the Superior Truss Division of Banks Corporation ("Superior"). The assets include operations in Syracuse, Indiana and Minneota, Minnesota which serve the site-built construction market. The total purchase price for the assets was approximately $11.0 million. Superior had net sales in fiscal 2000 totaling approximately $20 million.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48" w:right="1440" w:bottom="1440" w:gutter="0" w:footer="0" w:header="0"/>
        </w:sectPr>
      </w:pPr>
    </w:p>
    <w:bookmarkStart w:id="12" w:name="page13"/>
    <w:bookmarkEnd w:id="12"/>
    <w:p>
      <w:pPr>
        <w:jc w:val="center"/>
        <w:ind w:right="3538"/>
        <w:spacing w:after="0"/>
        <w:rPr>
          <w:sz w:val="20"/>
          <w:szCs w:val="20"/>
          <w:color w:val="auto"/>
        </w:rPr>
      </w:pPr>
      <w:r>
        <w:rPr>
          <w:rFonts w:ascii="Courier New" w:cs="Courier New" w:eastAsia="Courier New" w:hAnsi="Courier New"/>
          <w:sz w:val="16"/>
          <w:szCs w:val="16"/>
          <w:color w:val="auto"/>
        </w:rPr>
        <w:t>UNIVERSAL FOREST PRODUCTS, INC.</w:t>
      </w:r>
    </w:p>
    <w:p>
      <w:pPr>
        <w:spacing w:after="0" w:line="186" w:lineRule="exact"/>
        <w:rPr>
          <w:sz w:val="20"/>
          <w:szCs w:val="20"/>
          <w:color w:val="auto"/>
        </w:rPr>
      </w:pPr>
    </w:p>
    <w:p>
      <w:pPr>
        <w:jc w:val="center"/>
        <w:ind w:right="3538"/>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 w:lineRule="exact"/>
        <w:rPr>
          <w:sz w:val="20"/>
          <w:szCs w:val="20"/>
          <w:color w:val="auto"/>
        </w:rPr>
      </w:pPr>
    </w:p>
    <w:p>
      <w:pPr>
        <w:jc w:val="center"/>
        <w:ind w:right="3538"/>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186"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RESULTS OF OPERATIONS</w:t>
      </w:r>
    </w:p>
    <w:p>
      <w:pPr>
        <w:spacing w:after="0" w:line="188" w:lineRule="exact"/>
        <w:rPr>
          <w:sz w:val="20"/>
          <w:szCs w:val="20"/>
          <w:color w:val="auto"/>
        </w:rPr>
      </w:pPr>
    </w:p>
    <w:p>
      <w:pPr>
        <w:ind w:left="2" w:right="3820" w:firstLine="668"/>
        <w:spacing w:after="0"/>
        <w:rPr>
          <w:sz w:val="20"/>
          <w:szCs w:val="20"/>
          <w:color w:val="auto"/>
        </w:rPr>
      </w:pPr>
      <w:r>
        <w:rPr>
          <w:rFonts w:ascii="Courier New" w:cs="Courier New" w:eastAsia="Courier New" w:hAnsi="Courier New"/>
          <w:sz w:val="16"/>
          <w:szCs w:val="16"/>
          <w:color w:val="auto"/>
        </w:rPr>
        <w:t>The following table presents, for the periods indicated, the components of our Consolidated Condensed Statements of Earnings as a percentage of net sales.</w:t>
      </w:r>
    </w:p>
    <w:p>
      <w:pPr>
        <w:spacing w:after="0" w:line="370"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4380" w:type="dxa"/>
            <w:vAlign w:val="bottom"/>
          </w:tcPr>
          <w:p>
            <w:pPr>
              <w:spacing w:after="0"/>
              <w:rPr>
                <w:sz w:val="15"/>
                <w:szCs w:val="15"/>
                <w:color w:val="auto"/>
              </w:rPr>
            </w:pPr>
          </w:p>
        </w:tc>
        <w:tc>
          <w:tcPr>
            <w:tcW w:w="3540" w:type="dxa"/>
            <w:vAlign w:val="bottom"/>
            <w:gridSpan w:val="2"/>
          </w:tcPr>
          <w:p>
            <w:pPr>
              <w:jc w:val="right"/>
              <w:ind w:right="601"/>
              <w:spacing w:after="0"/>
              <w:rPr>
                <w:sz w:val="20"/>
                <w:szCs w:val="20"/>
                <w:color w:val="auto"/>
              </w:rPr>
            </w:pPr>
            <w:r>
              <w:rPr>
                <w:rFonts w:ascii="Courier New" w:cs="Courier New" w:eastAsia="Courier New" w:hAnsi="Courier New"/>
                <w:sz w:val="16"/>
                <w:szCs w:val="16"/>
                <w:color w:val="auto"/>
              </w:rPr>
              <w:t>For the Three Months Ended</w:t>
            </w:r>
          </w:p>
        </w:tc>
        <w:tc>
          <w:tcPr>
            <w:tcW w:w="33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For the Nine Months Ended</w:t>
            </w:r>
          </w:p>
        </w:tc>
      </w:tr>
      <w:tr>
        <w:trPr>
          <w:trHeight w:val="183"/>
        </w:trPr>
        <w:tc>
          <w:tcPr>
            <w:tcW w:w="4380" w:type="dxa"/>
            <w:vAlign w:val="bottom"/>
          </w:tcPr>
          <w:p>
            <w:pPr>
              <w:spacing w:after="0"/>
              <w:rPr>
                <w:sz w:val="15"/>
                <w:szCs w:val="15"/>
                <w:color w:val="auto"/>
              </w:rPr>
            </w:pPr>
          </w:p>
        </w:tc>
        <w:tc>
          <w:tcPr>
            <w:tcW w:w="35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3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spacing w:after="0"/>
              <w:rPr>
                <w:sz w:val="15"/>
                <w:szCs w:val="15"/>
                <w:color w:val="auto"/>
              </w:rPr>
            </w:pPr>
          </w:p>
        </w:tc>
        <w:tc>
          <w:tcPr>
            <w:tcW w:w="18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September 29,</w:t>
            </w: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September 23,</w:t>
            </w: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September 29,</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September 23,</w:t>
            </w:r>
          </w:p>
        </w:tc>
      </w:tr>
      <w:tr>
        <w:trPr>
          <w:trHeight w:val="183"/>
        </w:trPr>
        <w:tc>
          <w:tcPr>
            <w:tcW w:w="4380" w:type="dxa"/>
            <w:vAlign w:val="bottom"/>
          </w:tcPr>
          <w:p>
            <w:pPr>
              <w:spacing w:after="0"/>
              <w:rPr>
                <w:sz w:val="15"/>
                <w:szCs w:val="15"/>
                <w:color w:val="auto"/>
              </w:rPr>
            </w:pPr>
          </w:p>
        </w:tc>
        <w:tc>
          <w:tcPr>
            <w:tcW w:w="18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2001</w:t>
            </w:r>
          </w:p>
        </w:tc>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2000</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2001</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4380" w:type="dxa"/>
            <w:vAlign w:val="bottom"/>
          </w:tcPr>
          <w:p>
            <w:pPr>
              <w:spacing w:after="0"/>
              <w:rPr>
                <w:sz w:val="15"/>
                <w:szCs w:val="15"/>
                <w:color w:val="auto"/>
              </w:rPr>
            </w:pPr>
          </w:p>
        </w:tc>
        <w:tc>
          <w:tcPr>
            <w:tcW w:w="18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3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8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100.0%</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100.0%</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100.0%</w:t>
            </w:r>
          </w:p>
        </w:tc>
      </w:tr>
      <w:tr>
        <w:trPr>
          <w:trHeight w:val="183"/>
        </w:trPr>
        <w:tc>
          <w:tcPr>
            <w:tcW w:w="438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182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87.0</w:t>
            </w:r>
          </w:p>
        </w:tc>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86.8</w:t>
            </w:r>
          </w:p>
        </w:tc>
        <w:tc>
          <w:tcPr>
            <w:tcW w:w="18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86.2</w:t>
            </w: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86.8</w:t>
            </w:r>
          </w:p>
        </w:tc>
      </w:tr>
      <w:tr>
        <w:trPr>
          <w:trHeight w:val="183"/>
        </w:trPr>
        <w:tc>
          <w:tcPr>
            <w:tcW w:w="4380" w:type="dxa"/>
            <w:vAlign w:val="bottom"/>
          </w:tcPr>
          <w:p>
            <w:pPr>
              <w:spacing w:after="0"/>
              <w:rPr>
                <w:sz w:val="15"/>
                <w:szCs w:val="15"/>
                <w:color w:val="auto"/>
              </w:rPr>
            </w:pPr>
          </w:p>
        </w:tc>
        <w:tc>
          <w:tcPr>
            <w:tcW w:w="18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7"/>
              </w:rPr>
              <w:t>---------</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438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82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13.0</w:t>
            </w:r>
          </w:p>
        </w:tc>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13.2</w:t>
            </w:r>
          </w:p>
        </w:tc>
        <w:tc>
          <w:tcPr>
            <w:tcW w:w="18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13.8</w:t>
            </w: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13.2</w:t>
            </w:r>
          </w:p>
        </w:tc>
      </w:tr>
      <w:tr>
        <w:trPr>
          <w:trHeight w:val="183"/>
        </w:trPr>
        <w:tc>
          <w:tcPr>
            <w:tcW w:w="438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1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4380" w:type="dxa"/>
            <w:vAlign w:val="bottom"/>
          </w:tcPr>
          <w:p>
            <w:pPr>
              <w:ind w:left="180"/>
              <w:spacing w:after="0"/>
              <w:rPr>
                <w:sz w:val="20"/>
                <w:szCs w:val="20"/>
                <w:color w:val="auto"/>
              </w:rPr>
            </w:pPr>
            <w:r>
              <w:rPr>
                <w:rFonts w:ascii="Courier New" w:cs="Courier New" w:eastAsia="Courier New" w:hAnsi="Courier New"/>
                <w:sz w:val="16"/>
                <w:szCs w:val="16"/>
                <w:color w:val="auto"/>
              </w:rPr>
              <w:t>administrative expenses....................</w:t>
            </w:r>
          </w:p>
        </w:tc>
        <w:tc>
          <w:tcPr>
            <w:tcW w:w="18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7"/>
              </w:rPr>
              <w:t>8.7</w:t>
            </w:r>
          </w:p>
        </w:tc>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8.6</w:t>
            </w:r>
          </w:p>
        </w:tc>
        <w:tc>
          <w:tcPr>
            <w:tcW w:w="18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9.0</w:t>
            </w: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8.2</w:t>
            </w:r>
          </w:p>
        </w:tc>
      </w:tr>
      <w:tr>
        <w:trPr>
          <w:trHeight w:val="183"/>
        </w:trPr>
        <w:tc>
          <w:tcPr>
            <w:tcW w:w="4380" w:type="dxa"/>
            <w:vAlign w:val="bottom"/>
          </w:tcPr>
          <w:p>
            <w:pPr>
              <w:spacing w:after="0"/>
              <w:rPr>
                <w:sz w:val="15"/>
                <w:szCs w:val="15"/>
                <w:color w:val="auto"/>
              </w:rPr>
            </w:pPr>
          </w:p>
        </w:tc>
        <w:tc>
          <w:tcPr>
            <w:tcW w:w="18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4380" w:type="dxa"/>
            <w:vAlign w:val="bottom"/>
          </w:tcPr>
          <w:p>
            <w:pPr>
              <w:spacing w:after="0"/>
              <w:rPr>
                <w:sz w:val="20"/>
                <w:szCs w:val="20"/>
                <w:color w:val="auto"/>
              </w:rPr>
            </w:pPr>
            <w:r>
              <w:rPr>
                <w:rFonts w:ascii="Courier New" w:cs="Courier New" w:eastAsia="Courier New" w:hAnsi="Courier New"/>
                <w:sz w:val="16"/>
                <w:szCs w:val="16"/>
                <w:color w:val="auto"/>
              </w:rPr>
              <w:t>Earnings from operations.....................</w:t>
            </w:r>
          </w:p>
        </w:tc>
        <w:tc>
          <w:tcPr>
            <w:tcW w:w="18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7"/>
              </w:rPr>
              <w:t>4.3</w:t>
            </w:r>
          </w:p>
        </w:tc>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4.6</w:t>
            </w:r>
          </w:p>
        </w:tc>
        <w:tc>
          <w:tcPr>
            <w:tcW w:w="18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4.8</w:t>
            </w: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5.0</w:t>
            </w:r>
          </w:p>
        </w:tc>
      </w:tr>
      <w:tr>
        <w:trPr>
          <w:trHeight w:val="183"/>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Interest, net................................</w:t>
            </w:r>
          </w:p>
        </w:tc>
        <w:tc>
          <w:tcPr>
            <w:tcW w:w="18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7"/>
              </w:rPr>
              <w:t>0.6</w:t>
            </w:r>
          </w:p>
        </w:tc>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1.0</w:t>
            </w:r>
          </w:p>
        </w:tc>
        <w:tc>
          <w:tcPr>
            <w:tcW w:w="18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0.8</w:t>
            </w: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0.9</w:t>
            </w:r>
          </w:p>
        </w:tc>
      </w:tr>
      <w:tr>
        <w:trPr>
          <w:trHeight w:val="183"/>
        </w:trPr>
        <w:tc>
          <w:tcPr>
            <w:tcW w:w="4380" w:type="dxa"/>
            <w:vAlign w:val="bottom"/>
          </w:tcPr>
          <w:p>
            <w:pPr>
              <w:spacing w:after="0"/>
              <w:rPr>
                <w:sz w:val="15"/>
                <w:szCs w:val="15"/>
                <w:color w:val="auto"/>
              </w:rPr>
            </w:pPr>
          </w:p>
        </w:tc>
        <w:tc>
          <w:tcPr>
            <w:tcW w:w="18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7"/>
              </w:rPr>
              <w:t>---------</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4380" w:type="dxa"/>
            <w:vAlign w:val="bottom"/>
          </w:tcPr>
          <w:p>
            <w:pPr>
              <w:spacing w:after="0"/>
              <w:rPr>
                <w:sz w:val="20"/>
                <w:szCs w:val="20"/>
                <w:color w:val="auto"/>
              </w:rPr>
            </w:pPr>
            <w:r>
              <w:rPr>
                <w:rFonts w:ascii="Courier New" w:cs="Courier New" w:eastAsia="Courier New" w:hAnsi="Courier New"/>
                <w:sz w:val="16"/>
                <w:szCs w:val="16"/>
                <w:color w:val="auto"/>
              </w:rPr>
              <w:t>Earnings before income taxes,</w:t>
            </w: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3"/>
        </w:trPr>
        <w:tc>
          <w:tcPr>
            <w:tcW w:w="4380" w:type="dxa"/>
            <w:vAlign w:val="bottom"/>
          </w:tcPr>
          <w:p>
            <w:pPr>
              <w:ind w:left="180"/>
              <w:spacing w:after="0"/>
              <w:rPr>
                <w:sz w:val="20"/>
                <w:szCs w:val="20"/>
                <w:color w:val="auto"/>
              </w:rPr>
            </w:pPr>
            <w:r>
              <w:rPr>
                <w:rFonts w:ascii="Courier New" w:cs="Courier New" w:eastAsia="Courier New" w:hAnsi="Courier New"/>
                <w:sz w:val="16"/>
                <w:szCs w:val="16"/>
                <w:color w:val="auto"/>
              </w:rPr>
              <w:t>minority interest and equity in</w:t>
            </w:r>
          </w:p>
        </w:tc>
        <w:tc>
          <w:tcPr>
            <w:tcW w:w="1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4380" w:type="dxa"/>
            <w:vAlign w:val="bottom"/>
          </w:tcPr>
          <w:p>
            <w:pPr>
              <w:ind w:left="180"/>
              <w:spacing w:after="0"/>
              <w:rPr>
                <w:sz w:val="20"/>
                <w:szCs w:val="20"/>
                <w:color w:val="auto"/>
              </w:rPr>
            </w:pPr>
            <w:r>
              <w:rPr>
                <w:rFonts w:ascii="Courier New" w:cs="Courier New" w:eastAsia="Courier New" w:hAnsi="Courier New"/>
                <w:sz w:val="16"/>
                <w:szCs w:val="16"/>
                <w:color w:val="auto"/>
              </w:rPr>
              <w:t>earnings (loss) of investee................</w:t>
            </w:r>
          </w:p>
        </w:tc>
        <w:tc>
          <w:tcPr>
            <w:tcW w:w="18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7"/>
              </w:rPr>
              <w:t>3.7</w:t>
            </w:r>
          </w:p>
        </w:tc>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3.6</w:t>
            </w:r>
          </w:p>
        </w:tc>
        <w:tc>
          <w:tcPr>
            <w:tcW w:w="18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4.0</w:t>
            </w: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4.1</w:t>
            </w:r>
          </w:p>
        </w:tc>
      </w:tr>
      <w:tr>
        <w:trPr>
          <w:trHeight w:val="183"/>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8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7"/>
              </w:rPr>
              <w:t>1.3</w:t>
            </w:r>
          </w:p>
        </w:tc>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1.4</w:t>
            </w:r>
          </w:p>
        </w:tc>
        <w:tc>
          <w:tcPr>
            <w:tcW w:w="18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1.5</w:t>
            </w: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1.6</w:t>
            </w:r>
          </w:p>
        </w:tc>
      </w:tr>
      <w:tr>
        <w:trPr>
          <w:trHeight w:val="183"/>
        </w:trPr>
        <w:tc>
          <w:tcPr>
            <w:tcW w:w="4380" w:type="dxa"/>
            <w:vAlign w:val="bottom"/>
          </w:tcPr>
          <w:p>
            <w:pPr>
              <w:spacing w:after="0"/>
              <w:rPr>
                <w:sz w:val="15"/>
                <w:szCs w:val="15"/>
                <w:color w:val="auto"/>
              </w:rPr>
            </w:pPr>
          </w:p>
        </w:tc>
        <w:tc>
          <w:tcPr>
            <w:tcW w:w="18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7"/>
              </w:rPr>
              <w:t>---------</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4380" w:type="dxa"/>
            <w:vAlign w:val="bottom"/>
          </w:tcPr>
          <w:p>
            <w:pPr>
              <w:spacing w:after="0"/>
              <w:rPr>
                <w:sz w:val="20"/>
                <w:szCs w:val="20"/>
                <w:color w:val="auto"/>
              </w:rPr>
            </w:pPr>
            <w:r>
              <w:rPr>
                <w:rFonts w:ascii="Courier New" w:cs="Courier New" w:eastAsia="Courier New" w:hAnsi="Courier New"/>
                <w:sz w:val="16"/>
                <w:szCs w:val="16"/>
                <w:color w:val="auto"/>
              </w:rPr>
              <w:t>Earnings before minority interest and</w:t>
            </w: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3"/>
        </w:trPr>
        <w:tc>
          <w:tcPr>
            <w:tcW w:w="4380" w:type="dxa"/>
            <w:vAlign w:val="bottom"/>
          </w:tcPr>
          <w:p>
            <w:pPr>
              <w:ind w:left="180"/>
              <w:spacing w:after="0"/>
              <w:rPr>
                <w:sz w:val="20"/>
                <w:szCs w:val="20"/>
                <w:color w:val="auto"/>
              </w:rPr>
            </w:pPr>
            <w:r>
              <w:rPr>
                <w:rFonts w:ascii="Courier New" w:cs="Courier New" w:eastAsia="Courier New" w:hAnsi="Courier New"/>
                <w:sz w:val="16"/>
                <w:szCs w:val="16"/>
                <w:color w:val="auto"/>
              </w:rPr>
              <w:t>equity in earnings (loss) of investee......</w:t>
            </w:r>
          </w:p>
        </w:tc>
        <w:tc>
          <w:tcPr>
            <w:tcW w:w="18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7"/>
              </w:rPr>
              <w:t>2.4</w:t>
            </w:r>
          </w:p>
        </w:tc>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2.2</w:t>
            </w:r>
          </w:p>
        </w:tc>
        <w:tc>
          <w:tcPr>
            <w:tcW w:w="18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2.5</w:t>
            </w: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2.5</w:t>
            </w:r>
          </w:p>
        </w:tc>
      </w:tr>
      <w:tr>
        <w:trPr>
          <w:trHeight w:val="183"/>
        </w:trPr>
        <w:tc>
          <w:tcPr>
            <w:tcW w:w="438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8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(0.1)</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(0.0)</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(0.1)</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(0.0)</w:t>
            </w:r>
          </w:p>
        </w:tc>
      </w:tr>
      <w:tr>
        <w:trPr>
          <w:trHeight w:val="183"/>
        </w:trPr>
        <w:tc>
          <w:tcPr>
            <w:tcW w:w="4380" w:type="dxa"/>
            <w:vAlign w:val="bottom"/>
          </w:tcPr>
          <w:p>
            <w:pPr>
              <w:spacing w:after="0"/>
              <w:rPr>
                <w:sz w:val="20"/>
                <w:szCs w:val="20"/>
                <w:color w:val="auto"/>
              </w:rPr>
            </w:pPr>
            <w:r>
              <w:rPr>
                <w:rFonts w:ascii="Courier New" w:cs="Courier New" w:eastAsia="Courier New" w:hAnsi="Courier New"/>
                <w:sz w:val="16"/>
                <w:szCs w:val="16"/>
                <w:color w:val="auto"/>
              </w:rPr>
              <w:t>Equity in earnings (loss) of investee........</w:t>
            </w:r>
          </w:p>
        </w:tc>
        <w:tc>
          <w:tcPr>
            <w:tcW w:w="18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7"/>
              </w:rPr>
              <w:t>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(0.0)</w:t>
            </w:r>
          </w:p>
        </w:tc>
        <w:tc>
          <w:tcPr>
            <w:tcW w:w="18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0.0</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(0.0)</w:t>
            </w:r>
          </w:p>
        </w:tc>
      </w:tr>
      <w:tr>
        <w:trPr>
          <w:trHeight w:val="183"/>
        </w:trPr>
        <w:tc>
          <w:tcPr>
            <w:tcW w:w="4380" w:type="dxa"/>
            <w:vAlign w:val="bottom"/>
          </w:tcPr>
          <w:p>
            <w:pPr>
              <w:spacing w:after="0"/>
              <w:rPr>
                <w:sz w:val="15"/>
                <w:szCs w:val="15"/>
                <w:color w:val="auto"/>
              </w:rPr>
            </w:pPr>
          </w:p>
        </w:tc>
        <w:tc>
          <w:tcPr>
            <w:tcW w:w="18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7"/>
              </w:rPr>
              <w:t>---------</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18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2.3%</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2.2%</w:t>
            </w:r>
          </w:p>
        </w:tc>
        <w:tc>
          <w:tcPr>
            <w:tcW w:w="1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2.4 %</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2.5%</w:t>
            </w:r>
          </w:p>
        </w:tc>
      </w:tr>
      <w:tr>
        <w:trPr>
          <w:trHeight w:val="183"/>
        </w:trPr>
        <w:tc>
          <w:tcPr>
            <w:tcW w:w="4380" w:type="dxa"/>
            <w:vAlign w:val="bottom"/>
          </w:tcPr>
          <w:p>
            <w:pPr>
              <w:spacing w:after="0"/>
              <w:rPr>
                <w:sz w:val="15"/>
                <w:szCs w:val="15"/>
                <w:color w:val="auto"/>
              </w:rPr>
            </w:pPr>
          </w:p>
        </w:tc>
        <w:tc>
          <w:tcPr>
            <w:tcW w:w="18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7"/>
              </w:rPr>
              <w:t>=========</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NET SALES</w:t>
      </w:r>
    </w:p>
    <w:p>
      <w:pPr>
        <w:spacing w:after="0" w:line="188" w:lineRule="exact"/>
        <w:rPr>
          <w:sz w:val="20"/>
          <w:szCs w:val="20"/>
          <w:color w:val="auto"/>
        </w:rPr>
      </w:pPr>
    </w:p>
    <w:p>
      <w:pPr>
        <w:ind w:left="2" w:right="3720" w:firstLine="668"/>
        <w:spacing w:after="0" w:line="241" w:lineRule="auto"/>
        <w:rPr>
          <w:sz w:val="20"/>
          <w:szCs w:val="20"/>
          <w:color w:val="auto"/>
        </w:rPr>
      </w:pPr>
      <w:r>
        <w:rPr>
          <w:rFonts w:ascii="Courier New" w:cs="Courier New" w:eastAsia="Courier New" w:hAnsi="Courier New"/>
          <w:sz w:val="16"/>
          <w:szCs w:val="16"/>
          <w:color w:val="auto"/>
        </w:rPr>
        <w:t>We engineer, manufacture, install, treat and distribute lumber and other building products to the do-it-yourself ("DIY"), site-built construction, manufactured housing, industrial and wholesale lumber markets. Our strategic sales objectives include:</w:t>
      </w:r>
    </w:p>
    <w:p>
      <w:pPr>
        <w:spacing w:after="0" w:line="189" w:lineRule="exact"/>
        <w:rPr>
          <w:sz w:val="20"/>
          <w:szCs w:val="20"/>
          <w:color w:val="auto"/>
        </w:rPr>
      </w:pPr>
    </w:p>
    <w:p>
      <w:pPr>
        <w:ind w:left="382" w:right="3540" w:hanging="382"/>
        <w:spacing w:after="0" w:line="241" w:lineRule="auto"/>
        <w:tabs>
          <w:tab w:leader="none" w:pos="19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Diversifying our end market sales mix by increasing sales of specialty wood packaging to industrial users and engineered wood products to the site-built construction market. Engineered wood products include roof trusses, wall panels and floor systems.</w:t>
      </w:r>
    </w:p>
    <w:p>
      <w:pPr>
        <w:spacing w:after="0" w:line="189" w:lineRule="exact"/>
        <w:rPr>
          <w:rFonts w:ascii="Courier New" w:cs="Courier New" w:eastAsia="Courier New" w:hAnsi="Courier New"/>
          <w:sz w:val="16"/>
          <w:szCs w:val="16"/>
          <w:color w:val="auto"/>
        </w:rPr>
      </w:pPr>
    </w:p>
    <w:p>
      <w:pPr>
        <w:ind w:left="382" w:right="3720" w:hanging="382"/>
        <w:spacing w:after="0" w:line="242" w:lineRule="auto"/>
        <w:tabs>
          <w:tab w:leader="none" w:pos="19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Increasing sales of "value-added" products. Value-added product sales consist of fencing, decking, lattice and other specialty products sold to the DIY market; specialty wood packaging; and engineered wood products. One of our long-term goals is to achieve a ratio of value-added sales to total sales of at least 50%. Although we consider the treatment of dimensional lumber with</w:t>
      </w:r>
    </w:p>
    <w:p>
      <w:pPr>
        <w:spacing w:after="0" w:line="184"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1262"/>
          </w:cols>
          <w:pgMar w:left="238" w:top="848" w:right="399" w:bottom="1440" w:gutter="0" w:footer="0" w:header="0"/>
        </w:sectPr>
      </w:pPr>
    </w:p>
    <w:bookmarkStart w:id="13" w:name="page14"/>
    <w:bookmarkEnd w:id="13"/>
    <w:p>
      <w:pPr>
        <w:jc w:val="center"/>
        <w:ind w:right="3798"/>
        <w:spacing w:after="0"/>
        <w:rPr>
          <w:sz w:val="20"/>
          <w:szCs w:val="20"/>
          <w:color w:val="auto"/>
        </w:rPr>
      </w:pPr>
      <w:r>
        <w:rPr>
          <w:rFonts w:ascii="Courier New" w:cs="Courier New" w:eastAsia="Courier New" w:hAnsi="Courier New"/>
          <w:sz w:val="16"/>
          <w:szCs w:val="16"/>
          <w:color w:val="auto"/>
        </w:rPr>
        <w:t>UNIVERSAL FOREST PRODUCTS, INC.</w:t>
      </w:r>
    </w:p>
    <w:p>
      <w:pPr>
        <w:spacing w:after="0" w:line="186" w:lineRule="exact"/>
        <w:rPr>
          <w:sz w:val="20"/>
          <w:szCs w:val="20"/>
          <w:color w:val="auto"/>
        </w:rPr>
      </w:pPr>
    </w:p>
    <w:p>
      <w:pPr>
        <w:jc w:val="center"/>
        <w:ind w:right="3798"/>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 w:lineRule="exact"/>
        <w:rPr>
          <w:sz w:val="20"/>
          <w:szCs w:val="20"/>
          <w:color w:val="auto"/>
        </w:rPr>
      </w:pPr>
    </w:p>
    <w:p>
      <w:pPr>
        <w:jc w:val="center"/>
        <w:ind w:right="3798"/>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72" w:lineRule="exact"/>
        <w:rPr>
          <w:sz w:val="20"/>
          <w:szCs w:val="20"/>
          <w:color w:val="auto"/>
        </w:rPr>
      </w:pPr>
    </w:p>
    <w:p>
      <w:pPr>
        <w:ind w:left="382" w:right="3980"/>
        <w:spacing w:after="0" w:line="239" w:lineRule="auto"/>
        <w:rPr>
          <w:sz w:val="20"/>
          <w:szCs w:val="20"/>
          <w:color w:val="auto"/>
        </w:rPr>
      </w:pPr>
      <w:r>
        <w:rPr>
          <w:rFonts w:ascii="Courier New" w:cs="Courier New" w:eastAsia="Courier New" w:hAnsi="Courier New"/>
          <w:sz w:val="16"/>
          <w:szCs w:val="16"/>
          <w:color w:val="auto"/>
        </w:rPr>
        <w:t>certain chemical preservatives a value-added process, treated lumber is not presently included in the value-added sales totals.</w:t>
      </w:r>
    </w:p>
    <w:p>
      <w:pPr>
        <w:spacing w:after="0" w:line="186" w:lineRule="exact"/>
        <w:rPr>
          <w:sz w:val="20"/>
          <w:szCs w:val="20"/>
          <w:color w:val="auto"/>
        </w:rPr>
      </w:pPr>
    </w:p>
    <w:p>
      <w:pPr>
        <w:ind w:left="182" w:hanging="182"/>
        <w:spacing w:after="0"/>
        <w:tabs>
          <w:tab w:leader="none" w:pos="1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Maximizing profitable top-line sales growth while increasing DIY market share.</w:t>
      </w:r>
    </w:p>
    <w:p>
      <w:pPr>
        <w:spacing w:after="0" w:line="185"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Maintaining manufactured housing market share.</w:t>
      </w:r>
    </w:p>
    <w:p>
      <w:pPr>
        <w:spacing w:after="0" w:line="188" w:lineRule="exact"/>
        <w:rPr>
          <w:sz w:val="20"/>
          <w:szCs w:val="20"/>
          <w:color w:val="auto"/>
        </w:rPr>
      </w:pPr>
    </w:p>
    <w:p>
      <w:pPr>
        <w:ind w:left="2" w:right="4080" w:firstLine="763"/>
        <w:spacing w:after="0" w:line="271" w:lineRule="auto"/>
        <w:rPr>
          <w:sz w:val="20"/>
          <w:szCs w:val="20"/>
          <w:color w:val="auto"/>
        </w:rPr>
      </w:pPr>
      <w:r>
        <w:rPr>
          <w:rFonts w:ascii="Courier New" w:cs="Courier New" w:eastAsia="Courier New" w:hAnsi="Courier New"/>
          <w:sz w:val="15"/>
          <w:szCs w:val="15"/>
          <w:color w:val="auto"/>
        </w:rPr>
        <w:t>The following table presents, for the periods indicated, our net sales (in thousands) and percentage of total net sales by market classification.</w:t>
      </w:r>
    </w:p>
    <w:p>
      <w:pPr>
        <w:spacing w:after="0" w:line="347"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000" w:type="dxa"/>
            <w:vAlign w:val="bottom"/>
          </w:tcPr>
          <w:p>
            <w:pPr>
              <w:spacing w:after="0"/>
              <w:rPr>
                <w:sz w:val="15"/>
                <w:szCs w:val="15"/>
                <w:color w:val="auto"/>
              </w:rPr>
            </w:pPr>
          </w:p>
        </w:tc>
        <w:tc>
          <w:tcPr>
            <w:tcW w:w="3340" w:type="dxa"/>
            <w:vAlign w:val="bottom"/>
            <w:gridSpan w:val="3"/>
          </w:tcPr>
          <w:p>
            <w:pPr>
              <w:jc w:val="right"/>
              <w:ind w:right="161"/>
              <w:spacing w:after="0"/>
              <w:rPr>
                <w:sz w:val="20"/>
                <w:szCs w:val="20"/>
                <w:color w:val="auto"/>
              </w:rPr>
            </w:pPr>
            <w:r>
              <w:rPr>
                <w:rFonts w:ascii="Courier New" w:cs="Courier New" w:eastAsia="Courier New" w:hAnsi="Courier New"/>
                <w:sz w:val="16"/>
                <w:szCs w:val="16"/>
                <w:color w:val="auto"/>
              </w:rPr>
              <w:t>For the Three Months Ended</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For the Nine Months Ended</w:t>
            </w:r>
          </w:p>
        </w:tc>
        <w:tc>
          <w:tcPr>
            <w:tcW w:w="800" w:type="dxa"/>
            <w:vAlign w:val="bottom"/>
          </w:tcPr>
          <w:p>
            <w:pPr>
              <w:spacing w:after="0"/>
              <w:rPr>
                <w:sz w:val="15"/>
                <w:szCs w:val="15"/>
                <w:color w:val="auto"/>
              </w:rPr>
            </w:pPr>
          </w:p>
        </w:tc>
      </w:tr>
      <w:tr>
        <w:trPr>
          <w:trHeight w:val="183"/>
        </w:trPr>
        <w:tc>
          <w:tcPr>
            <w:tcW w:w="300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w:t>
            </w: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32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000" w:type="dxa"/>
            <w:vAlign w:val="bottom"/>
          </w:tcPr>
          <w:p>
            <w:pPr>
              <w:spacing w:after="0"/>
              <w:rPr>
                <w:sz w:val="15"/>
                <w:szCs w:val="15"/>
                <w:color w:val="auto"/>
              </w:rPr>
            </w:pPr>
          </w:p>
        </w:tc>
        <w:tc>
          <w:tcPr>
            <w:tcW w:w="1280" w:type="dxa"/>
            <w:vAlign w:val="bottom"/>
          </w:tcPr>
          <w:p>
            <w:pPr>
              <w:ind w:left="240"/>
              <w:spacing w:after="0"/>
              <w:rPr>
                <w:sz w:val="20"/>
                <w:szCs w:val="20"/>
                <w:color w:val="auto"/>
              </w:rPr>
            </w:pPr>
            <w:r>
              <w:rPr>
                <w:rFonts w:ascii="Courier New" w:cs="Courier New" w:eastAsia="Courier New" w:hAnsi="Courier New"/>
                <w:sz w:val="16"/>
                <w:szCs w:val="16"/>
                <w:color w:val="auto"/>
              </w:rPr>
              <w:t>Sept. 29,</w:t>
            </w:r>
          </w:p>
        </w:tc>
        <w:tc>
          <w:tcPr>
            <w:tcW w:w="860" w:type="dxa"/>
            <w:vAlign w:val="bottom"/>
          </w:tcPr>
          <w:p>
            <w:pPr>
              <w:spacing w:after="0"/>
              <w:rPr>
                <w:sz w:val="15"/>
                <w:szCs w:val="15"/>
                <w:color w:val="auto"/>
              </w:rPr>
            </w:pP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Sept. 23,</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Sept. 29,</w:t>
            </w:r>
          </w:p>
        </w:tc>
        <w:tc>
          <w:tcPr>
            <w:tcW w:w="86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Sept 23,</w:t>
            </w:r>
          </w:p>
        </w:tc>
        <w:tc>
          <w:tcPr>
            <w:tcW w:w="800" w:type="dxa"/>
            <w:vAlign w:val="bottom"/>
          </w:tcPr>
          <w:p>
            <w:pPr>
              <w:spacing w:after="0"/>
              <w:rPr>
                <w:sz w:val="15"/>
                <w:szCs w:val="15"/>
                <w:color w:val="auto"/>
              </w:rPr>
            </w:pPr>
          </w:p>
        </w:tc>
      </w:tr>
      <w:tr>
        <w:trPr>
          <w:trHeight w:val="183"/>
        </w:trPr>
        <w:tc>
          <w:tcPr>
            <w:tcW w:w="3000" w:type="dxa"/>
            <w:vAlign w:val="bottom"/>
          </w:tcPr>
          <w:p>
            <w:pPr>
              <w:spacing w:after="0"/>
              <w:rPr>
                <w:sz w:val="20"/>
                <w:szCs w:val="20"/>
                <w:color w:val="auto"/>
              </w:rPr>
            </w:pPr>
            <w:r>
              <w:rPr>
                <w:rFonts w:ascii="Courier New" w:cs="Courier New" w:eastAsia="Courier New" w:hAnsi="Courier New"/>
                <w:sz w:val="16"/>
                <w:szCs w:val="16"/>
                <w:color w:val="auto"/>
              </w:rPr>
              <w:t>Market Classification</w:t>
            </w:r>
          </w:p>
        </w:tc>
        <w:tc>
          <w:tcPr>
            <w:tcW w:w="12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2001</w:t>
            </w:r>
          </w:p>
        </w:tc>
        <w:tc>
          <w:tcPr>
            <w:tcW w:w="8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2000</w:t>
            </w:r>
          </w:p>
        </w:tc>
        <w:tc>
          <w:tcPr>
            <w:tcW w:w="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2001</w:t>
            </w:r>
          </w:p>
        </w:tc>
        <w:tc>
          <w:tcPr>
            <w:tcW w:w="8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2000</w:t>
            </w:r>
          </w:p>
        </w:tc>
        <w:tc>
          <w:tcPr>
            <w:tcW w:w="8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3"/>
        </w:trPr>
        <w:tc>
          <w:tcPr>
            <w:tcW w:w="30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67"/>
        </w:trPr>
        <w:tc>
          <w:tcPr>
            <w:tcW w:w="3000" w:type="dxa"/>
            <w:vAlign w:val="bottom"/>
          </w:tcPr>
          <w:p>
            <w:pPr>
              <w:spacing w:after="0"/>
              <w:rPr>
                <w:sz w:val="20"/>
                <w:szCs w:val="20"/>
                <w:color w:val="auto"/>
              </w:rPr>
            </w:pPr>
            <w:r>
              <w:rPr>
                <w:rFonts w:ascii="Courier New" w:cs="Courier New" w:eastAsia="Courier New" w:hAnsi="Courier New"/>
                <w:sz w:val="16"/>
                <w:szCs w:val="16"/>
                <w:color w:val="auto"/>
              </w:rPr>
              <w:t>DIY/Retail.....................</w:t>
            </w:r>
          </w:p>
        </w:tc>
        <w:tc>
          <w:tcPr>
            <w:tcW w:w="1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$202,380</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46.7%</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$180,572</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602,850</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50.0%</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$ 546,191</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49.3%</w:t>
            </w:r>
          </w:p>
        </w:tc>
      </w:tr>
      <w:tr>
        <w:trPr>
          <w:trHeight w:val="183"/>
        </w:trPr>
        <w:tc>
          <w:tcPr>
            <w:tcW w:w="3000" w:type="dxa"/>
            <w:vAlign w:val="bottom"/>
          </w:tcPr>
          <w:p>
            <w:pPr>
              <w:spacing w:after="0"/>
              <w:rPr>
                <w:sz w:val="20"/>
                <w:szCs w:val="20"/>
                <w:color w:val="auto"/>
              </w:rPr>
            </w:pPr>
            <w:r>
              <w:rPr>
                <w:rFonts w:ascii="Courier New" w:cs="Courier New" w:eastAsia="Courier New" w:hAnsi="Courier New"/>
                <w:sz w:val="16"/>
                <w:szCs w:val="16"/>
                <w:color w:val="auto"/>
              </w:rPr>
              <w:t>Site-Built Construction........</w:t>
            </w:r>
          </w:p>
        </w:tc>
        <w:tc>
          <w:tcPr>
            <w:tcW w:w="1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90,478</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20.9</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68,496</w:t>
            </w:r>
          </w:p>
        </w:tc>
        <w:tc>
          <w:tcPr>
            <w:tcW w:w="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18.5</w:t>
            </w:r>
          </w:p>
        </w:tc>
        <w:tc>
          <w:tcPr>
            <w:tcW w:w="240" w:type="dxa"/>
            <w:vAlign w:val="bottom"/>
          </w:tcPr>
          <w:p>
            <w:pPr>
              <w:spacing w:after="0"/>
              <w:rPr>
                <w:sz w:val="15"/>
                <w:szCs w:val="15"/>
                <w:color w:val="auto"/>
              </w:rPr>
            </w:pP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234,300</w:t>
            </w:r>
          </w:p>
        </w:tc>
        <w:tc>
          <w:tcPr>
            <w:tcW w:w="8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19.5</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180,401</w:t>
            </w:r>
          </w:p>
        </w:tc>
        <w:tc>
          <w:tcPr>
            <w:tcW w:w="8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16.3</w:t>
            </w:r>
          </w:p>
        </w:tc>
      </w:tr>
      <w:tr>
        <w:trPr>
          <w:trHeight w:val="183"/>
        </w:trPr>
        <w:tc>
          <w:tcPr>
            <w:tcW w:w="3000" w:type="dxa"/>
            <w:vAlign w:val="bottom"/>
          </w:tcPr>
          <w:p>
            <w:pPr>
              <w:spacing w:after="0"/>
              <w:rPr>
                <w:sz w:val="20"/>
                <w:szCs w:val="20"/>
                <w:color w:val="auto"/>
              </w:rPr>
            </w:pPr>
            <w:r>
              <w:rPr>
                <w:rFonts w:ascii="Courier New" w:cs="Courier New" w:eastAsia="Courier New" w:hAnsi="Courier New"/>
                <w:sz w:val="16"/>
                <w:szCs w:val="16"/>
                <w:color w:val="auto"/>
              </w:rPr>
              <w:t>Manufactured Housing...........</w:t>
            </w:r>
          </w:p>
        </w:tc>
        <w:tc>
          <w:tcPr>
            <w:tcW w:w="1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84,645</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19.6</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73,843</w:t>
            </w:r>
          </w:p>
        </w:tc>
        <w:tc>
          <w:tcPr>
            <w:tcW w:w="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w:t>
            </w:r>
          </w:p>
        </w:tc>
        <w:tc>
          <w:tcPr>
            <w:tcW w:w="240" w:type="dxa"/>
            <w:vAlign w:val="bottom"/>
          </w:tcPr>
          <w:p>
            <w:pPr>
              <w:spacing w:after="0"/>
              <w:rPr>
                <w:sz w:val="15"/>
                <w:szCs w:val="15"/>
                <w:color w:val="auto"/>
              </w:rPr>
            </w:pP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209,221</w:t>
            </w:r>
          </w:p>
        </w:tc>
        <w:tc>
          <w:tcPr>
            <w:tcW w:w="8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17.4</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234,346</w:t>
            </w:r>
          </w:p>
        </w:tc>
        <w:tc>
          <w:tcPr>
            <w:tcW w:w="8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21.2</w:t>
            </w:r>
          </w:p>
        </w:tc>
      </w:tr>
      <w:tr>
        <w:trPr>
          <w:trHeight w:val="183"/>
        </w:trPr>
        <w:tc>
          <w:tcPr>
            <w:tcW w:w="3000" w:type="dxa"/>
            <w:vAlign w:val="bottom"/>
          </w:tcPr>
          <w:p>
            <w:pPr>
              <w:spacing w:after="0"/>
              <w:rPr>
                <w:sz w:val="20"/>
                <w:szCs w:val="20"/>
                <w:color w:val="auto"/>
              </w:rPr>
            </w:pPr>
            <w:r>
              <w:rPr>
                <w:rFonts w:ascii="Courier New" w:cs="Courier New" w:eastAsia="Courier New" w:hAnsi="Courier New"/>
                <w:sz w:val="16"/>
                <w:szCs w:val="16"/>
                <w:color w:val="auto"/>
              </w:rPr>
              <w:t>Industrial.....................</w:t>
            </w:r>
          </w:p>
        </w:tc>
        <w:tc>
          <w:tcPr>
            <w:tcW w:w="1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34,415</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8.0</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29,831</w:t>
            </w:r>
          </w:p>
        </w:tc>
        <w:tc>
          <w:tcPr>
            <w:tcW w:w="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8.0</w:t>
            </w:r>
          </w:p>
        </w:tc>
        <w:tc>
          <w:tcPr>
            <w:tcW w:w="240" w:type="dxa"/>
            <w:vAlign w:val="bottom"/>
          </w:tcPr>
          <w:p>
            <w:pPr>
              <w:spacing w:after="0"/>
              <w:rPr>
                <w:sz w:val="15"/>
                <w:szCs w:val="15"/>
                <w:color w:val="auto"/>
              </w:rPr>
            </w:pP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96,932</w:t>
            </w:r>
          </w:p>
        </w:tc>
        <w:tc>
          <w:tcPr>
            <w:tcW w:w="8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8.1</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89,445</w:t>
            </w:r>
          </w:p>
        </w:tc>
        <w:tc>
          <w:tcPr>
            <w:tcW w:w="8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8.1</w:t>
            </w:r>
          </w:p>
        </w:tc>
      </w:tr>
      <w:tr>
        <w:trPr>
          <w:trHeight w:val="183"/>
        </w:trPr>
        <w:tc>
          <w:tcPr>
            <w:tcW w:w="3000" w:type="dxa"/>
            <w:vAlign w:val="bottom"/>
          </w:tcPr>
          <w:p>
            <w:pPr>
              <w:spacing w:after="0"/>
              <w:rPr>
                <w:sz w:val="20"/>
                <w:szCs w:val="20"/>
                <w:color w:val="auto"/>
              </w:rPr>
            </w:pPr>
            <w:r>
              <w:rPr>
                <w:rFonts w:ascii="Courier New" w:cs="Courier New" w:eastAsia="Courier New" w:hAnsi="Courier New"/>
                <w:sz w:val="16"/>
                <w:szCs w:val="16"/>
                <w:color w:val="auto"/>
              </w:rPr>
              <w:t>Wholesale Lumber...............</w:t>
            </w:r>
          </w:p>
        </w:tc>
        <w:tc>
          <w:tcPr>
            <w:tcW w:w="1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20,771</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4.8</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18,288</w:t>
            </w:r>
          </w:p>
        </w:tc>
        <w:tc>
          <w:tcPr>
            <w:tcW w:w="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4.9</w:t>
            </w:r>
          </w:p>
        </w:tc>
        <w:tc>
          <w:tcPr>
            <w:tcW w:w="240" w:type="dxa"/>
            <w:vAlign w:val="bottom"/>
          </w:tcPr>
          <w:p>
            <w:pPr>
              <w:spacing w:after="0"/>
              <w:rPr>
                <w:sz w:val="15"/>
                <w:szCs w:val="15"/>
                <w:color w:val="auto"/>
              </w:rPr>
            </w:pP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60,372</w:t>
            </w:r>
          </w:p>
        </w:tc>
        <w:tc>
          <w:tcPr>
            <w:tcW w:w="8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5.0</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56,297</w:t>
            </w:r>
          </w:p>
        </w:tc>
        <w:tc>
          <w:tcPr>
            <w:tcW w:w="8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5.1</w:t>
            </w:r>
          </w:p>
        </w:tc>
      </w:tr>
      <w:tr>
        <w:trPr>
          <w:trHeight w:val="183"/>
        </w:trPr>
        <w:tc>
          <w:tcPr>
            <w:tcW w:w="3000" w:type="dxa"/>
            <w:vAlign w:val="bottom"/>
          </w:tcPr>
          <w:p>
            <w:pPr>
              <w:spacing w:after="0"/>
              <w:rPr>
                <w:sz w:val="15"/>
                <w:szCs w:val="15"/>
                <w:color w:val="auto"/>
              </w:rPr>
            </w:pPr>
          </w:p>
        </w:tc>
        <w:tc>
          <w:tcPr>
            <w:tcW w:w="1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00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$432,689</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100.0%</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$371,030</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100.0%</w:t>
            </w:r>
          </w:p>
        </w:tc>
        <w:tc>
          <w:tcPr>
            <w:tcW w:w="240" w:type="dxa"/>
            <w:vAlign w:val="bottom"/>
          </w:tcPr>
          <w:p>
            <w:pPr>
              <w:spacing w:after="0"/>
              <w:rPr>
                <w:sz w:val="15"/>
                <w:szCs w:val="15"/>
                <w:color w:val="auto"/>
              </w:rPr>
            </w:pP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$1,203,675</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100.0%</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$1,106,680</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w:t>
            </w:r>
          </w:p>
        </w:tc>
      </w:tr>
      <w:tr>
        <w:trPr>
          <w:trHeight w:val="183"/>
        </w:trPr>
        <w:tc>
          <w:tcPr>
            <w:tcW w:w="3000" w:type="dxa"/>
            <w:vAlign w:val="bottom"/>
          </w:tcPr>
          <w:p>
            <w:pPr>
              <w:spacing w:after="0"/>
              <w:rPr>
                <w:sz w:val="15"/>
                <w:szCs w:val="15"/>
                <w:color w:val="auto"/>
              </w:rPr>
            </w:pPr>
          </w:p>
        </w:tc>
        <w:tc>
          <w:tcPr>
            <w:tcW w:w="1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left="662" w:right="3980" w:hanging="659"/>
        <w:spacing w:after="0"/>
        <w:tabs>
          <w:tab w:leader="none" w:pos="642" w:val="left"/>
        </w:tabs>
        <w:rPr>
          <w:sz w:val="20"/>
          <w:szCs w:val="20"/>
          <w:color w:val="auto"/>
        </w:rPr>
      </w:pPr>
      <w:r>
        <w:rPr>
          <w:rFonts w:ascii="Courier New" w:cs="Courier New" w:eastAsia="Courier New" w:hAnsi="Courier New"/>
          <w:sz w:val="16"/>
          <w:szCs w:val="16"/>
          <w:color w:val="auto"/>
        </w:rPr>
        <w:t>Note:</w:t>
        <w:tab/>
        <w:t>In the second quarter of 2001, we reviewed the classification of our customers and made certain reclassifications. Prior year information has been restated to reflect these reclassifications.</w:t>
      </w:r>
    </w:p>
    <w:p>
      <w:pPr>
        <w:spacing w:after="0" w:line="190" w:lineRule="exact"/>
        <w:rPr>
          <w:sz w:val="20"/>
          <w:szCs w:val="20"/>
          <w:color w:val="auto"/>
        </w:rPr>
      </w:pPr>
    </w:p>
    <w:p>
      <w:pPr>
        <w:ind w:left="2" w:right="4080" w:firstLine="668"/>
        <w:spacing w:after="0" w:line="241" w:lineRule="auto"/>
        <w:rPr>
          <w:sz w:val="20"/>
          <w:szCs w:val="20"/>
          <w:color w:val="auto"/>
        </w:rPr>
      </w:pPr>
      <w:r>
        <w:rPr>
          <w:rFonts w:ascii="Courier New" w:cs="Courier New" w:eastAsia="Courier New" w:hAnsi="Courier New"/>
          <w:sz w:val="16"/>
          <w:szCs w:val="16"/>
          <w:color w:val="auto"/>
        </w:rPr>
        <w:t>Net sales in the third quarter of 2001 increased 16.6%, compared to the third quarter of 2000, resulting from an increase in units shipped. Overall selling prices were minimally impacted by the Lumber Market (see "Fluctuations in Lumber Prices").</w:t>
      </w:r>
    </w:p>
    <w:p>
      <w:pPr>
        <w:spacing w:after="0" w:line="189" w:lineRule="exact"/>
        <w:rPr>
          <w:sz w:val="20"/>
          <w:szCs w:val="20"/>
          <w:color w:val="auto"/>
        </w:rPr>
      </w:pPr>
    </w:p>
    <w:p>
      <w:pPr>
        <w:ind w:left="2" w:right="4080" w:firstLine="668"/>
        <w:spacing w:after="0" w:line="239" w:lineRule="auto"/>
        <w:rPr>
          <w:sz w:val="20"/>
          <w:szCs w:val="20"/>
          <w:color w:val="auto"/>
        </w:rPr>
      </w:pPr>
      <w:r>
        <w:rPr>
          <w:rFonts w:ascii="Courier New" w:cs="Courier New" w:eastAsia="Courier New" w:hAnsi="Courier New"/>
          <w:sz w:val="16"/>
          <w:szCs w:val="16"/>
          <w:color w:val="auto"/>
        </w:rPr>
        <w:t>The following table presents, for the periods indicated, our percentage of value-added and commodity-based sales to total sales.</w:t>
      </w:r>
    </w:p>
    <w:p>
      <w:pPr>
        <w:spacing w:after="0" w:line="370"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720" w:type="dxa"/>
            <w:vAlign w:val="bottom"/>
          </w:tcPr>
          <w:p>
            <w:pPr>
              <w:spacing w:after="0"/>
              <w:rPr>
                <w:sz w:val="15"/>
                <w:szCs w:val="15"/>
                <w:color w:val="auto"/>
              </w:rPr>
            </w:pPr>
          </w:p>
        </w:tc>
        <w:tc>
          <w:tcPr>
            <w:tcW w:w="2000" w:type="dxa"/>
            <w:vAlign w:val="bottom"/>
          </w:tcPr>
          <w:p>
            <w:pPr>
              <w:ind w:left="760"/>
              <w:spacing w:after="0"/>
              <w:rPr>
                <w:sz w:val="20"/>
                <w:szCs w:val="20"/>
                <w:color w:val="auto"/>
              </w:rPr>
            </w:pPr>
            <w:r>
              <w:rPr>
                <w:rFonts w:ascii="Courier New" w:cs="Courier New" w:eastAsia="Courier New" w:hAnsi="Courier New"/>
                <w:sz w:val="16"/>
                <w:szCs w:val="16"/>
                <w:color w:val="auto"/>
              </w:rPr>
              <w:t>Three Months</w:t>
            </w:r>
          </w:p>
        </w:tc>
        <w:tc>
          <w:tcPr>
            <w:tcW w:w="1440" w:type="dxa"/>
            <w:vAlign w:val="bottom"/>
          </w:tcPr>
          <w:p>
            <w:pPr>
              <w:spacing w:after="0"/>
              <w:rPr>
                <w:sz w:val="20"/>
                <w:szCs w:val="20"/>
                <w:color w:val="auto"/>
              </w:rPr>
            </w:pPr>
            <w:r>
              <w:rPr>
                <w:rFonts w:ascii="Courier New" w:cs="Courier New" w:eastAsia="Courier New" w:hAnsi="Courier New"/>
                <w:sz w:val="16"/>
                <w:szCs w:val="16"/>
                <w:color w:val="auto"/>
              </w:rPr>
              <w:t>Ended</w:t>
            </w:r>
          </w:p>
        </w:tc>
        <w:tc>
          <w:tcPr>
            <w:tcW w:w="3620" w:type="dxa"/>
            <w:vAlign w:val="bottom"/>
            <w:gridSpan w:val="2"/>
          </w:tcPr>
          <w:p>
            <w:pPr>
              <w:ind w:left="1140"/>
              <w:spacing w:after="0"/>
              <w:rPr>
                <w:sz w:val="20"/>
                <w:szCs w:val="20"/>
                <w:color w:val="auto"/>
              </w:rPr>
            </w:pPr>
            <w:r>
              <w:rPr>
                <w:rFonts w:ascii="Courier New" w:cs="Courier New" w:eastAsia="Courier New" w:hAnsi="Courier New"/>
                <w:sz w:val="16"/>
                <w:szCs w:val="16"/>
                <w:color w:val="auto"/>
              </w:rPr>
              <w:t>Nine Months Ended</w:t>
            </w:r>
          </w:p>
        </w:tc>
      </w:tr>
      <w:tr>
        <w:trPr>
          <w:trHeight w:val="183"/>
        </w:trPr>
        <w:tc>
          <w:tcPr>
            <w:tcW w:w="3720" w:type="dxa"/>
            <w:vAlign w:val="bottom"/>
          </w:tcPr>
          <w:p>
            <w:pPr>
              <w:spacing w:after="0"/>
              <w:rPr>
                <w:sz w:val="15"/>
                <w:szCs w:val="15"/>
                <w:color w:val="auto"/>
              </w:rPr>
            </w:pPr>
          </w:p>
        </w:tc>
        <w:tc>
          <w:tcPr>
            <w:tcW w:w="34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36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3720" w:type="dxa"/>
            <w:vAlign w:val="bottom"/>
          </w:tcPr>
          <w:p>
            <w:pPr>
              <w:spacing w:after="0"/>
              <w:rPr>
                <w:sz w:val="15"/>
                <w:szCs w:val="15"/>
                <w:color w:val="auto"/>
              </w:rPr>
            </w:pPr>
          </w:p>
        </w:tc>
        <w:tc>
          <w:tcPr>
            <w:tcW w:w="2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September 29,</w:t>
            </w:r>
          </w:p>
        </w:tc>
        <w:tc>
          <w:tcPr>
            <w:tcW w:w="1440" w:type="dxa"/>
            <w:vAlign w:val="bottom"/>
          </w:tcPr>
          <w:p>
            <w:pPr>
              <w:spacing w:after="0"/>
              <w:rPr>
                <w:sz w:val="20"/>
                <w:szCs w:val="20"/>
                <w:color w:val="auto"/>
              </w:rPr>
            </w:pPr>
            <w:r>
              <w:rPr>
                <w:rFonts w:ascii="Courier New" w:cs="Courier New" w:eastAsia="Courier New" w:hAnsi="Courier New"/>
                <w:sz w:val="16"/>
                <w:szCs w:val="16"/>
                <w:color w:val="auto"/>
              </w:rPr>
              <w:t>September 23,</w:t>
            </w:r>
          </w:p>
        </w:tc>
        <w:tc>
          <w:tcPr>
            <w:tcW w:w="1860" w:type="dxa"/>
            <w:vAlign w:val="bottom"/>
          </w:tcPr>
          <w:p>
            <w:pPr>
              <w:ind w:left="280"/>
              <w:spacing w:after="0"/>
              <w:rPr>
                <w:sz w:val="20"/>
                <w:szCs w:val="20"/>
                <w:color w:val="auto"/>
              </w:rPr>
            </w:pPr>
            <w:r>
              <w:rPr>
                <w:rFonts w:ascii="Courier New" w:cs="Courier New" w:eastAsia="Courier New" w:hAnsi="Courier New"/>
                <w:sz w:val="16"/>
                <w:szCs w:val="16"/>
                <w:color w:val="auto"/>
              </w:rPr>
              <w:t>September 29,</w:t>
            </w:r>
          </w:p>
        </w:tc>
        <w:tc>
          <w:tcPr>
            <w:tcW w:w="1760" w:type="dxa"/>
            <w:vAlign w:val="bottom"/>
          </w:tcPr>
          <w:p>
            <w:pPr>
              <w:ind w:left="320"/>
              <w:spacing w:after="0"/>
              <w:rPr>
                <w:sz w:val="20"/>
                <w:szCs w:val="20"/>
                <w:color w:val="auto"/>
              </w:rPr>
            </w:pPr>
            <w:r>
              <w:rPr>
                <w:rFonts w:ascii="Courier New" w:cs="Courier New" w:eastAsia="Courier New" w:hAnsi="Courier New"/>
                <w:sz w:val="16"/>
                <w:szCs w:val="16"/>
                <w:color w:val="auto"/>
              </w:rPr>
              <w:t>September 23,</w:t>
            </w:r>
          </w:p>
        </w:tc>
      </w:tr>
      <w:tr>
        <w:trPr>
          <w:trHeight w:val="183"/>
        </w:trPr>
        <w:tc>
          <w:tcPr>
            <w:tcW w:w="3720" w:type="dxa"/>
            <w:vAlign w:val="bottom"/>
          </w:tcPr>
          <w:p>
            <w:pPr>
              <w:spacing w:after="0"/>
              <w:rPr>
                <w:sz w:val="15"/>
                <w:szCs w:val="15"/>
                <w:color w:val="auto"/>
              </w:rPr>
            </w:pPr>
          </w:p>
        </w:tc>
        <w:tc>
          <w:tcPr>
            <w:tcW w:w="2000" w:type="dxa"/>
            <w:vAlign w:val="bottom"/>
          </w:tcPr>
          <w:p>
            <w:pPr>
              <w:ind w:left="760"/>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w:t>
            </w:r>
          </w:p>
        </w:tc>
        <w:tc>
          <w:tcPr>
            <w:tcW w:w="1860" w:type="dxa"/>
            <w:vAlign w:val="bottom"/>
          </w:tcPr>
          <w:p>
            <w:pPr>
              <w:ind w:left="760"/>
              <w:spacing w:after="0"/>
              <w:rPr>
                <w:sz w:val="20"/>
                <w:szCs w:val="20"/>
                <w:color w:val="auto"/>
              </w:rPr>
            </w:pPr>
            <w:r>
              <w:rPr>
                <w:rFonts w:ascii="Courier New" w:cs="Courier New" w:eastAsia="Courier New" w:hAnsi="Courier New"/>
                <w:sz w:val="16"/>
                <w:szCs w:val="16"/>
                <w:color w:val="auto"/>
              </w:rPr>
              <w:t>2001</w:t>
            </w:r>
          </w:p>
        </w:tc>
        <w:tc>
          <w:tcPr>
            <w:tcW w:w="1760" w:type="dxa"/>
            <w:vAlign w:val="bottom"/>
          </w:tcPr>
          <w:p>
            <w:pPr>
              <w:ind w:left="700"/>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3720" w:type="dxa"/>
            <w:vAlign w:val="bottom"/>
          </w:tcPr>
          <w:p>
            <w:pPr>
              <w:spacing w:after="0"/>
              <w:rPr>
                <w:sz w:val="15"/>
                <w:szCs w:val="15"/>
                <w:color w:val="auto"/>
              </w:rPr>
            </w:pPr>
          </w:p>
        </w:tc>
        <w:tc>
          <w:tcPr>
            <w:tcW w:w="2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w:t>
            </w:r>
          </w:p>
        </w:tc>
        <w:tc>
          <w:tcPr>
            <w:tcW w:w="18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ind w:left="320"/>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3720" w:type="dxa"/>
            <w:vAlign w:val="bottom"/>
          </w:tcPr>
          <w:p>
            <w:pPr>
              <w:spacing w:after="0"/>
              <w:rPr>
                <w:sz w:val="20"/>
                <w:szCs w:val="20"/>
                <w:color w:val="auto"/>
              </w:rPr>
            </w:pPr>
            <w:r>
              <w:rPr>
                <w:rFonts w:ascii="Courier New" w:cs="Courier New" w:eastAsia="Courier New" w:hAnsi="Courier New"/>
                <w:sz w:val="16"/>
                <w:szCs w:val="16"/>
                <w:color w:val="auto"/>
              </w:rPr>
              <w:t>Value-Added...........................</w:t>
            </w:r>
          </w:p>
        </w:tc>
        <w:tc>
          <w:tcPr>
            <w:tcW w:w="200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47.0%</w:t>
            </w:r>
          </w:p>
        </w:tc>
        <w:tc>
          <w:tcPr>
            <w:tcW w:w="1440" w:type="dxa"/>
            <w:vAlign w:val="bottom"/>
          </w:tcPr>
          <w:p>
            <w:pPr>
              <w:jc w:val="right"/>
              <w:ind w:right="701"/>
              <w:spacing w:after="0"/>
              <w:rPr>
                <w:sz w:val="20"/>
                <w:szCs w:val="20"/>
                <w:color w:val="auto"/>
              </w:rPr>
            </w:pPr>
            <w:r>
              <w:rPr>
                <w:rFonts w:ascii="Courier New" w:cs="Courier New" w:eastAsia="Courier New" w:hAnsi="Courier New"/>
                <w:sz w:val="16"/>
                <w:szCs w:val="16"/>
                <w:color w:val="auto"/>
              </w:rPr>
              <w:t>43.4%</w:t>
            </w:r>
          </w:p>
        </w:tc>
        <w:tc>
          <w:tcPr>
            <w:tcW w:w="1860" w:type="dxa"/>
            <w:vAlign w:val="bottom"/>
          </w:tcPr>
          <w:p>
            <w:pPr>
              <w:ind w:left="760"/>
              <w:spacing w:after="0"/>
              <w:rPr>
                <w:sz w:val="20"/>
                <w:szCs w:val="20"/>
                <w:color w:val="auto"/>
              </w:rPr>
            </w:pPr>
            <w:r>
              <w:rPr>
                <w:rFonts w:ascii="Courier New" w:cs="Courier New" w:eastAsia="Courier New" w:hAnsi="Courier New"/>
                <w:sz w:val="16"/>
                <w:szCs w:val="16"/>
                <w:color w:val="auto"/>
              </w:rPr>
              <w:t>47.2%</w:t>
            </w:r>
          </w:p>
        </w:tc>
        <w:tc>
          <w:tcPr>
            <w:tcW w:w="1760" w:type="dxa"/>
            <w:vAlign w:val="bottom"/>
          </w:tcPr>
          <w:p>
            <w:pPr>
              <w:ind w:left="700"/>
              <w:spacing w:after="0"/>
              <w:rPr>
                <w:sz w:val="20"/>
                <w:szCs w:val="20"/>
                <w:color w:val="auto"/>
              </w:rPr>
            </w:pPr>
            <w:r>
              <w:rPr>
                <w:rFonts w:ascii="Courier New" w:cs="Courier New" w:eastAsia="Courier New" w:hAnsi="Courier New"/>
                <w:sz w:val="16"/>
                <w:szCs w:val="16"/>
                <w:color w:val="auto"/>
              </w:rPr>
              <w:t>42.8%</w:t>
            </w:r>
          </w:p>
        </w:tc>
      </w:tr>
      <w:tr>
        <w:trPr>
          <w:trHeight w:val="183"/>
        </w:trPr>
        <w:tc>
          <w:tcPr>
            <w:tcW w:w="3720" w:type="dxa"/>
            <w:vAlign w:val="bottom"/>
          </w:tcPr>
          <w:p>
            <w:pPr>
              <w:spacing w:after="0"/>
              <w:rPr>
                <w:sz w:val="20"/>
                <w:szCs w:val="20"/>
                <w:color w:val="auto"/>
              </w:rPr>
            </w:pPr>
            <w:r>
              <w:rPr>
                <w:rFonts w:ascii="Courier New" w:cs="Courier New" w:eastAsia="Courier New" w:hAnsi="Courier New"/>
                <w:sz w:val="16"/>
                <w:szCs w:val="16"/>
                <w:color w:val="auto"/>
              </w:rPr>
              <w:t>Commodity-Based.......................</w:t>
            </w:r>
          </w:p>
        </w:tc>
        <w:tc>
          <w:tcPr>
            <w:tcW w:w="200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53.0%</w:t>
            </w:r>
          </w:p>
        </w:tc>
        <w:tc>
          <w:tcPr>
            <w:tcW w:w="1440" w:type="dxa"/>
            <w:vAlign w:val="bottom"/>
          </w:tcPr>
          <w:p>
            <w:pPr>
              <w:jc w:val="right"/>
              <w:ind w:right="701"/>
              <w:spacing w:after="0"/>
              <w:rPr>
                <w:sz w:val="20"/>
                <w:szCs w:val="20"/>
                <w:color w:val="auto"/>
              </w:rPr>
            </w:pPr>
            <w:r>
              <w:rPr>
                <w:rFonts w:ascii="Courier New" w:cs="Courier New" w:eastAsia="Courier New" w:hAnsi="Courier New"/>
                <w:sz w:val="16"/>
                <w:szCs w:val="16"/>
                <w:color w:val="auto"/>
              </w:rPr>
              <w:t>56.6%</w:t>
            </w:r>
          </w:p>
        </w:tc>
        <w:tc>
          <w:tcPr>
            <w:tcW w:w="1860" w:type="dxa"/>
            <w:vAlign w:val="bottom"/>
          </w:tcPr>
          <w:p>
            <w:pPr>
              <w:ind w:left="760"/>
              <w:spacing w:after="0"/>
              <w:rPr>
                <w:sz w:val="20"/>
                <w:szCs w:val="20"/>
                <w:color w:val="auto"/>
              </w:rPr>
            </w:pPr>
            <w:r>
              <w:rPr>
                <w:rFonts w:ascii="Courier New" w:cs="Courier New" w:eastAsia="Courier New" w:hAnsi="Courier New"/>
                <w:sz w:val="16"/>
                <w:szCs w:val="16"/>
                <w:color w:val="auto"/>
              </w:rPr>
              <w:t>52.8%</w:t>
            </w:r>
          </w:p>
        </w:tc>
        <w:tc>
          <w:tcPr>
            <w:tcW w:w="1760" w:type="dxa"/>
            <w:vAlign w:val="bottom"/>
          </w:tcPr>
          <w:p>
            <w:pPr>
              <w:ind w:left="700"/>
              <w:spacing w:after="0"/>
              <w:rPr>
                <w:sz w:val="20"/>
                <w:szCs w:val="20"/>
                <w:color w:val="auto"/>
              </w:rPr>
            </w:pPr>
            <w:r>
              <w:rPr>
                <w:rFonts w:ascii="Courier New" w:cs="Courier New" w:eastAsia="Courier New" w:hAnsi="Courier New"/>
                <w:sz w:val="16"/>
                <w:szCs w:val="16"/>
                <w:color w:val="auto"/>
              </w:rPr>
              <w:t>57.2%</w:t>
            </w:r>
          </w:p>
        </w:tc>
      </w:tr>
    </w:tbl>
    <w:p>
      <w:pPr>
        <w:spacing w:after="0" w:line="372" w:lineRule="exact"/>
        <w:rPr>
          <w:sz w:val="20"/>
          <w:szCs w:val="20"/>
          <w:color w:val="auto"/>
        </w:rPr>
      </w:pPr>
    </w:p>
    <w:p>
      <w:pPr>
        <w:ind w:left="2" w:right="3900" w:firstLine="668"/>
        <w:spacing w:after="0" w:line="241" w:lineRule="auto"/>
        <w:rPr>
          <w:sz w:val="20"/>
          <w:szCs w:val="20"/>
          <w:color w:val="auto"/>
        </w:rPr>
      </w:pPr>
      <w:r>
        <w:rPr>
          <w:rFonts w:ascii="Courier New" w:cs="Courier New" w:eastAsia="Courier New" w:hAnsi="Courier New"/>
          <w:sz w:val="16"/>
          <w:szCs w:val="16"/>
          <w:color w:val="auto"/>
        </w:rPr>
        <w:t>Value-added sales increased 26.4% in the third quarter of 2001, primarily due to increased sales of engineered wood products to the site-built construction and manufactured housing markets and fencing and decking to the DIY market. Commodity-based sales increased 9.2% in the quarter.</w:t>
      </w:r>
    </w:p>
    <w:p>
      <w:pPr>
        <w:spacing w:after="0" w:line="189" w:lineRule="exact"/>
        <w:rPr>
          <w:sz w:val="20"/>
          <w:szCs w:val="20"/>
          <w:color w:val="auto"/>
        </w:rPr>
      </w:pPr>
    </w:p>
    <w:p>
      <w:pPr>
        <w:ind w:left="2" w:right="4080" w:firstLine="668"/>
        <w:spacing w:after="0"/>
        <w:rPr>
          <w:sz w:val="20"/>
          <w:szCs w:val="20"/>
          <w:color w:val="auto"/>
        </w:rPr>
      </w:pPr>
      <w:r>
        <w:rPr>
          <w:rFonts w:ascii="Courier New" w:cs="Courier New" w:eastAsia="Courier New" w:hAnsi="Courier New"/>
          <w:sz w:val="16"/>
          <w:szCs w:val="16"/>
          <w:color w:val="auto"/>
        </w:rPr>
        <w:t>Value-added sales increased 19.9% for the first nine months of 2001, primarily due to increased sales of engineered roof trusses, I-joists and Open Joist 2000 products to the site-built</w:t>
      </w:r>
    </w:p>
    <w:p>
      <w:pPr>
        <w:spacing w:after="0" w:line="18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1522"/>
          </w:cols>
          <w:pgMar w:left="238" w:top="848" w:right="139" w:bottom="1440" w:gutter="0" w:footer="0" w:header="0"/>
        </w:sectPr>
      </w:pPr>
    </w:p>
    <w:bookmarkStart w:id="14" w:name="page15"/>
    <w:bookmarkEnd w:id="14"/>
    <w:p>
      <w:pPr>
        <w:jc w:val="center"/>
        <w:ind w:right="2499"/>
        <w:spacing w:after="0"/>
        <w:rPr>
          <w:sz w:val="20"/>
          <w:szCs w:val="20"/>
          <w:color w:val="auto"/>
        </w:rPr>
      </w:pPr>
      <w:r>
        <w:rPr>
          <w:rFonts w:ascii="Courier New" w:cs="Courier New" w:eastAsia="Courier New" w:hAnsi="Courier New"/>
          <w:sz w:val="16"/>
          <w:szCs w:val="16"/>
          <w:color w:val="auto"/>
        </w:rPr>
        <w:t>UNIVERSAL FOREST PRODUCTS, INC.</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72"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construction market and fencing and decking to the DIY market. Commodity-based sales remained flat for the first nine months.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DIY/Retail:</w:t>
      </w:r>
    </w:p>
    <w:p>
      <w:pPr>
        <w:spacing w:after="0" w:line="188" w:lineRule="exact"/>
        <w:rPr>
          <w:sz w:val="20"/>
          <w:szCs w:val="20"/>
          <w:color w:val="auto"/>
        </w:rPr>
      </w:pPr>
    </w:p>
    <w:p>
      <w:pPr>
        <w:ind w:right="2599" w:firstLine="668"/>
        <w:spacing w:after="0" w:line="241" w:lineRule="auto"/>
        <w:rPr>
          <w:sz w:val="20"/>
          <w:szCs w:val="20"/>
          <w:color w:val="auto"/>
        </w:rPr>
      </w:pPr>
      <w:r>
        <w:rPr>
          <w:rFonts w:ascii="Courier New" w:cs="Courier New" w:eastAsia="Courier New" w:hAnsi="Courier New"/>
          <w:sz w:val="16"/>
          <w:szCs w:val="16"/>
          <w:color w:val="auto"/>
        </w:rPr>
        <w:t>Net sales to the DIY/retail market increased 12.1% in the third quarter and 10.4% in the first nine months of 2001 compared to the same periods of 2000. These increases were a result of capturing additional market share with our largest customer.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Site-Built Construction:</w:t>
      </w:r>
    </w:p>
    <w:p>
      <w:pPr>
        <w:spacing w:after="0" w:line="188" w:lineRule="exact"/>
        <w:rPr>
          <w:sz w:val="20"/>
          <w:szCs w:val="20"/>
          <w:color w:val="auto"/>
        </w:rPr>
      </w:pPr>
    </w:p>
    <w:p>
      <w:pPr>
        <w:ind w:right="2599" w:firstLine="668"/>
        <w:spacing w:after="0" w:line="241" w:lineRule="auto"/>
        <w:rPr>
          <w:sz w:val="20"/>
          <w:szCs w:val="20"/>
          <w:color w:val="auto"/>
        </w:rPr>
      </w:pPr>
      <w:r>
        <w:rPr>
          <w:rFonts w:ascii="Courier New" w:cs="Courier New" w:eastAsia="Courier New" w:hAnsi="Courier New"/>
          <w:sz w:val="16"/>
          <w:szCs w:val="16"/>
          <w:color w:val="auto"/>
        </w:rPr>
        <w:t>Net sales to the site-built construction market increased 32.1% in the third quarter and 29.9% in the first nine months of 2001 compared to the same periods of 2000. These increases were primarily due to increased unit sales as a result of newly acquired facilities. In addition, sales increased 10.1% and 14.4% from existing facilities in the third quarter and first nine months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respectively.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Manufactured Housing:</w:t>
      </w:r>
    </w:p>
    <w:p>
      <w:pPr>
        <w:spacing w:after="0" w:line="188" w:lineRule="exact"/>
        <w:rPr>
          <w:sz w:val="20"/>
          <w:szCs w:val="20"/>
          <w:color w:val="auto"/>
        </w:rPr>
      </w:pPr>
    </w:p>
    <w:p>
      <w:pPr>
        <w:ind w:right="2599" w:firstLine="668"/>
        <w:spacing w:after="0" w:line="259" w:lineRule="auto"/>
        <w:rPr>
          <w:sz w:val="20"/>
          <w:szCs w:val="20"/>
          <w:color w:val="auto"/>
        </w:rPr>
      </w:pPr>
      <w:r>
        <w:rPr>
          <w:rFonts w:ascii="Courier New" w:cs="Courier New" w:eastAsia="Courier New" w:hAnsi="Courier New"/>
          <w:sz w:val="15"/>
          <w:szCs w:val="15"/>
          <w:color w:val="auto"/>
        </w:rPr>
        <w:t>Net sales to the manufactured housing market increased 14.6% in the third quarter and decreased 10.7% in the first nine months of 2001 compared to the same periods of 2000. The industry has continued to struggle with an oversupply of finished homes at the retail level, tight credit conditions and an increase in repossessions. Industry shipments declined 15.8% for the third quarter and</w:t>
      </w:r>
    </w:p>
    <w:p>
      <w:pPr>
        <w:ind w:right="2599"/>
        <w:spacing w:after="0"/>
        <w:rPr>
          <w:sz w:val="20"/>
          <w:szCs w:val="20"/>
          <w:color w:val="auto"/>
        </w:rPr>
      </w:pPr>
      <w:r>
        <w:rPr>
          <w:rFonts w:ascii="Courier New" w:cs="Courier New" w:eastAsia="Courier New" w:hAnsi="Courier New"/>
          <w:sz w:val="16"/>
          <w:szCs w:val="16"/>
          <w:color w:val="auto"/>
        </w:rPr>
        <w:t>29.1% for the first nine months of 2001 compared to the same periods of 2000. We recently increased our market share by acquiring certain assets of the Sunbelt Wood Components Division of Kevco, Inc., on April 3, 2001.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Industrial:</w:t>
      </w:r>
    </w:p>
    <w:p>
      <w:pPr>
        <w:spacing w:after="0" w:line="188" w:lineRule="exact"/>
        <w:rPr>
          <w:sz w:val="20"/>
          <w:szCs w:val="20"/>
          <w:color w:val="auto"/>
        </w:rPr>
      </w:pPr>
    </w:p>
    <w:p>
      <w:pPr>
        <w:ind w:right="2599" w:firstLine="668"/>
        <w:spacing w:after="0" w:line="241" w:lineRule="auto"/>
        <w:rPr>
          <w:sz w:val="20"/>
          <w:szCs w:val="20"/>
          <w:color w:val="auto"/>
        </w:rPr>
      </w:pPr>
      <w:r>
        <w:rPr>
          <w:rFonts w:ascii="Courier New" w:cs="Courier New" w:eastAsia="Courier New" w:hAnsi="Courier New"/>
          <w:sz w:val="16"/>
          <w:szCs w:val="16"/>
          <w:color w:val="auto"/>
        </w:rPr>
        <w:t>Net sales to the industrial market increased 15.4% in the third quarter and 8.4% in the first nine months of 2001 compared to the same periods of 2000. These increases were primarily due to increased market share in several regions from redirecting sales efforts and manufacturing capacity at certain plants as a result of the downturn in the manufactured housing market.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OF GOODS SOLD AND GROSS PROFIT</w:t>
      </w:r>
    </w:p>
    <w:p>
      <w:pPr>
        <w:spacing w:after="0" w:line="188" w:lineRule="exact"/>
        <w:rPr>
          <w:sz w:val="20"/>
          <w:szCs w:val="20"/>
          <w:color w:val="auto"/>
        </w:rPr>
      </w:pPr>
    </w:p>
    <w:p>
      <w:pPr>
        <w:ind w:right="2599" w:firstLine="668"/>
        <w:spacing w:after="0" w:line="241" w:lineRule="auto"/>
        <w:rPr>
          <w:sz w:val="20"/>
          <w:szCs w:val="20"/>
          <w:color w:val="auto"/>
        </w:rPr>
      </w:pPr>
      <w:r>
        <w:rPr>
          <w:rFonts w:ascii="Courier New" w:cs="Courier New" w:eastAsia="Courier New" w:hAnsi="Courier New"/>
          <w:sz w:val="16"/>
          <w:szCs w:val="16"/>
          <w:color w:val="auto"/>
        </w:rPr>
        <w:t>Gross profit as a percentage of net sales decreased in the third quarter of 2001 compared to the same period of 2000. This decrease was primarily due to increased price competition in the site-built construction market as market activity has slowed in several regions. This decrease offset gains realized from improving our sales ratio of value-added products.</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848" w:right="1440" w:bottom="1440" w:gutter="0" w:footer="0" w:header="0"/>
        </w:sectPr>
      </w:pPr>
    </w:p>
    <w:bookmarkStart w:id="15" w:name="page16"/>
    <w:bookmarkEnd w:id="15"/>
    <w:p>
      <w:pPr>
        <w:jc w:val="center"/>
        <w:ind w:right="2499"/>
        <w:spacing w:after="0"/>
        <w:rPr>
          <w:sz w:val="20"/>
          <w:szCs w:val="20"/>
          <w:color w:val="auto"/>
        </w:rPr>
      </w:pPr>
      <w:r>
        <w:rPr>
          <w:rFonts w:ascii="Courier New" w:cs="Courier New" w:eastAsia="Courier New" w:hAnsi="Courier New"/>
          <w:sz w:val="16"/>
          <w:szCs w:val="16"/>
          <w:color w:val="auto"/>
        </w:rPr>
        <w:t>UNIVERSAL FOREST PRODUCTS, INC.</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72" w:lineRule="exact"/>
        <w:rPr>
          <w:sz w:val="20"/>
          <w:szCs w:val="20"/>
          <w:color w:val="auto"/>
        </w:rPr>
      </w:pPr>
    </w:p>
    <w:p>
      <w:pPr>
        <w:ind w:right="2599" w:firstLine="668"/>
        <w:spacing w:after="0" w:line="241" w:lineRule="auto"/>
        <w:rPr>
          <w:sz w:val="20"/>
          <w:szCs w:val="20"/>
          <w:color w:val="auto"/>
        </w:rPr>
      </w:pPr>
      <w:r>
        <w:rPr>
          <w:rFonts w:ascii="Courier New" w:cs="Courier New" w:eastAsia="Courier New" w:hAnsi="Courier New"/>
          <w:sz w:val="16"/>
          <w:szCs w:val="16"/>
          <w:color w:val="auto"/>
        </w:rPr>
        <w:t>Gross profit as a percentage of net sales increased in the first nine months of 2001 compared to the same period of 2000. This increase was primarily due to an increase in the ratio of higher margin value-added product sales to total sales due to increased sales of engineered wood products to the site-built construction market and fencing and decking to the DIY market.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SELLING, GENERAL AND ADMINISTRATIVE EXPENSES</w:t>
      </w:r>
    </w:p>
    <w:p>
      <w:pPr>
        <w:spacing w:after="0" w:line="188" w:lineRule="exact"/>
        <w:rPr>
          <w:sz w:val="20"/>
          <w:szCs w:val="20"/>
          <w:color w:val="auto"/>
        </w:rPr>
      </w:pPr>
    </w:p>
    <w:p>
      <w:pPr>
        <w:ind w:right="2599" w:firstLine="668"/>
        <w:spacing w:after="0" w:line="263" w:lineRule="auto"/>
        <w:rPr>
          <w:sz w:val="20"/>
          <w:szCs w:val="20"/>
          <w:color w:val="auto"/>
        </w:rPr>
      </w:pPr>
      <w:r>
        <w:rPr>
          <w:rFonts w:ascii="Courier New" w:cs="Courier New" w:eastAsia="Courier New" w:hAnsi="Courier New"/>
          <w:sz w:val="15"/>
          <w:szCs w:val="15"/>
          <w:color w:val="auto"/>
        </w:rPr>
        <w:t>Selling, general and administrative expenses as a percentage of sales increased to 8.7% in the third quarter of 2001 compared to 8.6% in the same period of 2000. This increase was primarily due to a reserve for closing one of our plants and an increase in consulting costs associated with certain projects.</w:t>
      </w:r>
    </w:p>
    <w:p>
      <w:pPr>
        <w:spacing w:after="0" w:line="172" w:lineRule="exact"/>
        <w:rPr>
          <w:sz w:val="20"/>
          <w:szCs w:val="20"/>
          <w:color w:val="auto"/>
        </w:rPr>
      </w:pPr>
    </w:p>
    <w:p>
      <w:pPr>
        <w:ind w:right="2599" w:firstLine="668"/>
        <w:spacing w:after="0" w:line="242" w:lineRule="auto"/>
        <w:rPr>
          <w:sz w:val="20"/>
          <w:szCs w:val="20"/>
          <w:color w:val="auto"/>
        </w:rPr>
      </w:pPr>
      <w:r>
        <w:rPr>
          <w:rFonts w:ascii="Courier New" w:cs="Courier New" w:eastAsia="Courier New" w:hAnsi="Courier New"/>
          <w:sz w:val="16"/>
          <w:szCs w:val="16"/>
          <w:color w:val="auto"/>
        </w:rPr>
        <w:t>Selling, general and administrative expenses as a percentage of sales increased to 9.0% for the first nine months of 2001 compared to 8.2% in the same period of 2000. This increase was primarily due to expenses added through business acquisitions and an increase in selling and administrative headcount to support the growth of the business and to pursue strategic initiatives. The factors discussed above also contributed to this increase.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NET</w:t>
      </w:r>
    </w:p>
    <w:p>
      <w:pPr>
        <w:spacing w:after="0" w:line="188" w:lineRule="exact"/>
        <w:rPr>
          <w:sz w:val="20"/>
          <w:szCs w:val="20"/>
          <w:color w:val="auto"/>
        </w:rPr>
      </w:pPr>
    </w:p>
    <w:p>
      <w:pPr>
        <w:ind w:right="2679" w:firstLine="668"/>
        <w:spacing w:after="0" w:line="241" w:lineRule="auto"/>
        <w:rPr>
          <w:sz w:val="20"/>
          <w:szCs w:val="20"/>
          <w:color w:val="auto"/>
        </w:rPr>
      </w:pPr>
      <w:r>
        <w:rPr>
          <w:rFonts w:ascii="Courier New" w:cs="Courier New" w:eastAsia="Courier New" w:hAnsi="Courier New"/>
          <w:sz w:val="16"/>
          <w:szCs w:val="16"/>
          <w:color w:val="auto"/>
        </w:rPr>
        <w:t>Net interest costs were lower in the third quarter and first nine months of 2001 compared to the same periods of 2000. Although we had a higher average debt balance as a result of increased working capital and acquisitions in 2001, this was offset by a substantial decrease in short-term borrowing rates on variable rate debt.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88" w:lineRule="exact"/>
        <w:rPr>
          <w:sz w:val="20"/>
          <w:szCs w:val="20"/>
          <w:color w:val="auto"/>
        </w:rPr>
      </w:pPr>
    </w:p>
    <w:p>
      <w:pPr>
        <w:ind w:right="2599" w:firstLine="668"/>
        <w:spacing w:after="0" w:line="261" w:lineRule="auto"/>
        <w:rPr>
          <w:sz w:val="20"/>
          <w:szCs w:val="20"/>
          <w:color w:val="auto"/>
        </w:rPr>
      </w:pPr>
      <w:r>
        <w:rPr>
          <w:rFonts w:ascii="Courier New" w:cs="Courier New" w:eastAsia="Courier New" w:hAnsi="Courier New"/>
          <w:sz w:val="15"/>
          <w:szCs w:val="15"/>
          <w:color w:val="auto"/>
        </w:rPr>
        <w:t>Our effective tax rate was 34.8% in the third quarter of 2001 compared to 38.3% in the same period of 2000. The effective tax rate was 36.7% in the first nine months of 2001 compared to 39.0% in the same period of 2000. Effective tax rates differ from statutory federal income tax rates, primarily due to provisions for state and local income taxes and permanent tax differences. Our investment in D&amp;R on February 28, 2001 resulted in an additional permanent tax difference, which caused part of the decline in our tax rate.</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8" w:lineRule="exact"/>
        <w:rPr>
          <w:sz w:val="20"/>
          <w:szCs w:val="20"/>
          <w:color w:val="auto"/>
        </w:rPr>
      </w:pPr>
    </w:p>
    <w:p>
      <w:pPr>
        <w:ind w:right="2679" w:firstLine="668"/>
        <w:spacing w:after="0" w:line="241" w:lineRule="auto"/>
        <w:rPr>
          <w:sz w:val="20"/>
          <w:szCs w:val="20"/>
          <w:color w:val="auto"/>
        </w:rPr>
      </w:pPr>
      <w:r>
        <w:rPr>
          <w:rFonts w:ascii="Courier New" w:cs="Courier New" w:eastAsia="Courier New" w:hAnsi="Courier New"/>
          <w:sz w:val="16"/>
          <w:szCs w:val="16"/>
          <w:color w:val="auto"/>
        </w:rPr>
        <w:t>Cash flows from operating activities decreased in the first nine months of 2001 compared to the same period of 2000. This was primarily due to an increase in accounts receivable resulting from a combination of increased sales levels in September 2001 compared to September 2000, and an increase in our receivables cycle in 2001.</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848" w:right="1440" w:bottom="1440" w:gutter="0" w:footer="0" w:header="0"/>
        </w:sectPr>
      </w:pPr>
    </w:p>
    <w:bookmarkStart w:id="16" w:name="page17"/>
    <w:bookmarkEnd w:id="16"/>
    <w:p>
      <w:pPr>
        <w:jc w:val="center"/>
        <w:ind w:right="2499"/>
        <w:spacing w:after="0"/>
        <w:rPr>
          <w:sz w:val="20"/>
          <w:szCs w:val="20"/>
          <w:color w:val="auto"/>
        </w:rPr>
      </w:pPr>
      <w:r>
        <w:rPr>
          <w:rFonts w:ascii="Courier New" w:cs="Courier New" w:eastAsia="Courier New" w:hAnsi="Courier New"/>
          <w:sz w:val="16"/>
          <w:szCs w:val="16"/>
          <w:color w:val="auto"/>
        </w:rPr>
        <w:t>UNIVERSAL FOREST PRODUCTS, INC.</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72"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Due to the seasonality of our business and the effects of the Lumber Market, we believe our cash cycle (days sales outstanding plus days supply of inventory less days payables outstanding) is a good indicator of our working capital management. Our cash cycle decreased to 43 days in the first nine months of 2001 from 44 days in the first nine months of 2000 primarily due to a reduction in the days supply of inventory, which was partially offset by a longer receivables cycle.</w:t>
      </w:r>
    </w:p>
    <w:p>
      <w:pPr>
        <w:spacing w:after="0" w:line="18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Capital expenditures totaled $22.2 million in the first nine months of 2001 compared to $23.7 million in the same period of 2000. Our capital expenditures during the third quarter of 2001 primarily consisted of several projects to improve efficiencies, expand manufacturing capacity at existing plants and costs to complete or acquire several new plants. We expect to spend $4.0 million on capital expenditures for the balance of 2001, which includes outstanding purchase commitments on capital projects totaling approximately $3.1 million on September 29, 2001. We intend to satisfy these commitments utilizing our revolving credit facilities.</w:t>
      </w:r>
    </w:p>
    <w:p>
      <w:pPr>
        <w:spacing w:after="0" w:line="189"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We spent approximately $21.6 million in the first nine months of 2001 related to business acquisitions which are discussed earlier under the caption "Business Combinations." We funded the purchase price of these acquisitions using our revolving credit facilities.</w:t>
      </w:r>
    </w:p>
    <w:p>
      <w:pPr>
        <w:spacing w:after="0" w:line="189"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Cash flows provided by financing activities increased in the first nine months of 2001 compared to the same period of 2000. On September 29, 2001, we had $27.7 million outstanding on our $175 million revolving credit facility and $19.0 million Canadian ($12.4 million U.S.) outstanding on our $20 million Canadian revolving credit facility. Financial covenants on our revolving credit facilities and senior unsecured notes include a minimum net worth requirement, a minimum interest coverage test and a maximum leverage ratio. We were within our requirements at September 29, 2001.</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ENVIRONMENTAL CONSIDERATIONS AND REGULATIONS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We are self-insured for environmental impairment liability and accrue for the estimated cost of monitoring or remediation activities. As of November 1, 2001, we own or operate 21 wood preserving facilities throughout the United States that treat lumber products with a chemical preservative. In accordance with applicable federal, state and local environmental laws, ordinances and regulations, we may be potentially liable for costs and expenses related to the environmental condition of our real property. We have established reserves for remediation activities at our North East, MD; Union City, GA; Stockertown, PA; Elizabeth City, NC; Auburndale, FL; and Schertz, TX facilities.</w:t>
      </w:r>
    </w:p>
    <w:p>
      <w:pPr>
        <w:spacing w:after="0" w:line="189"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We have accrued in other long-term liabilities amounts totaling $2.3 million on September 29, 2001 and September 23, 2000 for the activities described above. Management believes that the potential future costs of known remediation efforts will not have a material adverse effect on our future financial position, results of operations or liquidity.</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848" w:right="1440" w:bottom="1440" w:gutter="0" w:footer="0" w:header="0"/>
        </w:sectPr>
      </w:pPr>
    </w:p>
    <w:bookmarkStart w:id="17" w:name="page18"/>
    <w:bookmarkEnd w:id="17"/>
    <w:p>
      <w:pPr>
        <w:jc w:val="center"/>
        <w:ind w:right="2499"/>
        <w:spacing w:after="0"/>
        <w:rPr>
          <w:sz w:val="20"/>
          <w:szCs w:val="20"/>
          <w:color w:val="auto"/>
        </w:rPr>
      </w:pPr>
      <w:r>
        <w:rPr>
          <w:rFonts w:ascii="Courier New" w:cs="Courier New" w:eastAsia="Courier New" w:hAnsi="Courier New"/>
          <w:sz w:val="16"/>
          <w:szCs w:val="16"/>
          <w:color w:val="auto"/>
        </w:rPr>
        <w:t>UNIVERSAL FOREST PRODUCTS, INC.</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72" w:lineRule="exact"/>
        <w:rPr>
          <w:sz w:val="20"/>
          <w:szCs w:val="20"/>
          <w:color w:val="auto"/>
        </w:rPr>
      </w:pPr>
    </w:p>
    <w:p>
      <w:pPr>
        <w:ind w:right="2679" w:firstLine="858"/>
        <w:spacing w:after="0" w:line="261" w:lineRule="auto"/>
        <w:rPr>
          <w:sz w:val="20"/>
          <w:szCs w:val="20"/>
          <w:color w:val="auto"/>
        </w:rPr>
      </w:pPr>
      <w:r>
        <w:rPr>
          <w:rFonts w:ascii="Courier New" w:cs="Courier New" w:eastAsia="Courier New" w:hAnsi="Courier New"/>
          <w:sz w:val="15"/>
          <w:szCs w:val="15"/>
          <w:color w:val="auto"/>
        </w:rPr>
        <w:t>The EPA is currently performing its review of CCA, a wood preservative we use to extend the useful life of the wood fiber. As part of this review process, the wood preservation industry and the EPA have agreed on a revised consumer information program to advise consumers of safe handling information for CCA treated wood. This new program will increase our costs of marketing the product, but is not expected to materially impact sales of CCA treated wood.</w:t>
      </w:r>
    </w:p>
    <w:p>
      <w:pPr>
        <w:spacing w:after="0" w:line="175" w:lineRule="exact"/>
        <w:rPr>
          <w:sz w:val="20"/>
          <w:szCs w:val="20"/>
          <w:color w:val="auto"/>
        </w:rPr>
      </w:pPr>
    </w:p>
    <w:p>
      <w:pPr>
        <w:ind w:right="2879" w:firstLine="858"/>
        <w:spacing w:after="0" w:line="263" w:lineRule="auto"/>
        <w:rPr>
          <w:sz w:val="20"/>
          <w:szCs w:val="20"/>
          <w:color w:val="auto"/>
        </w:rPr>
      </w:pPr>
      <w:r>
        <w:rPr>
          <w:rFonts w:ascii="Courier New" w:cs="Courier New" w:eastAsia="Courier New" w:hAnsi="Courier New"/>
          <w:sz w:val="15"/>
          <w:szCs w:val="15"/>
          <w:color w:val="auto"/>
        </w:rPr>
        <w:t>In addition, an environmental group petitioned the Consumer Products Safety Commission ("CPSC") to ban the use of CCA treated wood in playsets. We have been assured by our vendors and by scientific studies that CCA treated lumber poses no unreasonable risks and its continued use should be permitted.</w:t>
      </w:r>
    </w:p>
    <w:p>
      <w:pPr>
        <w:spacing w:after="0" w:line="172"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Any action by EPA or the CPSC to limit the use of CCA treated lumber will likely have a materially adverse impact on our results of operation in the short term.</w:t>
      </w:r>
    </w:p>
    <w:p>
      <w:pPr>
        <w:spacing w:after="0" w:line="200" w:lineRule="exact"/>
        <w:rPr>
          <w:sz w:val="20"/>
          <w:szCs w:val="20"/>
          <w:color w:val="auto"/>
        </w:rPr>
      </w:pPr>
    </w:p>
    <w:p>
      <w:pPr>
        <w:spacing w:after="0" w:line="35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848" w:right="1440" w:bottom="1440" w:gutter="0" w:footer="0" w:header="0"/>
        </w:sectPr>
      </w:pPr>
    </w:p>
    <w:bookmarkStart w:id="18" w:name="page19"/>
    <w:bookmarkEnd w:id="18"/>
    <w:p>
      <w:pPr>
        <w:jc w:val="center"/>
        <w:ind w:right="2499"/>
        <w:spacing w:after="0"/>
        <w:rPr>
          <w:sz w:val="20"/>
          <w:szCs w:val="20"/>
          <w:color w:val="auto"/>
        </w:rPr>
      </w:pPr>
      <w:r>
        <w:rPr>
          <w:rFonts w:ascii="Courier New" w:cs="Courier New" w:eastAsia="Courier New" w:hAnsi="Courier New"/>
          <w:sz w:val="16"/>
          <w:szCs w:val="16"/>
          <w:color w:val="auto"/>
        </w:rPr>
        <w:t>UNIVERSAL FOREST PRODUCTS, INC.</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QUANTITATIVE AND QUALITATIVE DISCLOSURES ABOUT MARKET RISK</w:t>
      </w:r>
    </w:p>
    <w:p>
      <w:pPr>
        <w:spacing w:after="0" w:line="200" w:lineRule="exact"/>
        <w:rPr>
          <w:sz w:val="20"/>
          <w:szCs w:val="20"/>
          <w:color w:val="auto"/>
        </w:rPr>
      </w:pPr>
    </w:p>
    <w:p>
      <w:pPr>
        <w:spacing w:after="0" w:line="355"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90"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8" w:lineRule="exact"/>
        <w:rPr>
          <w:sz w:val="20"/>
          <w:szCs w:val="20"/>
          <w:color w:val="auto"/>
        </w:rPr>
      </w:pPr>
    </w:p>
    <w:p>
      <w:pPr>
        <w:ind w:right="2779" w:firstLine="668"/>
        <w:spacing w:after="0" w:line="239" w:lineRule="auto"/>
        <w:rPr>
          <w:sz w:val="20"/>
          <w:szCs w:val="20"/>
          <w:color w:val="auto"/>
        </w:rPr>
      </w:pPr>
      <w:r>
        <w:rPr>
          <w:rFonts w:ascii="Courier New" w:cs="Courier New" w:eastAsia="Courier New" w:hAnsi="Courier New"/>
          <w:sz w:val="16"/>
          <w:szCs w:val="16"/>
          <w:color w:val="auto"/>
        </w:rPr>
        <w:t>We are exposed to market risks related to fluctuations in lumber prices (see "Risk Factors" and "Fluctuations in Lumber Prices").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65" w:right="1440" w:bottom="1440" w:gutter="0" w:footer="0" w:header="0"/>
        </w:sectPr>
      </w:pPr>
    </w:p>
    <w:bookmarkStart w:id="19" w:name="page20"/>
    <w:bookmarkEnd w:id="19"/>
    <w:p>
      <w:pPr>
        <w:ind w:left="2382"/>
        <w:spacing w:after="0"/>
        <w:rPr>
          <w:sz w:val="20"/>
          <w:szCs w:val="20"/>
          <w:color w:val="auto"/>
        </w:rPr>
      </w:pPr>
      <w:r>
        <w:rPr>
          <w:rFonts w:ascii="Courier New" w:cs="Courier New" w:eastAsia="Courier New" w:hAnsi="Courier New"/>
          <w:sz w:val="16"/>
          <w:szCs w:val="16"/>
          <w:color w:val="auto"/>
        </w:rPr>
        <w:t>UNIVERSAL FOREST PRODUCTS, INC.</w:t>
      </w:r>
    </w:p>
    <w:p>
      <w:pPr>
        <w:spacing w:after="0" w:line="186" w:lineRule="exact"/>
        <w:rPr>
          <w:sz w:val="20"/>
          <w:szCs w:val="20"/>
          <w:color w:val="auto"/>
        </w:rPr>
      </w:pPr>
    </w:p>
    <w:p>
      <w:pPr>
        <w:ind w:left="2582"/>
        <w:spacing w:after="0"/>
        <w:rPr>
          <w:sz w:val="20"/>
          <w:szCs w:val="20"/>
          <w:color w:val="auto"/>
        </w:rPr>
      </w:pPr>
      <w:r>
        <w:rPr>
          <w:rFonts w:ascii="Courier New" w:cs="Courier New" w:eastAsia="Courier New" w:hAnsi="Courier New"/>
          <w:sz w:val="16"/>
          <w:szCs w:val="16"/>
          <w:color w:val="auto"/>
        </w:rPr>
        <w:t>PART II. OTHER INFORMATION</w:t>
      </w:r>
    </w:p>
    <w:p>
      <w:pPr>
        <w:spacing w:after="0" w:line="200" w:lineRule="exact"/>
        <w:rPr>
          <w:sz w:val="20"/>
          <w:szCs w:val="20"/>
          <w:color w:val="auto"/>
        </w:rPr>
      </w:pPr>
    </w:p>
    <w:p>
      <w:pPr>
        <w:spacing w:after="0" w:line="35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Item 1. Legal Proceedings.</w:t>
      </w:r>
    </w:p>
    <w:p>
      <w:pPr>
        <w:spacing w:after="0" w:line="188" w:lineRule="exact"/>
        <w:rPr>
          <w:sz w:val="20"/>
          <w:szCs w:val="20"/>
          <w:color w:val="auto"/>
        </w:rPr>
      </w:pPr>
    </w:p>
    <w:p>
      <w:pPr>
        <w:ind w:left="2" w:right="1240"/>
        <w:spacing w:after="0" w:line="242" w:lineRule="auto"/>
        <w:rPr>
          <w:sz w:val="20"/>
          <w:szCs w:val="20"/>
          <w:color w:val="auto"/>
        </w:rPr>
      </w:pPr>
      <w:r>
        <w:rPr>
          <w:rFonts w:ascii="Courier New" w:cs="Courier New" w:eastAsia="Courier New" w:hAnsi="Courier New"/>
          <w:sz w:val="16"/>
          <w:szCs w:val="16"/>
          <w:color w:val="auto"/>
        </w:rPr>
        <w:t>During the second quarter, we received a request for indemnification from a major customer in two separate lawsuits which seek class action status. One case, titled Jerry Jacobs et. al. v. Osmose, Inc. et. al., is pending in the U.S. District Court for the Southern District of Florida. A second case, Albert Miller et. al. vs. Home Depot, USA Inc., et. al. is pending in the U.S. District Court for the Western District of Louisiana.</w:t>
      </w:r>
    </w:p>
    <w:p>
      <w:pPr>
        <w:spacing w:after="0" w:line="187" w:lineRule="exact"/>
        <w:rPr>
          <w:sz w:val="20"/>
          <w:szCs w:val="20"/>
          <w:color w:val="auto"/>
        </w:rPr>
      </w:pPr>
    </w:p>
    <w:p>
      <w:pPr>
        <w:ind w:left="2" w:right="1320"/>
        <w:spacing w:after="0" w:line="263" w:lineRule="auto"/>
        <w:rPr>
          <w:sz w:val="20"/>
          <w:szCs w:val="20"/>
          <w:color w:val="auto"/>
        </w:rPr>
      </w:pPr>
      <w:r>
        <w:rPr>
          <w:rFonts w:ascii="Courier New" w:cs="Courier New" w:eastAsia="Courier New" w:hAnsi="Courier New"/>
          <w:sz w:val="15"/>
          <w:szCs w:val="15"/>
          <w:color w:val="auto"/>
        </w:rPr>
        <w:t>In both cases, the putative plaintiffs allege that CCA treated lumber is defective and also allege that the marketing of the product is either deceptive or not sufficiently informative as to the risks of the product. The plaintiffs seek removal of CCA treated lumber, together with financial remuneration.</w:t>
      </w:r>
    </w:p>
    <w:p>
      <w:pPr>
        <w:spacing w:after="0" w:line="172" w:lineRule="exact"/>
        <w:rPr>
          <w:sz w:val="20"/>
          <w:szCs w:val="20"/>
          <w:color w:val="auto"/>
        </w:rPr>
      </w:pPr>
    </w:p>
    <w:p>
      <w:pPr>
        <w:ind w:left="2" w:right="1800"/>
        <w:spacing w:after="0" w:line="239" w:lineRule="auto"/>
        <w:rPr>
          <w:sz w:val="20"/>
          <w:szCs w:val="20"/>
          <w:color w:val="auto"/>
        </w:rPr>
      </w:pPr>
      <w:r>
        <w:rPr>
          <w:rFonts w:ascii="Courier New" w:cs="Courier New" w:eastAsia="Courier New" w:hAnsi="Courier New"/>
          <w:sz w:val="16"/>
          <w:szCs w:val="16"/>
          <w:color w:val="auto"/>
        </w:rPr>
        <w:t>We believe the claims are baseless and without merit. To the extent we are required to defend these actions, we intend to do so vigorously.</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Item 2. Changes in Securities.</w:t>
      </w:r>
    </w:p>
    <w:p>
      <w:pPr>
        <w:spacing w:after="0" w:line="186" w:lineRule="exact"/>
        <w:rPr>
          <w:sz w:val="20"/>
          <w:szCs w:val="20"/>
          <w:color w:val="auto"/>
        </w:rPr>
      </w:pPr>
    </w:p>
    <w:p>
      <w:pPr>
        <w:ind w:left="662" w:hanging="662"/>
        <w:spacing w:after="0"/>
        <w:tabs>
          <w:tab w:leader="none" w:pos="66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185" w:lineRule="exact"/>
        <w:rPr>
          <w:rFonts w:ascii="Courier New" w:cs="Courier New" w:eastAsia="Courier New" w:hAnsi="Courier New"/>
          <w:sz w:val="16"/>
          <w:szCs w:val="16"/>
          <w:color w:val="auto"/>
        </w:rPr>
      </w:pPr>
    </w:p>
    <w:p>
      <w:pPr>
        <w:ind w:left="662" w:hanging="662"/>
        <w:spacing w:after="0"/>
        <w:tabs>
          <w:tab w:leader="none" w:pos="66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188" w:lineRule="exact"/>
        <w:rPr>
          <w:rFonts w:ascii="Courier New" w:cs="Courier New" w:eastAsia="Courier New" w:hAnsi="Courier New"/>
          <w:sz w:val="16"/>
          <w:szCs w:val="16"/>
          <w:color w:val="auto"/>
        </w:rPr>
      </w:pPr>
    </w:p>
    <w:p>
      <w:pPr>
        <w:ind w:left="662" w:right="1320" w:hanging="662"/>
        <w:spacing w:after="0" w:line="239" w:lineRule="auto"/>
        <w:tabs>
          <w:tab w:leader="none" w:pos="66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of equity securities in the third quarter not registered under the Securities Act.</w:t>
      </w:r>
    </w:p>
    <w:p>
      <w:pPr>
        <w:spacing w:after="0" w:line="200" w:lineRule="exact"/>
        <w:rPr>
          <w:sz w:val="20"/>
          <w:szCs w:val="20"/>
          <w:color w:val="auto"/>
        </w:rPr>
      </w:pP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620" w:type="dxa"/>
            <w:vAlign w:val="bottom"/>
          </w:tcPr>
          <w:p>
            <w:pPr>
              <w:spacing w:after="0"/>
              <w:rPr>
                <w:sz w:val="15"/>
                <w:szCs w:val="15"/>
                <w:color w:val="auto"/>
              </w:rPr>
            </w:pPr>
          </w:p>
        </w:tc>
        <w:tc>
          <w:tcPr>
            <w:tcW w:w="2100" w:type="dxa"/>
            <w:vAlign w:val="bottom"/>
          </w:tcPr>
          <w:p>
            <w:pPr>
              <w:ind w:left="1100"/>
              <w:spacing w:after="0"/>
              <w:rPr>
                <w:sz w:val="20"/>
                <w:szCs w:val="20"/>
                <w:color w:val="auto"/>
              </w:rPr>
            </w:pPr>
            <w:r>
              <w:rPr>
                <w:rFonts w:ascii="Courier New" w:cs="Courier New" w:eastAsia="Courier New" w:hAnsi="Courier New"/>
                <w:sz w:val="16"/>
                <w:szCs w:val="16"/>
                <w:color w:val="auto"/>
              </w:rPr>
              <w:t>Date of</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Class of</w:t>
            </w: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Number</w:t>
            </w:r>
          </w:p>
        </w:tc>
        <w:tc>
          <w:tcPr>
            <w:tcW w:w="1660" w:type="dxa"/>
            <w:vAlign w:val="bottom"/>
          </w:tcPr>
          <w:p>
            <w:pPr>
              <w:spacing w:after="0"/>
              <w:rPr>
                <w:sz w:val="15"/>
                <w:szCs w:val="15"/>
                <w:color w:val="auto"/>
              </w:rPr>
            </w:pPr>
          </w:p>
        </w:tc>
      </w:tr>
      <w:tr>
        <w:trPr>
          <w:trHeight w:val="183"/>
        </w:trPr>
        <w:tc>
          <w:tcPr>
            <w:tcW w:w="2620" w:type="dxa"/>
            <w:vAlign w:val="bottom"/>
          </w:tcPr>
          <w:p>
            <w:pPr>
              <w:spacing w:after="0"/>
              <w:rPr>
                <w:sz w:val="15"/>
                <w:szCs w:val="15"/>
                <w:color w:val="auto"/>
              </w:rPr>
            </w:pPr>
          </w:p>
        </w:tc>
        <w:tc>
          <w:tcPr>
            <w:tcW w:w="2100" w:type="dxa"/>
            <w:vAlign w:val="bottom"/>
          </w:tcPr>
          <w:p>
            <w:pPr>
              <w:ind w:left="1280"/>
              <w:spacing w:after="0"/>
              <w:rPr>
                <w:sz w:val="20"/>
                <w:szCs w:val="20"/>
                <w:color w:val="auto"/>
              </w:rPr>
            </w:pPr>
            <w:r>
              <w:rPr>
                <w:rFonts w:ascii="Courier New" w:cs="Courier New" w:eastAsia="Courier New" w:hAnsi="Courier New"/>
                <w:sz w:val="16"/>
                <w:szCs w:val="16"/>
                <w:color w:val="auto"/>
              </w:rPr>
              <w:t>Sale</w:t>
            </w:r>
          </w:p>
        </w:tc>
        <w:tc>
          <w:tcPr>
            <w:tcW w:w="1240" w:type="dxa"/>
            <w:vAlign w:val="bottom"/>
          </w:tcPr>
          <w:p>
            <w:pPr>
              <w:ind w:left="420"/>
              <w:spacing w:after="0"/>
              <w:rPr>
                <w:sz w:val="20"/>
                <w:szCs w:val="20"/>
                <w:color w:val="auto"/>
              </w:rPr>
            </w:pPr>
            <w:r>
              <w:rPr>
                <w:rFonts w:ascii="Courier New" w:cs="Courier New" w:eastAsia="Courier New" w:hAnsi="Courier New"/>
                <w:sz w:val="16"/>
                <w:szCs w:val="16"/>
                <w:color w:val="auto"/>
              </w:rPr>
              <w:t>Stock</w:t>
            </w:r>
          </w:p>
        </w:tc>
        <w:tc>
          <w:tcPr>
            <w:tcW w:w="1240" w:type="dxa"/>
            <w:vAlign w:val="bottom"/>
          </w:tcPr>
          <w:p>
            <w:pPr>
              <w:ind w:left="140"/>
              <w:spacing w:after="0"/>
              <w:rPr>
                <w:sz w:val="20"/>
                <w:szCs w:val="20"/>
                <w:color w:val="auto"/>
              </w:rPr>
            </w:pPr>
            <w:r>
              <w:rPr>
                <w:rFonts w:ascii="Courier New" w:cs="Courier New" w:eastAsia="Courier New" w:hAnsi="Courier New"/>
                <w:sz w:val="16"/>
                <w:szCs w:val="16"/>
                <w:color w:val="auto"/>
              </w:rPr>
              <w:t>of Shares</w:t>
            </w:r>
          </w:p>
        </w:tc>
        <w:tc>
          <w:tcPr>
            <w:tcW w:w="1660" w:type="dxa"/>
            <w:vAlign w:val="bottom"/>
          </w:tcPr>
          <w:p>
            <w:pPr>
              <w:ind w:left="140"/>
              <w:spacing w:after="0"/>
              <w:rPr>
                <w:sz w:val="20"/>
                <w:szCs w:val="20"/>
                <w:color w:val="auto"/>
              </w:rPr>
            </w:pPr>
            <w:r>
              <w:rPr>
                <w:rFonts w:ascii="Courier New" w:cs="Courier New" w:eastAsia="Courier New" w:hAnsi="Courier New"/>
                <w:sz w:val="16"/>
                <w:szCs w:val="16"/>
                <w:color w:val="auto"/>
              </w:rPr>
              <w:t>Purchasers</w:t>
            </w:r>
          </w:p>
        </w:tc>
      </w:tr>
      <w:tr>
        <w:trPr>
          <w:trHeight w:val="183"/>
        </w:trPr>
        <w:tc>
          <w:tcPr>
            <w:tcW w:w="2620" w:type="dxa"/>
            <w:vAlign w:val="bottom"/>
          </w:tcPr>
          <w:p>
            <w:pPr>
              <w:spacing w:after="0"/>
              <w:rPr>
                <w:sz w:val="15"/>
                <w:szCs w:val="15"/>
                <w:color w:val="auto"/>
              </w:rPr>
            </w:pPr>
          </w:p>
        </w:tc>
        <w:tc>
          <w:tcPr>
            <w:tcW w:w="2100" w:type="dxa"/>
            <w:vAlign w:val="bottom"/>
          </w:tcPr>
          <w:p>
            <w:pPr>
              <w:ind w:left="9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367"/>
        </w:trPr>
        <w:tc>
          <w:tcPr>
            <w:tcW w:w="2620" w:type="dxa"/>
            <w:vAlign w:val="bottom"/>
          </w:tcPr>
          <w:p>
            <w:pPr>
              <w:spacing w:after="0"/>
              <w:rPr>
                <w:sz w:val="20"/>
                <w:szCs w:val="20"/>
                <w:color w:val="auto"/>
              </w:rPr>
            </w:pPr>
            <w:r>
              <w:rPr>
                <w:rFonts w:ascii="Courier New" w:cs="Courier New" w:eastAsia="Courier New" w:hAnsi="Courier New"/>
                <w:sz w:val="16"/>
                <w:szCs w:val="16"/>
                <w:color w:val="auto"/>
              </w:rPr>
              <w:t>Stock Gift Program</w:t>
            </w:r>
          </w:p>
        </w:tc>
        <w:tc>
          <w:tcPr>
            <w:tcW w:w="2100" w:type="dxa"/>
            <w:vAlign w:val="bottom"/>
          </w:tcPr>
          <w:p>
            <w:pPr>
              <w:ind w:left="900"/>
              <w:spacing w:after="0"/>
              <w:rPr>
                <w:sz w:val="20"/>
                <w:szCs w:val="20"/>
                <w:color w:val="auto"/>
              </w:rPr>
            </w:pPr>
            <w:r>
              <w:rPr>
                <w:rFonts w:ascii="Courier New" w:cs="Courier New" w:eastAsia="Courier New" w:hAnsi="Courier New"/>
                <w:sz w:val="16"/>
                <w:szCs w:val="16"/>
                <w:color w:val="auto"/>
              </w:rPr>
              <w:t>Various</w:t>
            </w:r>
          </w:p>
        </w:tc>
        <w:tc>
          <w:tcPr>
            <w:tcW w:w="1240" w:type="dxa"/>
            <w:vAlign w:val="bottom"/>
          </w:tcPr>
          <w:p>
            <w:pPr>
              <w:ind w:left="140"/>
              <w:spacing w:after="0"/>
              <w:rPr>
                <w:sz w:val="20"/>
                <w:szCs w:val="20"/>
                <w:color w:val="auto"/>
              </w:rPr>
            </w:pPr>
            <w:r>
              <w:rPr>
                <w:rFonts w:ascii="Courier New" w:cs="Courier New" w:eastAsia="Courier New" w:hAnsi="Courier New"/>
                <w:sz w:val="16"/>
                <w:szCs w:val="16"/>
                <w:color w:val="auto"/>
              </w:rPr>
              <w:t>Common</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475</w:t>
            </w:r>
          </w:p>
        </w:tc>
        <w:tc>
          <w:tcPr>
            <w:tcW w:w="1660" w:type="dxa"/>
            <w:vAlign w:val="bottom"/>
          </w:tcPr>
          <w:p>
            <w:pPr>
              <w:ind w:left="140"/>
              <w:spacing w:after="0"/>
              <w:rPr>
                <w:sz w:val="20"/>
                <w:szCs w:val="20"/>
                <w:color w:val="auto"/>
              </w:rPr>
            </w:pPr>
            <w:r>
              <w:rPr>
                <w:rFonts w:ascii="Courier New" w:cs="Courier New" w:eastAsia="Courier New" w:hAnsi="Courier New"/>
                <w:sz w:val="16"/>
                <w:szCs w:val="16"/>
                <w:color w:val="auto"/>
                <w:w w:val="97"/>
              </w:rPr>
              <w:t>Eligible persons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Consideration</w:t>
      </w:r>
    </w:p>
    <w:p>
      <w:pPr>
        <w:spacing w:after="0" w:line="1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Exchanged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jc w:val="center"/>
        <w:ind w:right="680"/>
        <w:spacing w:after="0"/>
        <w:rPr>
          <w:sz w:val="20"/>
          <w:szCs w:val="20"/>
          <w:color w:val="auto"/>
        </w:rPr>
      </w:pPr>
      <w:r>
        <w:rPr>
          <w:rFonts w:ascii="Courier New" w:cs="Courier New" w:eastAsia="Courier New" w:hAnsi="Courier New"/>
          <w:sz w:val="16"/>
          <w:szCs w:val="16"/>
          <w:color w:val="auto"/>
        </w:rPr>
        <w:t>None</w:t>
      </w:r>
    </w:p>
    <w:p>
      <w:pPr>
        <w:sectPr>
          <w:pgSz w:w="11900" w:h="16838" w:orient="portrait"/>
          <w:cols w:equalWidth="0" w:num="2">
            <w:col w:w="8862" w:space="680"/>
            <w:col w:w="1240"/>
          </w:cols>
          <w:pgMar w:left="238" w:top="665" w:right="879" w:bottom="1440" w:gutter="0" w:footer="0" w:header="0"/>
        </w:sectPr>
      </w:pPr>
    </w:p>
    <w:bookmarkStart w:id="20" w:name="page21"/>
    <w:bookmarkEnd w:id="20"/>
    <w:p>
      <w:pPr>
        <w:ind w:left="2380"/>
        <w:spacing w:after="0"/>
        <w:rPr>
          <w:sz w:val="20"/>
          <w:szCs w:val="20"/>
          <w:color w:val="auto"/>
        </w:rPr>
      </w:pPr>
      <w:r>
        <w:rPr>
          <w:rFonts w:ascii="Courier New" w:cs="Courier New" w:eastAsia="Courier New" w:hAnsi="Courier New"/>
          <w:sz w:val="16"/>
          <w:szCs w:val="16"/>
          <w:color w:val="auto"/>
        </w:rPr>
        <w:t>UNIVERSAL FOREST PRODUCTS, INC.</w:t>
      </w:r>
    </w:p>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SIGNATURE</w:t>
      </w:r>
    </w:p>
    <w:p>
      <w:pPr>
        <w:spacing w:after="0" w:line="188" w:lineRule="exact"/>
        <w:rPr>
          <w:sz w:val="20"/>
          <w:szCs w:val="20"/>
          <w:color w:val="auto"/>
        </w:rPr>
      </w:pPr>
    </w:p>
    <w:p>
      <w:pPr>
        <w:ind w:right="2979"/>
        <w:spacing w:after="0"/>
        <w:rPr>
          <w:sz w:val="20"/>
          <w:szCs w:val="20"/>
          <w:color w:val="auto"/>
        </w:rPr>
      </w:pPr>
      <w:r>
        <w:rPr>
          <w:rFonts w:ascii="Courier New" w:cs="Courier New" w:eastAsia="Courier New" w:hAnsi="Courier New"/>
          <w:sz w:val="16"/>
          <w:szCs w:val="16"/>
          <w:color w:val="auto"/>
        </w:rPr>
        <w:t>Pursuant to the requirements of the Securities and Exchange Act of 1934, the Company has duly caused this report to be signed on its behalf by the undersigned thereunto duly authorized.</w:t>
      </w:r>
    </w:p>
    <w:p>
      <w:pPr>
        <w:spacing w:after="0" w:line="200" w:lineRule="exact"/>
        <w:rPr>
          <w:sz w:val="20"/>
          <w:szCs w:val="20"/>
          <w:color w:val="auto"/>
        </w:rPr>
      </w:pPr>
    </w:p>
    <w:p>
      <w:pPr>
        <w:spacing w:after="0" w:line="354"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UNIVERSAL FOREST PRODUCTS, INC.</w:t>
      </w:r>
    </w:p>
    <w:p>
      <w:pPr>
        <w:spacing w:after="0" w:line="200" w:lineRule="exact"/>
        <w:rPr>
          <w:sz w:val="20"/>
          <w:szCs w:val="20"/>
          <w:color w:val="auto"/>
        </w:rPr>
      </w:pPr>
    </w:p>
    <w:p>
      <w:pPr>
        <w:spacing w:after="0" w:line="352" w:lineRule="exact"/>
        <w:rPr>
          <w:sz w:val="20"/>
          <w:szCs w:val="20"/>
          <w:color w:val="auto"/>
        </w:rPr>
      </w:pPr>
    </w:p>
    <w:p>
      <w:pPr>
        <w:spacing w:after="0"/>
        <w:tabs>
          <w:tab w:leader="none" w:pos="2840" w:val="left"/>
          <w:tab w:leader="none" w:pos="3320" w:val="left"/>
        </w:tabs>
        <w:rPr>
          <w:sz w:val="20"/>
          <w:szCs w:val="20"/>
          <w:color w:val="auto"/>
        </w:rPr>
      </w:pPr>
      <w:r>
        <w:rPr>
          <w:rFonts w:ascii="Courier New" w:cs="Courier New" w:eastAsia="Courier New" w:hAnsi="Courier New"/>
          <w:sz w:val="16"/>
          <w:szCs w:val="16"/>
          <w:color w:val="auto"/>
        </w:rPr>
        <w:t>Date: November 8, 2001</w:t>
      </w:r>
      <w:r>
        <w:rPr>
          <w:sz w:val="20"/>
          <w:szCs w:val="20"/>
          <w:color w:val="auto"/>
        </w:rPr>
        <w:tab/>
      </w: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 William G. Currie</w:t>
      </w:r>
    </w:p>
    <w:p>
      <w:pPr>
        <w:spacing w:after="0" w:line="2" w:lineRule="exact"/>
        <w:rPr>
          <w:sz w:val="20"/>
          <w:szCs w:val="20"/>
          <w:color w:val="auto"/>
        </w:rPr>
      </w:pPr>
    </w:p>
    <w:p>
      <w:pPr>
        <w:ind w:left="480"/>
        <w:spacing w:after="0"/>
        <w:tabs>
          <w:tab w:leader="none" w:pos="33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William G. Currie</w:t>
      </w:r>
    </w:p>
    <w:p>
      <w:pPr>
        <w:spacing w:after="0" w:line="2" w:lineRule="exact"/>
        <w:rPr>
          <w:sz w:val="20"/>
          <w:szCs w:val="20"/>
          <w:color w:val="auto"/>
        </w:rPr>
      </w:pPr>
    </w:p>
    <w:p>
      <w:pPr>
        <w:ind w:left="2760"/>
        <w:spacing w:after="0"/>
        <w:tabs>
          <w:tab w:leader="none" w:pos="3320" w:val="left"/>
        </w:tabs>
        <w:rPr>
          <w:sz w:val="20"/>
          <w:szCs w:val="20"/>
          <w:color w:val="auto"/>
        </w:rPr>
      </w:pPr>
      <w:r>
        <w:rPr>
          <w:rFonts w:ascii="Courier New" w:cs="Courier New" w:eastAsia="Courier New" w:hAnsi="Courier New"/>
          <w:sz w:val="16"/>
          <w:szCs w:val="16"/>
          <w:color w:val="auto"/>
        </w:rPr>
        <w:t>Its:</w:t>
      </w:r>
      <w:r>
        <w:rPr>
          <w:sz w:val="20"/>
          <w:szCs w:val="20"/>
          <w:color w:val="auto"/>
        </w:rPr>
        <w:tab/>
      </w:r>
      <w:r>
        <w:rPr>
          <w:rFonts w:ascii="Courier New" w:cs="Courier New" w:eastAsia="Courier New" w:hAnsi="Courier New"/>
          <w:sz w:val="15"/>
          <w:szCs w:val="15"/>
          <w:color w:val="auto"/>
        </w:rPr>
        <w:t>Vice Chairman of the Board and Chief</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2840" w:val="left"/>
          <w:tab w:leader="none" w:pos="3320" w:val="left"/>
        </w:tabs>
        <w:rPr>
          <w:sz w:val="20"/>
          <w:szCs w:val="20"/>
          <w:color w:val="auto"/>
        </w:rPr>
      </w:pPr>
      <w:r>
        <w:rPr>
          <w:rFonts w:ascii="Courier New" w:cs="Courier New" w:eastAsia="Courier New" w:hAnsi="Courier New"/>
          <w:sz w:val="16"/>
          <w:szCs w:val="16"/>
          <w:color w:val="auto"/>
        </w:rPr>
        <w:t>Date: November 8, 2001</w:t>
      </w:r>
      <w:r>
        <w:rPr>
          <w:sz w:val="20"/>
          <w:szCs w:val="20"/>
          <w:color w:val="auto"/>
        </w:rPr>
        <w:tab/>
      </w: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 Michael R. Cole</w:t>
      </w:r>
    </w:p>
    <w:p>
      <w:pPr>
        <w:spacing w:after="0" w:line="2" w:lineRule="exact"/>
        <w:rPr>
          <w:sz w:val="20"/>
          <w:szCs w:val="20"/>
          <w:color w:val="auto"/>
        </w:rPr>
      </w:pPr>
    </w:p>
    <w:p>
      <w:pPr>
        <w:ind w:left="480"/>
        <w:spacing w:after="0"/>
        <w:tabs>
          <w:tab w:leader="none" w:pos="33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Michael R. Cole</w:t>
      </w:r>
    </w:p>
    <w:p>
      <w:pPr>
        <w:spacing w:after="0" w:line="2" w:lineRule="exact"/>
        <w:rPr>
          <w:sz w:val="20"/>
          <w:szCs w:val="20"/>
          <w:color w:val="auto"/>
        </w:rPr>
      </w:pPr>
    </w:p>
    <w:p>
      <w:pPr>
        <w:ind w:left="2760"/>
        <w:spacing w:after="0"/>
        <w:tabs>
          <w:tab w:leader="none" w:pos="3320" w:val="left"/>
        </w:tabs>
        <w:rPr>
          <w:sz w:val="20"/>
          <w:szCs w:val="20"/>
          <w:color w:val="auto"/>
        </w:rPr>
      </w:pPr>
      <w:r>
        <w:rPr>
          <w:rFonts w:ascii="Courier New" w:cs="Courier New" w:eastAsia="Courier New" w:hAnsi="Courier New"/>
          <w:sz w:val="16"/>
          <w:szCs w:val="16"/>
          <w:color w:val="auto"/>
        </w:rPr>
        <w:t>Its:</w:t>
      </w:r>
      <w:r>
        <w:rPr>
          <w:sz w:val="20"/>
          <w:szCs w:val="20"/>
          <w:color w:val="auto"/>
        </w:rPr>
        <w:tab/>
      </w: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sectPr>
      <w:pgSz w:w="11900" w:h="16838" w:orient="portrait"/>
      <w:cols w:equalWidth="0" w:num="1">
        <w:col w:w="10219"/>
      </w:cols>
      <w:pgMar w:left="240" w:top="6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X"/>
      <w:numFmt w:val="bullet"/>
      <w:start w:val="1"/>
    </w:lvl>
  </w:abstractNum>
  <w:abstractNum w:abstractNumId="1">
    <w:nsid w:val="238E1F29"/>
    <w:multiLevelType w:val="hybridMultilevel"/>
    <w:lvl w:ilvl="0">
      <w:lvlJc w:val="left"/>
      <w:lvlText w:val="%1."/>
      <w:numFmt w:val="upperLetter"/>
      <w:start w:val="1"/>
    </w:lvl>
  </w:abstractNum>
  <w:abstractNum w:abstractNumId="2">
    <w:nsid w:val="46E87CCD"/>
    <w:multiLevelType w:val="hybridMultilevel"/>
    <w:lvl w:ilvl="0">
      <w:lvlJc w:val="left"/>
      <w:lvlText w:val="%1."/>
      <w:numFmt w:val="upperLetter"/>
      <w:start w:val="4"/>
    </w:lvl>
  </w:abstractNum>
  <w:abstractNum w:abstractNumId="3">
    <w:nsid w:val="3D1B58BA"/>
    <w:multiLevelType w:val="hybridMultilevel"/>
    <w:lvl w:ilvl="0">
      <w:lvlJc w:val="left"/>
      <w:lvlText w:val="%1."/>
      <w:numFmt w:val="upperLetter"/>
      <w:start w:val="5"/>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2019-12-14T01:45:10Z</dcterms:created>
  <dcterms:modified xsi:type="dcterms:W3CDTF">2019-12-14T01:45:10Z</dcterms:modified>
</cp:coreProperties>
</file>