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9"/>
          </w:tcPr>
          <w:p>
            <w:pPr>
              <w:spacing w:after="0"/>
              <w:rPr>
                <w:sz w:val="20"/>
                <w:szCs w:val="20"/>
                <w:color w:val="auto"/>
              </w:rPr>
            </w:pPr>
            <w:r>
              <w:rPr>
                <w:rFonts w:ascii="Arial" w:cs="Arial" w:eastAsia="Arial" w:hAnsi="Arial"/>
                <w:sz w:val="22"/>
                <w:szCs w:val="22"/>
                <w:color w:val="auto"/>
              </w:rPr>
              <w:t>SEC Form 5</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gridSpan w:val="4"/>
            <w:vMerge w:val="restart"/>
          </w:tcPr>
          <w:p>
            <w:pPr>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vMerge w:val="restart"/>
          </w:tcPr>
          <w:p>
            <w:pPr>
              <w:spacing w:after="0" w:line="128" w:lineRule="exact"/>
              <w:rPr>
                <w:sz w:val="20"/>
                <w:szCs w:val="20"/>
                <w:color w:val="auto"/>
              </w:rPr>
            </w:pPr>
            <w:r>
              <w:rPr>
                <w:rFonts w:ascii="Arial" w:cs="Arial" w:eastAsia="Arial" w:hAnsi="Arial"/>
                <w:sz w:val="12"/>
                <w:szCs w:val="12"/>
                <w:color w:val="auto"/>
              </w:rPr>
              <w:t>Section 16. Form 4 or Form 5</w:t>
            </w: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highlight w:val="white"/>
              </w:rPr>
              <w:t>X</w:t>
            </w:r>
          </w:p>
        </w:tc>
        <w:tc>
          <w:tcPr>
            <w:tcW w:w="2260" w:type="dxa"/>
            <w:vAlign w:val="bottom"/>
            <w:gridSpan w:val="4"/>
            <w:vMerge w:val="continue"/>
          </w:tcPr>
          <w:p>
            <w:pPr>
              <w:spacing w:after="0"/>
              <w:rPr>
                <w:sz w:val="7"/>
                <w:szCs w:val="7"/>
                <w:color w:val="auto"/>
              </w:rPr>
            </w:pPr>
          </w:p>
        </w:tc>
        <w:tc>
          <w:tcPr>
            <w:tcW w:w="6360" w:type="dxa"/>
            <w:vAlign w:val="bottom"/>
            <w:gridSpan w:val="19"/>
            <w:vMerge w:val="restart"/>
          </w:tcPr>
          <w:p>
            <w:pPr>
              <w:jc w:val="center"/>
              <w:spacing w:after="0" w:line="21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4"/>
            <w:vMerge w:val="continue"/>
          </w:tcPr>
          <w:p>
            <w:pPr>
              <w:spacing w:after="0"/>
              <w:rPr>
                <w:sz w:val="11"/>
                <w:szCs w:val="11"/>
                <w:color w:val="auto"/>
              </w:rPr>
            </w:pPr>
          </w:p>
        </w:tc>
        <w:tc>
          <w:tcPr>
            <w:tcW w:w="2260" w:type="dxa"/>
            <w:vAlign w:val="bottom"/>
            <w:gridSpan w:val="4"/>
          </w:tcPr>
          <w:p>
            <w:pPr>
              <w:spacing w:after="0" w:line="129"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360" w:type="dxa"/>
            <w:vAlign w:val="bottom"/>
            <w:gridSpan w:val="19"/>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2C2C2C"/>
            </w:tcBorders>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140" w:type="dxa"/>
            <w:vAlign w:val="bottom"/>
            <w:tcBorders>
              <w:top w:val="single" w:sz="8" w:color="2C2C2C"/>
            </w:tcBorders>
          </w:tcPr>
          <w:p>
            <w:pPr>
              <w:spacing w:after="0"/>
              <w:rPr>
                <w:sz w:val="12"/>
                <w:szCs w:val="12"/>
                <w:color w:val="auto"/>
              </w:rPr>
            </w:pPr>
          </w:p>
        </w:tc>
        <w:tc>
          <w:tcPr>
            <w:tcW w:w="20" w:type="dxa"/>
            <w:vAlign w:val="bottom"/>
            <w:tcBorders>
              <w:top w:val="single" w:sz="8" w:color="2C2C2C"/>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Instruction 1(b).</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4"/>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vMerge w:val="restart"/>
          </w:tcPr>
          <w:p>
            <w:pPr>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4"/>
            <w:vMerge w:val="restart"/>
          </w:tcPr>
          <w:p>
            <w:pPr>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6"/>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9"/>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gridSpan w:val="6"/>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MORDELL MICHAEL F</w:t>
              </w:r>
            </w:hyperlink>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60" w:type="dxa"/>
            <w:vAlign w:val="bottom"/>
            <w:tcBorders>
              <w:bottom w:val="single" w:sz="8" w:color="0000EE"/>
            </w:tcBorders>
            <w:gridSpan w:val="6"/>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gridSpan w:val="6"/>
          </w:tcPr>
          <w:p>
            <w:pPr>
              <w:spacing w:after="0"/>
              <w:rPr>
                <w:sz w:val="4"/>
                <w:szCs w:val="4"/>
                <w:color w:val="auto"/>
              </w:rPr>
            </w:pPr>
          </w:p>
        </w:tc>
        <w:tc>
          <w:tcPr>
            <w:tcW w:w="2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380"/>
              <w:spacing w:after="0" w:line="195" w:lineRule="exact"/>
              <w:rPr>
                <w:sz w:val="20"/>
                <w:szCs w:val="20"/>
                <w:color w:val="auto"/>
              </w:rPr>
            </w:pPr>
            <w:r>
              <w:rPr>
                <w:rFonts w:ascii="Arial" w:cs="Arial" w:eastAsia="Arial" w:hAnsi="Arial"/>
                <w:sz w:val="18"/>
                <w:szCs w:val="18"/>
                <w:color w:val="0000FF"/>
                <w:w w:val="89"/>
              </w:rPr>
              <w:t>Exec VP International Ops</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7"/>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7"/>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12/28/2019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bottom w:val="single" w:sz="8" w:color="9A9A9A"/>
            </w:tcBorders>
            <w:gridSpan w:val="4"/>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EEEEEE"/>
            </w:tcBorders>
            <w:gridSpan w:val="4"/>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4"/>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4"/>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4"/>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6"/>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8"/>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5"/>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0000FF"/>
              </w:rPr>
              <w:t>3,561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6"/>
            <w:vMerge w:val="restart"/>
          </w:tcPr>
          <w:p>
            <w:pPr>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7"/>
              <w:spacing w:after="0"/>
              <w:rPr>
                <w:sz w:val="20"/>
                <w:szCs w:val="20"/>
                <w:color w:val="auto"/>
              </w:rPr>
            </w:pPr>
            <w:r>
              <w:rPr>
                <w:rFonts w:ascii="Arial" w:cs="Arial" w:eastAsia="Arial" w:hAnsi="Arial"/>
                <w:sz w:val="18"/>
                <w:szCs w:val="18"/>
                <w:color w:val="0000FF"/>
              </w:rPr>
              <w:t>186</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48.19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19,620</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20"/>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60" w:type="dxa"/>
            <w:vAlign w:val="bottom"/>
            <w:gridSpan w:val="16"/>
          </w:tcPr>
          <w:p>
            <w:pPr>
              <w:jc w:val="center"/>
              <w:ind w:left="5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5"/>
            <w:vMerge w:val="restart"/>
          </w:tcPr>
          <w:p>
            <w:pPr>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678</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678</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71,607</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5"/>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restart"/>
          </w:tcPr>
          <w:p>
            <w:pPr>
              <w:spacing w:after="0"/>
              <w:rPr>
                <w:sz w:val="20"/>
                <w:szCs w:val="20"/>
                <w:color w:val="auto"/>
              </w:rPr>
            </w:pPr>
            <w:r>
              <w:rPr>
                <w:rFonts w:ascii="Arial" w:cs="Arial" w:eastAsia="Arial" w:hAnsi="Arial"/>
                <w:sz w:val="14"/>
                <w:szCs w:val="14"/>
                <w:color w:val="0000FF"/>
                <w:w w:val="87"/>
              </w:rPr>
              <w:t>Units</w:t>
            </w: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5"/>
            <w:vMerge w:val="restart"/>
          </w:tcPr>
          <w:p>
            <w:pPr>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33</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4"/>
              <w:spacing w:after="0" w:line="149" w:lineRule="exact"/>
              <w:rPr>
                <w:sz w:val="20"/>
                <w:szCs w:val="20"/>
                <w:color w:val="auto"/>
              </w:rPr>
            </w:pPr>
            <w:r>
              <w:rPr>
                <w:rFonts w:ascii="Arial" w:cs="Arial" w:eastAsia="Arial" w:hAnsi="Arial"/>
                <w:sz w:val="14"/>
                <w:szCs w:val="14"/>
                <w:color w:val="0000FF"/>
                <w:w w:val="76"/>
              </w:rPr>
              <w:t>33</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3,453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5"/>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restart"/>
          </w:tcPr>
          <w:p>
            <w:pPr>
              <w:spacing w:after="0"/>
              <w:rPr>
                <w:sz w:val="20"/>
                <w:szCs w:val="20"/>
                <w:color w:val="auto"/>
              </w:rPr>
            </w:pPr>
            <w:r>
              <w:rPr>
                <w:rFonts w:ascii="Arial" w:cs="Arial" w:eastAsia="Arial" w:hAnsi="Arial"/>
                <w:sz w:val="14"/>
                <w:szCs w:val="14"/>
                <w:color w:val="0000FF"/>
                <w:w w:val="87"/>
              </w:rPr>
              <w:t>Units</w:t>
            </w: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-6786880</wp:posOffset>
            </wp:positionV>
            <wp:extent cx="7297420" cy="6843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84339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Compensation Plan and are payable in shares of the Company's common stock until the reporting person's death, disability or retirement.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Michael F. 01/30/2020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9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94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80439"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2020-01-31T13:17:45Z</dcterms:created>
  <dcterms:modified xsi:type="dcterms:W3CDTF">2020-01-31T13:17:45Z</dcterms:modified>
</cp:coreProperties>
</file>