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945515</wp:posOffset>
            </wp:positionH>
            <wp:positionV relativeFrom="page">
              <wp:posOffset>568960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629285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 SECURITIES AND EXCHANGE COMMISSION</w:t>
      </w:r>
    </w:p>
    <w:p>
      <w:pPr>
        <w:jc w:val="center"/>
        <w:spacing w:after="0" w:line="226" w:lineRule="auto"/>
        <w:rPr>
          <w:sz w:val="20"/>
          <w:szCs w:val="20"/>
          <w:color w:val="auto"/>
        </w:rPr>
      </w:pPr>
      <w:r>
        <w:rPr>
          <w:rFonts w:ascii="Arial" w:cs="Arial" w:eastAsia="Arial" w:hAnsi="Arial"/>
          <w:sz w:val="14"/>
          <w:szCs w:val="14"/>
          <w:b w:val="1"/>
          <w:bCs w:val="1"/>
          <w:color w:val="auto"/>
        </w:rPr>
        <w:t>Washington, D.C. 20549</w:t>
      </w:r>
    </w:p>
    <w:p>
      <w:pPr>
        <w:ind w:left="3820"/>
        <w:spacing w:after="0"/>
        <w:rPr>
          <w:sz w:val="20"/>
          <w:szCs w:val="20"/>
          <w:color w:val="auto"/>
        </w:rPr>
      </w:pPr>
      <w:r>
        <w:rPr>
          <w:rFonts w:ascii="Arial" w:cs="Arial" w:eastAsia="Arial" w:hAnsi="Arial"/>
          <w:sz w:val="14"/>
          <w:szCs w:val="14"/>
          <w:color w:val="auto"/>
        </w:rPr>
        <w:t>___________________</w:t>
      </w:r>
    </w:p>
    <w:p>
      <w:pPr>
        <w:spacing w:after="0" w:line="107"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FORM S-8</w:t>
      </w:r>
    </w:p>
    <w:p>
      <w:pPr>
        <w:spacing w:after="0" w:line="140" w:lineRule="exact"/>
        <w:rPr>
          <w:sz w:val="24"/>
          <w:szCs w:val="24"/>
          <w:color w:val="auto"/>
        </w:rPr>
      </w:pPr>
    </w:p>
    <w:p>
      <w:pPr>
        <w:ind w:left="3560"/>
        <w:spacing w:after="0"/>
        <w:rPr>
          <w:sz w:val="20"/>
          <w:szCs w:val="20"/>
          <w:color w:val="auto"/>
        </w:rPr>
      </w:pPr>
      <w:r>
        <w:rPr>
          <w:rFonts w:ascii="Arial" w:cs="Arial" w:eastAsia="Arial" w:hAnsi="Arial"/>
          <w:sz w:val="14"/>
          <w:szCs w:val="14"/>
          <w:color w:val="auto"/>
        </w:rPr>
        <w:t>REGISTRATION STATEMENT</w:t>
      </w:r>
    </w:p>
    <w:p>
      <w:pPr>
        <w:jc w:val="center"/>
        <w:spacing w:after="0"/>
        <w:rPr>
          <w:sz w:val="20"/>
          <w:szCs w:val="20"/>
          <w:color w:val="auto"/>
        </w:rPr>
      </w:pPr>
      <w:r>
        <w:rPr>
          <w:rFonts w:ascii="Arial" w:cs="Arial" w:eastAsia="Arial" w:hAnsi="Arial"/>
          <w:sz w:val="14"/>
          <w:szCs w:val="14"/>
          <w:color w:val="auto"/>
        </w:rPr>
        <w:t>UNDER THE SECURITIES ACT OF 1933</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9019"/>
          </w:cols>
          <w:pgMar w:left="1440" w:top="1210" w:right="1440" w:bottom="1440" w:gutter="0" w:footer="0" w:header="0"/>
        </w:sectPr>
      </w:pPr>
    </w:p>
    <w:p>
      <w:pPr>
        <w:spacing w:after="0" w:line="106" w:lineRule="exact"/>
        <w:rPr>
          <w:sz w:val="24"/>
          <w:szCs w:val="24"/>
          <w:color w:val="auto"/>
        </w:rPr>
      </w:pPr>
    </w:p>
    <w:p>
      <w:pPr>
        <w:jc w:val="center"/>
        <w:ind w:right="360"/>
        <w:spacing w:after="0"/>
        <w:rPr>
          <w:sz w:val="20"/>
          <w:szCs w:val="20"/>
          <w:color w:val="auto"/>
        </w:rPr>
      </w:pPr>
      <w:r>
        <w:rPr>
          <w:rFonts w:ascii="Arial" w:cs="Arial" w:eastAsia="Arial" w:hAnsi="Arial"/>
          <w:sz w:val="13"/>
          <w:szCs w:val="13"/>
          <w:b w:val="1"/>
          <w:bCs w:val="1"/>
          <w:color w:val="auto"/>
        </w:rPr>
        <w:t>Michigan</w:t>
      </w:r>
    </w:p>
    <w:p>
      <w:pPr>
        <w:jc w:val="center"/>
        <w:ind w:right="360"/>
        <w:spacing w:after="0"/>
        <w:rPr>
          <w:sz w:val="20"/>
          <w:szCs w:val="20"/>
          <w:color w:val="auto"/>
        </w:rPr>
      </w:pPr>
      <w:r>
        <w:rPr>
          <w:rFonts w:ascii="Arial" w:cs="Arial" w:eastAsia="Arial" w:hAnsi="Arial"/>
          <w:sz w:val="10"/>
          <w:szCs w:val="10"/>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1859"/>
        <w:spacing w:after="0"/>
        <w:rPr>
          <w:sz w:val="20"/>
          <w:szCs w:val="20"/>
          <w:color w:val="auto"/>
        </w:rPr>
      </w:pPr>
      <w:r>
        <w:rPr>
          <w:rFonts w:ascii="Arial" w:cs="Arial" w:eastAsia="Arial" w:hAnsi="Arial"/>
          <w:sz w:val="13"/>
          <w:szCs w:val="13"/>
          <w:b w:val="1"/>
          <w:bCs w:val="1"/>
          <w:color w:val="auto"/>
        </w:rPr>
        <w:t>38-1465835</w:t>
      </w:r>
    </w:p>
    <w:p>
      <w:pPr>
        <w:jc w:val="center"/>
        <w:ind w:right="1859"/>
        <w:spacing w:after="0"/>
        <w:rPr>
          <w:sz w:val="20"/>
          <w:szCs w:val="20"/>
          <w:color w:val="auto"/>
        </w:rPr>
      </w:pPr>
      <w:r>
        <w:rPr>
          <w:rFonts w:ascii="Arial" w:cs="Arial" w:eastAsia="Arial" w:hAnsi="Arial"/>
          <w:sz w:val="10"/>
          <w:szCs w:val="10"/>
          <w:color w:val="auto"/>
        </w:rPr>
        <w:t>(I.R.S. Employer Identification No.)</w:t>
      </w:r>
    </w:p>
    <w:p>
      <w:pPr>
        <w:spacing w:after="0" w:line="123" w:lineRule="exact"/>
        <w:rPr>
          <w:sz w:val="24"/>
          <w:szCs w:val="24"/>
          <w:color w:val="auto"/>
        </w:rPr>
      </w:pPr>
    </w:p>
    <w:p>
      <w:pPr>
        <w:sectPr>
          <w:pgSz w:w="11900" w:h="16838" w:orient="portrait"/>
          <w:cols w:equalWidth="0" w:num="2">
            <w:col w:w="4600" w:space="720"/>
            <w:col w:w="3699"/>
          </w:cols>
          <w:pgMar w:left="1440" w:top="1210" w:right="1440"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2801 East Beltline, N.E.</w:t>
      </w:r>
    </w:p>
    <w:p>
      <w:pPr>
        <w:jc w:val="center"/>
        <w:ind w:right="19"/>
        <w:spacing w:after="0" w:line="226" w:lineRule="auto"/>
        <w:rPr>
          <w:sz w:val="20"/>
          <w:szCs w:val="20"/>
          <w:color w:val="auto"/>
        </w:rPr>
      </w:pPr>
      <w:r>
        <w:rPr>
          <w:rFonts w:ascii="Arial" w:cs="Arial" w:eastAsia="Arial" w:hAnsi="Arial"/>
          <w:sz w:val="14"/>
          <w:szCs w:val="14"/>
          <w:b w:val="1"/>
          <w:bCs w:val="1"/>
          <w:color w:val="auto"/>
        </w:rPr>
        <w:t>Grand Rapids, Michigan 49525</w:t>
      </w:r>
    </w:p>
    <w:p>
      <w:pPr>
        <w:jc w:val="center"/>
        <w:ind w:right="-2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UFP Industries, Inc. Long Term Stock Incentive Plan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(Full Title of the Plan)</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David Tutas</w:t>
      </w:r>
    </w:p>
    <w:p>
      <w:pPr>
        <w:jc w:val="center"/>
        <w:ind w:right="19"/>
        <w:spacing w:after="0" w:line="226" w:lineRule="auto"/>
        <w:rPr>
          <w:sz w:val="20"/>
          <w:szCs w:val="20"/>
          <w:color w:val="auto"/>
        </w:rPr>
      </w:pPr>
      <w:r>
        <w:rPr>
          <w:rFonts w:ascii="Arial" w:cs="Arial" w:eastAsia="Arial" w:hAnsi="Arial"/>
          <w:sz w:val="14"/>
          <w:szCs w:val="14"/>
          <w:b w:val="1"/>
          <w:bCs w:val="1"/>
          <w:color w:val="auto"/>
        </w:rPr>
        <w:t>UFP Industries, Inc.</w:t>
      </w:r>
    </w:p>
    <w:p>
      <w:pPr>
        <w:jc w:val="center"/>
        <w:ind w:right="19"/>
        <w:spacing w:after="0" w:line="221" w:lineRule="auto"/>
        <w:rPr>
          <w:sz w:val="20"/>
          <w:szCs w:val="20"/>
          <w:color w:val="auto"/>
        </w:rPr>
      </w:pPr>
      <w:r>
        <w:rPr>
          <w:rFonts w:ascii="Arial" w:cs="Arial" w:eastAsia="Arial" w:hAnsi="Arial"/>
          <w:sz w:val="14"/>
          <w:szCs w:val="14"/>
          <w:b w:val="1"/>
          <w:bCs w:val="1"/>
          <w:color w:val="auto"/>
        </w:rPr>
        <w:t>2801 East Beltline, N.E.</w:t>
      </w:r>
    </w:p>
    <w:p>
      <w:pPr>
        <w:ind w:left="3540"/>
        <w:spacing w:after="0" w:line="222" w:lineRule="auto"/>
        <w:rPr>
          <w:sz w:val="20"/>
          <w:szCs w:val="20"/>
          <w:color w:val="auto"/>
        </w:rPr>
      </w:pPr>
      <w:r>
        <w:rPr>
          <w:rFonts w:ascii="Arial" w:cs="Arial" w:eastAsia="Arial" w:hAnsi="Arial"/>
          <w:sz w:val="14"/>
          <w:szCs w:val="14"/>
          <w:b w:val="1"/>
          <w:bCs w:val="1"/>
          <w:color w:val="auto"/>
        </w:rPr>
        <w:t>Grand Rapids, Michigan 49525</w:t>
      </w:r>
    </w:p>
    <w:p>
      <w:pPr>
        <w:ind w:left="3380"/>
        <w:spacing w:after="0"/>
        <w:rPr>
          <w:sz w:val="20"/>
          <w:szCs w:val="20"/>
          <w:color w:val="auto"/>
        </w:rPr>
      </w:pPr>
      <w:r>
        <w:rPr>
          <w:rFonts w:ascii="Arial" w:cs="Arial" w:eastAsia="Arial" w:hAnsi="Arial"/>
          <w:sz w:val="14"/>
          <w:szCs w:val="14"/>
          <w:color w:val="auto"/>
        </w:rPr>
        <w:t>(Name and address of agent for service)</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(616) 364-6161</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Copies of Communications to:</w:t>
      </w:r>
    </w:p>
    <w:p>
      <w:pPr>
        <w:jc w:val="center"/>
        <w:ind w:right="-20"/>
        <w:spacing w:after="0" w:line="226" w:lineRule="auto"/>
        <w:rPr>
          <w:sz w:val="20"/>
          <w:szCs w:val="20"/>
          <w:color w:val="auto"/>
        </w:rPr>
      </w:pPr>
      <w:r>
        <w:rPr>
          <w:rFonts w:ascii="Arial" w:cs="Arial" w:eastAsia="Arial" w:hAnsi="Arial"/>
          <w:sz w:val="14"/>
          <w:szCs w:val="14"/>
          <w:color w:val="auto"/>
        </w:rPr>
        <w:t>Kimberly A. Baber</w:t>
      </w:r>
    </w:p>
    <w:p>
      <w:pPr>
        <w:jc w:val="center"/>
        <w:ind w:right="19"/>
        <w:spacing w:after="0" w:line="221" w:lineRule="auto"/>
        <w:rPr>
          <w:sz w:val="20"/>
          <w:szCs w:val="20"/>
          <w:color w:val="auto"/>
        </w:rPr>
      </w:pPr>
      <w:r>
        <w:rPr>
          <w:rFonts w:ascii="Arial" w:cs="Arial" w:eastAsia="Arial" w:hAnsi="Arial"/>
          <w:sz w:val="14"/>
          <w:szCs w:val="14"/>
          <w:color w:val="auto"/>
        </w:rPr>
        <w:t>Varnum LLP</w:t>
      </w:r>
    </w:p>
    <w:p>
      <w:pPr>
        <w:jc w:val="center"/>
        <w:ind w:right="19"/>
        <w:spacing w:after="0" w:line="222" w:lineRule="auto"/>
        <w:rPr>
          <w:sz w:val="20"/>
          <w:szCs w:val="20"/>
          <w:color w:val="auto"/>
        </w:rPr>
      </w:pPr>
      <w:r>
        <w:rPr>
          <w:rFonts w:ascii="Arial" w:cs="Arial" w:eastAsia="Arial" w:hAnsi="Arial"/>
          <w:sz w:val="14"/>
          <w:szCs w:val="14"/>
          <w:color w:val="auto"/>
        </w:rPr>
        <w:t>333 Bridge Street, N.W., P.O. Box 352</w:t>
      </w:r>
    </w:p>
    <w:p>
      <w:pPr>
        <w:jc w:val="center"/>
        <w:ind w:right="19"/>
        <w:spacing w:after="0" w:line="221" w:lineRule="auto"/>
        <w:rPr>
          <w:sz w:val="20"/>
          <w:szCs w:val="20"/>
          <w:color w:val="auto"/>
        </w:rPr>
      </w:pPr>
      <w:r>
        <w:rPr>
          <w:rFonts w:ascii="Arial" w:cs="Arial" w:eastAsia="Arial" w:hAnsi="Arial"/>
          <w:sz w:val="14"/>
          <w:szCs w:val="14"/>
          <w:color w:val="auto"/>
        </w:rPr>
        <w:t>Grand Rapids, Michigan 49501-0352</w:t>
      </w:r>
    </w:p>
    <w:p>
      <w:pPr>
        <w:jc w:val="center"/>
        <w:ind w:right="-20"/>
        <w:spacing w:after="0"/>
        <w:rPr>
          <w:sz w:val="20"/>
          <w:szCs w:val="20"/>
          <w:color w:val="auto"/>
        </w:rPr>
      </w:pPr>
      <w:r>
        <w:rPr>
          <w:rFonts w:ascii="Arial" w:cs="Arial" w:eastAsia="Arial" w:hAnsi="Arial"/>
          <w:sz w:val="14"/>
          <w:szCs w:val="14"/>
          <w:color w:val="auto"/>
        </w:rPr>
        <w:t>(616) 336-6000</w:t>
      </w:r>
    </w:p>
    <w:p>
      <w:pPr>
        <w:spacing w:after="0" w:line="124" w:lineRule="exact"/>
        <w:rPr>
          <w:sz w:val="24"/>
          <w:szCs w:val="24"/>
          <w:color w:val="auto"/>
        </w:rPr>
      </w:pPr>
    </w:p>
    <w:p>
      <w:pPr>
        <w:ind w:left="60" w:right="239"/>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210" w:right="1440" w:bottom="1440" w:gutter="0" w:footer="0" w:header="0"/>
          <w:type w:val="continuous"/>
        </w:sectPr>
      </w:pPr>
    </w:p>
    <w:p>
      <w:pPr>
        <w:spacing w:after="0" w:line="156" w:lineRule="exact"/>
        <w:rPr>
          <w:sz w:val="24"/>
          <w:szCs w:val="24"/>
          <w:color w:val="auto"/>
        </w:rPr>
      </w:pPr>
    </w:p>
    <w:p>
      <w:pPr>
        <w:ind w:left="10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54" w:lineRule="exact"/>
        <w:rPr>
          <w:sz w:val="24"/>
          <w:szCs w:val="24"/>
          <w:color w:val="auto"/>
        </w:rPr>
      </w:pPr>
    </w:p>
    <w:p>
      <w:pPr>
        <w:sectPr>
          <w:pgSz w:w="11900" w:h="16838" w:orient="portrait"/>
          <w:cols w:equalWidth="0" w:num="4">
            <w:col w:w="2340" w:space="60"/>
            <w:col w:w="1520" w:space="720"/>
            <w:col w:w="980" w:space="60"/>
            <w:col w:w="3339"/>
          </w:cols>
          <w:pgMar w:left="1440" w:top="1210" w:right="1440" w:bottom="1440" w:gutter="0" w:footer="0" w:header="0"/>
          <w:type w:val="continuous"/>
        </w:sectPr>
      </w:pPr>
    </w:p>
    <w:p>
      <w:pPr>
        <w:spacing w:after="0" w:line="23" w:lineRule="exact"/>
        <w:rPr>
          <w:sz w:val="24"/>
          <w:szCs w:val="24"/>
          <w:color w:val="auto"/>
        </w:rPr>
      </w:pPr>
    </w:p>
    <w:p>
      <w:pPr>
        <w:ind w:left="10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sectPr>
          <w:pgSz w:w="11900" w:h="16838" w:orient="portrait"/>
          <w:cols w:equalWidth="0" w:num="4">
            <w:col w:w="2260" w:space="80"/>
            <w:col w:w="1580" w:space="720"/>
            <w:col w:w="1580" w:space="80"/>
            <w:col w:w="2719"/>
          </w:cols>
          <w:pgMar w:left="1440" w:top="1210" w:right="1440" w:bottom="1440" w:gutter="0" w:footer="0" w:header="0"/>
          <w:type w:val="continuous"/>
        </w:sectPr>
      </w:pPr>
    </w:p>
    <w:p>
      <w:pPr>
        <w:spacing w:after="0" w:line="23" w:lineRule="exact"/>
        <w:rPr>
          <w:sz w:val="24"/>
          <w:szCs w:val="24"/>
          <w:color w:val="auto"/>
        </w:rPr>
      </w:pPr>
    </w:p>
    <w:p>
      <w:pPr>
        <w:ind w:left="464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200" w:lineRule="exact"/>
        <w:rPr>
          <w:sz w:val="24"/>
          <w:szCs w:val="24"/>
          <w:color w:val="auto"/>
        </w:rPr>
      </w:pPr>
    </w:p>
    <w:p>
      <w:pPr>
        <w:sectPr>
          <w:pgSz w:w="11900" w:h="16838" w:orient="portrait"/>
          <w:cols w:equalWidth="0" w:num="2">
            <w:col w:w="6220" w:space="80"/>
            <w:col w:w="2719"/>
          </w:cols>
          <w:pgMar w:left="1440" w:top="1210" w:right="1440" w:bottom="1440" w:gutter="0" w:footer="0" w:header="0"/>
          <w:type w:val="continuous"/>
        </w:sectPr>
      </w:pPr>
    </w:p>
    <w:p>
      <w:pPr>
        <w:spacing w:after="0" w:line="41" w:lineRule="exact"/>
        <w:rPr>
          <w:sz w:val="24"/>
          <w:szCs w:val="24"/>
          <w:color w:val="auto"/>
        </w:rPr>
      </w:pPr>
    </w:p>
    <w:p>
      <w:pPr>
        <w:ind w:left="60" w:right="119"/>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575945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155575</wp:posOffset>
            </wp:positionV>
            <wp:extent cx="5546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460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198755</wp:posOffset>
            </wp:positionV>
            <wp:extent cx="55460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6090" cy="34290"/>
                    </a:xfrm>
                    <a:prstGeom prst="rect">
                      <a:avLst/>
                    </a:prstGeom>
                    <a:noFill/>
                  </pic:spPr>
                </pic:pic>
              </a:graphicData>
            </a:graphic>
          </wp:anchor>
        </w:drawing>
      </w:r>
    </w:p>
    <w:p>
      <w:pPr>
        <w:sectPr>
          <w:pgSz w:w="11900" w:h="16838" w:orient="portrait"/>
          <w:cols w:equalWidth="0" w:num="1">
            <w:col w:w="9019"/>
          </w:cols>
          <w:pgMar w:left="1440" w:top="1210"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This Registration Statement on Form S-8 is filed by the Registrant to register an additional 4,700,000 shares of the Registrant’s common stock (the “Common Stock”), which may be issued pursuant to the Registrant’s Long Term Stock Incentive Plan (the “Plan”). This Registration Statement is filed pursuant to General Instruction E to Form S-8. The contents of the Registration Statement on Form S-8, File No. 333-60630, filed by the Registrant on May 10, 2001, are incorporated in this Registration Statement by reference and made a part hereof, to the extent not modified or superseded by the contents of this Registration Statement or by any subsequently filed document incorporated by reference herein or therein.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contents of the Registration Statement on Form S-8, File No. 333-60630, previously filed with the Securities and Exchange Commission (the “Commission”) on May 10, 2001, by UFP Industries, Inc. (the “Company” or the “Registrant”), are hereby incorporated herein by reference. In addition, the following new documents filed with the Commission by the Company are incorporated by reference:</w:t>
      </w:r>
    </w:p>
    <w:p>
      <w:pPr>
        <w:spacing w:after="0" w:line="187" w:lineRule="exact"/>
        <w:rPr>
          <w:sz w:val="20"/>
          <w:szCs w:val="20"/>
          <w:color w:val="auto"/>
        </w:rPr>
      </w:pPr>
    </w:p>
    <w:p>
      <w:pPr>
        <w:ind w:left="1020" w:right="79" w:hanging="322"/>
        <w:spacing w:after="0" w:line="277"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latest Annual Report on Form 10-K filed pursuant to Section 13(a) of the Securities Exchange Act of 1934;</w:t>
      </w:r>
    </w:p>
    <w:p>
      <w:pPr>
        <w:spacing w:after="0" w:line="170"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or documents filed by the Company pursuant to Section 13(a) or 15(d) of the Securities Exchange Act of 1934 since the end of the fiscal year covered by the Annual Report on Form 10-K reference to in (a) above; and</w:t>
      </w:r>
    </w:p>
    <w:p>
      <w:pPr>
        <w:spacing w:after="0" w:line="183" w:lineRule="exact"/>
        <w:rPr>
          <w:rFonts w:ascii="Arial" w:cs="Arial" w:eastAsia="Arial" w:hAnsi="Arial"/>
          <w:sz w:val="18"/>
          <w:szCs w:val="18"/>
          <w:color w:val="auto"/>
        </w:rPr>
      </w:pPr>
    </w:p>
    <w:p>
      <w:pPr>
        <w:jc w:val="both"/>
        <w:ind w:left="1020" w:right="79" w:hanging="322"/>
        <w:spacing w:after="0" w:line="311" w:lineRule="auto"/>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description of the Company’s Common Stock is contained in the Company’s Registration Statement filed pursuant to Section 12 of the Exchange Act and is incorporated in this Registration Statement by reference, including any subsequent amendments or reports filed for the purpose of updating such description.</w:t>
      </w:r>
    </w:p>
    <w:p>
      <w:pPr>
        <w:spacing w:after="0" w:line="14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All other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such documents. 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incorporated or deemed to be incorporated by reference in this Registration Statement modifies or supersedes such statement. Any such statement so modified or superseded shall not be deemed, except as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612140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exhibits are filed or incorporated by reference as part of this Registration Statement:</w:t>
      </w:r>
    </w:p>
    <w:p>
      <w:pPr>
        <w:spacing w:after="0" w:line="239"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color w:val="auto"/>
        </w:rPr>
        <w:t>Exhibit #</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19" w:lineRule="exact"/>
        <w:rPr>
          <w:sz w:val="20"/>
          <w:szCs w:val="20"/>
          <w:color w:val="auto"/>
        </w:rPr>
      </w:pPr>
    </w:p>
    <w:p>
      <w:pPr>
        <w:ind w:left="1200" w:right="99" w:hanging="1147"/>
        <w:spacing w:after="0" w:line="277"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Exhibit 4.1</w:t>
      </w:r>
      <w:r>
        <w:rPr>
          <w:sz w:val="20"/>
          <w:szCs w:val="20"/>
          <w:color w:val="auto"/>
        </w:rPr>
        <w:tab/>
      </w:r>
      <w:hyperlink r:id="rId15">
        <w:r>
          <w:rPr>
            <w:rFonts w:ascii="Arial" w:cs="Arial" w:eastAsia="Arial" w:hAnsi="Arial"/>
            <w:sz w:val="18"/>
            <w:szCs w:val="18"/>
            <w:u w:val="single" w:color="auto"/>
            <w:color w:val="0000EE"/>
          </w:rPr>
          <w:t>Restated Articles of Incorporation, as amended (incorporated by reference to Exhibit 3.1 of the Registrant's</w:t>
        </w:r>
      </w:hyperlink>
      <w:r>
        <w:rPr>
          <w:rFonts w:ascii="Arial" w:cs="Arial" w:eastAsia="Arial" w:hAnsi="Arial"/>
          <w:sz w:val="18"/>
          <w:szCs w:val="18"/>
          <w:u w:val="single" w:color="auto"/>
          <w:color w:val="0000EE"/>
        </w:rPr>
        <w:t xml:space="preserve"> </w:t>
      </w:r>
      <w:hyperlink r:id="rId15">
        <w:r>
          <w:rPr>
            <w:rFonts w:ascii="Arial" w:cs="Arial" w:eastAsia="Arial" w:hAnsi="Arial"/>
            <w:sz w:val="18"/>
            <w:szCs w:val="18"/>
            <w:u w:val="single" w:color="auto"/>
            <w:color w:val="0000EE"/>
          </w:rPr>
          <w:t>Current Report on Form 8-K filed with the Commission on May 3, 2022)</w:t>
        </w:r>
      </w:hyperlink>
    </w:p>
    <w:p>
      <w:pPr>
        <w:spacing w:after="0" w:line="170" w:lineRule="exact"/>
        <w:rPr>
          <w:sz w:val="20"/>
          <w:szCs w:val="20"/>
          <w:color w:val="auto"/>
        </w:rPr>
      </w:pPr>
    </w:p>
    <w:p>
      <w:pPr>
        <w:jc w:val="both"/>
        <w:ind w:left="1200" w:right="79" w:hanging="1147"/>
        <w:spacing w:after="0" w:line="277"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Exhibit 4.2</w:t>
      </w:r>
      <w:r>
        <w:rPr>
          <w:sz w:val="20"/>
          <w:szCs w:val="20"/>
          <w:color w:val="auto"/>
        </w:rPr>
        <w:tab/>
      </w:r>
      <w:hyperlink r:id="rId16">
        <w:r>
          <w:rPr>
            <w:rFonts w:ascii="Arial" w:cs="Arial" w:eastAsia="Arial" w:hAnsi="Arial"/>
            <w:sz w:val="18"/>
            <w:szCs w:val="18"/>
            <w:u w:val="single" w:color="auto"/>
            <w:color w:val="0000EE"/>
          </w:rPr>
          <w:t>Amended Bylaws (incorporated by reference to Exhibit 3(b) of the Registrant's Annual Report on Form 10-</w:t>
        </w:r>
      </w:hyperlink>
      <w:hyperlink r:id="rId16">
        <w:r>
          <w:rPr>
            <w:rFonts w:ascii="Arial" w:cs="Arial" w:eastAsia="Arial" w:hAnsi="Arial"/>
            <w:sz w:val="18"/>
            <w:szCs w:val="18"/>
            <w:u w:val="single" w:color="auto"/>
            <w:color w:val="0000EE"/>
          </w:rPr>
          <w:t>K for the year ended December 31, 2016)</w:t>
        </w:r>
      </w:hyperlink>
    </w:p>
    <w:p>
      <w:pPr>
        <w:spacing w:after="0" w:line="170"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color w:val="auto"/>
        </w:rPr>
        <w:t>Exhibit 5</w:t>
      </w:r>
      <w:r>
        <w:rPr>
          <w:sz w:val="20"/>
          <w:szCs w:val="20"/>
          <w:color w:val="auto"/>
        </w:rPr>
        <w:tab/>
      </w:r>
      <w:r>
        <w:rPr>
          <w:rFonts w:ascii="Arial" w:cs="Arial" w:eastAsia="Arial" w:hAnsi="Arial"/>
          <w:sz w:val="16"/>
          <w:szCs w:val="16"/>
          <w:u w:val="single" w:color="auto"/>
          <w:color w:val="0000EE"/>
        </w:rPr>
        <w:t>Opinion of Varnum LLP with respect to the legality of the securities being registered</w:t>
      </w:r>
    </w:p>
    <w:p>
      <w:pPr>
        <w:spacing w:after="0" w:line="22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color w:val="auto"/>
        </w:rPr>
        <w:t>Exhibit 23.1</w:t>
      </w:r>
      <w:r>
        <w:rPr>
          <w:sz w:val="20"/>
          <w:szCs w:val="20"/>
          <w:color w:val="auto"/>
        </w:rPr>
        <w:tab/>
      </w:r>
      <w:r>
        <w:rPr>
          <w:rFonts w:ascii="Arial" w:cs="Arial" w:eastAsia="Arial" w:hAnsi="Arial"/>
          <w:sz w:val="16"/>
          <w:szCs w:val="16"/>
          <w:u w:val="single" w:color="auto"/>
          <w:color w:val="0000EE"/>
        </w:rPr>
        <w:t>Consent of Deloitte &amp; Touche LLP, Independent Registered Public Accounting Firm</w:t>
      </w:r>
    </w:p>
    <w:p>
      <w:pPr>
        <w:spacing w:after="0" w:line="22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color w:val="auto"/>
        </w:rPr>
        <w:t>Exhibit 23.2</w:t>
      </w:r>
      <w:r>
        <w:rPr>
          <w:sz w:val="20"/>
          <w:szCs w:val="20"/>
          <w:color w:val="auto"/>
        </w:rPr>
        <w:tab/>
      </w:r>
      <w:r>
        <w:rPr>
          <w:rFonts w:ascii="Arial" w:cs="Arial" w:eastAsia="Arial" w:hAnsi="Arial"/>
          <w:sz w:val="16"/>
          <w:szCs w:val="16"/>
          <w:u w:val="single" w:color="auto"/>
          <w:color w:val="0000EE"/>
        </w:rPr>
        <w:t>Consent of Varnum LLP (included with the opinion filed as Exhibit 5)</w:t>
      </w:r>
    </w:p>
    <w:p>
      <w:pPr>
        <w:spacing w:after="0" w:line="22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color w:val="auto"/>
        </w:rPr>
        <w:t>Exhibit 24</w:t>
      </w:r>
      <w:r>
        <w:rPr>
          <w:sz w:val="20"/>
          <w:szCs w:val="20"/>
          <w:color w:val="auto"/>
        </w:rPr>
        <w:tab/>
      </w:r>
      <w:r>
        <w:rPr>
          <w:rFonts w:ascii="Arial" w:cs="Arial" w:eastAsia="Arial" w:hAnsi="Arial"/>
          <w:sz w:val="16"/>
          <w:szCs w:val="16"/>
          <w:u w:val="single" w:color="auto"/>
          <w:color w:val="0000EE"/>
        </w:rPr>
        <w:t>Power of Attorney (included in the signature page hereto)</w:t>
      </w:r>
    </w:p>
    <w:p>
      <w:pPr>
        <w:spacing w:after="0" w:line="225" w:lineRule="exact"/>
        <w:rPr>
          <w:sz w:val="20"/>
          <w:szCs w:val="20"/>
          <w:color w:val="auto"/>
        </w:rPr>
      </w:pPr>
    </w:p>
    <w:p>
      <w:pPr>
        <w:ind w:left="1200" w:right="599" w:hanging="1147"/>
        <w:spacing w:after="0" w:line="277"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Exhibit 99</w:t>
      </w:r>
      <w:r>
        <w:rPr>
          <w:sz w:val="20"/>
          <w:szCs w:val="20"/>
          <w:color w:val="auto"/>
        </w:rPr>
        <w:tab/>
      </w:r>
      <w:hyperlink r:id="rId17">
        <w:r>
          <w:rPr>
            <w:rFonts w:ascii="Arial" w:cs="Arial" w:eastAsia="Arial" w:hAnsi="Arial"/>
            <w:sz w:val="18"/>
            <w:szCs w:val="18"/>
            <w:u w:val="single" w:color="auto"/>
            <w:color w:val="0000EE"/>
          </w:rPr>
          <w:t>Long Term Stock Incentive Plan (incorporated by reference to Appendix A of the Registrant's proxy</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statement filed with the Commission on March 8, 2022)</w:t>
        </w:r>
      </w:hyperlink>
    </w:p>
    <w:p>
      <w:pPr>
        <w:spacing w:after="0" w:line="170"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color w:val="auto"/>
        </w:rPr>
        <w:t>Exhibit 107</w:t>
      </w:r>
      <w:r>
        <w:rPr>
          <w:sz w:val="20"/>
          <w:szCs w:val="20"/>
          <w:color w:val="auto"/>
        </w:rPr>
        <w:tab/>
      </w:r>
      <w:r>
        <w:rPr>
          <w:rFonts w:ascii="Arial" w:cs="Arial" w:eastAsia="Arial" w:hAnsi="Arial"/>
          <w:sz w:val="16"/>
          <w:szCs w:val="16"/>
          <w:u w:val="single" w:color="auto"/>
          <w:color w:val="0000EE"/>
        </w:rPr>
        <w:t>Filing Fee Table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The Registrant. </w:t>
      </w:r>
      <w:r>
        <w:rPr>
          <w:rFonts w:ascii="Arial" w:cs="Arial" w:eastAsia="Arial" w:hAnsi="Arial"/>
          <w:sz w:val="18"/>
          <w:szCs w:val="18"/>
          <w:color w:val="auto"/>
        </w:rPr>
        <w:t>Pursuant to the requirements of the Securities Act of 1933, the Registrant certifies that it has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grounds to believe that it meets all of the requirements for filing on Form S-8 and has duly caused this Registration Statement to be signed on its behalf by the undersigned, thereunto duly authorized, in the City of Grand Rapids, State of Michigan, on this 11th day of September, 2023.</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460" w:type="dxa"/>
            <w:vAlign w:val="bottom"/>
          </w:tcPr>
          <w:p>
            <w:pPr>
              <w:ind w:left="20"/>
              <w:spacing w:after="0"/>
              <w:rPr>
                <w:sz w:val="20"/>
                <w:szCs w:val="20"/>
                <w:color w:val="auto"/>
              </w:rPr>
            </w:pPr>
            <w:r>
              <w:rPr>
                <w:rFonts w:ascii="Arial" w:cs="Arial" w:eastAsia="Arial" w:hAnsi="Arial"/>
                <w:sz w:val="18"/>
                <w:szCs w:val="18"/>
                <w:color w:val="auto"/>
              </w:rPr>
              <w:t>Dated: September 11, 2023</w:t>
            </w: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UFP Industries, Inc.</w:t>
            </w:r>
          </w:p>
        </w:tc>
      </w:tr>
      <w:tr>
        <w:trPr>
          <w:trHeight w:val="230"/>
        </w:trPr>
        <w:tc>
          <w:tcPr>
            <w:tcW w:w="4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432"/>
        </w:trPr>
        <w:tc>
          <w:tcPr>
            <w:tcW w:w="446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4460" w:type="dxa"/>
            <w:vAlign w:val="bottom"/>
          </w:tcPr>
          <w:p>
            <w:pPr>
              <w:spacing w:after="0"/>
              <w:rPr>
                <w:sz w:val="16"/>
                <w:szCs w:val="16"/>
                <w:color w:val="auto"/>
              </w:rPr>
            </w:pPr>
          </w:p>
        </w:tc>
        <w:tc>
          <w:tcPr>
            <w:tcW w:w="4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By:Michael R. Cole</w:t>
            </w:r>
          </w:p>
        </w:tc>
        <w:tc>
          <w:tcPr>
            <w:tcW w:w="20" w:type="dxa"/>
            <w:vAlign w:val="bottom"/>
          </w:tcPr>
          <w:p>
            <w:pPr>
              <w:spacing w:after="0"/>
              <w:rPr>
                <w:sz w:val="16"/>
                <w:szCs w:val="16"/>
                <w:color w:val="auto"/>
              </w:rPr>
            </w:pPr>
          </w:p>
        </w:tc>
      </w:tr>
      <w:tr>
        <w:trPr>
          <w:trHeight w:val="230"/>
        </w:trPr>
        <w:tc>
          <w:tcPr>
            <w:tcW w:w="4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Its: Chief Financial Officer &amp; Treasurer</w:t>
            </w:r>
          </w:p>
        </w:tc>
      </w:tr>
      <w:tr>
        <w:trPr>
          <w:trHeight w:val="1006"/>
        </w:trPr>
        <w:tc>
          <w:tcPr>
            <w:tcW w:w="44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KNOW BY ALL PERSONS BY THESE PRESENTS, that each person whose signature appears below constitutes and appoints Matthew J. Missad and Michael R. Cole, and each of them, as attorney-in-fact and agent, with full power of substitution and re-substitution, for and in the name, place and stead of the undersigned,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and all post-effective amendments thereto,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the undersigned might or could do in person, hereby ratifying and confirming all that each said attorney-in-fact and agent, or any such substitute or substitutes, may lawfully do or cause to be done by virtue hereof.</w:t>
      </w:r>
    </w:p>
    <w:p>
      <w:pPr>
        <w:spacing w:after="0" w:line="17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6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344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Capacity</w:t>
            </w:r>
          </w:p>
        </w:tc>
        <w:tc>
          <w:tcPr>
            <w:tcW w:w="24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0" w:type="dxa"/>
            <w:vAlign w:val="bottom"/>
          </w:tcPr>
          <w:p>
            <w:pPr>
              <w:spacing w:after="0"/>
              <w:rPr>
                <w:sz w:val="20"/>
                <w:szCs w:val="20"/>
                <w:color w:val="auto"/>
              </w:rPr>
            </w:pPr>
          </w:p>
        </w:tc>
      </w:tr>
      <w:tr>
        <w:trPr>
          <w:trHeight w:val="425"/>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J. Missad</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9"/>
              </w:rPr>
              <w:t>Director and Chief Executive Officer (Principal</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September 11,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Matthew J. Missad</w:t>
            </w:r>
          </w:p>
        </w:tc>
        <w:tc>
          <w:tcPr>
            <w:tcW w:w="2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19"/>
                <w:szCs w:val="19"/>
                <w:color w:val="auto"/>
              </w:rPr>
            </w:pPr>
          </w:p>
        </w:tc>
      </w:tr>
      <w:tr>
        <w:trPr>
          <w:trHeight w:val="41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Cole</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September 11,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Michael R. Cole</w:t>
            </w:r>
          </w:p>
        </w:tc>
        <w:tc>
          <w:tcPr>
            <w:tcW w:w="2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Officer &amp; Principal Accounting Officer)</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19"/>
                <w:szCs w:val="19"/>
                <w:color w:val="auto"/>
              </w:rPr>
            </w:pPr>
          </w:p>
        </w:tc>
      </w:tr>
      <w:tr>
        <w:trPr>
          <w:trHeight w:val="41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G. Currie</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September 11,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William G. Currie</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19"/>
                <w:szCs w:val="19"/>
                <w:color w:val="auto"/>
              </w:rPr>
            </w:pPr>
          </w:p>
        </w:tc>
      </w:tr>
      <w:tr>
        <w:trPr>
          <w:trHeight w:val="41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Joan A. Budden</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September 11,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Joan A. Budden</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19"/>
                <w:szCs w:val="19"/>
                <w:color w:val="auto"/>
              </w:rPr>
            </w:pPr>
          </w:p>
        </w:tc>
      </w:tr>
      <w:tr>
        <w:trPr>
          <w:trHeight w:val="41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Tuuk Kuras</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September 11,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Mary Tuuk Kuras</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19"/>
                <w:szCs w:val="19"/>
                <w:color w:val="auto"/>
              </w:rPr>
            </w:pPr>
          </w:p>
        </w:tc>
      </w:tr>
      <w:tr>
        <w:trPr>
          <w:trHeight w:val="41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G. Wooldridge</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September 11,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Michael G. Wooldridge</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19"/>
                <w:szCs w:val="19"/>
                <w:color w:val="auto"/>
              </w:rPr>
            </w:pPr>
          </w:p>
        </w:tc>
      </w:tr>
      <w:tr>
        <w:trPr>
          <w:trHeight w:val="418"/>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Benjamin J. McLean</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September 11,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Benjamin J. McLean</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19"/>
                <w:szCs w:val="19"/>
                <w:color w:val="auto"/>
              </w:rPr>
            </w:pPr>
          </w:p>
        </w:tc>
      </w:tr>
      <w:tr>
        <w:trPr>
          <w:trHeight w:val="418"/>
        </w:trPr>
        <w:tc>
          <w:tcPr>
            <w:tcW w:w="35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Bruce A. Merino</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W. Rhodes</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September 11,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Thomas W. Rhodes</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19"/>
                <w:szCs w:val="19"/>
                <w:color w:val="auto"/>
              </w:rPr>
            </w:pPr>
          </w:p>
        </w:tc>
      </w:tr>
      <w:tr>
        <w:trPr>
          <w:trHeight w:val="431"/>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C. Walker</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September 11,</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Brian C. Walker</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19"/>
                <w:szCs w:val="19"/>
                <w:color w:val="auto"/>
              </w:rPr>
            </w:pPr>
          </w:p>
        </w:tc>
      </w:tr>
      <w:tr>
        <w:trPr>
          <w:trHeight w:val="776"/>
        </w:trPr>
        <w:tc>
          <w:tcPr>
            <w:tcW w:w="3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UFP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220"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Re:</w:t>
            </w:r>
          </w:p>
        </w:tc>
        <w:tc>
          <w:tcPr>
            <w:tcW w:w="5340" w:type="dxa"/>
            <w:vAlign w:val="bottom"/>
            <w:gridSpan w:val="3"/>
          </w:tcPr>
          <w:p>
            <w:pPr>
              <w:ind w:left="260"/>
              <w:spacing w:after="0"/>
              <w:rPr>
                <w:sz w:val="20"/>
                <w:szCs w:val="20"/>
                <w:color w:val="auto"/>
              </w:rPr>
            </w:pPr>
            <w:r>
              <w:rPr>
                <w:rFonts w:ascii="Arial" w:cs="Arial" w:eastAsia="Arial" w:hAnsi="Arial"/>
                <w:sz w:val="18"/>
                <w:szCs w:val="18"/>
                <w:b w:val="1"/>
                <w:bCs w:val="1"/>
                <w:color w:val="auto"/>
              </w:rPr>
              <w:t>Registration Statement on Form S-8 Relating to the</w:t>
            </w:r>
          </w:p>
        </w:tc>
      </w:tr>
      <w:tr>
        <w:trPr>
          <w:trHeight w:val="194"/>
        </w:trPr>
        <w:tc>
          <w:tcPr>
            <w:tcW w:w="540" w:type="dxa"/>
            <w:vAlign w:val="bottom"/>
          </w:tcPr>
          <w:p>
            <w:pPr>
              <w:spacing w:after="0"/>
              <w:rPr>
                <w:sz w:val="16"/>
                <w:szCs w:val="16"/>
                <w:color w:val="auto"/>
              </w:rPr>
            </w:pPr>
          </w:p>
        </w:tc>
        <w:tc>
          <w:tcPr>
            <w:tcW w:w="5340" w:type="dxa"/>
            <w:vAlign w:val="bottom"/>
            <w:gridSpan w:val="3"/>
          </w:tcPr>
          <w:p>
            <w:pPr>
              <w:ind w:left="260"/>
              <w:spacing w:after="0" w:line="194" w:lineRule="exact"/>
              <w:rPr>
                <w:sz w:val="20"/>
                <w:szCs w:val="20"/>
                <w:color w:val="auto"/>
              </w:rPr>
            </w:pPr>
            <w:r>
              <w:rPr>
                <w:rFonts w:ascii="Arial" w:cs="Arial" w:eastAsia="Arial" w:hAnsi="Arial"/>
                <w:sz w:val="18"/>
                <w:szCs w:val="18"/>
                <w:b w:val="1"/>
                <w:bCs w:val="1"/>
                <w:color w:val="auto"/>
                <w:w w:val="91"/>
              </w:rPr>
              <w:t>UFP Industries, Inc. Long Term Stock Incentive Plan (the "Plan")</w:t>
            </w:r>
          </w:p>
        </w:tc>
      </w:tr>
      <w:tr>
        <w:trPr>
          <w:trHeight w:val="20"/>
        </w:trPr>
        <w:tc>
          <w:tcPr>
            <w:tcW w:w="5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With respect to the Registration Statement on Form S-8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or to be filed by UFP Industries, Inc., a Michigan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with the Securities and Exchange Commission on or about the date of this letter for the purpose of registering under the Securities Act of 1933, as amended, 4,700,000 shares of the Company's common stock for issuance pursuant to the Plan, we have examined such documents and questions of law we consider necessary or appropriate for the purpose of giving this opinion. On the basis of such evaluation, we advise you that, in our opinion, the 4,700,000 shares of common stock covered by the Registration Statement, upon delivery of such shares and payment for such shares in accordance with the terms stated in the Plan and the Registration Statement, will be duly and legally authorized, issued and outstanding, and fully paid and non-assessable.</w:t>
      </w:r>
    </w:p>
    <w:p>
      <w:pPr>
        <w:spacing w:after="0" w:line="16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consent to the filing of this opinion as an exhibit to the Registration Statement. In giving this consent, we do not admit that we are within the category of persons whose consent is required under Section 7 of the Securities Act of 1933, as amended, or under the rules and regulations of the Securities and Exchange Commission.</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VARNUM LLP</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Varnum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this Registration Statement on Form S-8 of our reports dated March 1, 2023 relating to the financial statements of UFP Industries, Inc. and the effectiveness of UFP Industries, Inc.’s internal control over financial reporting, appearing in the Annual Report on Form 10-K of UFP Industries, Inc. for the year ended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 w:name="page7"/>
    <w:bookmarkEnd w:id="6"/>
    <w:p>
      <w:pPr>
        <w:ind w:left="8840"/>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Calculation of Filing Fee Table</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S-8</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Type)</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UFP Industries,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1: Newly Registered Securities</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780" w:type="dxa"/>
            <w:vAlign w:val="bottom"/>
            <w:tcBorders>
              <w:top w:val="single" w:sz="8" w:color="auto"/>
              <w:left w:val="single" w:sz="8" w:color="auto"/>
              <w:right w:val="single" w:sz="8" w:color="auto"/>
            </w:tcBorders>
          </w:tcPr>
          <w:p>
            <w:pPr>
              <w:spacing w:after="0"/>
              <w:rPr>
                <w:sz w:val="13"/>
                <w:szCs w:val="13"/>
                <w:color w:val="auto"/>
              </w:rPr>
            </w:pPr>
          </w:p>
        </w:tc>
        <w:tc>
          <w:tcPr>
            <w:tcW w:w="1180" w:type="dxa"/>
            <w:vAlign w:val="bottom"/>
            <w:tcBorders>
              <w:top w:val="single" w:sz="8" w:color="auto"/>
              <w:right w:val="single" w:sz="8" w:color="auto"/>
            </w:tcBorders>
          </w:tcPr>
          <w:p>
            <w:pPr>
              <w:spacing w:after="0"/>
              <w:rPr>
                <w:sz w:val="13"/>
                <w:szCs w:val="13"/>
                <w:color w:val="auto"/>
              </w:rPr>
            </w:pPr>
          </w:p>
        </w:tc>
        <w:tc>
          <w:tcPr>
            <w:tcW w:w="1280" w:type="dxa"/>
            <w:vAlign w:val="bottom"/>
            <w:tcBorders>
              <w:top w:val="single" w:sz="8" w:color="auto"/>
              <w:right w:val="single" w:sz="8" w:color="auto"/>
            </w:tcBorders>
          </w:tcPr>
          <w:p>
            <w:pPr>
              <w:spacing w:after="0"/>
              <w:rPr>
                <w:sz w:val="13"/>
                <w:szCs w:val="13"/>
                <w:color w:val="auto"/>
              </w:rPr>
            </w:pPr>
          </w:p>
        </w:tc>
        <w:tc>
          <w:tcPr>
            <w:tcW w:w="1380" w:type="dxa"/>
            <w:vAlign w:val="bottom"/>
            <w:tcBorders>
              <w:top w:val="single" w:sz="8" w:color="auto"/>
              <w:right w:val="single" w:sz="8" w:color="auto"/>
            </w:tcBorders>
          </w:tcPr>
          <w:p>
            <w:pPr>
              <w:spacing w:after="0"/>
              <w:rPr>
                <w:sz w:val="13"/>
                <w:szCs w:val="13"/>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5"/>
              </w:rPr>
              <w:t>Proposed</w:t>
            </w:r>
          </w:p>
        </w:tc>
        <w:tc>
          <w:tcPr>
            <w:tcW w:w="1700" w:type="dxa"/>
            <w:vAlign w:val="bottom"/>
            <w:tcBorders>
              <w:top w:val="single" w:sz="8" w:color="auto"/>
              <w:right w:val="single" w:sz="8" w:color="auto"/>
            </w:tcBorders>
          </w:tcPr>
          <w:p>
            <w:pPr>
              <w:spacing w:after="0"/>
              <w:rPr>
                <w:sz w:val="13"/>
                <w:szCs w:val="13"/>
                <w:color w:val="auto"/>
              </w:rPr>
            </w:pPr>
          </w:p>
        </w:tc>
        <w:tc>
          <w:tcPr>
            <w:tcW w:w="960" w:type="dxa"/>
            <w:vAlign w:val="bottom"/>
            <w:tcBorders>
              <w:top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80" w:type="dxa"/>
            <w:vAlign w:val="bottom"/>
            <w:tcBorders>
              <w:left w:val="single" w:sz="8" w:color="auto"/>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2"/>
              </w:rPr>
              <w:t>Maximum</w:t>
            </w:r>
          </w:p>
        </w:tc>
        <w:tc>
          <w:tcPr>
            <w:tcW w:w="1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2"/>
              </w:rPr>
              <w:t>Maximum</w:t>
            </w:r>
          </w:p>
        </w:tc>
        <w:tc>
          <w:tcPr>
            <w:tcW w:w="9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 w:type="dxa"/>
            <w:vAlign w:val="bottom"/>
            <w:tcBorders>
              <w:left w:val="single" w:sz="8" w:color="auto"/>
              <w:right w:val="single" w:sz="8" w:color="auto"/>
            </w:tcBorders>
          </w:tcPr>
          <w:p>
            <w:pPr>
              <w:spacing w:after="0"/>
              <w:rPr>
                <w:sz w:val="11"/>
                <w:szCs w:val="11"/>
                <w:color w:val="auto"/>
              </w:rPr>
            </w:pP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7"/>
              </w:rPr>
              <w:t>Security</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6"/>
              </w:rPr>
              <w:t>Fee</w:t>
            </w:r>
          </w:p>
        </w:tc>
        <w:tc>
          <w:tcPr>
            <w:tcW w:w="138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3"/>
              </w:rPr>
              <w:t>Offering</w:t>
            </w:r>
          </w:p>
        </w:tc>
        <w:tc>
          <w:tcPr>
            <w:tcW w:w="1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6"/>
              </w:rPr>
              <w:t>Aggregate</w:t>
            </w:r>
          </w:p>
        </w:tc>
        <w:tc>
          <w:tcPr>
            <w:tcW w:w="9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 w:type="dxa"/>
            <w:vAlign w:val="bottom"/>
            <w:tcBorders>
              <w:left w:val="single" w:sz="8" w:color="auto"/>
              <w:right w:val="single" w:sz="8" w:color="auto"/>
            </w:tcBorders>
          </w:tcPr>
          <w:p>
            <w:pPr>
              <w:jc w:val="center"/>
              <w:ind w:left="74"/>
              <w:spacing w:after="0" w:line="135" w:lineRule="exact"/>
              <w:rPr>
                <w:sz w:val="20"/>
                <w:szCs w:val="20"/>
                <w:color w:val="auto"/>
              </w:rPr>
            </w:pPr>
            <w:r>
              <w:rPr>
                <w:rFonts w:ascii="Arial" w:cs="Arial" w:eastAsia="Arial" w:hAnsi="Arial"/>
                <w:sz w:val="12"/>
                <w:szCs w:val="12"/>
                <w:color w:val="auto"/>
                <w:w w:val="92"/>
              </w:rPr>
              <w:t>Security</w:t>
            </w: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6"/>
              </w:rPr>
              <w:t>Class</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0"/>
              </w:rPr>
              <w:t>Calculation</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1"/>
              </w:rPr>
              <w:t>Amount</w:t>
            </w: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7"/>
              </w:rPr>
              <w:t>Price</w:t>
            </w:r>
          </w:p>
        </w:tc>
        <w:tc>
          <w:tcPr>
            <w:tcW w:w="1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3"/>
              </w:rPr>
              <w:t>Offering</w:t>
            </w:r>
          </w:p>
        </w:tc>
        <w:tc>
          <w:tcPr>
            <w:tcW w:w="9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Amount of</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bottom w:val="single" w:sz="8" w:color="auto"/>
              <w:right w:val="single" w:sz="8" w:color="auto"/>
            </w:tcBorders>
          </w:tcPr>
          <w:p>
            <w:pPr>
              <w:jc w:val="center"/>
              <w:ind w:left="74"/>
              <w:spacing w:after="0"/>
              <w:rPr>
                <w:sz w:val="20"/>
                <w:szCs w:val="20"/>
                <w:color w:val="auto"/>
              </w:rPr>
            </w:pPr>
            <w:r>
              <w:rPr>
                <w:rFonts w:ascii="Arial" w:cs="Arial" w:eastAsia="Arial" w:hAnsi="Arial"/>
                <w:sz w:val="12"/>
                <w:szCs w:val="12"/>
                <w:color w:val="auto"/>
                <w:w w:val="89"/>
              </w:rPr>
              <w:t>Type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Title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Rule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6"/>
              </w:rPr>
              <w:t>Registered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Per Unit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4"/>
              </w:rPr>
              <w:t>Fee Rate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6"/>
              </w:rPr>
              <w:t>Registration Fee</w:t>
            </w:r>
          </w:p>
        </w:tc>
        <w:tc>
          <w:tcPr>
            <w:tcW w:w="0" w:type="dxa"/>
            <w:vAlign w:val="bottom"/>
          </w:tcPr>
          <w:p>
            <w:pPr>
              <w:spacing w:after="0"/>
              <w:rPr>
                <w:sz w:val="1"/>
                <w:szCs w:val="1"/>
                <w:color w:val="auto"/>
              </w:rPr>
            </w:pPr>
          </w:p>
        </w:tc>
      </w:tr>
      <w:tr>
        <w:trPr>
          <w:trHeight w:val="200"/>
        </w:trPr>
        <w:tc>
          <w:tcPr>
            <w:tcW w:w="78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Rules 457(c) and</w:t>
            </w:r>
          </w:p>
        </w:tc>
        <w:tc>
          <w:tcPr>
            <w:tcW w:w="13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 xml:space="preserve">$102.99 </w:t>
            </w:r>
            <w:r>
              <w:rPr>
                <w:rFonts w:ascii="Arial" w:cs="Arial" w:eastAsia="Arial" w:hAnsi="Arial"/>
                <w:sz w:val="16"/>
                <w:szCs w:val="16"/>
                <w:color w:val="auto"/>
                <w:w w:val="91"/>
              </w:rPr>
              <w:t>(2)</w:t>
            </w:r>
          </w:p>
        </w:tc>
        <w:tc>
          <w:tcPr>
            <w:tcW w:w="1700" w:type="dxa"/>
            <w:vAlign w:val="bottom"/>
            <w:tcBorders>
              <w:right w:val="single" w:sz="8" w:color="auto"/>
            </w:tcBorders>
            <w:vMerge w:val="restart"/>
          </w:tcPr>
          <w:p>
            <w:pPr>
              <w:jc w:val="center"/>
              <w:ind w:right="131"/>
              <w:spacing w:after="0"/>
              <w:rPr>
                <w:sz w:val="20"/>
                <w:szCs w:val="20"/>
                <w:color w:val="auto"/>
              </w:rPr>
            </w:pPr>
            <w:r>
              <w:rPr>
                <w:rFonts w:ascii="Arial" w:cs="Arial" w:eastAsia="Arial" w:hAnsi="Arial"/>
                <w:sz w:val="18"/>
                <w:szCs w:val="18"/>
                <w:color w:val="auto"/>
              </w:rPr>
              <w:t xml:space="preserve">$484,053,000 </w:t>
            </w:r>
            <w:r>
              <w:rPr>
                <w:rFonts w:ascii="Arial" w:cs="Arial" w:eastAsia="Arial" w:hAnsi="Arial"/>
                <w:sz w:val="16"/>
                <w:szCs w:val="16"/>
                <w:color w:val="auto"/>
              </w:rPr>
              <w:t>(2)</w:t>
            </w:r>
          </w:p>
        </w:tc>
        <w:tc>
          <w:tcPr>
            <w:tcW w:w="9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$53,342.64 (3)</w:t>
            </w:r>
          </w:p>
        </w:tc>
        <w:tc>
          <w:tcPr>
            <w:tcW w:w="0" w:type="dxa"/>
            <w:vAlign w:val="bottom"/>
          </w:tcPr>
          <w:p>
            <w:pPr>
              <w:spacing w:after="0"/>
              <w:rPr>
                <w:sz w:val="1"/>
                <w:szCs w:val="1"/>
                <w:color w:val="auto"/>
              </w:rPr>
            </w:pPr>
          </w:p>
        </w:tc>
      </w:tr>
      <w:tr>
        <w:trPr>
          <w:trHeight w:val="212"/>
        </w:trPr>
        <w:tc>
          <w:tcPr>
            <w:tcW w:w="780" w:type="dxa"/>
            <w:vAlign w:val="bottom"/>
            <w:tcBorders>
              <w:left w:val="single" w:sz="8" w:color="auto"/>
              <w:bottom w:val="single" w:sz="8" w:color="auto"/>
              <w:right w:val="single" w:sz="8" w:color="auto"/>
            </w:tcBorders>
          </w:tcPr>
          <w:p>
            <w:pPr>
              <w:jc w:val="center"/>
              <w:ind w:left="74"/>
              <w:spacing w:after="0"/>
              <w:rPr>
                <w:sz w:val="20"/>
                <w:szCs w:val="20"/>
                <w:color w:val="auto"/>
              </w:rPr>
            </w:pPr>
            <w:r>
              <w:rPr>
                <w:rFonts w:ascii="Arial" w:cs="Arial" w:eastAsia="Arial" w:hAnsi="Arial"/>
                <w:sz w:val="16"/>
                <w:szCs w:val="16"/>
                <w:color w:val="auto"/>
                <w:w w:val="98"/>
              </w:rPr>
              <w:t>Equity</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Common Stock</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457(h)(1)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4,700,000 (1)</w:t>
            </w:r>
          </w:p>
        </w:tc>
        <w:tc>
          <w:tcPr>
            <w:tcW w:w="1300" w:type="dxa"/>
            <w:vAlign w:val="bottom"/>
            <w:tcBorders>
              <w:bottom w:val="single" w:sz="8" w:color="auto"/>
              <w:right w:val="single" w:sz="8" w:color="auto"/>
            </w:tcBorders>
            <w:vMerge w:val="continue"/>
          </w:tcPr>
          <w:p>
            <w:pPr>
              <w:spacing w:after="0"/>
              <w:rPr>
                <w:sz w:val="18"/>
                <w:szCs w:val="18"/>
                <w:color w:val="auto"/>
              </w:rPr>
            </w:pPr>
          </w:p>
        </w:tc>
        <w:tc>
          <w:tcPr>
            <w:tcW w:w="1700" w:type="dxa"/>
            <w:vAlign w:val="bottom"/>
            <w:tcBorders>
              <w:bottom w:val="single" w:sz="8" w:color="auto"/>
              <w:right w:val="single" w:sz="8" w:color="auto"/>
            </w:tcBorders>
            <w:vMerge w:val="continue"/>
          </w:tcPr>
          <w:p>
            <w:pPr>
              <w:spacing w:after="0"/>
              <w:rPr>
                <w:sz w:val="18"/>
                <w:szCs w:val="18"/>
                <w:color w:val="auto"/>
              </w:rPr>
            </w:pPr>
          </w:p>
        </w:tc>
        <w:tc>
          <w:tcPr>
            <w:tcW w:w="9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6"/>
                <w:szCs w:val="16"/>
                <w:color w:val="auto"/>
              </w:rPr>
              <w:t>0.0001102</w:t>
            </w:r>
          </w:p>
        </w:tc>
        <w:tc>
          <w:tcPr>
            <w:tcW w:w="136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left w:val="single" w:sz="8" w:color="auto"/>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Borders>
              <w:left w:val="single" w:sz="8" w:color="auto"/>
              <w:bottom w:val="single" w:sz="8" w:color="auto"/>
            </w:tcBorders>
          </w:tcPr>
          <w:p>
            <w:pPr>
              <w:spacing w:after="0"/>
              <w:rPr>
                <w:sz w:val="18"/>
                <w:szCs w:val="18"/>
                <w:color w:val="auto"/>
              </w:rPr>
            </w:pPr>
          </w:p>
        </w:tc>
        <w:tc>
          <w:tcPr>
            <w:tcW w:w="2460" w:type="dxa"/>
            <w:vAlign w:val="bottom"/>
            <w:tcBorders>
              <w:bottom w:val="single" w:sz="8" w:color="auto"/>
            </w:tcBorders>
            <w:gridSpan w:val="2"/>
          </w:tcPr>
          <w:p>
            <w:pPr>
              <w:jc w:val="center"/>
              <w:ind w:left="670"/>
              <w:spacing w:after="0"/>
              <w:rPr>
                <w:sz w:val="20"/>
                <w:szCs w:val="20"/>
                <w:color w:val="auto"/>
              </w:rPr>
            </w:pPr>
            <w:r>
              <w:rPr>
                <w:rFonts w:ascii="Arial" w:cs="Arial" w:eastAsia="Arial" w:hAnsi="Arial"/>
                <w:sz w:val="16"/>
                <w:szCs w:val="16"/>
                <w:color w:val="auto"/>
                <w:w w:val="94"/>
              </w:rPr>
              <w:t>Total Offering Amounts</w:t>
            </w:r>
          </w:p>
        </w:tc>
        <w:tc>
          <w:tcPr>
            <w:tcW w:w="1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color w:val="auto"/>
              </w:rPr>
              <w:t>$484,053,000</w:t>
            </w:r>
          </w:p>
        </w:tc>
        <w:tc>
          <w:tcPr>
            <w:tcW w:w="9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$53,342.64</w:t>
            </w:r>
          </w:p>
        </w:tc>
        <w:tc>
          <w:tcPr>
            <w:tcW w:w="0" w:type="dxa"/>
            <w:vAlign w:val="bottom"/>
          </w:tcPr>
          <w:p>
            <w:pPr>
              <w:spacing w:after="0"/>
              <w:rPr>
                <w:sz w:val="1"/>
                <w:szCs w:val="1"/>
                <w:color w:val="auto"/>
              </w:rPr>
            </w:pPr>
          </w:p>
        </w:tc>
      </w:tr>
      <w:tr>
        <w:trPr>
          <w:trHeight w:val="207"/>
        </w:trPr>
        <w:tc>
          <w:tcPr>
            <w:tcW w:w="780" w:type="dxa"/>
            <w:vAlign w:val="bottom"/>
            <w:tcBorders>
              <w:left w:val="single" w:sz="8" w:color="auto"/>
              <w:bottom w:val="single" w:sz="8" w:color="auto"/>
            </w:tcBorders>
          </w:tcPr>
          <w:p>
            <w:pPr>
              <w:spacing w:after="0"/>
              <w:rPr>
                <w:sz w:val="17"/>
                <w:szCs w:val="17"/>
                <w:color w:val="auto"/>
              </w:rPr>
            </w:pPr>
          </w:p>
        </w:tc>
        <w:tc>
          <w:tcPr>
            <w:tcW w:w="2460" w:type="dxa"/>
            <w:vAlign w:val="bottom"/>
            <w:tcBorders>
              <w:bottom w:val="single" w:sz="8" w:color="auto"/>
            </w:tcBorders>
            <w:gridSpan w:val="2"/>
          </w:tcPr>
          <w:p>
            <w:pPr>
              <w:jc w:val="center"/>
              <w:ind w:left="670"/>
              <w:spacing w:after="0"/>
              <w:rPr>
                <w:sz w:val="20"/>
                <w:szCs w:val="20"/>
                <w:color w:val="auto"/>
              </w:rPr>
            </w:pPr>
            <w:r>
              <w:rPr>
                <w:rFonts w:ascii="Arial" w:cs="Arial" w:eastAsia="Arial" w:hAnsi="Arial"/>
                <w:sz w:val="16"/>
                <w:szCs w:val="16"/>
                <w:color w:val="auto"/>
                <w:w w:val="91"/>
              </w:rPr>
              <w:t>Total Fee Offsets</w:t>
            </w:r>
          </w:p>
        </w:tc>
        <w:tc>
          <w:tcPr>
            <w:tcW w:w="138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6"/>
        </w:trPr>
        <w:tc>
          <w:tcPr>
            <w:tcW w:w="780" w:type="dxa"/>
            <w:vAlign w:val="bottom"/>
            <w:tcBorders>
              <w:left w:val="single" w:sz="8" w:color="auto"/>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50"/>
              <w:spacing w:after="0"/>
              <w:rPr>
                <w:sz w:val="20"/>
                <w:szCs w:val="20"/>
                <w:color w:val="auto"/>
              </w:rPr>
            </w:pPr>
            <w:r>
              <w:rPr>
                <w:rFonts w:ascii="Arial" w:cs="Arial" w:eastAsia="Arial" w:hAnsi="Arial"/>
                <w:sz w:val="16"/>
                <w:szCs w:val="16"/>
                <w:color w:val="auto"/>
                <w:w w:val="90"/>
              </w:rPr>
              <w:t>Net Fee Due</w:t>
            </w:r>
          </w:p>
        </w:tc>
        <w:tc>
          <w:tcPr>
            <w:tcW w:w="13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$53,342.64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-479425</wp:posOffset>
            </wp:positionV>
            <wp:extent cx="8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5432425</wp:posOffset>
            </wp:positionH>
            <wp:positionV relativeFrom="paragraph">
              <wp:posOffset>-479425</wp:posOffset>
            </wp:positionV>
            <wp:extent cx="889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-479425</wp:posOffset>
            </wp:positionV>
            <wp:extent cx="889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-479425</wp:posOffset>
            </wp:positionV>
            <wp:extent cx="82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-479425</wp:posOffset>
            </wp:positionV>
            <wp:extent cx="82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-479425</wp:posOffset>
            </wp:positionV>
            <wp:extent cx="889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-479425</wp:posOffset>
            </wp:positionV>
            <wp:extent cx="889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-479425</wp:posOffset>
            </wp:positionV>
            <wp:extent cx="825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-479425</wp:posOffset>
            </wp:positionV>
            <wp:extent cx="889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01" w:lineRule="exact"/>
        <w:rPr>
          <w:sz w:val="20"/>
          <w:szCs w:val="20"/>
          <w:color w:val="auto"/>
        </w:rPr>
      </w:pPr>
    </w:p>
    <w:p>
      <w:pPr>
        <w:jc w:val="both"/>
        <w:ind w:left="720" w:right="40" w:hanging="712"/>
        <w:spacing w:after="0" w:line="257"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8"/>
          <w:szCs w:val="18"/>
          <w:color w:val="auto"/>
        </w:rPr>
        <w:t>Represents an additional 4,700,000 shares of Common Stock authorized for issuance under the UFP Industries, Inc. Long Term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In addition, pursuant to Rule 416(a) under the Securities Act of 1933, this Registration Statement also covers such indeterminate number of additional shares as may be authorized in the event of an adjustment as a result of an increase in the number of issued shares of Common Stock resulting from the payment of stock dividends or stock splits or certain other capital adjustments.</w:t>
      </w:r>
    </w:p>
    <w:p>
      <w:pPr>
        <w:spacing w:after="0" w:line="106" w:lineRule="exact"/>
        <w:rPr>
          <w:rFonts w:ascii="Arial" w:cs="Arial" w:eastAsia="Arial" w:hAnsi="Arial"/>
          <w:sz w:val="16"/>
          <w:szCs w:val="16"/>
          <w:color w:val="auto"/>
        </w:rPr>
      </w:pPr>
    </w:p>
    <w:p>
      <w:pPr>
        <w:jc w:val="both"/>
        <w:ind w:left="720" w:right="40" w:hanging="712"/>
        <w:spacing w:after="0" w:line="263"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8"/>
          <w:szCs w:val="18"/>
          <w:color w:val="auto"/>
        </w:rPr>
        <w:t>For the purpose of computing the registration fee only, the price shown is based upon the price of $102.99 per share, the average of the high and low prices for the Common Stock of the Registrant as reported in the Nasdaq Global Select Market on September 5, 2023, in accordance with Rule 457(c) and (h)(1).</w:t>
      </w:r>
    </w:p>
    <w:p>
      <w:pPr>
        <w:spacing w:after="0" w:line="102" w:lineRule="exact"/>
        <w:rPr>
          <w:rFonts w:ascii="Arial" w:cs="Arial" w:eastAsia="Arial" w:hAnsi="Arial"/>
          <w:sz w:val="16"/>
          <w:szCs w:val="16"/>
          <w:color w:val="auto"/>
        </w:rPr>
      </w:pPr>
    </w:p>
    <w:p>
      <w:pPr>
        <w:ind w:left="720" w:right="440" w:hanging="712"/>
        <w:spacing w:after="0" w:line="263"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8"/>
          <w:szCs w:val="18"/>
          <w:color w:val="auto"/>
        </w:rPr>
        <w:t>Pursuant to General Instruction E to Form S-8, a filing fee is only being paid with respect to the registration of additional securities for the Plan. A Registration Statement on Form S-8 was filed on May 10, 2001, covering 6,900,000 shares (on a split-adjusted basis) of common stock reserved for issuance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40"/>
      </w:cols>
      <w:pgMar w:left="980" w:top="121"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5" Type="http://schemas.openxmlformats.org/officeDocument/2006/relationships/hyperlink" Target="https://www.sec.gov/Archives/edgar/data/912767/000091276722000013/ufpi-20220428xex3.htm" TargetMode="External"/><Relationship Id="rId16" Type="http://schemas.openxmlformats.org/officeDocument/2006/relationships/hyperlink" Target="https://www.sec.gov/Archives/edgar/data/912767/000091276717000007/ufpi-20161231xexhibit3b.htm" TargetMode="External"/><Relationship Id="rId17" Type="http://schemas.openxmlformats.org/officeDocument/2006/relationships/hyperlink" Target="https://www.sec.gov/Archives/edgar/data/912767/000114036122008290/ny20002304x2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2023-09-11T16:05:49Z</dcterms:created>
  <dcterms:modified xsi:type="dcterms:W3CDTF">2023-09-11T16:05:49Z</dcterms:modified>
</cp:coreProperties>
</file>