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102870</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t>UNIVERSAL FOREST PRODUCTS, INC.</w:t>
      </w:r>
    </w:p>
    <w:p>
      <w:pPr>
        <w:spacing w:after="0" w:line="171" w:lineRule="exact"/>
        <w:rPr>
          <w:sz w:val="24"/>
          <w:szCs w:val="24"/>
          <w:color w:val="auto"/>
        </w:rPr>
      </w:pPr>
    </w:p>
    <w:p>
      <w:pPr>
        <w:jc w:val="center"/>
        <w:ind w:right="-7"/>
        <w:spacing w:after="0"/>
        <w:rPr>
          <w:sz w:val="20"/>
          <w:szCs w:val="20"/>
          <w:color w:val="auto"/>
        </w:rPr>
      </w:pPr>
      <w:r>
        <w:rPr>
          <w:rFonts w:ascii="Arial" w:cs="Arial" w:eastAsia="Arial" w:hAnsi="Arial"/>
          <w:sz w:val="17"/>
          <w:szCs w:val="17"/>
          <w:color w:val="auto"/>
        </w:rPr>
        <w:t>UNITED STATES SECURITIES AND EXCHANGE COMMISSION</w:t>
      </w:r>
    </w:p>
    <w:p>
      <w:pPr>
        <w:spacing w:after="0" w:line="11" w:lineRule="exact"/>
        <w:rPr>
          <w:sz w:val="24"/>
          <w:szCs w:val="24"/>
          <w:color w:val="auto"/>
        </w:rPr>
      </w:pPr>
    </w:p>
    <w:p>
      <w:pPr>
        <w:jc w:val="center"/>
        <w:ind w:right="-7"/>
        <w:spacing w:after="0"/>
        <w:rPr>
          <w:sz w:val="20"/>
          <w:szCs w:val="20"/>
          <w:color w:val="auto"/>
        </w:rPr>
      </w:pPr>
      <w:r>
        <w:rPr>
          <w:rFonts w:ascii="Arial" w:cs="Arial" w:eastAsia="Arial" w:hAnsi="Arial"/>
          <w:sz w:val="14"/>
          <w:szCs w:val="14"/>
          <w:color w:val="auto"/>
        </w:rPr>
        <w:t>Washington, D.C. 20549</w:t>
      </w:r>
    </w:p>
    <w:p>
      <w:pPr>
        <w:spacing w:after="0" w:line="138"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10-Q</w:t>
      </w:r>
    </w:p>
    <w:p>
      <w:pPr>
        <w:spacing w:after="0" w:line="171" w:lineRule="exact"/>
        <w:rPr>
          <w:sz w:val="24"/>
          <w:szCs w:val="24"/>
          <w:color w:val="auto"/>
        </w:rPr>
      </w:pPr>
    </w:p>
    <w:p>
      <w:pPr>
        <w:ind w:left="428" w:hanging="428"/>
        <w:spacing w:after="0"/>
        <w:tabs>
          <w:tab w:leader="none" w:pos="428" w:val="left"/>
        </w:tabs>
        <w:numPr>
          <w:ilvl w:val="0"/>
          <w:numId w:val="1"/>
        </w:numPr>
        <w:rPr>
          <w:rFonts w:ascii="Arial" w:cs="Arial" w:eastAsia="Arial" w:hAnsi="Arial"/>
          <w:sz w:val="12"/>
          <w:szCs w:val="12"/>
          <w:color w:val="auto"/>
        </w:rPr>
      </w:pPr>
      <w:r>
        <w:rPr>
          <w:rFonts w:ascii="Arial" w:cs="Arial" w:eastAsia="Arial" w:hAnsi="Arial"/>
          <w:sz w:val="12"/>
          <w:szCs w:val="12"/>
          <w:color w:val="auto"/>
        </w:rPr>
        <w:t>QUARTERLY REPORT PURSUANT TO SECTION 13 OR 15(d) OF THE SECURITIES EXCHANGE ACT OF 1934</w:t>
      </w:r>
    </w:p>
    <w:p>
      <w:pPr>
        <w:spacing w:after="0" w:line="168"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 xml:space="preserve">For the quarterly period ended </w:t>
      </w:r>
      <w:r>
        <w:rPr>
          <w:rFonts w:ascii="Arial" w:cs="Arial" w:eastAsia="Arial" w:hAnsi="Arial"/>
          <w:sz w:val="12"/>
          <w:szCs w:val="12"/>
          <w:u w:val="single" w:color="auto"/>
          <w:color w:val="auto"/>
        </w:rPr>
        <w:t>June 25, 2011</w:t>
      </w:r>
    </w:p>
    <w:p>
      <w:pPr>
        <w:spacing w:after="0" w:line="168"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OR</w:t>
      </w:r>
    </w:p>
    <w:p>
      <w:pPr>
        <w:spacing w:after="0" w:line="168" w:lineRule="exact"/>
        <w:rPr>
          <w:sz w:val="24"/>
          <w:szCs w:val="24"/>
          <w:color w:val="auto"/>
        </w:rPr>
      </w:pPr>
    </w:p>
    <w:p>
      <w:pPr>
        <w:ind w:left="4908" w:right="4900" w:hanging="4878"/>
        <w:spacing w:after="0" w:line="563" w:lineRule="auto"/>
        <w:tabs>
          <w:tab w:leader="none" w:pos="43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TRANSITION REPORT PURSUANT TO SECTION 13 OR 15(d) OF THE SECURITIES EXCHANGE ACT OF 1934 Commission File Number </w:t>
      </w:r>
      <w:r>
        <w:rPr>
          <w:rFonts w:ascii="Arial" w:cs="Arial" w:eastAsia="Arial" w:hAnsi="Arial"/>
          <w:sz w:val="11"/>
          <w:szCs w:val="11"/>
          <w:u w:val="single" w:color="auto"/>
          <w:color w:val="auto"/>
        </w:rPr>
        <w:t>0-22684</w:t>
      </w:r>
    </w:p>
    <w:p>
      <w:pPr>
        <w:jc w:val="center"/>
        <w:ind w:right="-7"/>
        <w:spacing w:after="0"/>
        <w:rPr>
          <w:sz w:val="20"/>
          <w:szCs w:val="20"/>
          <w:color w:val="auto"/>
        </w:rPr>
      </w:pPr>
      <w:r>
        <w:rPr>
          <w:rFonts w:ascii="Arial" w:cs="Arial" w:eastAsia="Arial" w:hAnsi="Arial"/>
          <w:sz w:val="29"/>
          <w:szCs w:val="29"/>
          <w:b w:val="1"/>
          <w:bCs w:val="1"/>
          <w:color w:val="auto"/>
        </w:rPr>
        <w:t>UNIVERSAL FOREST PRODUCTS, INC.</w:t>
      </w:r>
    </w:p>
    <w:p>
      <w:pPr>
        <w:spacing w:after="0" w:line="28"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158"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5620" w:type="dxa"/>
            <w:vAlign w:val="bottom"/>
          </w:tcPr>
          <w:p>
            <w:pPr>
              <w:jc w:val="center"/>
              <w:spacing w:after="0"/>
              <w:rPr>
                <w:sz w:val="20"/>
                <w:szCs w:val="20"/>
                <w:color w:val="auto"/>
              </w:rPr>
            </w:pPr>
            <w:r>
              <w:rPr>
                <w:rFonts w:ascii="Arial" w:cs="Arial" w:eastAsia="Arial" w:hAnsi="Arial"/>
                <w:sz w:val="12"/>
                <w:szCs w:val="12"/>
                <w:color w:val="auto"/>
                <w:w w:val="95"/>
              </w:rPr>
              <w:t>Michigan</w:t>
            </w:r>
          </w:p>
        </w:tc>
        <w:tc>
          <w:tcPr>
            <w:tcW w:w="5860" w:type="dxa"/>
            <w:vAlign w:val="bottom"/>
            <w:gridSpan w:val="2"/>
          </w:tcPr>
          <w:p>
            <w:pPr>
              <w:jc w:val="right"/>
              <w:ind w:right="2460"/>
              <w:spacing w:after="0"/>
              <w:rPr>
                <w:sz w:val="20"/>
                <w:szCs w:val="20"/>
                <w:color w:val="auto"/>
              </w:rPr>
            </w:pPr>
            <w:r>
              <w:rPr>
                <w:rFonts w:ascii="Arial" w:cs="Arial" w:eastAsia="Arial" w:hAnsi="Arial"/>
                <w:sz w:val="12"/>
                <w:szCs w:val="12"/>
                <w:color w:val="auto"/>
              </w:rPr>
              <w:t>38-1465835</w:t>
            </w:r>
          </w:p>
        </w:tc>
      </w:tr>
      <w:tr>
        <w:trPr>
          <w:trHeight w:val="151"/>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2"/>
              </w:rPr>
              <w:t>(State or other jurisdiction of incorporation or organization)</w:t>
            </w:r>
          </w:p>
        </w:tc>
        <w:tc>
          <w:tcPr>
            <w:tcW w:w="240" w:type="dxa"/>
            <w:vAlign w:val="bottom"/>
          </w:tcPr>
          <w:p>
            <w:pPr>
              <w:spacing w:after="0"/>
              <w:rPr>
                <w:sz w:val="13"/>
                <w:szCs w:val="13"/>
                <w:color w:val="auto"/>
              </w:rPr>
            </w:pPr>
          </w:p>
        </w:tc>
        <w:tc>
          <w:tcPr>
            <w:tcW w:w="56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3"/>
              </w:rPr>
              <w:t>(I.R.S. Employer Identification Number)</w:t>
            </w:r>
          </w:p>
        </w:tc>
      </w:tr>
      <w:tr>
        <w:trPr>
          <w:trHeight w:val="297"/>
        </w:trPr>
        <w:tc>
          <w:tcPr>
            <w:tcW w:w="5620" w:type="dxa"/>
            <w:vAlign w:val="bottom"/>
          </w:tcPr>
          <w:p>
            <w:pPr>
              <w:jc w:val="center"/>
              <w:spacing w:after="0"/>
              <w:rPr>
                <w:sz w:val="20"/>
                <w:szCs w:val="20"/>
                <w:color w:val="auto"/>
              </w:rPr>
            </w:pPr>
            <w:r>
              <w:rPr>
                <w:rFonts w:ascii="Arial" w:cs="Arial" w:eastAsia="Arial" w:hAnsi="Arial"/>
                <w:sz w:val="12"/>
                <w:szCs w:val="12"/>
                <w:color w:val="auto"/>
                <w:w w:val="93"/>
              </w:rPr>
              <w:t>2801 East Beltline NE, Grand Rapids, Michigan  49525</w:t>
            </w:r>
          </w:p>
        </w:tc>
        <w:tc>
          <w:tcPr>
            <w:tcW w:w="5860" w:type="dxa"/>
            <w:vAlign w:val="bottom"/>
            <w:gridSpan w:val="2"/>
          </w:tcPr>
          <w:p>
            <w:pPr>
              <w:jc w:val="right"/>
              <w:ind w:right="2600"/>
              <w:spacing w:after="0"/>
              <w:rPr>
                <w:sz w:val="20"/>
                <w:szCs w:val="20"/>
                <w:color w:val="auto"/>
              </w:rPr>
            </w:pPr>
            <w:r>
              <w:rPr>
                <w:rFonts w:ascii="Arial" w:cs="Arial" w:eastAsia="Arial" w:hAnsi="Arial"/>
                <w:sz w:val="12"/>
                <w:szCs w:val="12"/>
                <w:color w:val="auto"/>
              </w:rPr>
              <w:t>49525</w:t>
            </w:r>
          </w:p>
        </w:tc>
      </w:tr>
      <w:tr>
        <w:trPr>
          <w:trHeight w:val="151"/>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3"/>
              </w:rPr>
              <w:t>(Address of principal executive offices) (Zip Code)</w:t>
            </w:r>
          </w:p>
        </w:tc>
        <w:tc>
          <w:tcPr>
            <w:tcW w:w="240" w:type="dxa"/>
            <w:vAlign w:val="bottom"/>
          </w:tcPr>
          <w:p>
            <w:pPr>
              <w:spacing w:after="0"/>
              <w:rPr>
                <w:sz w:val="13"/>
                <w:szCs w:val="13"/>
                <w:color w:val="auto"/>
              </w:rPr>
            </w:pPr>
          </w:p>
        </w:tc>
        <w:tc>
          <w:tcPr>
            <w:tcW w:w="56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5"/>
              </w:rPr>
              <w:t>(Zip Code)</w:t>
            </w:r>
          </w:p>
        </w:tc>
      </w:tr>
    </w:tbl>
    <w:p>
      <w:pPr>
        <w:spacing w:after="0" w:line="265" w:lineRule="exact"/>
        <w:rPr>
          <w:sz w:val="24"/>
          <w:szCs w:val="24"/>
          <w:color w:val="auto"/>
        </w:rPr>
      </w:pPr>
    </w:p>
    <w:p>
      <w:pPr>
        <w:jc w:val="center"/>
        <w:ind w:right="-7"/>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u w:val="single" w:color="auto"/>
          <w:color w:val="auto"/>
        </w:rPr>
        <w:t>(616) 364-616</w:t>
      </w:r>
    </w:p>
    <w:p>
      <w:pPr>
        <w:spacing w:after="0" w:line="16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915035</wp:posOffset>
            </wp:positionH>
            <wp:positionV relativeFrom="paragraph">
              <wp:posOffset>20955</wp:posOffset>
            </wp:positionV>
            <wp:extent cx="5467985"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67985" cy="11430"/>
                    </a:xfrm>
                    <a:prstGeom prst="rect">
                      <a:avLst/>
                    </a:prstGeom>
                    <a:noFill/>
                  </pic:spPr>
                </pic:pic>
              </a:graphicData>
            </a:graphic>
          </wp:anchor>
        </w:drawing>
      </w:r>
    </w:p>
    <w:p>
      <w:pPr>
        <w:spacing w:after="0" w:line="22"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68" w:lineRule="exact"/>
        <w:rPr>
          <w:sz w:val="24"/>
          <w:szCs w:val="24"/>
          <w:color w:val="auto"/>
        </w:rPr>
      </w:pPr>
    </w:p>
    <w:p>
      <w:pPr>
        <w:jc w:val="both"/>
        <w:ind w:left="8"/>
        <w:spacing w:after="0" w:line="276" w:lineRule="auto"/>
        <w:rPr>
          <w:sz w:val="20"/>
          <w:szCs w:val="20"/>
          <w:color w:val="auto"/>
        </w:rPr>
      </w:pPr>
      <w:r>
        <w:rPr>
          <w:rFonts w:ascii="Arial" w:cs="Arial" w:eastAsia="Arial" w:hAnsi="Arial"/>
          <w:sz w:val="12"/>
          <w:szCs w:val="12"/>
          <w:color w:val="auto"/>
        </w:rPr>
        <w:t>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33" w:lineRule="exact"/>
        <w:rPr>
          <w:sz w:val="24"/>
          <w:szCs w:val="24"/>
          <w:color w:val="auto"/>
        </w:rPr>
      </w:pPr>
    </w:p>
    <w:p>
      <w:pPr>
        <w:jc w:val="both"/>
        <w:ind w:left="8"/>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Yesx Noo</w:t>
      </w:r>
    </w:p>
    <w:p>
      <w:pPr>
        <w:spacing w:after="0" w:line="133" w:lineRule="exact"/>
        <w:rPr>
          <w:sz w:val="24"/>
          <w:szCs w:val="24"/>
          <w:color w:val="auto"/>
        </w:rPr>
      </w:pPr>
    </w:p>
    <w:p>
      <w:pPr>
        <w:jc w:val="both"/>
        <w:ind w:left="8" w:right="20"/>
        <w:spacing w:after="0" w:line="276" w:lineRule="auto"/>
        <w:rPr>
          <w:sz w:val="20"/>
          <w:szCs w:val="20"/>
          <w:color w:val="auto"/>
        </w:rPr>
      </w:pPr>
      <w:r>
        <w:rPr>
          <w:rFonts w:ascii="Arial" w:cs="Arial" w:eastAsia="Arial" w:hAnsi="Arial"/>
          <w:sz w:val="12"/>
          <w:szCs w:val="12"/>
          <w:color w:val="auto"/>
        </w:rPr>
        <w:t>Indicate by checkmark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3"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1580" w:type="dxa"/>
            <w:vAlign w:val="bottom"/>
          </w:tcPr>
          <w:p>
            <w:pPr>
              <w:spacing w:after="0"/>
              <w:rPr>
                <w:sz w:val="20"/>
                <w:szCs w:val="20"/>
                <w:color w:val="auto"/>
              </w:rPr>
            </w:pPr>
            <w:r>
              <w:rPr>
                <w:rFonts w:ascii="Arial" w:cs="Arial" w:eastAsia="Arial" w:hAnsi="Arial"/>
                <w:sz w:val="12"/>
                <w:szCs w:val="12"/>
                <w:color w:val="auto"/>
              </w:rPr>
              <w:t>Large Accelerated Filer x</w:t>
            </w:r>
          </w:p>
        </w:tc>
        <w:tc>
          <w:tcPr>
            <w:tcW w:w="3700" w:type="dxa"/>
            <w:vAlign w:val="bottom"/>
          </w:tcPr>
          <w:p>
            <w:pPr>
              <w:ind w:left="1280"/>
              <w:spacing w:after="0"/>
              <w:rPr>
                <w:sz w:val="20"/>
                <w:szCs w:val="20"/>
                <w:color w:val="auto"/>
              </w:rPr>
            </w:pPr>
            <w:r>
              <w:rPr>
                <w:rFonts w:ascii="Arial" w:cs="Arial" w:eastAsia="Arial" w:hAnsi="Arial"/>
                <w:sz w:val="12"/>
                <w:szCs w:val="12"/>
                <w:color w:val="auto"/>
              </w:rPr>
              <w:t>Accelerated Filer o</w:t>
            </w:r>
          </w:p>
        </w:tc>
        <w:tc>
          <w:tcPr>
            <w:tcW w:w="2200" w:type="dxa"/>
            <w:vAlign w:val="bottom"/>
            <w:gridSpan w:val="2"/>
          </w:tcPr>
          <w:p>
            <w:pPr>
              <w:ind w:left="460"/>
              <w:spacing w:after="0"/>
              <w:rPr>
                <w:sz w:val="20"/>
                <w:szCs w:val="20"/>
                <w:color w:val="auto"/>
              </w:rPr>
            </w:pPr>
            <w:r>
              <w:rPr>
                <w:rFonts w:ascii="Arial" w:cs="Arial" w:eastAsia="Arial" w:hAnsi="Arial"/>
                <w:sz w:val="12"/>
                <w:szCs w:val="12"/>
                <w:color w:val="auto"/>
              </w:rPr>
              <w:t>Non-Accelerated Filer o</w:t>
            </w:r>
          </w:p>
        </w:tc>
        <w:tc>
          <w:tcPr>
            <w:tcW w:w="4000" w:type="dxa"/>
            <w:vAlign w:val="bottom"/>
          </w:tcPr>
          <w:p>
            <w:pPr>
              <w:ind w:left="1140"/>
              <w:spacing w:after="0"/>
              <w:rPr>
                <w:sz w:val="20"/>
                <w:szCs w:val="20"/>
                <w:color w:val="auto"/>
              </w:rPr>
            </w:pPr>
            <w:r>
              <w:rPr>
                <w:rFonts w:ascii="Arial" w:cs="Arial" w:eastAsia="Arial" w:hAnsi="Arial"/>
                <w:sz w:val="12"/>
                <w:szCs w:val="12"/>
                <w:color w:val="auto"/>
              </w:rPr>
              <w:t>Smaller reporting company o</w:t>
            </w:r>
          </w:p>
        </w:tc>
      </w:tr>
      <w:tr>
        <w:trPr>
          <w:trHeight w:val="306"/>
        </w:trPr>
        <w:tc>
          <w:tcPr>
            <w:tcW w:w="7480" w:type="dxa"/>
            <w:vAlign w:val="bottom"/>
            <w:gridSpan w:val="4"/>
          </w:tcPr>
          <w:p>
            <w:pPr>
              <w:spacing w:after="0"/>
              <w:rPr>
                <w:sz w:val="20"/>
                <w:szCs w:val="20"/>
                <w:color w:val="auto"/>
              </w:rPr>
            </w:pPr>
            <w:r>
              <w:rPr>
                <w:rFonts w:ascii="Arial" w:cs="Arial" w:eastAsia="Arial" w:hAnsi="Arial"/>
                <w:sz w:val="12"/>
                <w:szCs w:val="12"/>
                <w:color w:val="auto"/>
              </w:rPr>
              <w:t>Indicate by checkmark whether the registrant is a shell company (as defined by Rule 12b-2 of the Exchange Act). Yes o No x</w:t>
            </w:r>
          </w:p>
        </w:tc>
        <w:tc>
          <w:tcPr>
            <w:tcW w:w="4000" w:type="dxa"/>
            <w:vAlign w:val="bottom"/>
          </w:tcPr>
          <w:p>
            <w:pPr>
              <w:spacing w:after="0"/>
              <w:rPr>
                <w:sz w:val="24"/>
                <w:szCs w:val="24"/>
                <w:color w:val="auto"/>
              </w:rPr>
            </w:pPr>
          </w:p>
        </w:tc>
      </w:tr>
      <w:tr>
        <w:trPr>
          <w:trHeight w:val="306"/>
        </w:trPr>
        <w:tc>
          <w:tcPr>
            <w:tcW w:w="7480" w:type="dxa"/>
            <w:vAlign w:val="bottom"/>
            <w:gridSpan w:val="4"/>
          </w:tcPr>
          <w:p>
            <w:pPr>
              <w:spacing w:after="0"/>
              <w:rPr>
                <w:sz w:val="20"/>
                <w:szCs w:val="20"/>
                <w:color w:val="auto"/>
              </w:rPr>
            </w:pPr>
            <w:r>
              <w:rPr>
                <w:rFonts w:ascii="Arial" w:cs="Arial" w:eastAsia="Arial" w:hAnsi="Arial"/>
                <w:sz w:val="12"/>
                <w:szCs w:val="12"/>
                <w:color w:val="auto"/>
              </w:rPr>
              <w:t>Indicate the number of shares outstanding of each of the issuer's classes of common stock, as of the latest practicable date:</w:t>
            </w:r>
          </w:p>
        </w:tc>
        <w:tc>
          <w:tcPr>
            <w:tcW w:w="4000" w:type="dxa"/>
            <w:vAlign w:val="bottom"/>
          </w:tcPr>
          <w:p>
            <w:pPr>
              <w:spacing w:after="0"/>
              <w:rPr>
                <w:sz w:val="24"/>
                <w:szCs w:val="24"/>
                <w:color w:val="auto"/>
              </w:rPr>
            </w:pPr>
          </w:p>
        </w:tc>
      </w:tr>
      <w:tr>
        <w:trPr>
          <w:trHeight w:val="306"/>
        </w:trPr>
        <w:tc>
          <w:tcPr>
            <w:tcW w:w="15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ind w:right="1540"/>
              <w:spacing w:after="0"/>
              <w:rPr>
                <w:sz w:val="20"/>
                <w:szCs w:val="20"/>
                <w:color w:val="auto"/>
              </w:rPr>
            </w:pPr>
            <w:r>
              <w:rPr>
                <w:rFonts w:ascii="Arial" w:cs="Arial" w:eastAsia="Arial" w:hAnsi="Arial"/>
                <w:sz w:val="12"/>
                <w:szCs w:val="12"/>
                <w:color w:val="auto"/>
                <w:w w:val="86"/>
              </w:rPr>
              <w:t>Class</w:t>
            </w:r>
          </w:p>
        </w:tc>
        <w:tc>
          <w:tcPr>
            <w:tcW w:w="9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center"/>
              <w:ind w:right="1240"/>
              <w:spacing w:after="0"/>
              <w:rPr>
                <w:sz w:val="20"/>
                <w:szCs w:val="20"/>
                <w:color w:val="auto"/>
              </w:rPr>
            </w:pPr>
            <w:r>
              <w:rPr>
                <w:rFonts w:ascii="Arial" w:cs="Arial" w:eastAsia="Arial" w:hAnsi="Arial"/>
                <w:sz w:val="12"/>
                <w:szCs w:val="12"/>
                <w:color w:val="auto"/>
                <w:w w:val="88"/>
              </w:rPr>
              <w:t>Outstanding as of June 25, 2011</w:t>
            </w:r>
          </w:p>
        </w:tc>
      </w:tr>
      <w:tr>
        <w:trPr>
          <w:trHeight w:val="151"/>
        </w:trPr>
        <w:tc>
          <w:tcPr>
            <w:tcW w:w="1580" w:type="dxa"/>
            <w:vAlign w:val="bottom"/>
          </w:tcPr>
          <w:p>
            <w:pPr>
              <w:spacing w:after="0"/>
              <w:rPr>
                <w:sz w:val="13"/>
                <w:szCs w:val="13"/>
                <w:color w:val="auto"/>
              </w:rPr>
            </w:pPr>
          </w:p>
        </w:tc>
        <w:tc>
          <w:tcPr>
            <w:tcW w:w="3700" w:type="dxa"/>
            <w:vAlign w:val="bottom"/>
          </w:tcPr>
          <w:p>
            <w:pPr>
              <w:jc w:val="center"/>
              <w:ind w:right="1560"/>
              <w:spacing w:after="0"/>
              <w:rPr>
                <w:sz w:val="20"/>
                <w:szCs w:val="20"/>
                <w:color w:val="auto"/>
              </w:rPr>
            </w:pPr>
            <w:r>
              <w:rPr>
                <w:rFonts w:ascii="Arial" w:cs="Arial" w:eastAsia="Arial" w:hAnsi="Arial"/>
                <w:sz w:val="12"/>
                <w:szCs w:val="12"/>
                <w:color w:val="auto"/>
                <w:w w:val="91"/>
              </w:rPr>
              <w:t>Common stock, no par value</w:t>
            </w:r>
          </w:p>
        </w:tc>
        <w:tc>
          <w:tcPr>
            <w:tcW w:w="9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00" w:type="dxa"/>
            <w:vAlign w:val="bottom"/>
          </w:tcPr>
          <w:p>
            <w:pPr>
              <w:jc w:val="right"/>
              <w:ind w:right="2320"/>
              <w:spacing w:after="0"/>
              <w:rPr>
                <w:sz w:val="20"/>
                <w:szCs w:val="20"/>
                <w:color w:val="auto"/>
              </w:rPr>
            </w:pPr>
            <w:r>
              <w:rPr>
                <w:rFonts w:ascii="Arial" w:cs="Arial" w:eastAsia="Arial" w:hAnsi="Arial"/>
                <w:sz w:val="12"/>
                <w:szCs w:val="12"/>
                <w:color w:val="auto"/>
              </w:rPr>
              <w:t>19,525,590</w:t>
            </w:r>
          </w:p>
        </w:tc>
      </w:tr>
      <w:tr>
        <w:trPr>
          <w:trHeight w:val="427"/>
        </w:trPr>
        <w:tc>
          <w:tcPr>
            <w:tcW w:w="158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253" w:right="1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940" w:type="dxa"/>
            <w:vAlign w:val="bottom"/>
            <w:gridSpan w:val="6"/>
          </w:tcPr>
          <w:p>
            <w:pPr>
              <w:ind w:left="1360"/>
              <w:spacing w:after="0"/>
              <w:rPr>
                <w:sz w:val="20"/>
                <w:szCs w:val="20"/>
                <w:color w:val="auto"/>
              </w:rPr>
            </w:pPr>
            <w:r>
              <w:rPr>
                <w:rFonts w:ascii="Arial" w:cs="Arial" w:eastAsia="Arial" w:hAnsi="Arial"/>
                <w:sz w:val="12"/>
                <w:szCs w:val="12"/>
                <w:b w:val="1"/>
                <w:bCs w:val="1"/>
                <w:color w:val="auto"/>
              </w:rPr>
              <w:t>TABLE OF CONTENTS</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820" w:type="dxa"/>
            <w:vAlign w:val="bottom"/>
            <w:gridSpan w:val="2"/>
          </w:tcPr>
          <w:p>
            <w:pPr>
              <w:ind w:left="160"/>
              <w:spacing w:after="0"/>
              <w:rPr>
                <w:sz w:val="20"/>
                <w:szCs w:val="20"/>
                <w:color w:val="auto"/>
              </w:rPr>
            </w:pPr>
            <w:r>
              <w:rPr>
                <w:rFonts w:ascii="Arial" w:cs="Arial" w:eastAsia="Arial" w:hAnsi="Arial"/>
                <w:sz w:val="12"/>
                <w:szCs w:val="12"/>
                <w:b w:val="1"/>
                <w:bCs w:val="1"/>
                <w:color w:val="auto"/>
              </w:rPr>
              <w:t>Page No.</w:t>
            </w:r>
          </w:p>
        </w:tc>
        <w:tc>
          <w:tcPr>
            <w:tcW w:w="0" w:type="dxa"/>
            <w:vAlign w:val="bottom"/>
          </w:tcPr>
          <w:p>
            <w:pPr>
              <w:spacing w:after="0"/>
              <w:rPr>
                <w:sz w:val="1"/>
                <w:szCs w:val="1"/>
                <w:color w:val="auto"/>
              </w:rPr>
            </w:pPr>
          </w:p>
        </w:tc>
      </w:tr>
      <w:tr>
        <w:trPr>
          <w:trHeight w:val="142"/>
        </w:trPr>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PART I.</w:t>
            </w:r>
          </w:p>
        </w:tc>
        <w:tc>
          <w:tcPr>
            <w:tcW w:w="10040" w:type="dxa"/>
            <w:vAlign w:val="bottom"/>
            <w:gridSpan w:val="12"/>
          </w:tcPr>
          <w:p>
            <w:pPr>
              <w:ind w:left="160"/>
              <w:spacing w:after="0"/>
              <w:rPr>
                <w:sz w:val="20"/>
                <w:szCs w:val="20"/>
                <w:color w:val="auto"/>
              </w:rPr>
            </w:pPr>
            <w:r>
              <w:rPr>
                <w:rFonts w:ascii="Arial" w:cs="Arial" w:eastAsia="Arial" w:hAnsi="Arial"/>
                <w:sz w:val="12"/>
                <w:szCs w:val="12"/>
                <w:b w:val="1"/>
                <w:bCs w:val="1"/>
                <w:color w:val="auto"/>
              </w:rPr>
              <w:t>FINANCIAL INFORMATION.</w:t>
            </w: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640" w:type="dxa"/>
            <w:vAlign w:val="bottom"/>
            <w:gridSpan w:val="2"/>
          </w:tcPr>
          <w:p>
            <w:pPr>
              <w:spacing w:after="0"/>
              <w:rPr>
                <w:sz w:val="20"/>
                <w:szCs w:val="20"/>
                <w:color w:val="auto"/>
              </w:rPr>
            </w:pPr>
            <w:r>
              <w:rPr>
                <w:rFonts w:ascii="Arial" w:cs="Arial" w:eastAsia="Arial" w:hAnsi="Arial"/>
                <w:sz w:val="12"/>
                <w:szCs w:val="12"/>
                <w:color w:val="auto"/>
              </w:rPr>
              <w:t>Item 1.</w:t>
            </w:r>
          </w:p>
        </w:tc>
        <w:tc>
          <w:tcPr>
            <w:tcW w:w="10040" w:type="dxa"/>
            <w:vAlign w:val="bottom"/>
            <w:gridSpan w:val="12"/>
          </w:tcPr>
          <w:p>
            <w:pPr>
              <w:ind w:left="160"/>
              <w:spacing w:after="0"/>
              <w:rPr>
                <w:sz w:val="20"/>
                <w:szCs w:val="20"/>
                <w:color w:val="auto"/>
              </w:rPr>
            </w:pPr>
            <w:r>
              <w:rPr>
                <w:rFonts w:ascii="Arial" w:cs="Arial" w:eastAsia="Arial" w:hAnsi="Arial"/>
                <w:sz w:val="12"/>
                <w:szCs w:val="12"/>
                <w:color w:val="auto"/>
              </w:rPr>
              <w:t>Financial Statements.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40" w:type="dxa"/>
            <w:vAlign w:val="bottom"/>
            <w:gridSpan w:val="12"/>
            <w:shd w:val="clear" w:color="auto" w:fill="CCEEFF"/>
          </w:tcPr>
          <w:p>
            <w:pPr>
              <w:ind w:left="160"/>
              <w:spacing w:after="0" w:line="117" w:lineRule="exact"/>
              <w:rPr>
                <w:rFonts w:ascii="Arial" w:cs="Arial" w:eastAsia="Arial" w:hAnsi="Arial"/>
                <w:sz w:val="12"/>
                <w:szCs w:val="12"/>
                <w:color w:val="0000EE"/>
              </w:rPr>
            </w:pPr>
            <w:hyperlink w:anchor="page3">
              <w:r>
                <w:rPr>
                  <w:rFonts w:ascii="Arial" w:cs="Arial" w:eastAsia="Arial" w:hAnsi="Arial"/>
                  <w:sz w:val="12"/>
                  <w:szCs w:val="12"/>
                  <w:color w:val="0000EE"/>
                </w:rPr>
                <w:t>Consolidated Condensed Balance Sheets at June 25, 2011,December 25, 2010 and June 26, 2010.</w:t>
              </w:r>
            </w:hyperlink>
          </w:p>
        </w:tc>
        <w:tc>
          <w:tcPr>
            <w:tcW w:w="80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3</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40" w:type="dxa"/>
            <w:vAlign w:val="bottom"/>
            <w:tcBorders>
              <w:top w:val="single" w:sz="8" w:color="0000EE"/>
            </w:tcBorders>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148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1380" w:type="dxa"/>
            <w:vAlign w:val="bottom"/>
            <w:tcBorders>
              <w:top w:val="single" w:sz="8" w:color="0000EE"/>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416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40" w:type="dxa"/>
            <w:vAlign w:val="bottom"/>
            <w:gridSpan w:val="12"/>
            <w:shd w:val="clear" w:color="auto" w:fill="CCEEFF"/>
          </w:tcPr>
          <w:p>
            <w:pPr>
              <w:ind w:left="160"/>
              <w:spacing w:after="0" w:line="117" w:lineRule="exact"/>
              <w:rPr>
                <w:rFonts w:ascii="Arial" w:cs="Arial" w:eastAsia="Arial" w:hAnsi="Arial"/>
                <w:sz w:val="12"/>
                <w:szCs w:val="12"/>
                <w:color w:val="0000EE"/>
              </w:rPr>
            </w:pPr>
            <w:hyperlink w:anchor="page4">
              <w:r>
                <w:rPr>
                  <w:rFonts w:ascii="Arial" w:cs="Arial" w:eastAsia="Arial" w:hAnsi="Arial"/>
                  <w:sz w:val="12"/>
                  <w:szCs w:val="12"/>
                  <w:color w:val="0000EE"/>
                </w:rPr>
                <w:t>Consolidated Condensed Statements of Earnings for the Three and SixMonths Ended June 25, 2011 and June 26, 2010.</w:t>
              </w:r>
            </w:hyperlink>
          </w:p>
        </w:tc>
        <w:tc>
          <w:tcPr>
            <w:tcW w:w="80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4</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40" w:type="dxa"/>
            <w:vAlign w:val="bottom"/>
            <w:tcBorders>
              <w:top w:val="single" w:sz="8" w:color="0000EE"/>
            </w:tcBorders>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148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1380" w:type="dxa"/>
            <w:vAlign w:val="bottom"/>
            <w:tcBorders>
              <w:top w:val="single" w:sz="8" w:color="0000EE"/>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416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40" w:type="dxa"/>
            <w:vAlign w:val="bottom"/>
            <w:gridSpan w:val="12"/>
            <w:shd w:val="clear" w:color="auto" w:fill="CCEEFF"/>
          </w:tcPr>
          <w:p>
            <w:pPr>
              <w:ind w:left="160"/>
              <w:spacing w:after="0" w:line="117" w:lineRule="exact"/>
              <w:rPr>
                <w:rFonts w:ascii="Arial" w:cs="Arial" w:eastAsia="Arial" w:hAnsi="Arial"/>
                <w:sz w:val="12"/>
                <w:szCs w:val="12"/>
                <w:color w:val="0000EE"/>
              </w:rPr>
            </w:pPr>
            <w:hyperlink w:anchor="page5">
              <w:r>
                <w:rPr>
                  <w:rFonts w:ascii="Arial" w:cs="Arial" w:eastAsia="Arial" w:hAnsi="Arial"/>
                  <w:sz w:val="12"/>
                  <w:szCs w:val="12"/>
                  <w:color w:val="0000EE"/>
                </w:rPr>
                <w:t>Consolidated Condensed Statements of Equity for the Six Months Ended June 25, 2011 and June 26, 2010.</w:t>
              </w:r>
            </w:hyperlink>
          </w:p>
        </w:tc>
        <w:tc>
          <w:tcPr>
            <w:tcW w:w="80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5</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40" w:type="dxa"/>
            <w:vAlign w:val="bottom"/>
            <w:tcBorders>
              <w:top w:val="single" w:sz="8" w:color="0000EE"/>
            </w:tcBorders>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148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1380" w:type="dxa"/>
            <w:vAlign w:val="bottom"/>
            <w:tcBorders>
              <w:top w:val="single" w:sz="8" w:color="0000EE"/>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416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40" w:type="dxa"/>
            <w:vAlign w:val="bottom"/>
            <w:gridSpan w:val="12"/>
            <w:shd w:val="clear" w:color="auto" w:fill="CCEEFF"/>
          </w:tcPr>
          <w:p>
            <w:pPr>
              <w:ind w:left="160"/>
              <w:spacing w:after="0" w:line="117" w:lineRule="exact"/>
              <w:rPr>
                <w:rFonts w:ascii="Arial" w:cs="Arial" w:eastAsia="Arial" w:hAnsi="Arial"/>
                <w:sz w:val="12"/>
                <w:szCs w:val="12"/>
                <w:color w:val="0000EE"/>
              </w:rPr>
            </w:pPr>
            <w:hyperlink w:anchor="page6">
              <w:r>
                <w:rPr>
                  <w:rFonts w:ascii="Arial" w:cs="Arial" w:eastAsia="Arial" w:hAnsi="Arial"/>
                  <w:sz w:val="12"/>
                  <w:szCs w:val="12"/>
                  <w:color w:val="0000EE"/>
                </w:rPr>
                <w:t>Consolidated Condensed Statements of Cash Flows for the Six Months Ended June 25, 2011 and June 26, 2010.</w:t>
              </w:r>
            </w:hyperlink>
          </w:p>
        </w:tc>
        <w:tc>
          <w:tcPr>
            <w:tcW w:w="80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6</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40" w:type="dxa"/>
            <w:vAlign w:val="bottom"/>
            <w:tcBorders>
              <w:top w:val="single" w:sz="8" w:color="0000EE"/>
            </w:tcBorders>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148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1380" w:type="dxa"/>
            <w:vAlign w:val="bottom"/>
            <w:tcBorders>
              <w:top w:val="single" w:sz="8" w:color="0000EE"/>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416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40" w:type="dxa"/>
            <w:vAlign w:val="bottom"/>
            <w:gridSpan w:val="12"/>
            <w:shd w:val="clear" w:color="auto" w:fill="CCEEFF"/>
          </w:tcPr>
          <w:p>
            <w:pPr>
              <w:ind w:left="160"/>
              <w:spacing w:after="0" w:line="117" w:lineRule="exact"/>
              <w:rPr>
                <w:rFonts w:ascii="Arial" w:cs="Arial" w:eastAsia="Arial" w:hAnsi="Arial"/>
                <w:sz w:val="12"/>
                <w:szCs w:val="12"/>
                <w:color w:val="0000EE"/>
              </w:rPr>
            </w:pPr>
            <w:hyperlink w:anchor="page7">
              <w:r>
                <w:rPr>
                  <w:rFonts w:ascii="Arial" w:cs="Arial" w:eastAsia="Arial" w:hAnsi="Arial"/>
                  <w:sz w:val="12"/>
                  <w:szCs w:val="12"/>
                  <w:color w:val="0000EE"/>
                </w:rPr>
                <w:t>Notes to Consolidated Condensed Financial Statements.</w:t>
              </w:r>
            </w:hyperlink>
          </w:p>
        </w:tc>
        <w:tc>
          <w:tcPr>
            <w:tcW w:w="80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7 - 15</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40" w:type="dxa"/>
            <w:vAlign w:val="bottom"/>
            <w:tcBorders>
              <w:top w:val="single" w:sz="8" w:color="0000EE"/>
            </w:tcBorders>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1480" w:type="dxa"/>
            <w:vAlign w:val="bottom"/>
            <w:tcBorders>
              <w:top w:val="single" w:sz="8" w:color="0000EE"/>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416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62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Item 2.</w:t>
            </w:r>
          </w:p>
        </w:tc>
        <w:tc>
          <w:tcPr>
            <w:tcW w:w="10040" w:type="dxa"/>
            <w:vAlign w:val="bottom"/>
            <w:gridSpan w:val="12"/>
            <w:shd w:val="clear" w:color="auto" w:fill="CCEEFF"/>
          </w:tcPr>
          <w:p>
            <w:pPr>
              <w:ind w:left="160"/>
              <w:spacing w:after="0" w:line="117" w:lineRule="exact"/>
              <w:rPr>
                <w:rFonts w:ascii="Arial" w:cs="Arial" w:eastAsia="Arial" w:hAnsi="Arial"/>
                <w:sz w:val="12"/>
                <w:szCs w:val="12"/>
                <w:color w:val="0000EE"/>
              </w:rPr>
            </w:pPr>
            <w:hyperlink w:anchor="page16">
              <w:r>
                <w:rPr>
                  <w:rFonts w:ascii="Arial" w:cs="Arial" w:eastAsia="Arial" w:hAnsi="Arial"/>
                  <w:sz w:val="12"/>
                  <w:szCs w:val="12"/>
                  <w:color w:val="0000EE"/>
                </w:rPr>
                <w:t>Management's Discussion and Analysis of Financial Condition and Results of Operations.</w:t>
              </w:r>
            </w:hyperlink>
          </w:p>
        </w:tc>
        <w:tc>
          <w:tcPr>
            <w:tcW w:w="80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16 - 28</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40" w:type="dxa"/>
            <w:vAlign w:val="bottom"/>
            <w:tcBorders>
              <w:top w:val="single" w:sz="8" w:color="0000EE"/>
            </w:tcBorders>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148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1380" w:type="dxa"/>
            <w:vAlign w:val="bottom"/>
            <w:tcBorders>
              <w:top w:val="single" w:sz="8" w:color="0000EE"/>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416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62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Item 3.</w:t>
            </w:r>
          </w:p>
        </w:tc>
        <w:tc>
          <w:tcPr>
            <w:tcW w:w="10040" w:type="dxa"/>
            <w:vAlign w:val="bottom"/>
            <w:gridSpan w:val="12"/>
            <w:shd w:val="clear" w:color="auto" w:fill="CCEEFF"/>
          </w:tcPr>
          <w:p>
            <w:pPr>
              <w:ind w:left="160"/>
              <w:spacing w:after="0" w:line="117" w:lineRule="exact"/>
              <w:rPr>
                <w:rFonts w:ascii="Arial" w:cs="Arial" w:eastAsia="Arial" w:hAnsi="Arial"/>
                <w:sz w:val="12"/>
                <w:szCs w:val="12"/>
                <w:color w:val="0000EE"/>
              </w:rPr>
            </w:pPr>
            <w:hyperlink w:anchor="page29">
              <w:r>
                <w:rPr>
                  <w:rFonts w:ascii="Arial" w:cs="Arial" w:eastAsia="Arial" w:hAnsi="Arial"/>
                  <w:sz w:val="12"/>
                  <w:szCs w:val="12"/>
                  <w:color w:val="0000EE"/>
                </w:rPr>
                <w:t>Quantitative and Qualitative Disclosures About Market Risk.</w:t>
              </w:r>
            </w:hyperlink>
          </w:p>
        </w:tc>
        <w:tc>
          <w:tcPr>
            <w:tcW w:w="80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29</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40" w:type="dxa"/>
            <w:vAlign w:val="bottom"/>
            <w:tcBorders>
              <w:top w:val="single" w:sz="8" w:color="0000EE"/>
            </w:tcBorders>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148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416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62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Item 4.</w:t>
            </w:r>
          </w:p>
        </w:tc>
        <w:tc>
          <w:tcPr>
            <w:tcW w:w="10040" w:type="dxa"/>
            <w:vAlign w:val="bottom"/>
            <w:gridSpan w:val="12"/>
            <w:shd w:val="clear" w:color="auto" w:fill="CCEEFF"/>
          </w:tcPr>
          <w:p>
            <w:pPr>
              <w:ind w:left="160"/>
              <w:spacing w:after="0" w:line="117" w:lineRule="exact"/>
              <w:rPr>
                <w:rFonts w:ascii="Arial" w:cs="Arial" w:eastAsia="Arial" w:hAnsi="Arial"/>
                <w:sz w:val="12"/>
                <w:szCs w:val="12"/>
                <w:color w:val="0000EE"/>
              </w:rPr>
            </w:pPr>
            <w:hyperlink w:anchor="page29">
              <w:r>
                <w:rPr>
                  <w:rFonts w:ascii="Arial" w:cs="Arial" w:eastAsia="Arial" w:hAnsi="Arial"/>
                  <w:sz w:val="12"/>
                  <w:szCs w:val="12"/>
                  <w:color w:val="0000EE"/>
                </w:rPr>
                <w:t>Controls and Procedures.</w:t>
              </w:r>
            </w:hyperlink>
          </w:p>
        </w:tc>
        <w:tc>
          <w:tcPr>
            <w:tcW w:w="80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29</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40" w:type="dxa"/>
            <w:vAlign w:val="bottom"/>
            <w:tcBorders>
              <w:top w:val="single" w:sz="8" w:color="0000EE"/>
            </w:tcBorders>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14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416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PART II.</w:t>
            </w:r>
          </w:p>
        </w:tc>
        <w:tc>
          <w:tcPr>
            <w:tcW w:w="10040" w:type="dxa"/>
            <w:vAlign w:val="bottom"/>
            <w:gridSpan w:val="12"/>
            <w:shd w:val="clear" w:color="auto" w:fill="CCEEFF"/>
          </w:tcPr>
          <w:p>
            <w:pPr>
              <w:ind w:left="160"/>
              <w:spacing w:after="0"/>
              <w:rPr>
                <w:sz w:val="20"/>
                <w:szCs w:val="20"/>
                <w:color w:val="auto"/>
              </w:rPr>
            </w:pPr>
            <w:r>
              <w:rPr>
                <w:rFonts w:ascii="Arial" w:cs="Arial" w:eastAsia="Arial" w:hAnsi="Arial"/>
                <w:sz w:val="12"/>
                <w:szCs w:val="12"/>
                <w:b w:val="1"/>
                <w:bCs w:val="1"/>
                <w:color w:val="auto"/>
              </w:rPr>
              <w:t>OTHER INFORMATION.</w:t>
            </w: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2"/>
                <w:szCs w:val="12"/>
                <w:color w:val="auto"/>
              </w:rPr>
              <w:t>Item 1.</w:t>
            </w:r>
          </w:p>
        </w:tc>
        <w:tc>
          <w:tcPr>
            <w:tcW w:w="10040" w:type="dxa"/>
            <w:vAlign w:val="bottom"/>
            <w:gridSpan w:val="12"/>
            <w:shd w:val="clear" w:color="auto" w:fill="CCEEFF"/>
          </w:tcPr>
          <w:p>
            <w:pPr>
              <w:ind w:left="160"/>
              <w:spacing w:after="0"/>
              <w:rPr>
                <w:sz w:val="20"/>
                <w:szCs w:val="20"/>
                <w:color w:val="auto"/>
              </w:rPr>
            </w:pPr>
            <w:r>
              <w:rPr>
                <w:rFonts w:ascii="Arial" w:cs="Arial" w:eastAsia="Arial" w:hAnsi="Arial"/>
                <w:sz w:val="12"/>
                <w:szCs w:val="12"/>
                <w:color w:val="auto"/>
              </w:rPr>
              <w:t>Legal Proceedings - NONE.</w:t>
            </w: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2"/>
                <w:szCs w:val="12"/>
                <w:color w:val="auto"/>
              </w:rPr>
              <w:t>Item 1A.</w:t>
            </w:r>
          </w:p>
        </w:tc>
        <w:tc>
          <w:tcPr>
            <w:tcW w:w="10040" w:type="dxa"/>
            <w:vAlign w:val="bottom"/>
            <w:gridSpan w:val="12"/>
            <w:shd w:val="clear" w:color="auto" w:fill="CCEEFF"/>
          </w:tcPr>
          <w:p>
            <w:pPr>
              <w:ind w:left="160"/>
              <w:spacing w:after="0"/>
              <w:rPr>
                <w:sz w:val="20"/>
                <w:szCs w:val="20"/>
                <w:color w:val="auto"/>
              </w:rPr>
            </w:pPr>
            <w:r>
              <w:rPr>
                <w:rFonts w:ascii="Arial" w:cs="Arial" w:eastAsia="Arial" w:hAnsi="Arial"/>
                <w:sz w:val="12"/>
                <w:szCs w:val="12"/>
                <w:color w:val="auto"/>
              </w:rPr>
              <w:t>Risk Factors - NONE.</w:t>
            </w: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62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Item 2.</w:t>
            </w:r>
          </w:p>
        </w:tc>
        <w:tc>
          <w:tcPr>
            <w:tcW w:w="10040" w:type="dxa"/>
            <w:vAlign w:val="bottom"/>
            <w:gridSpan w:val="12"/>
            <w:shd w:val="clear" w:color="auto" w:fill="CCEEFF"/>
          </w:tcPr>
          <w:p>
            <w:pPr>
              <w:ind w:left="160"/>
              <w:spacing w:after="0" w:line="117" w:lineRule="exact"/>
              <w:rPr>
                <w:rFonts w:ascii="Arial" w:cs="Arial" w:eastAsia="Arial" w:hAnsi="Arial"/>
                <w:sz w:val="12"/>
                <w:szCs w:val="12"/>
                <w:color w:val="0000EE"/>
              </w:rPr>
            </w:pPr>
            <w:hyperlink w:anchor="page30">
              <w:r>
                <w:rPr>
                  <w:rFonts w:ascii="Arial" w:cs="Arial" w:eastAsia="Arial" w:hAnsi="Arial"/>
                  <w:sz w:val="12"/>
                  <w:szCs w:val="12"/>
                  <w:color w:val="0000EE"/>
                </w:rPr>
                <w:t>Unregistered Sales of Equity Securities and Use of Proceeds.</w:t>
              </w:r>
            </w:hyperlink>
          </w:p>
        </w:tc>
        <w:tc>
          <w:tcPr>
            <w:tcW w:w="80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30</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40" w:type="dxa"/>
            <w:vAlign w:val="bottom"/>
            <w:tcBorders>
              <w:top w:val="single" w:sz="8" w:color="0000EE"/>
            </w:tcBorders>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148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416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2"/>
                <w:szCs w:val="12"/>
                <w:color w:val="auto"/>
              </w:rPr>
              <w:t>Item 3.</w:t>
            </w:r>
          </w:p>
        </w:tc>
        <w:tc>
          <w:tcPr>
            <w:tcW w:w="10040" w:type="dxa"/>
            <w:vAlign w:val="bottom"/>
            <w:gridSpan w:val="12"/>
            <w:shd w:val="clear" w:color="auto" w:fill="CCEEFF"/>
          </w:tcPr>
          <w:p>
            <w:pPr>
              <w:ind w:left="160"/>
              <w:spacing w:after="0"/>
              <w:rPr>
                <w:sz w:val="20"/>
                <w:szCs w:val="20"/>
                <w:color w:val="auto"/>
              </w:rPr>
            </w:pPr>
            <w:r>
              <w:rPr>
                <w:rFonts w:ascii="Arial" w:cs="Arial" w:eastAsia="Arial" w:hAnsi="Arial"/>
                <w:sz w:val="12"/>
                <w:szCs w:val="12"/>
                <w:color w:val="auto"/>
              </w:rPr>
              <w:t>Defaults Upon Senior Securities - NONE.</w:t>
            </w: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2"/>
                <w:szCs w:val="12"/>
                <w:color w:val="auto"/>
              </w:rPr>
              <w:t>Item 4.</w:t>
            </w:r>
          </w:p>
        </w:tc>
        <w:tc>
          <w:tcPr>
            <w:tcW w:w="10040" w:type="dxa"/>
            <w:vAlign w:val="bottom"/>
            <w:gridSpan w:val="12"/>
            <w:shd w:val="clear" w:color="auto" w:fill="CCEEFF"/>
          </w:tcPr>
          <w:p>
            <w:pPr>
              <w:ind w:left="160"/>
              <w:spacing w:after="0"/>
              <w:rPr>
                <w:sz w:val="20"/>
                <w:szCs w:val="20"/>
                <w:color w:val="auto"/>
              </w:rPr>
            </w:pPr>
            <w:r>
              <w:rPr>
                <w:rFonts w:ascii="Arial" w:cs="Arial" w:eastAsia="Arial" w:hAnsi="Arial"/>
                <w:sz w:val="12"/>
                <w:szCs w:val="12"/>
                <w:color w:val="auto"/>
              </w:rPr>
              <w:t>(Removed and Reserved).</w:t>
            </w: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62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Item 5.</w:t>
            </w:r>
          </w:p>
        </w:tc>
        <w:tc>
          <w:tcPr>
            <w:tcW w:w="10040" w:type="dxa"/>
            <w:vAlign w:val="bottom"/>
            <w:gridSpan w:val="12"/>
            <w:shd w:val="clear" w:color="auto" w:fill="CCEEFF"/>
          </w:tcPr>
          <w:p>
            <w:pPr>
              <w:ind w:left="160"/>
              <w:spacing w:after="0" w:line="117" w:lineRule="exact"/>
              <w:rPr>
                <w:rFonts w:ascii="Arial" w:cs="Arial" w:eastAsia="Arial" w:hAnsi="Arial"/>
                <w:sz w:val="12"/>
                <w:szCs w:val="12"/>
                <w:color w:val="0000EE"/>
              </w:rPr>
            </w:pPr>
            <w:hyperlink w:anchor="page30">
              <w:r>
                <w:rPr>
                  <w:rFonts w:ascii="Arial" w:cs="Arial" w:eastAsia="Arial" w:hAnsi="Arial"/>
                  <w:sz w:val="12"/>
                  <w:szCs w:val="12"/>
                  <w:color w:val="0000EE"/>
                </w:rPr>
                <w:t>Other Information.</w:t>
              </w:r>
            </w:hyperlink>
          </w:p>
        </w:tc>
        <w:tc>
          <w:tcPr>
            <w:tcW w:w="80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30</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40" w:type="dxa"/>
            <w:vAlign w:val="bottom"/>
            <w:tcBorders>
              <w:top w:val="single" w:sz="8" w:color="0000EE"/>
            </w:tcBorders>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4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416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2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Item 6.</w:t>
            </w:r>
          </w:p>
        </w:tc>
        <w:tc>
          <w:tcPr>
            <w:tcW w:w="10040" w:type="dxa"/>
            <w:vAlign w:val="bottom"/>
            <w:gridSpan w:val="12"/>
            <w:shd w:val="clear" w:color="auto" w:fill="CCEEFF"/>
          </w:tcPr>
          <w:p>
            <w:pPr>
              <w:ind w:left="160"/>
              <w:spacing w:after="0" w:line="117" w:lineRule="exact"/>
              <w:rPr>
                <w:rFonts w:ascii="Arial" w:cs="Arial" w:eastAsia="Arial" w:hAnsi="Arial"/>
                <w:sz w:val="12"/>
                <w:szCs w:val="12"/>
                <w:color w:val="0000EE"/>
              </w:rPr>
            </w:pPr>
            <w:hyperlink w:anchor="page31">
              <w:r>
                <w:rPr>
                  <w:rFonts w:ascii="Arial" w:cs="Arial" w:eastAsia="Arial" w:hAnsi="Arial"/>
                  <w:sz w:val="12"/>
                  <w:szCs w:val="12"/>
                  <w:color w:val="0000EE"/>
                </w:rPr>
                <w:t>Exhibits.</w:t>
              </w:r>
            </w:hyperlink>
          </w:p>
        </w:tc>
        <w:tc>
          <w:tcPr>
            <w:tcW w:w="80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31</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620" w:type="dxa"/>
            <w:vAlign w:val="bottom"/>
            <w:tcBorders>
              <w:top w:val="single" w:sz="8" w:color="CCEEFF"/>
              <w:bottom w:val="single" w:sz="8" w:color="808080"/>
            </w:tcBorders>
          </w:tcPr>
          <w:p>
            <w:pPr>
              <w:spacing w:after="0"/>
              <w:rPr>
                <w:sz w:val="24"/>
                <w:szCs w:val="24"/>
                <w:color w:val="auto"/>
              </w:rPr>
            </w:pPr>
          </w:p>
        </w:tc>
        <w:tc>
          <w:tcPr>
            <w:tcW w:w="16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0000EE"/>
              <w:bottom w:val="single" w:sz="8" w:color="808080"/>
            </w:tcBorders>
          </w:tcPr>
          <w:p>
            <w:pPr>
              <w:spacing w:after="0"/>
              <w:rPr>
                <w:sz w:val="24"/>
                <w:szCs w:val="24"/>
                <w:color w:val="auto"/>
              </w:rPr>
            </w:pPr>
          </w:p>
        </w:tc>
        <w:tc>
          <w:tcPr>
            <w:tcW w:w="460" w:type="dxa"/>
            <w:vAlign w:val="bottom"/>
            <w:tcBorders>
              <w:top w:val="single" w:sz="8" w:color="CCEEFF"/>
              <w:bottom w:val="single" w:sz="8" w:color="808080"/>
            </w:tcBorders>
          </w:tcPr>
          <w:p>
            <w:pPr>
              <w:spacing w:after="0"/>
              <w:rPr>
                <w:sz w:val="24"/>
                <w:szCs w:val="24"/>
                <w:color w:val="auto"/>
              </w:rPr>
            </w:pPr>
          </w:p>
        </w:tc>
        <w:tc>
          <w:tcPr>
            <w:tcW w:w="320" w:type="dxa"/>
            <w:vAlign w:val="bottom"/>
            <w:tcBorders>
              <w:top w:val="single" w:sz="8" w:color="CCEEFF"/>
              <w:bottom w:val="single" w:sz="8" w:color="808080"/>
            </w:tcBorders>
          </w:tcPr>
          <w:p>
            <w:pPr>
              <w:spacing w:after="0"/>
              <w:rPr>
                <w:sz w:val="24"/>
                <w:szCs w:val="24"/>
                <w:color w:val="auto"/>
              </w:rPr>
            </w:pPr>
          </w:p>
        </w:tc>
        <w:tc>
          <w:tcPr>
            <w:tcW w:w="148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CCEEFF"/>
              <w:bottom w:val="single" w:sz="8" w:color="808080"/>
            </w:tcBorders>
          </w:tcPr>
          <w:p>
            <w:pPr>
              <w:spacing w:after="0"/>
              <w:rPr>
                <w:sz w:val="24"/>
                <w:szCs w:val="24"/>
                <w:color w:val="auto"/>
              </w:rPr>
            </w:pPr>
          </w:p>
        </w:tc>
        <w:tc>
          <w:tcPr>
            <w:tcW w:w="1380" w:type="dxa"/>
            <w:vAlign w:val="bottom"/>
            <w:tcBorders>
              <w:top w:val="single" w:sz="8" w:color="CCEEFF"/>
              <w:bottom w:val="single" w:sz="8" w:color="808080"/>
            </w:tcBorders>
          </w:tcPr>
          <w:p>
            <w:pPr>
              <w:spacing w:after="0"/>
              <w:rPr>
                <w:sz w:val="24"/>
                <w:szCs w:val="24"/>
                <w:color w:val="auto"/>
              </w:rPr>
            </w:pPr>
          </w:p>
        </w:tc>
        <w:tc>
          <w:tcPr>
            <w:tcW w:w="360" w:type="dxa"/>
            <w:vAlign w:val="bottom"/>
            <w:tcBorders>
              <w:top w:val="single" w:sz="8" w:color="CCEEFF"/>
              <w:bottom w:val="single" w:sz="8" w:color="808080"/>
            </w:tcBorders>
          </w:tcPr>
          <w:p>
            <w:pPr>
              <w:spacing w:after="0"/>
              <w:rPr>
                <w:sz w:val="24"/>
                <w:szCs w:val="24"/>
                <w:color w:val="auto"/>
              </w:rPr>
            </w:pPr>
          </w:p>
        </w:tc>
        <w:tc>
          <w:tcPr>
            <w:tcW w:w="46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CCEEFF"/>
              <w:bottom w:val="single" w:sz="8" w:color="808080"/>
            </w:tcBorders>
          </w:tcPr>
          <w:p>
            <w:pPr>
              <w:spacing w:after="0"/>
              <w:rPr>
                <w:sz w:val="24"/>
                <w:szCs w:val="24"/>
                <w:color w:val="auto"/>
              </w:rPr>
            </w:pPr>
          </w:p>
        </w:tc>
        <w:tc>
          <w:tcPr>
            <w:tcW w:w="340" w:type="dxa"/>
            <w:vAlign w:val="bottom"/>
            <w:tcBorders>
              <w:top w:val="single" w:sz="8" w:color="CCEEFF"/>
              <w:bottom w:val="single" w:sz="8" w:color="808080"/>
            </w:tcBorders>
          </w:tcPr>
          <w:p>
            <w:pPr>
              <w:spacing w:after="0"/>
              <w:rPr>
                <w:sz w:val="24"/>
                <w:szCs w:val="24"/>
                <w:color w:val="auto"/>
              </w:rPr>
            </w:pPr>
          </w:p>
        </w:tc>
        <w:tc>
          <w:tcPr>
            <w:tcW w:w="4160" w:type="dxa"/>
            <w:vAlign w:val="bottom"/>
            <w:tcBorders>
              <w:top w:val="single" w:sz="8" w:color="CCEEFF"/>
              <w:bottom w:val="single" w:sz="8" w:color="808080"/>
            </w:tcBorders>
          </w:tcPr>
          <w:p>
            <w:pPr>
              <w:spacing w:after="0"/>
              <w:rPr>
                <w:sz w:val="24"/>
                <w:szCs w:val="24"/>
                <w:color w:val="auto"/>
              </w:rPr>
            </w:pPr>
          </w:p>
        </w:tc>
        <w:tc>
          <w:tcPr>
            <w:tcW w:w="800" w:type="dxa"/>
            <w:vAlign w:val="bottom"/>
            <w:tcBorders>
              <w:top w:val="single" w:sz="8" w:color="CCEEFF"/>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UNIVERSAL FOREST PRODUCTS,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CONDENSED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800" w:type="dxa"/>
            <w:vAlign w:val="bottom"/>
            <w:gridSpan w:val="2"/>
          </w:tcPr>
          <w:p>
            <w:pPr>
              <w:spacing w:after="0"/>
              <w:rPr>
                <w:sz w:val="20"/>
                <w:szCs w:val="20"/>
                <w:color w:val="auto"/>
              </w:rPr>
            </w:pPr>
            <w:r>
              <w:rPr>
                <w:rFonts w:ascii="Arial" w:cs="Arial" w:eastAsia="Arial" w:hAnsi="Arial"/>
                <w:sz w:val="12"/>
                <w:szCs w:val="12"/>
                <w:color w:val="auto"/>
              </w:rPr>
              <w:t>(in thousands, except share data)</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2"/>
                <w:szCs w:val="12"/>
                <w:color w:val="auto"/>
                <w:w w:val="86"/>
              </w:rPr>
              <w:t>June 25,</w:t>
            </w:r>
          </w:p>
        </w:tc>
        <w:tc>
          <w:tcPr>
            <w:tcW w:w="140" w:type="dxa"/>
            <w:vAlign w:val="bottom"/>
          </w:tcPr>
          <w:p>
            <w:pPr>
              <w:spacing w:after="0"/>
              <w:rPr>
                <w:sz w:val="24"/>
                <w:szCs w:val="2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2"/>
                <w:szCs w:val="12"/>
                <w:color w:val="auto"/>
                <w:w w:val="98"/>
              </w:rPr>
              <w:t>December 25,</w:t>
            </w:r>
          </w:p>
        </w:tc>
        <w:tc>
          <w:tcPr>
            <w:tcW w:w="20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2"/>
                <w:szCs w:val="12"/>
                <w:color w:val="auto"/>
              </w:rPr>
              <w:t>June 26,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2011</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2010</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ASSETS</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0" w:type="dxa"/>
            <w:vAlign w:val="bottom"/>
            <w:gridSpan w:val="2"/>
          </w:tcPr>
          <w:p>
            <w:pPr>
              <w:spacing w:after="0"/>
              <w:rPr>
                <w:sz w:val="20"/>
                <w:szCs w:val="20"/>
                <w:color w:val="auto"/>
              </w:rPr>
            </w:pPr>
            <w:r>
              <w:rPr>
                <w:rFonts w:ascii="Arial" w:cs="Arial" w:eastAsia="Arial" w:hAnsi="Arial"/>
                <w:sz w:val="12"/>
                <w:szCs w:val="12"/>
                <w:color w:val="auto"/>
              </w:rPr>
              <w:t>CURRENT ASSETS:</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shd w:val="clear" w:color="auto" w:fill="CCEEFF"/>
          </w:tcPr>
          <w:p>
            <w:pPr>
              <w:ind w:left="80"/>
              <w:spacing w:after="0"/>
              <w:rPr>
                <w:sz w:val="20"/>
                <w:szCs w:val="20"/>
                <w:color w:val="auto"/>
              </w:rPr>
            </w:pPr>
            <w:r>
              <w:rPr>
                <w:rFonts w:ascii="Arial" w:cs="Arial" w:eastAsia="Arial" w:hAnsi="Arial"/>
                <w:sz w:val="12"/>
                <w:szCs w:val="12"/>
                <w:color w:val="auto"/>
              </w:rPr>
              <w:t>Cash and cash equivalents</w:t>
            </w:r>
          </w:p>
        </w:tc>
        <w:tc>
          <w:tcPr>
            <w:tcW w:w="880" w:type="dxa"/>
            <w:vAlign w:val="bottom"/>
            <w:gridSpan w:val="2"/>
            <w:shd w:val="clear" w:color="auto" w:fill="CCEEFF"/>
          </w:tcPr>
          <w:p>
            <w:pPr>
              <w:jc w:val="right"/>
              <w:ind w:right="11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43,363</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tcPr>
          <w:p>
            <w:pPr>
              <w:ind w:left="80"/>
              <w:spacing w:after="0"/>
              <w:rPr>
                <w:sz w:val="20"/>
                <w:szCs w:val="20"/>
                <w:color w:val="auto"/>
              </w:rPr>
            </w:pPr>
            <w:r>
              <w:rPr>
                <w:rFonts w:ascii="Arial" w:cs="Arial" w:eastAsia="Arial" w:hAnsi="Arial"/>
                <w:sz w:val="12"/>
                <w:szCs w:val="12"/>
                <w:color w:val="auto"/>
              </w:rPr>
              <w:t>Accounts receivable, net</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204,220</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126,780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229,199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Inventories: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tcPr>
          <w:p>
            <w:pPr>
              <w:ind w:left="180"/>
              <w:spacing w:after="0"/>
              <w:rPr>
                <w:sz w:val="20"/>
                <w:szCs w:val="20"/>
                <w:color w:val="auto"/>
              </w:rPr>
            </w:pPr>
            <w:r>
              <w:rPr>
                <w:rFonts w:ascii="Arial" w:cs="Arial" w:eastAsia="Arial" w:hAnsi="Arial"/>
                <w:sz w:val="12"/>
                <w:szCs w:val="12"/>
                <w:color w:val="auto"/>
              </w:rPr>
              <w:t>Raw materials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126,196</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113,049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111,670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Finished goods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78,394</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77,341</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204,590</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190,390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191,569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shd w:val="clear" w:color="auto" w:fill="CCEEFF"/>
          </w:tcPr>
          <w:p>
            <w:pPr>
              <w:ind w:left="80"/>
              <w:spacing w:after="0"/>
              <w:rPr>
                <w:sz w:val="20"/>
                <w:szCs w:val="20"/>
                <w:color w:val="auto"/>
              </w:rPr>
            </w:pPr>
            <w:r>
              <w:rPr>
                <w:rFonts w:ascii="Arial" w:cs="Arial" w:eastAsia="Arial" w:hAnsi="Arial"/>
                <w:sz w:val="12"/>
                <w:szCs w:val="12"/>
                <w:color w:val="auto"/>
              </w:rPr>
              <w:t>Assets held for sale</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5,082</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2,446</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tcPr>
          <w:p>
            <w:pPr>
              <w:ind w:left="80"/>
              <w:spacing w:after="0"/>
              <w:rPr>
                <w:sz w:val="20"/>
                <w:szCs w:val="20"/>
                <w:color w:val="auto"/>
              </w:rPr>
            </w:pPr>
            <w:r>
              <w:rPr>
                <w:rFonts w:ascii="Arial" w:cs="Arial" w:eastAsia="Arial" w:hAnsi="Arial"/>
                <w:sz w:val="12"/>
                <w:szCs w:val="12"/>
                <w:color w:val="auto"/>
              </w:rPr>
              <w:t>Refundable income taxes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2,114</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current assets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18,219</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19,020</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ind w:left="300"/>
              <w:spacing w:after="0"/>
              <w:rPr>
                <w:sz w:val="20"/>
                <w:szCs w:val="20"/>
                <w:color w:val="auto"/>
              </w:rPr>
            </w:pPr>
            <w:r>
              <w:rPr>
                <w:rFonts w:ascii="Arial" w:cs="Arial" w:eastAsia="Arial" w:hAnsi="Arial"/>
                <w:sz w:val="12"/>
                <w:szCs w:val="12"/>
                <w:color w:val="auto"/>
              </w:rPr>
              <w:t>TOTAL CURRENT ASSETS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434,225</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381,999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439,573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7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780" w:type="dxa"/>
            <w:vAlign w:val="bottom"/>
          </w:tcPr>
          <w:p>
            <w:pPr>
              <w:spacing w:after="0"/>
              <w:rPr>
                <w:sz w:val="20"/>
                <w:szCs w:val="20"/>
                <w:color w:val="auto"/>
              </w:rPr>
            </w:pPr>
            <w:r>
              <w:rPr>
                <w:rFonts w:ascii="Arial" w:cs="Arial" w:eastAsia="Arial" w:hAnsi="Arial"/>
                <w:sz w:val="12"/>
                <w:szCs w:val="12"/>
                <w:color w:val="auto"/>
              </w:rPr>
              <w:t>OTHER ASSETS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11,453</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11,455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5,300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154,702</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154,702</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156,296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tcPr>
          <w:p>
            <w:pPr>
              <w:spacing w:after="0"/>
              <w:rPr>
                <w:sz w:val="20"/>
                <w:szCs w:val="20"/>
                <w:color w:val="auto"/>
              </w:rPr>
            </w:pPr>
            <w:r>
              <w:rPr>
                <w:rFonts w:ascii="Arial" w:cs="Arial" w:eastAsia="Arial" w:hAnsi="Arial"/>
                <w:sz w:val="12"/>
                <w:szCs w:val="12"/>
                <w:color w:val="auto"/>
              </w:rPr>
              <w:t>INDEFINITE-LIVED INTANGIBLE ASSETS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2,340</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2,340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2,340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2"/>
                <w:szCs w:val="12"/>
                <w:color w:val="auto"/>
              </w:rPr>
              <w:t>OTHER INTANGIBLE ASSETS, net</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13,136</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15,933</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13,429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tcPr>
          <w:p>
            <w:pPr>
              <w:spacing w:after="0"/>
              <w:rPr>
                <w:sz w:val="20"/>
                <w:szCs w:val="20"/>
                <w:color w:val="auto"/>
              </w:rPr>
            </w:pPr>
            <w:r>
              <w:rPr>
                <w:rFonts w:ascii="Arial" w:cs="Arial" w:eastAsia="Arial" w:hAnsi="Arial"/>
                <w:sz w:val="12"/>
                <w:szCs w:val="12"/>
                <w:color w:val="auto"/>
              </w:rPr>
              <w:t>PROPERTY, PLANT AND EQUIPMENT:</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Property, plant and equipment</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525,197</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517,793</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518,816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tcPr>
          <w:p>
            <w:pPr>
              <w:ind w:left="80"/>
              <w:spacing w:after="0"/>
              <w:rPr>
                <w:sz w:val="20"/>
                <w:szCs w:val="20"/>
                <w:color w:val="auto"/>
              </w:rPr>
            </w:pPr>
            <w:r>
              <w:rPr>
                <w:rFonts w:ascii="Arial" w:cs="Arial" w:eastAsia="Arial" w:hAnsi="Arial"/>
                <w:sz w:val="12"/>
                <w:szCs w:val="12"/>
                <w:color w:val="auto"/>
              </w:rPr>
              <w:t>Accumulated depreciation and amortization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(308,200)</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(295,642)</w:t>
            </w: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(292,390)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shd w:val="clear" w:color="auto" w:fill="CCEEFF"/>
          </w:tcPr>
          <w:p>
            <w:pPr>
              <w:ind w:left="300"/>
              <w:spacing w:after="0"/>
              <w:rPr>
                <w:sz w:val="20"/>
                <w:szCs w:val="20"/>
                <w:color w:val="auto"/>
              </w:rPr>
            </w:pPr>
            <w:r>
              <w:rPr>
                <w:rFonts w:ascii="Arial" w:cs="Arial" w:eastAsia="Arial" w:hAnsi="Arial"/>
                <w:sz w:val="12"/>
                <w:szCs w:val="12"/>
                <w:color w:val="auto"/>
              </w:rPr>
              <w:t>PROPERTY, PLANT AND EQUIPMENT, NET</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216,997</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222,151</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226,426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780" w:type="dxa"/>
            <w:vAlign w:val="bottom"/>
          </w:tcPr>
          <w:p>
            <w:pPr>
              <w:spacing w:after="0"/>
              <w:rPr>
                <w:sz w:val="20"/>
                <w:szCs w:val="20"/>
                <w:color w:val="auto"/>
              </w:rPr>
            </w:pPr>
            <w:r>
              <w:rPr>
                <w:rFonts w:ascii="Arial" w:cs="Arial" w:eastAsia="Arial" w:hAnsi="Arial"/>
                <w:sz w:val="12"/>
                <w:szCs w:val="12"/>
                <w:color w:val="auto"/>
              </w:rPr>
              <w:t>TOTAL ASSETS</w:t>
            </w:r>
          </w:p>
        </w:tc>
        <w:tc>
          <w:tcPr>
            <w:tcW w:w="660" w:type="dxa"/>
            <w:vAlign w:val="bottom"/>
          </w:tcPr>
          <w:p>
            <w:pPr>
              <w:spacing w:after="0"/>
              <w:rPr>
                <w:sz w:val="12"/>
                <w:szCs w:val="12"/>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832,853</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788,580</w:t>
            </w:r>
          </w:p>
        </w:tc>
        <w:tc>
          <w:tcPr>
            <w:tcW w:w="24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843,364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67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780" w:type="dxa"/>
            <w:vAlign w:val="bottom"/>
          </w:tcPr>
          <w:p>
            <w:pPr>
              <w:spacing w:after="0"/>
              <w:rPr>
                <w:sz w:val="20"/>
                <w:szCs w:val="20"/>
                <w:color w:val="auto"/>
              </w:rPr>
            </w:pPr>
            <w:r>
              <w:rPr>
                <w:rFonts w:ascii="Arial" w:cs="Arial" w:eastAsia="Arial" w:hAnsi="Arial"/>
                <w:sz w:val="12"/>
                <w:szCs w:val="12"/>
                <w:b w:val="1"/>
                <w:bCs w:val="1"/>
                <w:color w:val="auto"/>
              </w:rPr>
              <w:t>LIABILITIES AND EQUITY</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tcPr>
          <w:p>
            <w:pPr>
              <w:ind w:left="80"/>
              <w:spacing w:after="0"/>
              <w:rPr>
                <w:sz w:val="20"/>
                <w:szCs w:val="20"/>
                <w:color w:val="auto"/>
              </w:rPr>
            </w:pPr>
            <w:r>
              <w:rPr>
                <w:rFonts w:ascii="Arial" w:cs="Arial" w:eastAsia="Arial" w:hAnsi="Arial"/>
                <w:sz w:val="12"/>
                <w:szCs w:val="12"/>
                <w:color w:val="auto"/>
              </w:rPr>
              <w:t>Cash overdraft</w:t>
            </w:r>
          </w:p>
        </w:tc>
        <w:tc>
          <w:tcPr>
            <w:tcW w:w="880" w:type="dxa"/>
            <w:vAlign w:val="bottom"/>
            <w:gridSpan w:val="2"/>
          </w:tcPr>
          <w:p>
            <w:pPr>
              <w:jc w:val="right"/>
              <w:ind w:right="11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8,671</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Accounts payable</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76,521</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59,481</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83,467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tcPr>
          <w:p>
            <w:pPr>
              <w:ind w:left="80"/>
              <w:spacing w:after="0"/>
              <w:rPr>
                <w:sz w:val="20"/>
                <w:szCs w:val="20"/>
                <w:color w:val="auto"/>
              </w:rPr>
            </w:pPr>
            <w:r>
              <w:rPr>
                <w:rFonts w:ascii="Arial" w:cs="Arial" w:eastAsia="Arial" w:hAnsi="Arial"/>
                <w:sz w:val="12"/>
                <w:szCs w:val="12"/>
                <w:color w:val="auto"/>
              </w:rPr>
              <w:t>Accrued liabilities: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Compensation and benefits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39,741</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43,909</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48,226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tcPr>
          <w:p>
            <w:pPr>
              <w:ind w:left="180"/>
              <w:spacing w:after="0"/>
              <w:rPr>
                <w:sz w:val="20"/>
                <w:szCs w:val="20"/>
                <w:color w:val="auto"/>
              </w:rPr>
            </w:pPr>
            <w:r>
              <w:rPr>
                <w:rFonts w:ascii="Arial" w:cs="Arial" w:eastAsia="Arial" w:hAnsi="Arial"/>
                <w:sz w:val="12"/>
                <w:szCs w:val="12"/>
                <w:color w:val="auto"/>
              </w:rPr>
              <w:t>Income taxes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657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6,736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15,573</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15,135</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22,995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tcPr>
          <w:p>
            <w:pPr>
              <w:ind w:left="80"/>
              <w:spacing w:after="0"/>
              <w:rPr>
                <w:sz w:val="20"/>
                <w:szCs w:val="20"/>
                <w:color w:val="auto"/>
              </w:rPr>
            </w:pPr>
            <w:r>
              <w:rPr>
                <w:rFonts w:ascii="Arial" w:cs="Arial" w:eastAsia="Arial" w:hAnsi="Arial"/>
                <w:sz w:val="12"/>
                <w:szCs w:val="12"/>
                <w:color w:val="auto"/>
              </w:rPr>
              <w:t>Current portion of long-term debt and capital lease obligations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23,772</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712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shd w:val="clear" w:color="auto" w:fill="CCEEFF"/>
          </w:tcPr>
          <w:p>
            <w:pPr>
              <w:ind w:left="300"/>
              <w:spacing w:after="0"/>
              <w:rPr>
                <w:sz w:val="20"/>
                <w:szCs w:val="20"/>
                <w:color w:val="auto"/>
              </w:rPr>
            </w:pPr>
            <w:r>
              <w:rPr>
                <w:rFonts w:ascii="Arial" w:cs="Arial" w:eastAsia="Arial" w:hAnsi="Arial"/>
                <w:sz w:val="12"/>
                <w:szCs w:val="12"/>
                <w:color w:val="auto"/>
              </w:rPr>
              <w:t>TOTAL CURRENT LIABILITIES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164,278</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119,894</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162,116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2"/>
                <w:szCs w:val="12"/>
                <w:color w:val="auto"/>
              </w:rPr>
              <w:t>LONG-TERM DEBT AND CAPITAL LEASE OBLIGATIONS, less current portion</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52,200</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54,579</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67,932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tcPr>
          <w:p>
            <w:pPr>
              <w:spacing w:after="0"/>
              <w:rPr>
                <w:sz w:val="20"/>
                <w:szCs w:val="20"/>
                <w:color w:val="auto"/>
              </w:rPr>
            </w:pPr>
            <w:r>
              <w:rPr>
                <w:rFonts w:ascii="Arial" w:cs="Arial" w:eastAsia="Arial" w:hAnsi="Arial"/>
                <w:sz w:val="12"/>
                <w:szCs w:val="12"/>
                <w:color w:val="auto"/>
              </w:rPr>
              <w:t>DEFERRED INCOME TAXES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20,478</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2"/>
                <w:szCs w:val="12"/>
                <w:color w:val="auto"/>
              </w:rPr>
              <w:t>20,631</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21,539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15,040</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12,300</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11,929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ind w:left="300"/>
              <w:spacing w:after="0"/>
              <w:rPr>
                <w:sz w:val="20"/>
                <w:szCs w:val="20"/>
                <w:color w:val="auto"/>
              </w:rPr>
            </w:pPr>
            <w:r>
              <w:rPr>
                <w:rFonts w:ascii="Arial" w:cs="Arial" w:eastAsia="Arial" w:hAnsi="Arial"/>
                <w:sz w:val="12"/>
                <w:szCs w:val="12"/>
                <w:color w:val="auto"/>
              </w:rPr>
              <w:t>TOTAL LIABILITIES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251,996</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207,404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263,516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7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780" w:type="dxa"/>
            <w:vAlign w:val="bottom"/>
          </w:tcPr>
          <w:p>
            <w:pPr>
              <w:spacing w:after="0"/>
              <w:rPr>
                <w:sz w:val="20"/>
                <w:szCs w:val="20"/>
                <w:color w:val="auto"/>
              </w:rPr>
            </w:pPr>
            <w:r>
              <w:rPr>
                <w:rFonts w:ascii="Arial" w:cs="Arial" w:eastAsia="Arial" w:hAnsi="Arial"/>
                <w:sz w:val="12"/>
                <w:szCs w:val="12"/>
                <w:color w:val="auto"/>
              </w:rPr>
              <w:t>EQUITY:</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Controlling interest shareholders' equity:</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tcPr>
          <w:p>
            <w:pPr>
              <w:ind w:left="180"/>
              <w:spacing w:after="0"/>
              <w:rPr>
                <w:sz w:val="20"/>
                <w:szCs w:val="20"/>
                <w:color w:val="auto"/>
              </w:rPr>
            </w:pPr>
            <w:r>
              <w:rPr>
                <w:rFonts w:ascii="Arial" w:cs="Arial" w:eastAsia="Arial" w:hAnsi="Arial"/>
                <w:sz w:val="12"/>
                <w:szCs w:val="12"/>
                <w:color w:val="auto"/>
              </w:rPr>
              <w:t>Preferred stock, no par value; shares authorized 1,000,000; issued and outstanding, none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9"/>
              </w:rPr>
              <w:t>Common stock, no par value; shares authorized 40,000,000;issued and outstanding 19,525,590, 19,333,122 and 19,329,922</w:t>
            </w:r>
          </w:p>
        </w:tc>
        <w:tc>
          <w:tcPr>
            <w:tcW w:w="880" w:type="dxa"/>
            <w:vAlign w:val="bottom"/>
            <w:gridSpan w:val="2"/>
            <w:shd w:val="clear" w:color="auto" w:fill="CCEEFF"/>
          </w:tcPr>
          <w:p>
            <w:pPr>
              <w:jc w:val="right"/>
              <w:ind w:right="11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19,526</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19,333</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19,330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tcPr>
          <w:p>
            <w:pPr>
              <w:ind w:left="180"/>
              <w:spacing w:after="0"/>
              <w:rPr>
                <w:sz w:val="20"/>
                <w:szCs w:val="20"/>
                <w:color w:val="auto"/>
              </w:rPr>
            </w:pPr>
            <w:r>
              <w:rPr>
                <w:rFonts w:ascii="Arial" w:cs="Arial" w:eastAsia="Arial" w:hAnsi="Arial"/>
                <w:sz w:val="12"/>
                <w:szCs w:val="12"/>
                <w:color w:val="auto"/>
              </w:rPr>
              <w:t>Additional paid-in capital</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140,636</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138,573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135,710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Retained earnings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410,814</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414,108</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416,562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tcPr>
          <w:p>
            <w:pPr>
              <w:ind w:left="180"/>
              <w:spacing w:after="0"/>
              <w:rPr>
                <w:sz w:val="20"/>
                <w:szCs w:val="20"/>
                <w:color w:val="auto"/>
              </w:rPr>
            </w:pPr>
            <w:r>
              <w:rPr>
                <w:rFonts w:ascii="Arial" w:cs="Arial" w:eastAsia="Arial" w:hAnsi="Arial"/>
                <w:sz w:val="12"/>
                <w:szCs w:val="12"/>
                <w:color w:val="auto"/>
              </w:rPr>
              <w:t>Accumulated other comprehensive earnings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4,839</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4,165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4,018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Employee stock notes receivable</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(1,493)</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(1,670)</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574,322</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574,509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573,899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shd w:val="clear" w:color="auto" w:fill="CCEEFF"/>
          </w:tcPr>
          <w:p>
            <w:pPr>
              <w:ind w:left="80"/>
              <w:spacing w:after="0"/>
              <w:rPr>
                <w:sz w:val="20"/>
                <w:szCs w:val="20"/>
                <w:color w:val="auto"/>
              </w:rPr>
            </w:pPr>
            <w:r>
              <w:rPr>
                <w:rFonts w:ascii="Arial" w:cs="Arial" w:eastAsia="Arial" w:hAnsi="Arial"/>
                <w:sz w:val="12"/>
                <w:szCs w:val="12"/>
                <w:color w:val="auto"/>
              </w:rPr>
              <w:t>Noncontrolling interest</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6,535</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6,667</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ind w:left="300"/>
              <w:spacing w:after="0"/>
              <w:rPr>
                <w:sz w:val="20"/>
                <w:szCs w:val="20"/>
                <w:color w:val="auto"/>
              </w:rPr>
            </w:pPr>
            <w:r>
              <w:rPr>
                <w:rFonts w:ascii="Arial" w:cs="Arial" w:eastAsia="Arial" w:hAnsi="Arial"/>
                <w:sz w:val="12"/>
                <w:szCs w:val="12"/>
                <w:color w:val="auto"/>
              </w:rPr>
              <w:t>TOTAL EQUITY</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580,857</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581,176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579,848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 AND EQUITY</w:t>
            </w: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832,853</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788,580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843,364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See notes to unaudited consolidated condensed financial statements.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15"/>
        </w:trPr>
        <w:tc>
          <w:tcPr>
            <w:tcW w:w="6080" w:type="dxa"/>
            <w:vAlign w:val="bottom"/>
            <w:gridSpan w:val="3"/>
          </w:tcPr>
          <w:p>
            <w:pPr>
              <w:spacing w:after="0"/>
              <w:rPr>
                <w:rFonts w:ascii="Arial" w:cs="Arial" w:eastAsia="Arial" w:hAnsi="Arial"/>
                <w:sz w:val="10"/>
                <w:szCs w:val="10"/>
                <w:b w:val="1"/>
                <w:bCs w:val="1"/>
                <w:i w:val="1"/>
                <w:iCs w:val="1"/>
                <w:color w:val="0000EE"/>
              </w:rPr>
            </w:pPr>
            <w:hyperlink w:anchor="page2">
              <w:r>
                <w:rPr>
                  <w:rFonts w:ascii="Arial" w:cs="Arial" w:eastAsia="Arial" w:hAnsi="Arial"/>
                  <w:sz w:val="10"/>
                  <w:szCs w:val="10"/>
                  <w:b w:val="1"/>
                  <w:bCs w:val="1"/>
                  <w:i w:val="1"/>
                  <w:iCs w:val="1"/>
                  <w:color w:val="0000EE"/>
                </w:rPr>
                <w:t>Table of Contents</w:t>
              </w:r>
            </w:hyperlink>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top w:val="single" w:sz="8" w:color="0000EE"/>
            </w:tcBorders>
          </w:tcPr>
          <w:p>
            <w:pPr>
              <w:spacing w:after="0"/>
              <w:rPr>
                <w:sz w:val="22"/>
                <w:szCs w:val="22"/>
                <w:color w:val="auto"/>
              </w:rPr>
            </w:pPr>
          </w:p>
        </w:tc>
        <w:tc>
          <w:tcPr>
            <w:tcW w:w="6800" w:type="dxa"/>
            <w:vAlign w:val="bottom"/>
            <w:gridSpan w:val="4"/>
          </w:tcPr>
          <w:p>
            <w:pPr>
              <w:jc w:val="center"/>
              <w:ind w:left="3240"/>
              <w:spacing w:after="0"/>
              <w:rPr>
                <w:sz w:val="20"/>
                <w:szCs w:val="20"/>
                <w:color w:val="auto"/>
              </w:rPr>
            </w:pPr>
            <w:r>
              <w:rPr>
                <w:rFonts w:ascii="Arial" w:cs="Arial" w:eastAsia="Arial" w:hAnsi="Arial"/>
                <w:sz w:val="12"/>
                <w:szCs w:val="12"/>
                <w:b w:val="1"/>
                <w:bCs w:val="1"/>
                <w:color w:val="auto"/>
                <w:w w:val="99"/>
              </w:rPr>
              <w:t>UNIVERSAL FOREST PRODUCTS, INC.</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0" w:type="dxa"/>
            <w:vAlign w:val="bottom"/>
            <w:gridSpan w:val="4"/>
          </w:tcPr>
          <w:p>
            <w:pPr>
              <w:jc w:val="center"/>
              <w:ind w:left="3260"/>
              <w:spacing w:after="0"/>
              <w:rPr>
                <w:sz w:val="20"/>
                <w:szCs w:val="20"/>
                <w:color w:val="auto"/>
              </w:rPr>
            </w:pPr>
            <w:r>
              <w:rPr>
                <w:rFonts w:ascii="Arial" w:cs="Arial" w:eastAsia="Arial" w:hAnsi="Arial"/>
                <w:sz w:val="12"/>
                <w:szCs w:val="12"/>
                <w:b w:val="1"/>
                <w:bCs w:val="1"/>
                <w:color w:val="auto"/>
                <w:w w:val="99"/>
              </w:rPr>
              <w:t>CONSOLIDATED CONDENSED STATEMENTS OF EARNINGS</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0" w:type="dxa"/>
            <w:vAlign w:val="bottom"/>
          </w:tcPr>
          <w:p>
            <w:pPr>
              <w:jc w:val="center"/>
              <w:ind w:left="4640"/>
              <w:spacing w:after="0"/>
              <w:rPr>
                <w:sz w:val="20"/>
                <w:szCs w:val="20"/>
                <w:color w:val="auto"/>
              </w:rPr>
            </w:pPr>
            <w:r>
              <w:rPr>
                <w:rFonts w:ascii="Arial" w:cs="Arial" w:eastAsia="Arial" w:hAnsi="Arial"/>
                <w:sz w:val="12"/>
                <w:szCs w:val="12"/>
                <w:color w:val="auto"/>
                <w:w w:val="92"/>
              </w:rPr>
              <w:t>(Unaudited)</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6080" w:type="dxa"/>
            <w:vAlign w:val="bottom"/>
            <w:gridSpan w:val="3"/>
          </w:tcPr>
          <w:p>
            <w:pPr>
              <w:spacing w:after="0"/>
              <w:rPr>
                <w:sz w:val="20"/>
                <w:szCs w:val="20"/>
                <w:color w:val="auto"/>
              </w:rPr>
            </w:pPr>
            <w:r>
              <w:rPr>
                <w:rFonts w:ascii="Arial" w:cs="Arial" w:eastAsia="Arial" w:hAnsi="Arial"/>
                <w:sz w:val="12"/>
                <w:szCs w:val="12"/>
                <w:color w:val="auto"/>
              </w:rPr>
              <w:t>(in thousands, except per share data)</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5"/>
          </w:tcPr>
          <w:p>
            <w:pPr>
              <w:jc w:val="right"/>
              <w:ind w:right="1000"/>
              <w:spacing w:after="0"/>
              <w:rPr>
                <w:sz w:val="20"/>
                <w:szCs w:val="20"/>
                <w:color w:val="auto"/>
              </w:rPr>
            </w:pPr>
            <w:r>
              <w:rPr>
                <w:rFonts w:ascii="Arial" w:cs="Arial" w:eastAsia="Arial" w:hAnsi="Arial"/>
                <w:sz w:val="12"/>
                <w:szCs w:val="12"/>
                <w:color w:val="auto"/>
              </w:rPr>
              <w:t>Three Months Ended</w:t>
            </w:r>
          </w:p>
        </w:tc>
        <w:tc>
          <w:tcPr>
            <w:tcW w:w="22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2"/>
                <w:szCs w:val="12"/>
                <w:color w:val="auto"/>
              </w:rPr>
              <w:t>Six Months Ended</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460"/>
              <w:spacing w:after="0" w:line="133" w:lineRule="exact"/>
              <w:rPr>
                <w:sz w:val="20"/>
                <w:szCs w:val="20"/>
                <w:color w:val="auto"/>
              </w:rPr>
            </w:pPr>
            <w:r>
              <w:rPr>
                <w:rFonts w:ascii="Arial" w:cs="Arial" w:eastAsia="Arial" w:hAnsi="Arial"/>
                <w:sz w:val="12"/>
                <w:szCs w:val="12"/>
                <w:color w:val="auto"/>
                <w:w w:val="86"/>
              </w:rPr>
              <w:t>June 25,</w:t>
            </w: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300"/>
              <w:spacing w:after="0" w:line="133" w:lineRule="exact"/>
              <w:rPr>
                <w:sz w:val="20"/>
                <w:szCs w:val="20"/>
                <w:color w:val="auto"/>
              </w:rPr>
            </w:pPr>
            <w:r>
              <w:rPr>
                <w:rFonts w:ascii="Arial" w:cs="Arial" w:eastAsia="Arial" w:hAnsi="Arial"/>
                <w:sz w:val="12"/>
                <w:szCs w:val="12"/>
                <w:color w:val="auto"/>
              </w:rPr>
              <w:t>June 26,</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600"/>
              <w:spacing w:after="0" w:line="133" w:lineRule="exact"/>
              <w:rPr>
                <w:sz w:val="20"/>
                <w:szCs w:val="20"/>
                <w:color w:val="auto"/>
              </w:rPr>
            </w:pPr>
            <w:r>
              <w:rPr>
                <w:rFonts w:ascii="Arial" w:cs="Arial" w:eastAsia="Arial" w:hAnsi="Arial"/>
                <w:sz w:val="12"/>
                <w:szCs w:val="12"/>
                <w:color w:val="auto"/>
              </w:rPr>
              <w:t>June 25,</w:t>
            </w:r>
          </w:p>
        </w:tc>
        <w:tc>
          <w:tcPr>
            <w:tcW w:w="3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280"/>
              <w:spacing w:after="0" w:line="133" w:lineRule="exact"/>
              <w:rPr>
                <w:sz w:val="20"/>
                <w:szCs w:val="20"/>
                <w:color w:val="auto"/>
              </w:rPr>
            </w:pPr>
            <w:r>
              <w:rPr>
                <w:rFonts w:ascii="Arial" w:cs="Arial" w:eastAsia="Arial" w:hAnsi="Arial"/>
                <w:sz w:val="12"/>
                <w:szCs w:val="12"/>
                <w:color w:val="auto"/>
                <w:w w:val="86"/>
              </w:rPr>
              <w:t>June 26,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2011</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2010</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2011</w:t>
            </w: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SALES</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544,139</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638,635</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931,372</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1,031,593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COST OF GOODS SOLD</w:t>
            </w:r>
          </w:p>
        </w:tc>
        <w:tc>
          <w:tcPr>
            <w:tcW w:w="220" w:type="dxa"/>
            <w:vAlign w:val="bottom"/>
            <w:shd w:val="clear" w:color="auto" w:fill="CCEEFF"/>
          </w:tcPr>
          <w:p>
            <w:pPr>
              <w:spacing w:after="0"/>
              <w:rPr>
                <w:sz w:val="12"/>
                <w:szCs w:val="12"/>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487,552</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560,749</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833,371</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902,073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540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GROSS PROFIT</w:t>
            </w:r>
          </w:p>
        </w:tc>
        <w:tc>
          <w:tcPr>
            <w:tcW w:w="220" w:type="dxa"/>
            <w:vAlign w:val="bottom"/>
            <w:shd w:val="clear" w:color="auto" w:fill="CCEEFF"/>
          </w:tcPr>
          <w:p>
            <w:pPr>
              <w:spacing w:after="0"/>
              <w:rPr>
                <w:sz w:val="12"/>
                <w:szCs w:val="12"/>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56,587</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77,886</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98,001</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129,520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SELLING, GENERAL AND ADMINISTRATIVE EXPENSES</w:t>
            </w:r>
          </w:p>
        </w:tc>
        <w:tc>
          <w:tcPr>
            <w:tcW w:w="220" w:type="dxa"/>
            <w:vAlign w:val="bottom"/>
            <w:shd w:val="clear" w:color="auto" w:fill="CCEEFF"/>
          </w:tcPr>
          <w:p>
            <w:pPr>
              <w:spacing w:after="0"/>
              <w:rPr>
                <w:sz w:val="12"/>
                <w:szCs w:val="12"/>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45,328</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54,041</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91,816</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102,530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gridSpan w:val="2"/>
          </w:tcPr>
          <w:p>
            <w:pPr>
              <w:spacing w:after="0" w:line="136" w:lineRule="exact"/>
              <w:rPr>
                <w:sz w:val="20"/>
                <w:szCs w:val="20"/>
                <w:color w:val="auto"/>
              </w:rPr>
            </w:pPr>
            <w:r>
              <w:rPr>
                <w:rFonts w:ascii="Arial" w:cs="Arial" w:eastAsia="Arial" w:hAnsi="Arial"/>
                <w:sz w:val="12"/>
                <w:szCs w:val="12"/>
                <w:color w:val="auto"/>
              </w:rPr>
              <w:t>NET LOSS ON DISPOSITION OF ASSETS,EARLY RETIREMENT, AND OTHER IMPAIRMENT AND EXIT</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60" w:type="dxa"/>
            <w:vAlign w:val="bottom"/>
            <w:gridSpan w:val="2"/>
          </w:tcPr>
          <w:p>
            <w:pPr>
              <w:ind w:left="80"/>
              <w:spacing w:after="0"/>
              <w:rPr>
                <w:sz w:val="20"/>
                <w:szCs w:val="20"/>
                <w:color w:val="auto"/>
              </w:rPr>
            </w:pPr>
            <w:r>
              <w:rPr>
                <w:rFonts w:ascii="Arial" w:cs="Arial" w:eastAsia="Arial" w:hAnsi="Arial"/>
                <w:sz w:val="12"/>
                <w:szCs w:val="12"/>
                <w:color w:val="auto"/>
              </w:rPr>
              <w:t>CHARGES</w:t>
            </w:r>
          </w:p>
        </w:tc>
        <w:tc>
          <w:tcPr>
            <w:tcW w:w="22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3,482</w:t>
            </w:r>
          </w:p>
        </w:tc>
        <w:tc>
          <w:tcPr>
            <w:tcW w:w="2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212</w:t>
            </w: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3,489</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384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gridSpan w:val="2"/>
          </w:tcPr>
          <w:p>
            <w:pPr>
              <w:spacing w:after="0"/>
              <w:rPr>
                <w:sz w:val="20"/>
                <w:szCs w:val="20"/>
                <w:color w:val="auto"/>
              </w:rPr>
            </w:pPr>
            <w:r>
              <w:rPr>
                <w:rFonts w:ascii="Arial" w:cs="Arial" w:eastAsia="Arial" w:hAnsi="Arial"/>
                <w:sz w:val="12"/>
                <w:szCs w:val="12"/>
                <w:color w:val="auto"/>
              </w:rPr>
              <w:t>EARNINGS FROM OPERATIONS</w:t>
            </w: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7,777</w:t>
            </w: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23,633</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2,696</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26,606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gridSpan w:val="2"/>
          </w:tcPr>
          <w:p>
            <w:pPr>
              <w:spacing w:after="0"/>
              <w:rPr>
                <w:sz w:val="20"/>
                <w:szCs w:val="20"/>
                <w:color w:val="auto"/>
              </w:rPr>
            </w:pPr>
            <w:r>
              <w:rPr>
                <w:rFonts w:ascii="Arial" w:cs="Arial" w:eastAsia="Arial" w:hAnsi="Arial"/>
                <w:sz w:val="12"/>
                <w:szCs w:val="12"/>
                <w:color w:val="auto"/>
              </w:rPr>
              <w:t>INTEREST EXPENSE</w:t>
            </w: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929</w:t>
            </w: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903</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1,812</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1,789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220" w:type="dxa"/>
            <w:vAlign w:val="bottom"/>
            <w:shd w:val="clear" w:color="auto" w:fill="CCEEFF"/>
          </w:tcPr>
          <w:p>
            <w:pPr>
              <w:spacing w:after="0"/>
              <w:rPr>
                <w:sz w:val="12"/>
                <w:szCs w:val="12"/>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(132)</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(70)</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(380)</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797</w:t>
            </w: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833</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1,432</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1,599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gridSpan w:val="2"/>
          </w:tcPr>
          <w:p>
            <w:pPr>
              <w:spacing w:after="0"/>
              <w:rPr>
                <w:sz w:val="20"/>
                <w:szCs w:val="20"/>
                <w:color w:val="auto"/>
              </w:rPr>
            </w:pPr>
            <w:r>
              <w:rPr>
                <w:rFonts w:ascii="Arial" w:cs="Arial" w:eastAsia="Arial" w:hAnsi="Arial"/>
                <w:sz w:val="12"/>
                <w:szCs w:val="12"/>
                <w:color w:val="auto"/>
              </w:rPr>
              <w:t>EARNINGS BEFORE INCOME TAXES</w:t>
            </w: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6,980</w:t>
            </w: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22,800</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1,264</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25,007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gridSpan w:val="2"/>
          </w:tcPr>
          <w:p>
            <w:pPr>
              <w:spacing w:after="0"/>
              <w:rPr>
                <w:sz w:val="20"/>
                <w:szCs w:val="20"/>
                <w:color w:val="auto"/>
              </w:rPr>
            </w:pPr>
            <w:r>
              <w:rPr>
                <w:rFonts w:ascii="Arial" w:cs="Arial" w:eastAsia="Arial" w:hAnsi="Arial"/>
                <w:sz w:val="12"/>
                <w:szCs w:val="12"/>
                <w:color w:val="auto"/>
              </w:rPr>
              <w:t>INCOME TAXES</w:t>
            </w: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2,502</w:t>
            </w: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8,332</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215</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8,819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gridSpan w:val="2"/>
          </w:tcPr>
          <w:p>
            <w:pPr>
              <w:spacing w:after="0"/>
              <w:rPr>
                <w:sz w:val="20"/>
                <w:szCs w:val="20"/>
                <w:color w:val="auto"/>
              </w:rPr>
            </w:pPr>
            <w:r>
              <w:rPr>
                <w:rFonts w:ascii="Arial" w:cs="Arial" w:eastAsia="Arial" w:hAnsi="Arial"/>
                <w:sz w:val="12"/>
                <w:szCs w:val="12"/>
                <w:color w:val="auto"/>
              </w:rPr>
              <w:t>NET EARNINGS</w:t>
            </w: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4,478</w:t>
            </w: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14,468</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1,049</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16,188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gridSpan w:val="2"/>
          </w:tcPr>
          <w:p>
            <w:pPr>
              <w:spacing w:after="0"/>
              <w:rPr>
                <w:sz w:val="20"/>
                <w:szCs w:val="20"/>
                <w:color w:val="auto"/>
              </w:rPr>
            </w:pPr>
            <w:r>
              <w:rPr>
                <w:rFonts w:ascii="Arial" w:cs="Arial" w:eastAsia="Arial" w:hAnsi="Arial"/>
                <w:sz w:val="12"/>
                <w:szCs w:val="12"/>
                <w:color w:val="auto"/>
              </w:rPr>
              <w:t>LESS NET EARNINGS ATTRIBUTABLE TO NONCONTROLLING INTEREST</w:t>
            </w:r>
          </w:p>
        </w:tc>
        <w:tc>
          <w:tcPr>
            <w:tcW w:w="22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(201)</w:t>
            </w:r>
          </w:p>
        </w:tc>
        <w:tc>
          <w:tcPr>
            <w:tcW w:w="2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(752)</w:t>
            </w:r>
          </w:p>
        </w:tc>
        <w:tc>
          <w:tcPr>
            <w:tcW w:w="22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(442)</w:t>
            </w:r>
          </w:p>
        </w:tc>
        <w:tc>
          <w:tcPr>
            <w:tcW w:w="3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(1,485)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gridSpan w:val="2"/>
          </w:tcPr>
          <w:p>
            <w:pPr>
              <w:spacing w:after="0"/>
              <w:rPr>
                <w:sz w:val="20"/>
                <w:szCs w:val="20"/>
                <w:color w:val="auto"/>
              </w:rPr>
            </w:pPr>
            <w:r>
              <w:rPr>
                <w:rFonts w:ascii="Arial" w:cs="Arial" w:eastAsia="Arial" w:hAnsi="Arial"/>
                <w:sz w:val="12"/>
                <w:szCs w:val="12"/>
                <w:color w:val="auto"/>
              </w:rPr>
              <w:t>NET EARNINGS ATTRIBUTABLE TO CONTROLLING INTEREST</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4,277</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13,716</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607</w:t>
            </w:r>
          </w:p>
        </w:tc>
        <w:tc>
          <w:tcPr>
            <w:tcW w:w="220" w:type="dxa"/>
            <w:vAlign w:val="bottom"/>
          </w:tcPr>
          <w:p>
            <w:pPr>
              <w:spacing w:after="0"/>
              <w:rPr>
                <w:sz w:val="12"/>
                <w:szCs w:val="12"/>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14,703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gridSpan w:val="2"/>
          </w:tcPr>
          <w:p>
            <w:pPr>
              <w:spacing w:after="0"/>
              <w:rPr>
                <w:sz w:val="20"/>
                <w:szCs w:val="20"/>
                <w:color w:val="auto"/>
              </w:rPr>
            </w:pPr>
            <w:r>
              <w:rPr>
                <w:rFonts w:ascii="Arial" w:cs="Arial" w:eastAsia="Arial" w:hAnsi="Arial"/>
                <w:sz w:val="12"/>
                <w:szCs w:val="12"/>
                <w:color w:val="auto"/>
              </w:rPr>
              <w:t>EARNINGS PER SHARE - BASIC</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0.22</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0.71</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0.03</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0.76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gridSpan w:val="2"/>
          </w:tcPr>
          <w:p>
            <w:pPr>
              <w:spacing w:after="0"/>
              <w:rPr>
                <w:sz w:val="20"/>
                <w:szCs w:val="20"/>
                <w:color w:val="auto"/>
              </w:rPr>
            </w:pPr>
            <w:r>
              <w:rPr>
                <w:rFonts w:ascii="Arial" w:cs="Arial" w:eastAsia="Arial" w:hAnsi="Arial"/>
                <w:sz w:val="12"/>
                <w:szCs w:val="12"/>
                <w:color w:val="auto"/>
              </w:rPr>
              <w:t>EARNINGS PER SHARE - DILUTED</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0.22</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0.70</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0.03</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0.75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 w:type="dxa"/>
            <w:vAlign w:val="bottom"/>
            <w:gridSpan w:val="2"/>
          </w:tcPr>
          <w:p>
            <w:pPr>
              <w:spacing w:after="0"/>
              <w:rPr>
                <w:sz w:val="12"/>
                <w:szCs w:val="12"/>
                <w:color w:val="auto"/>
              </w:rPr>
            </w:pPr>
          </w:p>
        </w:tc>
        <w:tc>
          <w:tcPr>
            <w:tcW w:w="5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gridSpan w:val="2"/>
          </w:tcPr>
          <w:p>
            <w:pPr>
              <w:spacing w:after="0"/>
              <w:rPr>
                <w:sz w:val="20"/>
                <w:szCs w:val="20"/>
                <w:color w:val="auto"/>
              </w:rPr>
            </w:pPr>
            <w:r>
              <w:rPr>
                <w:rFonts w:ascii="Arial" w:cs="Arial" w:eastAsia="Arial" w:hAnsi="Arial"/>
                <w:sz w:val="12"/>
                <w:szCs w:val="12"/>
                <w:color w:val="auto"/>
              </w:rPr>
              <w:t>WEIGHTED AVERAGE SHARES OUTSTANDING</w:t>
            </w: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19,413</w:t>
            </w: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19,259</w:t>
            </w:r>
          </w:p>
        </w:tc>
        <w:tc>
          <w:tcPr>
            <w:tcW w:w="22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19,360</w:t>
            </w: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19,258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060" w:type="dxa"/>
            <w:vAlign w:val="bottom"/>
            <w:gridSpan w:val="2"/>
          </w:tcPr>
          <w:p>
            <w:pPr>
              <w:spacing w:after="0"/>
              <w:rPr>
                <w:sz w:val="20"/>
                <w:szCs w:val="20"/>
                <w:color w:val="auto"/>
              </w:rPr>
            </w:pPr>
            <w:r>
              <w:rPr>
                <w:rFonts w:ascii="Arial" w:cs="Arial" w:eastAsia="Arial" w:hAnsi="Arial"/>
                <w:sz w:val="12"/>
                <w:szCs w:val="12"/>
                <w:color w:val="auto"/>
              </w:rPr>
              <w:t>WEIGHTED AVERAGE SHARES OUTSTANDING WITH COMMON STOCK EQUIVALENTS</w:t>
            </w:r>
          </w:p>
        </w:tc>
        <w:tc>
          <w:tcPr>
            <w:tcW w:w="22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19,546</w:t>
            </w:r>
          </w:p>
        </w:tc>
        <w:tc>
          <w:tcPr>
            <w:tcW w:w="2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19,531</w:t>
            </w:r>
          </w:p>
        </w:tc>
        <w:tc>
          <w:tcPr>
            <w:tcW w:w="22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19,513</w:t>
            </w:r>
          </w:p>
        </w:tc>
        <w:tc>
          <w:tcPr>
            <w:tcW w:w="34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19,524</w:t>
            </w:r>
          </w:p>
        </w:tc>
        <w:tc>
          <w:tcPr>
            <w:tcW w:w="0" w:type="dxa"/>
            <w:vAlign w:val="bottom"/>
          </w:tcPr>
          <w:p>
            <w:pPr>
              <w:spacing w:after="0"/>
              <w:rPr>
                <w:sz w:val="1"/>
                <w:szCs w:val="1"/>
                <w:color w:val="auto"/>
              </w:rPr>
            </w:pPr>
          </w:p>
        </w:tc>
      </w:tr>
      <w:tr>
        <w:trPr>
          <w:trHeight w:val="279"/>
        </w:trPr>
        <w:tc>
          <w:tcPr>
            <w:tcW w:w="6080" w:type="dxa"/>
            <w:vAlign w:val="bottom"/>
            <w:gridSpan w:val="3"/>
          </w:tcPr>
          <w:p>
            <w:pPr>
              <w:spacing w:after="0"/>
              <w:rPr>
                <w:sz w:val="20"/>
                <w:szCs w:val="20"/>
                <w:color w:val="auto"/>
              </w:rPr>
            </w:pPr>
            <w:r>
              <w:rPr>
                <w:rFonts w:ascii="Arial" w:cs="Arial" w:eastAsia="Arial" w:hAnsi="Arial"/>
                <w:sz w:val="12"/>
                <w:szCs w:val="12"/>
                <w:color w:val="auto"/>
              </w:rPr>
              <w:t>See notes to unaudited consolidated condensed financial statements.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6080" w:type="dxa"/>
            <w:vAlign w:val="bottom"/>
            <w:gridSpan w:val="3"/>
          </w:tcPr>
          <w:p>
            <w:pPr>
              <w:jc w:val="center"/>
              <w:ind w:left="5346"/>
              <w:spacing w:after="0"/>
              <w:rPr>
                <w:sz w:val="20"/>
                <w:szCs w:val="20"/>
                <w:color w:val="auto"/>
              </w:rPr>
            </w:pPr>
            <w:r>
              <w:rPr>
                <w:rFonts w:ascii="Arial" w:cs="Arial" w:eastAsia="Arial" w:hAnsi="Arial"/>
                <w:sz w:val="10"/>
                <w:szCs w:val="10"/>
                <w:color w:val="auto"/>
                <w:w w:val="71"/>
              </w:rPr>
              <w:t>4</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54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15"/>
        </w:trPr>
        <w:tc>
          <w:tcPr>
            <w:tcW w:w="2520" w:type="dxa"/>
            <w:vAlign w:val="bottom"/>
            <w:gridSpan w:val="3"/>
          </w:tcPr>
          <w:p>
            <w:pPr>
              <w:spacing w:after="0"/>
              <w:rPr>
                <w:rFonts w:ascii="Arial" w:cs="Arial" w:eastAsia="Arial" w:hAnsi="Arial"/>
                <w:sz w:val="10"/>
                <w:szCs w:val="10"/>
                <w:b w:val="1"/>
                <w:bCs w:val="1"/>
                <w:i w:val="1"/>
                <w:iCs w:val="1"/>
                <w:color w:val="0000EE"/>
              </w:rPr>
            </w:pPr>
            <w:hyperlink w:anchor="page2">
              <w:r>
                <w:rPr>
                  <w:rFonts w:ascii="Arial" w:cs="Arial" w:eastAsia="Arial" w:hAnsi="Arial"/>
                  <w:sz w:val="10"/>
                  <w:szCs w:val="10"/>
                  <w:b w:val="1"/>
                  <w:bCs w:val="1"/>
                  <w:i w:val="1"/>
                  <w:iCs w:val="1"/>
                  <w:color w:val="0000EE"/>
                </w:rPr>
                <w:t>Table of Contents</w:t>
              </w:r>
            </w:hyperlink>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top w:val="single" w:sz="8" w:color="0000EE"/>
            </w:tcBorders>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00" w:type="dxa"/>
            <w:vAlign w:val="bottom"/>
            <w:gridSpan w:val="8"/>
          </w:tcPr>
          <w:p>
            <w:pPr>
              <w:jc w:val="center"/>
              <w:ind w:right="360"/>
              <w:spacing w:after="0"/>
              <w:rPr>
                <w:sz w:val="20"/>
                <w:szCs w:val="20"/>
                <w:color w:val="auto"/>
              </w:rPr>
            </w:pPr>
            <w:r>
              <w:rPr>
                <w:rFonts w:ascii="Arial" w:cs="Arial" w:eastAsia="Arial" w:hAnsi="Arial"/>
                <w:sz w:val="12"/>
                <w:szCs w:val="12"/>
                <w:b w:val="1"/>
                <w:bCs w:val="1"/>
                <w:color w:val="auto"/>
                <w:w w:val="99"/>
              </w:rPr>
              <w:t>UNIVERSAL FOREST PRODUCTS, INC.</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900" w:type="dxa"/>
            <w:vAlign w:val="bottom"/>
            <w:gridSpan w:val="8"/>
          </w:tcPr>
          <w:p>
            <w:pPr>
              <w:jc w:val="center"/>
              <w:ind w:right="340"/>
              <w:spacing w:after="0"/>
              <w:rPr>
                <w:sz w:val="20"/>
                <w:szCs w:val="20"/>
                <w:color w:val="auto"/>
              </w:rPr>
            </w:pPr>
            <w:r>
              <w:rPr>
                <w:rFonts w:ascii="Arial" w:cs="Arial" w:eastAsia="Arial" w:hAnsi="Arial"/>
                <w:sz w:val="12"/>
                <w:szCs w:val="12"/>
                <w:b w:val="1"/>
                <w:bCs w:val="1"/>
                <w:color w:val="auto"/>
                <w:w w:val="99"/>
              </w:rPr>
              <w:t>CONSOLIDATED CONDENSED STATEMENTS OF EQUITY</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2"/>
                <w:szCs w:val="12"/>
                <w:color w:val="auto"/>
                <w:w w:val="92"/>
              </w:rPr>
              <w:t>(Unaudited)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520" w:type="dxa"/>
            <w:vAlign w:val="bottom"/>
            <w:gridSpan w:val="3"/>
          </w:tcPr>
          <w:p>
            <w:pPr>
              <w:spacing w:after="0"/>
              <w:rPr>
                <w:sz w:val="20"/>
                <w:szCs w:val="20"/>
                <w:color w:val="auto"/>
              </w:rPr>
            </w:pPr>
            <w:r>
              <w:rPr>
                <w:rFonts w:ascii="Arial" w:cs="Arial" w:eastAsia="Arial" w:hAnsi="Arial"/>
                <w:sz w:val="12"/>
                <w:szCs w:val="12"/>
                <w:color w:val="auto"/>
                <w:w w:val="97"/>
              </w:rPr>
              <w:t>(in thousands, except share and per share data)</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8"/>
          </w:tcPr>
          <w:p>
            <w:pPr>
              <w:jc w:val="right"/>
              <w:ind w:right="1120"/>
              <w:spacing w:after="0"/>
              <w:rPr>
                <w:sz w:val="20"/>
                <w:szCs w:val="20"/>
                <w:color w:val="auto"/>
              </w:rPr>
            </w:pPr>
            <w:r>
              <w:rPr>
                <w:rFonts w:ascii="Arial" w:cs="Arial" w:eastAsia="Arial" w:hAnsi="Arial"/>
                <w:sz w:val="12"/>
                <w:szCs w:val="12"/>
                <w:color w:val="auto"/>
              </w:rPr>
              <w:t>Controlling Interest Shareholders' Equity</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40"/>
              <w:spacing w:after="0" w:line="133" w:lineRule="exact"/>
              <w:rPr>
                <w:sz w:val="20"/>
                <w:szCs w:val="20"/>
                <w:color w:val="auto"/>
              </w:rPr>
            </w:pPr>
            <w:r>
              <w:rPr>
                <w:rFonts w:ascii="Arial" w:cs="Arial" w:eastAsia="Arial" w:hAnsi="Arial"/>
                <w:sz w:val="12"/>
                <w:szCs w:val="12"/>
                <w:color w:val="auto"/>
                <w:w w:val="92"/>
              </w:rPr>
              <w:t>Accumulated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2"/>
                <w:szCs w:val="12"/>
                <w:color w:val="auto"/>
                <w:w w:val="86"/>
              </w:rPr>
              <w:t>Other</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2"/>
                <w:szCs w:val="12"/>
                <w:color w:val="auto"/>
                <w:w w:val="90"/>
              </w:rPr>
              <w:t>Employees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2"/>
                <w:szCs w:val="12"/>
                <w:color w:val="auto"/>
              </w:rPr>
              <w:t>Additional Paid-</w:t>
            </w:r>
          </w:p>
        </w:tc>
        <w:tc>
          <w:tcPr>
            <w:tcW w:w="100" w:type="dxa"/>
            <w:vAlign w:val="bottom"/>
          </w:tcPr>
          <w:p>
            <w:pPr>
              <w:spacing w:after="0"/>
              <w:rPr>
                <w:sz w:val="12"/>
                <w:szCs w:val="12"/>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2"/>
                <w:szCs w:val="12"/>
                <w:color w:val="auto"/>
              </w:rPr>
              <w:t>Retained</w:t>
            </w:r>
          </w:p>
        </w:tc>
        <w:tc>
          <w:tcPr>
            <w:tcW w:w="10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2"/>
                <w:szCs w:val="12"/>
                <w:color w:val="auto"/>
                <w:w w:val="88"/>
              </w:rPr>
              <w:t>Comprehensive</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Stock Notes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2"/>
                <w:szCs w:val="12"/>
                <w:color w:val="auto"/>
                <w:w w:val="96"/>
              </w:rPr>
              <w:t>Noncontrolling</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95"/>
              </w:rPr>
              <w:t>Common 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In Capital</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Earnings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color w:val="auto"/>
                <w:w w:val="88"/>
              </w:rPr>
              <w:t>Earnings</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color w:val="auto"/>
                <w:w w:val="90"/>
              </w:rPr>
              <w:t>Receivable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color w:val="auto"/>
                <w:w w:val="89"/>
              </w:rPr>
              <w:t>Interest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Balance at December 26, 2009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19,285</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2"/>
                <w:szCs w:val="12"/>
                <w:b w:val="1"/>
                <w:bCs w:val="1"/>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132,765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409,278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3,633</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(1,743)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5,728</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568,946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2"/>
          </w:tcPr>
          <w:p>
            <w:pPr>
              <w:spacing w:after="0"/>
              <w:rPr>
                <w:sz w:val="20"/>
                <w:szCs w:val="20"/>
                <w:color w:val="auto"/>
              </w:rPr>
            </w:pPr>
            <w:r>
              <w:rPr>
                <w:rFonts w:ascii="Arial" w:cs="Arial" w:eastAsia="Arial" w:hAnsi="Arial"/>
                <w:sz w:val="12"/>
                <w:szCs w:val="12"/>
                <w:color w:val="auto"/>
              </w:rPr>
              <w:t>Comprehensive income:</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Net earnings</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14,703</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1,485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2"/>
          </w:tcPr>
          <w:p>
            <w:pPr>
              <w:ind w:left="80"/>
              <w:spacing w:after="0"/>
              <w:rPr>
                <w:sz w:val="20"/>
                <w:szCs w:val="20"/>
                <w:color w:val="auto"/>
              </w:rPr>
            </w:pPr>
            <w:r>
              <w:rPr>
                <w:rFonts w:ascii="Arial" w:cs="Arial" w:eastAsia="Arial" w:hAnsi="Arial"/>
                <w:sz w:val="12"/>
                <w:szCs w:val="12"/>
                <w:color w:val="auto"/>
              </w:rPr>
              <w:t>Foreign currency translation adjustment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385</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140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Total comprehensive earnings</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16,713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2"/>
          </w:tcPr>
          <w:p>
            <w:pPr>
              <w:spacing w:after="0"/>
              <w:rPr>
                <w:sz w:val="20"/>
                <w:szCs w:val="20"/>
                <w:color w:val="auto"/>
              </w:rPr>
            </w:pPr>
            <w:r>
              <w:rPr>
                <w:rFonts w:ascii="Arial" w:cs="Arial" w:eastAsia="Arial" w:hAnsi="Arial"/>
                <w:sz w:val="12"/>
                <w:szCs w:val="12"/>
                <w:color w:val="auto"/>
              </w:rPr>
              <w:t>Purchase of additional noncontrolling interest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2"/>
                <w:szCs w:val="12"/>
                <w:color w:val="auto"/>
              </w:rPr>
              <w:t>(295)</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(932)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(1,227)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Distributions to noncontrolling interest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(472)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2"/>
          </w:tcPr>
          <w:p>
            <w:pPr>
              <w:spacing w:after="0"/>
              <w:rPr>
                <w:sz w:val="20"/>
                <w:szCs w:val="20"/>
                <w:color w:val="auto"/>
              </w:rPr>
            </w:pPr>
            <w:r>
              <w:rPr>
                <w:rFonts w:ascii="Arial" w:cs="Arial" w:eastAsia="Arial" w:hAnsi="Arial"/>
                <w:sz w:val="12"/>
                <w:szCs w:val="12"/>
                <w:color w:val="auto"/>
              </w:rPr>
              <w:t>Cash dividends - $0.200 per share</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(3,871)</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(3,871)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4"/>
              </w:rPr>
              <w:t>Issuance of 62,029 shares under employee stock</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plans</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1,269</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gridSpan w:val="2"/>
          </w:tcPr>
          <w:p>
            <w:pPr>
              <w:spacing w:after="0" w:line="136" w:lineRule="exact"/>
              <w:rPr>
                <w:sz w:val="20"/>
                <w:szCs w:val="20"/>
                <w:color w:val="auto"/>
              </w:rPr>
            </w:pPr>
            <w:r>
              <w:rPr>
                <w:rFonts w:ascii="Arial" w:cs="Arial" w:eastAsia="Arial" w:hAnsi="Arial"/>
                <w:sz w:val="12"/>
                <w:szCs w:val="12"/>
                <w:color w:val="auto"/>
              </w:rPr>
              <w:t>Issuance of 76,143 shares under stock grant</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00" w:type="dxa"/>
            <w:vAlign w:val="bottom"/>
            <w:gridSpan w:val="2"/>
          </w:tcPr>
          <w:p>
            <w:pPr>
              <w:ind w:left="80"/>
              <w:spacing w:after="0"/>
              <w:rPr>
                <w:sz w:val="20"/>
                <w:szCs w:val="20"/>
                <w:color w:val="auto"/>
              </w:rPr>
            </w:pPr>
            <w:r>
              <w:rPr>
                <w:rFonts w:ascii="Arial" w:cs="Arial" w:eastAsia="Arial" w:hAnsi="Arial"/>
                <w:sz w:val="12"/>
                <w:szCs w:val="12"/>
                <w:color w:val="auto"/>
              </w:rPr>
              <w:t>programs</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Issuance of 6,669 shares under deferred</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compensation plans</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2"/>
          </w:tcPr>
          <w:p>
            <w:pPr>
              <w:spacing w:after="0"/>
              <w:rPr>
                <w:sz w:val="20"/>
                <w:szCs w:val="20"/>
                <w:color w:val="auto"/>
              </w:rPr>
            </w:pPr>
            <w:r>
              <w:rPr>
                <w:rFonts w:ascii="Arial" w:cs="Arial" w:eastAsia="Arial" w:hAnsi="Arial"/>
                <w:sz w:val="12"/>
                <w:szCs w:val="12"/>
                <w:color w:val="auto"/>
              </w:rPr>
              <w:t>Repurchase of 100,300 shares</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(3,548)</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(3,648)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Tax benefits from non-qualified stock options</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exercised</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379</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gridSpan w:val="2"/>
          </w:tcPr>
          <w:p>
            <w:pPr>
              <w:spacing w:after="0" w:line="136" w:lineRule="exact"/>
              <w:rPr>
                <w:sz w:val="20"/>
                <w:szCs w:val="20"/>
                <w:color w:val="auto"/>
              </w:rPr>
            </w:pPr>
            <w:r>
              <w:rPr>
                <w:rFonts w:ascii="Arial" w:cs="Arial" w:eastAsia="Arial" w:hAnsi="Arial"/>
                <w:sz w:val="12"/>
                <w:szCs w:val="12"/>
                <w:color w:val="auto"/>
              </w:rPr>
              <w:t>Expense associated with share-based</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00" w:type="dxa"/>
            <w:vAlign w:val="bottom"/>
            <w:gridSpan w:val="2"/>
          </w:tcPr>
          <w:p>
            <w:pPr>
              <w:ind w:left="80"/>
              <w:spacing w:after="0"/>
              <w:rPr>
                <w:sz w:val="20"/>
                <w:szCs w:val="20"/>
                <w:color w:val="auto"/>
              </w:rPr>
            </w:pPr>
            <w:r>
              <w:rPr>
                <w:rFonts w:ascii="Arial" w:cs="Arial" w:eastAsia="Arial" w:hAnsi="Arial"/>
                <w:sz w:val="12"/>
                <w:szCs w:val="12"/>
                <w:color w:val="auto"/>
              </w:rPr>
              <w:t>compensation arrangements</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1,078</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1,078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8"/>
              </w:rPr>
              <w:t>Accrued expense under deferred compensation</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plans</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473</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gridSpan w:val="2"/>
          </w:tcPr>
          <w:p>
            <w:pPr>
              <w:spacing w:after="0" w:line="136" w:lineRule="exact"/>
              <w:rPr>
                <w:sz w:val="20"/>
                <w:szCs w:val="20"/>
                <w:color w:val="auto"/>
              </w:rPr>
            </w:pPr>
            <w:r>
              <w:rPr>
                <w:rFonts w:ascii="Arial" w:cs="Arial" w:eastAsia="Arial" w:hAnsi="Arial"/>
                <w:sz w:val="12"/>
                <w:szCs w:val="12"/>
                <w:color w:val="auto"/>
              </w:rPr>
              <w:t>Issuance of 1,298 shares in exchange for</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00" w:type="dxa"/>
            <w:vAlign w:val="bottom"/>
            <w:gridSpan w:val="2"/>
          </w:tcPr>
          <w:p>
            <w:pPr>
              <w:ind w:left="80"/>
              <w:spacing w:after="0"/>
              <w:rPr>
                <w:sz w:val="20"/>
                <w:szCs w:val="20"/>
                <w:color w:val="auto"/>
              </w:rPr>
            </w:pPr>
            <w:r>
              <w:rPr>
                <w:rFonts w:ascii="Arial" w:cs="Arial" w:eastAsia="Arial" w:hAnsi="Arial"/>
                <w:sz w:val="12"/>
                <w:szCs w:val="12"/>
                <w:color w:val="auto"/>
              </w:rPr>
              <w:t>employees'stock notes receivable</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Notes receivable adjustment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(42)</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gridSpan w:val="2"/>
          </w:tcPr>
          <w:p>
            <w:pPr>
              <w:spacing w:after="0" w:line="136" w:lineRule="exact"/>
              <w:rPr>
                <w:sz w:val="20"/>
                <w:szCs w:val="20"/>
                <w:color w:val="auto"/>
              </w:rPr>
            </w:pPr>
            <w:r>
              <w:rPr>
                <w:rFonts w:ascii="Arial" w:cs="Arial" w:eastAsia="Arial" w:hAnsi="Arial"/>
                <w:sz w:val="12"/>
                <w:szCs w:val="12"/>
                <w:color w:val="auto"/>
              </w:rPr>
              <w:t>Payments received on employee stock notes</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00" w:type="dxa"/>
            <w:vAlign w:val="bottom"/>
            <w:gridSpan w:val="2"/>
          </w:tcPr>
          <w:p>
            <w:pPr>
              <w:ind w:left="80"/>
              <w:spacing w:after="0"/>
              <w:rPr>
                <w:sz w:val="20"/>
                <w:szCs w:val="20"/>
                <w:color w:val="auto"/>
              </w:rPr>
            </w:pPr>
            <w:r>
              <w:rPr>
                <w:rFonts w:ascii="Arial" w:cs="Arial" w:eastAsia="Arial" w:hAnsi="Arial"/>
                <w:sz w:val="12"/>
                <w:szCs w:val="12"/>
                <w:color w:val="auto"/>
              </w:rPr>
              <w:t>receivable</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81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Balance at June 26, 2010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19,330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135,710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416,562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4,018</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(1,721)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5,949</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579,848</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18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Balance at December 25, 2010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19,333</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2"/>
                <w:szCs w:val="12"/>
                <w:b w:val="1"/>
                <w:bCs w:val="1"/>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138,573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414,108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4,165</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(1,670)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6,667</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581,176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2"/>
          </w:tcPr>
          <w:p>
            <w:pPr>
              <w:spacing w:after="0"/>
              <w:rPr>
                <w:sz w:val="20"/>
                <w:szCs w:val="20"/>
                <w:color w:val="auto"/>
              </w:rPr>
            </w:pPr>
            <w:r>
              <w:rPr>
                <w:rFonts w:ascii="Arial" w:cs="Arial" w:eastAsia="Arial" w:hAnsi="Arial"/>
                <w:sz w:val="12"/>
                <w:szCs w:val="12"/>
                <w:color w:val="auto"/>
              </w:rPr>
              <w:t>Comprehensive income:</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Net earnings</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607</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442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2"/>
          </w:tcPr>
          <w:p>
            <w:pPr>
              <w:ind w:left="80"/>
              <w:spacing w:after="0"/>
              <w:rPr>
                <w:sz w:val="20"/>
                <w:szCs w:val="20"/>
                <w:color w:val="auto"/>
              </w:rPr>
            </w:pPr>
            <w:r>
              <w:rPr>
                <w:rFonts w:ascii="Arial" w:cs="Arial" w:eastAsia="Arial" w:hAnsi="Arial"/>
                <w:sz w:val="12"/>
                <w:szCs w:val="12"/>
                <w:color w:val="auto"/>
              </w:rPr>
              <w:t>Foreign currency translation adjustment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674</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281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Total comprehensive earnings</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2"/>
          </w:tcPr>
          <w:p>
            <w:pPr>
              <w:spacing w:after="0"/>
              <w:rPr>
                <w:sz w:val="20"/>
                <w:szCs w:val="20"/>
                <w:color w:val="auto"/>
              </w:rPr>
            </w:pPr>
            <w:r>
              <w:rPr>
                <w:rFonts w:ascii="Arial" w:cs="Arial" w:eastAsia="Arial" w:hAnsi="Arial"/>
                <w:sz w:val="12"/>
                <w:szCs w:val="12"/>
                <w:color w:val="auto"/>
              </w:rPr>
              <w:t>Purchase of additional noncontrolling interest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(100)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8"/>
              </w:rPr>
              <w:t>Capital contribution from noncontrolling interest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2"/>
          </w:tcPr>
          <w:p>
            <w:pPr>
              <w:spacing w:after="0"/>
              <w:rPr>
                <w:sz w:val="20"/>
                <w:szCs w:val="20"/>
                <w:color w:val="auto"/>
              </w:rPr>
            </w:pPr>
            <w:r>
              <w:rPr>
                <w:rFonts w:ascii="Arial" w:cs="Arial" w:eastAsia="Arial" w:hAnsi="Arial"/>
                <w:sz w:val="12"/>
                <w:szCs w:val="12"/>
                <w:color w:val="auto"/>
              </w:rPr>
              <w:t>Distributions to noncontrolling interest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(835)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(835)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dividends - $0.200 per share</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(3,905)</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gridSpan w:val="2"/>
          </w:tcPr>
          <w:p>
            <w:pPr>
              <w:spacing w:after="0" w:line="136" w:lineRule="exact"/>
              <w:rPr>
                <w:sz w:val="20"/>
                <w:szCs w:val="20"/>
                <w:color w:val="auto"/>
              </w:rPr>
            </w:pPr>
            <w:r>
              <w:rPr>
                <w:rFonts w:ascii="Arial" w:cs="Arial" w:eastAsia="Arial" w:hAnsi="Arial"/>
                <w:sz w:val="12"/>
                <w:szCs w:val="12"/>
                <w:color w:val="auto"/>
                <w:w w:val="94"/>
              </w:rPr>
              <w:t>Issuance of 30,108 shares under employee stock</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00" w:type="dxa"/>
            <w:vAlign w:val="bottom"/>
            <w:gridSpan w:val="2"/>
          </w:tcPr>
          <w:p>
            <w:pPr>
              <w:ind w:left="80"/>
              <w:spacing w:after="0"/>
              <w:rPr>
                <w:sz w:val="20"/>
                <w:szCs w:val="20"/>
                <w:color w:val="auto"/>
              </w:rPr>
            </w:pPr>
            <w:r>
              <w:rPr>
                <w:rFonts w:ascii="Arial" w:cs="Arial" w:eastAsia="Arial" w:hAnsi="Arial"/>
                <w:sz w:val="12"/>
                <w:szCs w:val="12"/>
                <w:color w:val="auto"/>
              </w:rPr>
              <w:t>plans</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545</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575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Issuance of 158,436 shares under stock grant</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programs</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gridSpan w:val="2"/>
          </w:tcPr>
          <w:p>
            <w:pPr>
              <w:spacing w:after="0" w:line="136" w:lineRule="exact"/>
              <w:rPr>
                <w:sz w:val="20"/>
                <w:szCs w:val="20"/>
                <w:color w:val="auto"/>
              </w:rPr>
            </w:pPr>
            <w:r>
              <w:rPr>
                <w:rFonts w:ascii="Arial" w:cs="Arial" w:eastAsia="Arial" w:hAnsi="Arial"/>
                <w:sz w:val="12"/>
                <w:szCs w:val="12"/>
                <w:color w:val="auto"/>
              </w:rPr>
              <w:t>Issuance of 4,245 shares under deferred</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00" w:type="dxa"/>
            <w:vAlign w:val="bottom"/>
            <w:gridSpan w:val="2"/>
          </w:tcPr>
          <w:p>
            <w:pPr>
              <w:ind w:left="80"/>
              <w:spacing w:after="0"/>
              <w:rPr>
                <w:sz w:val="20"/>
                <w:szCs w:val="20"/>
                <w:color w:val="auto"/>
              </w:rPr>
            </w:pPr>
            <w:r>
              <w:rPr>
                <w:rFonts w:ascii="Arial" w:cs="Arial" w:eastAsia="Arial" w:hAnsi="Arial"/>
                <w:sz w:val="12"/>
                <w:szCs w:val="12"/>
                <w:color w:val="auto"/>
              </w:rPr>
              <w:t>compensation plans</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Tax benefits from non-qualified stock options</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exercised</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154</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gridSpan w:val="2"/>
          </w:tcPr>
          <w:p>
            <w:pPr>
              <w:spacing w:after="0" w:line="136" w:lineRule="exact"/>
              <w:rPr>
                <w:sz w:val="20"/>
                <w:szCs w:val="20"/>
                <w:color w:val="auto"/>
              </w:rPr>
            </w:pPr>
            <w:r>
              <w:rPr>
                <w:rFonts w:ascii="Arial" w:cs="Arial" w:eastAsia="Arial" w:hAnsi="Arial"/>
                <w:sz w:val="12"/>
                <w:szCs w:val="12"/>
                <w:color w:val="auto"/>
              </w:rPr>
              <w:t>Expense associated with share-based</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00" w:type="dxa"/>
            <w:vAlign w:val="bottom"/>
            <w:gridSpan w:val="2"/>
          </w:tcPr>
          <w:p>
            <w:pPr>
              <w:ind w:left="80"/>
              <w:spacing w:after="0"/>
              <w:rPr>
                <w:sz w:val="20"/>
                <w:szCs w:val="20"/>
                <w:color w:val="auto"/>
              </w:rPr>
            </w:pPr>
            <w:r>
              <w:rPr>
                <w:rFonts w:ascii="Arial" w:cs="Arial" w:eastAsia="Arial" w:hAnsi="Arial"/>
                <w:sz w:val="12"/>
                <w:szCs w:val="12"/>
                <w:color w:val="auto"/>
              </w:rPr>
              <w:t>compensation arrangements</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1,013</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8"/>
              </w:rPr>
              <w:t>Accrued expense under deferred compensation</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plans</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380</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2"/>
          </w:tcPr>
          <w:p>
            <w:pPr>
              <w:spacing w:after="0"/>
              <w:rPr>
                <w:sz w:val="20"/>
                <w:szCs w:val="20"/>
                <w:color w:val="auto"/>
              </w:rPr>
            </w:pPr>
            <w:r>
              <w:rPr>
                <w:rFonts w:ascii="Arial" w:cs="Arial" w:eastAsia="Arial" w:hAnsi="Arial"/>
                <w:sz w:val="12"/>
                <w:szCs w:val="12"/>
                <w:color w:val="auto"/>
              </w:rPr>
              <w:t>Notes receivable adjustment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Payments received on employee stock notes</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receivable</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00" w:type="dxa"/>
            <w:vAlign w:val="bottom"/>
            <w:gridSpan w:val="2"/>
          </w:tcPr>
          <w:p>
            <w:pPr>
              <w:spacing w:after="0"/>
              <w:rPr>
                <w:sz w:val="20"/>
                <w:szCs w:val="20"/>
                <w:color w:val="auto"/>
              </w:rPr>
            </w:pPr>
            <w:r>
              <w:rPr>
                <w:rFonts w:ascii="Arial" w:cs="Arial" w:eastAsia="Arial" w:hAnsi="Arial"/>
                <w:sz w:val="12"/>
                <w:szCs w:val="12"/>
                <w:b w:val="1"/>
                <w:bCs w:val="1"/>
                <w:color w:val="auto"/>
              </w:rPr>
              <w:t>Balance at June 25, 2011</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19,526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140,636</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410,814</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4,839</w:t>
            </w:r>
          </w:p>
        </w:tc>
        <w:tc>
          <w:tcPr>
            <w:tcW w:w="140" w:type="dxa"/>
            <w:vAlign w:val="bottom"/>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(1,493)</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6,535</w:t>
            </w:r>
          </w:p>
        </w:tc>
        <w:tc>
          <w:tcPr>
            <w:tcW w:w="3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580,857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See notes to unaudited consolidated condensed financial statements.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15"/>
        </w:trPr>
        <w:tc>
          <w:tcPr>
            <w:tcW w:w="8840" w:type="dxa"/>
            <w:vAlign w:val="bottom"/>
            <w:gridSpan w:val="3"/>
          </w:tcPr>
          <w:p>
            <w:pPr>
              <w:spacing w:after="0"/>
              <w:rPr>
                <w:rFonts w:ascii="Arial" w:cs="Arial" w:eastAsia="Arial" w:hAnsi="Arial"/>
                <w:sz w:val="10"/>
                <w:szCs w:val="10"/>
                <w:b w:val="1"/>
                <w:bCs w:val="1"/>
                <w:i w:val="1"/>
                <w:iCs w:val="1"/>
                <w:color w:val="0000EE"/>
              </w:rPr>
            </w:pPr>
            <w:hyperlink w:anchor="page2">
              <w:r>
                <w:rPr>
                  <w:rFonts w:ascii="Arial" w:cs="Arial" w:eastAsia="Arial" w:hAnsi="Arial"/>
                  <w:sz w:val="10"/>
                  <w:szCs w:val="10"/>
                  <w:b w:val="1"/>
                  <w:bCs w:val="1"/>
                  <w:i w:val="1"/>
                  <w:iCs w:val="1"/>
                  <w:color w:val="0000EE"/>
                </w:rPr>
                <w:t>Table of Contents</w:t>
              </w:r>
            </w:hyperlink>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top w:val="single" w:sz="8" w:color="0000EE"/>
            </w:tcBorders>
          </w:tcPr>
          <w:p>
            <w:pPr>
              <w:spacing w:after="0"/>
              <w:rPr>
                <w:sz w:val="22"/>
                <w:szCs w:val="22"/>
                <w:color w:val="auto"/>
              </w:rPr>
            </w:pPr>
          </w:p>
        </w:tc>
        <w:tc>
          <w:tcPr>
            <w:tcW w:w="8160" w:type="dxa"/>
            <w:vAlign w:val="bottom"/>
          </w:tcPr>
          <w:p>
            <w:pPr>
              <w:jc w:val="center"/>
              <w:ind w:left="1880"/>
              <w:spacing w:after="0"/>
              <w:rPr>
                <w:sz w:val="20"/>
                <w:szCs w:val="20"/>
                <w:color w:val="auto"/>
              </w:rPr>
            </w:pPr>
            <w:r>
              <w:rPr>
                <w:rFonts w:ascii="Arial" w:cs="Arial" w:eastAsia="Arial" w:hAnsi="Arial"/>
                <w:sz w:val="12"/>
                <w:szCs w:val="12"/>
                <w:b w:val="1"/>
                <w:bCs w:val="1"/>
                <w:color w:val="auto"/>
                <w:w w:val="99"/>
              </w:rPr>
              <w:t>UNIVERSAL FOREST PRODUCTS, INC.</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160" w:type="dxa"/>
            <w:vAlign w:val="bottom"/>
          </w:tcPr>
          <w:p>
            <w:pPr>
              <w:jc w:val="center"/>
              <w:ind w:left="1900"/>
              <w:spacing w:after="0"/>
              <w:rPr>
                <w:sz w:val="20"/>
                <w:szCs w:val="20"/>
                <w:color w:val="auto"/>
              </w:rPr>
            </w:pPr>
            <w:r>
              <w:rPr>
                <w:rFonts w:ascii="Arial" w:cs="Arial" w:eastAsia="Arial" w:hAnsi="Arial"/>
                <w:sz w:val="12"/>
                <w:szCs w:val="12"/>
                <w:b w:val="1"/>
                <w:bCs w:val="1"/>
                <w:color w:val="auto"/>
                <w:w w:val="98"/>
              </w:rPr>
              <w:t>CONSOLIDATED CONDENSED STATEMENTS OF CASH FLOWS</w:t>
            </w: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160" w:type="dxa"/>
            <w:vAlign w:val="bottom"/>
          </w:tcPr>
          <w:p>
            <w:pPr>
              <w:jc w:val="center"/>
              <w:ind w:left="1880"/>
              <w:spacing w:after="0"/>
              <w:rPr>
                <w:sz w:val="20"/>
                <w:szCs w:val="20"/>
                <w:color w:val="auto"/>
              </w:rPr>
            </w:pPr>
            <w:r>
              <w:rPr>
                <w:rFonts w:ascii="Arial" w:cs="Arial" w:eastAsia="Arial" w:hAnsi="Arial"/>
                <w:sz w:val="12"/>
                <w:szCs w:val="12"/>
                <w:color w:val="auto"/>
                <w:w w:val="92"/>
              </w:rPr>
              <w:t>(Unaudited)</w:t>
            </w: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840" w:type="dxa"/>
            <w:vAlign w:val="bottom"/>
            <w:gridSpan w:val="3"/>
          </w:tcPr>
          <w:p>
            <w:pPr>
              <w:spacing w:after="0"/>
              <w:rPr>
                <w:sz w:val="20"/>
                <w:szCs w:val="20"/>
                <w:color w:val="auto"/>
              </w:rPr>
            </w:pPr>
            <w:r>
              <w:rPr>
                <w:rFonts w:ascii="Arial" w:cs="Arial" w:eastAsia="Arial" w:hAnsi="Arial"/>
                <w:sz w:val="12"/>
                <w:szCs w:val="12"/>
                <w:color w:val="auto"/>
              </w:rPr>
              <w:t>(in thousands)</w:t>
            </w: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w w:val="94"/>
              </w:rPr>
              <w:t>Six Months Ended</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June 25,</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jc w:val="right"/>
              <w:ind w:right="300"/>
              <w:spacing w:after="0" w:line="133" w:lineRule="exact"/>
              <w:rPr>
                <w:sz w:val="20"/>
                <w:szCs w:val="20"/>
                <w:color w:val="auto"/>
              </w:rPr>
            </w:pPr>
            <w:r>
              <w:rPr>
                <w:rFonts w:ascii="Arial" w:cs="Arial" w:eastAsia="Arial" w:hAnsi="Arial"/>
                <w:sz w:val="12"/>
                <w:szCs w:val="12"/>
                <w:color w:val="auto"/>
                <w:w w:val="86"/>
              </w:rPr>
              <w:t>June 26,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60" w:type="dxa"/>
            <w:vAlign w:val="bottom"/>
          </w:tcPr>
          <w:p>
            <w:pPr>
              <w:spacing w:after="0"/>
              <w:rPr>
                <w:sz w:val="13"/>
                <w:szCs w:val="13"/>
                <w:color w:val="auto"/>
              </w:rPr>
            </w:pPr>
          </w:p>
        </w:tc>
        <w:tc>
          <w:tcPr>
            <w:tcW w:w="780" w:type="dxa"/>
            <w:vAlign w:val="bottom"/>
            <w:tcBorders>
              <w:bottom w:val="single" w:sz="8" w:color="auto"/>
            </w:tcBorders>
          </w:tcPr>
          <w:p>
            <w:pPr>
              <w:jc w:val="right"/>
              <w:ind w:right="27"/>
              <w:spacing w:after="0"/>
              <w:rPr>
                <w:sz w:val="20"/>
                <w:szCs w:val="20"/>
                <w:color w:val="auto"/>
              </w:rPr>
            </w:pPr>
            <w:r>
              <w:rPr>
                <w:rFonts w:ascii="Arial" w:cs="Arial" w:eastAsia="Arial" w:hAnsi="Arial"/>
                <w:sz w:val="12"/>
                <w:szCs w:val="12"/>
                <w:color w:val="auto"/>
              </w:rPr>
              <w:t>2011</w:t>
            </w:r>
          </w:p>
        </w:tc>
        <w:tc>
          <w:tcPr>
            <w:tcW w:w="3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40" w:type="dxa"/>
            <w:vAlign w:val="bottom"/>
            <w:gridSpan w:val="3"/>
          </w:tcPr>
          <w:p>
            <w:pPr>
              <w:spacing w:after="0"/>
              <w:rPr>
                <w:sz w:val="20"/>
                <w:szCs w:val="20"/>
                <w:color w:val="auto"/>
              </w:rPr>
            </w:pPr>
            <w:r>
              <w:rPr>
                <w:rFonts w:ascii="Arial" w:cs="Arial" w:eastAsia="Arial" w:hAnsi="Arial"/>
                <w:sz w:val="12"/>
                <w:szCs w:val="12"/>
                <w:color w:val="auto"/>
              </w:rPr>
              <w:t>CASH FLOWS FROM OPERATING ACTIVITIES:</w:t>
            </w: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earnings attributable to controlling interest</w:t>
            </w:r>
          </w:p>
        </w:tc>
        <w:tc>
          <w:tcPr>
            <w:tcW w:w="780" w:type="dxa"/>
            <w:vAlign w:val="bottom"/>
            <w:shd w:val="clear" w:color="auto" w:fill="CCEEFF"/>
          </w:tcPr>
          <w:p>
            <w:pPr>
              <w:jc w:val="right"/>
              <w:ind w:right="667"/>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607</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14,703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Adjustments to reconcile net earnings attributable to controlling interest to net cash from operating activities:</w:t>
            </w: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Depreciation</w:t>
            </w:r>
          </w:p>
        </w:tc>
        <w:tc>
          <w:tcPr>
            <w:tcW w:w="7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7"/>
              </w:rPr>
              <w:t>14,452</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15,199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ind w:left="180"/>
              <w:spacing w:after="0"/>
              <w:rPr>
                <w:sz w:val="20"/>
                <w:szCs w:val="20"/>
                <w:color w:val="auto"/>
              </w:rPr>
            </w:pPr>
            <w:r>
              <w:rPr>
                <w:rFonts w:ascii="Arial" w:cs="Arial" w:eastAsia="Arial" w:hAnsi="Arial"/>
                <w:sz w:val="12"/>
                <w:szCs w:val="12"/>
                <w:color w:val="auto"/>
              </w:rPr>
              <w:t>Amortization of intangibles</w:t>
            </w:r>
          </w:p>
        </w:tc>
        <w:tc>
          <w:tcPr>
            <w:tcW w:w="7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2,873</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3,590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Expense associated with share-based compensation arrangements</w:t>
            </w: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1,163</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ind w:left="180"/>
              <w:spacing w:after="0"/>
              <w:rPr>
                <w:sz w:val="20"/>
                <w:szCs w:val="20"/>
                <w:color w:val="auto"/>
              </w:rPr>
            </w:pPr>
            <w:r>
              <w:rPr>
                <w:rFonts w:ascii="Arial" w:cs="Arial" w:eastAsia="Arial" w:hAnsi="Arial"/>
                <w:sz w:val="12"/>
                <w:szCs w:val="12"/>
                <w:color w:val="auto"/>
              </w:rPr>
              <w:t>Excess tax benefits from share-based compensation arrangements</w:t>
            </w:r>
          </w:p>
        </w:tc>
        <w:tc>
          <w:tcPr>
            <w:tcW w:w="7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(120)</w:t>
            </w:r>
          </w:p>
        </w:tc>
        <w:tc>
          <w:tcPr>
            <w:tcW w:w="3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(265)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Deferred income tax credit</w:t>
            </w:r>
          </w:p>
        </w:tc>
        <w:tc>
          <w:tcPr>
            <w:tcW w:w="7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(87)</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ind w:left="180"/>
              <w:spacing w:after="0"/>
              <w:rPr>
                <w:sz w:val="20"/>
                <w:szCs w:val="20"/>
                <w:color w:val="auto"/>
              </w:rPr>
            </w:pPr>
            <w:r>
              <w:rPr>
                <w:rFonts w:ascii="Arial" w:cs="Arial" w:eastAsia="Arial" w:hAnsi="Arial"/>
                <w:sz w:val="12"/>
                <w:szCs w:val="12"/>
                <w:color w:val="auto"/>
              </w:rPr>
              <w:t>Net earnings attributable to noncontrolling interest</w:t>
            </w:r>
          </w:p>
        </w:tc>
        <w:tc>
          <w:tcPr>
            <w:tcW w:w="7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442</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1,485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Net loss on sale or impairment of property, plant and equipment</w:t>
            </w: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Changes in:</w:t>
            </w: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Accounts receivable</w:t>
            </w:r>
          </w:p>
        </w:tc>
        <w:tc>
          <w:tcPr>
            <w:tcW w:w="7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89"/>
              </w:rPr>
              <w:t>(77,166)</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(120,961)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ind w:left="180"/>
              <w:spacing w:after="0"/>
              <w:rPr>
                <w:sz w:val="20"/>
                <w:szCs w:val="20"/>
                <w:color w:val="auto"/>
              </w:rPr>
            </w:pPr>
            <w:r>
              <w:rPr>
                <w:rFonts w:ascii="Arial" w:cs="Arial" w:eastAsia="Arial" w:hAnsi="Arial"/>
                <w:sz w:val="12"/>
                <w:szCs w:val="12"/>
                <w:color w:val="auto"/>
              </w:rPr>
              <w:t>Inventories</w:t>
            </w:r>
          </w:p>
        </w:tc>
        <w:tc>
          <w:tcPr>
            <w:tcW w:w="7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w w:val="89"/>
              </w:rPr>
              <w:t>(13,865)</w:t>
            </w:r>
          </w:p>
        </w:tc>
        <w:tc>
          <w:tcPr>
            <w:tcW w:w="3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(26,175)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Accounts payable</w:t>
            </w:r>
          </w:p>
        </w:tc>
        <w:tc>
          <w:tcPr>
            <w:tcW w:w="7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7"/>
              </w:rPr>
              <w:t>16,927</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33,706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ind w:left="180"/>
              <w:spacing w:after="0"/>
              <w:rPr>
                <w:sz w:val="20"/>
                <w:szCs w:val="20"/>
                <w:color w:val="auto"/>
              </w:rPr>
            </w:pPr>
            <w:r>
              <w:rPr>
                <w:rFonts w:ascii="Arial" w:cs="Arial" w:eastAsia="Arial" w:hAnsi="Arial"/>
                <w:sz w:val="12"/>
                <w:szCs w:val="12"/>
                <w:color w:val="auto"/>
              </w:rPr>
              <w:t>Accrued liabilities and other</w:t>
            </w:r>
          </w:p>
        </w:tc>
        <w:tc>
          <w:tcPr>
            <w:tcW w:w="7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(3,158)</w:t>
            </w: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21,627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NET CASH FROM OPERATING ACTIVITIES</w:t>
            </w:r>
          </w:p>
        </w:tc>
        <w:tc>
          <w:tcPr>
            <w:tcW w:w="7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89"/>
              </w:rPr>
              <w:t>(57,911)</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(55,973)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FLOWS FROM INVESTING ACTIVITIES:</w:t>
            </w: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Purchase of property, plant and equipment</w:t>
            </w:r>
          </w:p>
        </w:tc>
        <w:tc>
          <w:tcPr>
            <w:tcW w:w="7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w w:val="89"/>
              </w:rPr>
              <w:t>(12,159)</w:t>
            </w:r>
          </w:p>
        </w:tc>
        <w:tc>
          <w:tcPr>
            <w:tcW w:w="3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(11,551)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Acquisitions, net of cash received</w:t>
            </w: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(5,834)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Proceeds from sale of property, plant and equipment</w:t>
            </w:r>
          </w:p>
        </w:tc>
        <w:tc>
          <w:tcPr>
            <w:tcW w:w="7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1,197</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382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Purchase of product technology</w:t>
            </w:r>
          </w:p>
        </w:tc>
        <w:tc>
          <w:tcPr>
            <w:tcW w:w="7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(77)</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Advances of notes receivable</w:t>
            </w:r>
          </w:p>
        </w:tc>
        <w:tc>
          <w:tcPr>
            <w:tcW w:w="7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Collections of notes receivable</w:t>
            </w: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Other, net</w:t>
            </w:r>
          </w:p>
        </w:tc>
        <w:tc>
          <w:tcPr>
            <w:tcW w:w="7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NET CASH FROM INVESTING ACTIVITIES</w:t>
            </w:r>
          </w:p>
        </w:tc>
        <w:tc>
          <w:tcPr>
            <w:tcW w:w="7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89"/>
              </w:rPr>
              <w:t>(10,726)</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(17,879)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Net borrowings under revolving credit facilities</w:t>
            </w:r>
          </w:p>
        </w:tc>
        <w:tc>
          <w:tcPr>
            <w:tcW w:w="78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2"/>
                <w:szCs w:val="12"/>
                <w:color w:val="auto"/>
                <w:w w:val="97"/>
              </w:rPr>
              <w:t>20,931</w:t>
            </w: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15,000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Repayment of long-term debt</w:t>
            </w:r>
          </w:p>
        </w:tc>
        <w:tc>
          <w:tcPr>
            <w:tcW w:w="7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(272)</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Proceeds from issuance of common stock</w:t>
            </w:r>
          </w:p>
        </w:tc>
        <w:tc>
          <w:tcPr>
            <w:tcW w:w="7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575</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1,331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Purchase of additional noncontrolling interest</w:t>
            </w:r>
          </w:p>
        </w:tc>
        <w:tc>
          <w:tcPr>
            <w:tcW w:w="7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Distributions to noncontrolling interest</w:t>
            </w:r>
          </w:p>
        </w:tc>
        <w:tc>
          <w:tcPr>
            <w:tcW w:w="7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(835)</w:t>
            </w:r>
          </w:p>
        </w:tc>
        <w:tc>
          <w:tcPr>
            <w:tcW w:w="3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(472)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Capital contribution from noncontrolling interest</w:t>
            </w: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Dividends paid to shareholders</w:t>
            </w:r>
          </w:p>
        </w:tc>
        <w:tc>
          <w:tcPr>
            <w:tcW w:w="7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(3,905)</w:t>
            </w:r>
          </w:p>
        </w:tc>
        <w:tc>
          <w:tcPr>
            <w:tcW w:w="3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(3,871)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Repurchase of common stock</w:t>
            </w: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(3,648)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Excess tax benefits from share-based compensation arrangements</w:t>
            </w:r>
          </w:p>
        </w:tc>
        <w:tc>
          <w:tcPr>
            <w:tcW w:w="7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120</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265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Other, net</w:t>
            </w:r>
          </w:p>
        </w:tc>
        <w:tc>
          <w:tcPr>
            <w:tcW w:w="7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gridSpan w:val="2"/>
          </w:tcPr>
          <w:p>
            <w:pPr>
              <w:ind w:left="80"/>
              <w:spacing w:after="0"/>
              <w:rPr>
                <w:sz w:val="20"/>
                <w:szCs w:val="20"/>
                <w:color w:val="auto"/>
              </w:rPr>
            </w:pPr>
            <w:r>
              <w:rPr>
                <w:rFonts w:ascii="Arial" w:cs="Arial" w:eastAsia="Arial" w:hAnsi="Arial"/>
                <w:sz w:val="12"/>
                <w:szCs w:val="12"/>
                <w:color w:val="auto"/>
              </w:rPr>
              <w:t>NET CASH FROM FINANCING ACTIVITIES</w:t>
            </w:r>
          </w:p>
        </w:tc>
        <w:tc>
          <w:tcPr>
            <w:tcW w:w="78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2"/>
                <w:szCs w:val="12"/>
                <w:color w:val="auto"/>
                <w:w w:val="97"/>
              </w:rPr>
              <w:t>16,603</w:t>
            </w: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7,137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1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NET CHANGE IN CASH AND CASH EQUIVALENTS</w:t>
            </w:r>
          </w:p>
        </w:tc>
        <w:tc>
          <w:tcPr>
            <w:tcW w:w="7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w w:val="89"/>
              </w:rPr>
              <w:t>(52,034)</w:t>
            </w:r>
          </w:p>
        </w:tc>
        <w:tc>
          <w:tcPr>
            <w:tcW w:w="3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(66,715)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AND CASH EQUIVALENTS, BEGINNING OF YEAR</w:t>
            </w:r>
          </w:p>
        </w:tc>
        <w:tc>
          <w:tcPr>
            <w:tcW w:w="7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7"/>
              </w:rPr>
              <w:t>43,363</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67,410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816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AND CASH EQUIVALENTS, END OF PERIOD</w:t>
            </w:r>
          </w:p>
        </w:tc>
        <w:tc>
          <w:tcPr>
            <w:tcW w:w="780" w:type="dxa"/>
            <w:vAlign w:val="bottom"/>
            <w:shd w:val="clear" w:color="auto" w:fill="CCEEFF"/>
          </w:tcPr>
          <w:p>
            <w:pPr>
              <w:jc w:val="right"/>
              <w:ind w:right="667"/>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(8,671)</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695</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8160" w:type="dxa"/>
            <w:vAlign w:val="bottom"/>
            <w:tcBorders>
              <w:top w:val="single" w:sz="8" w:color="CCEEFF"/>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SUPPLEMENTAL SCHEDULE OF CASH FLOW INFORMATION:</w:t>
            </w: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Cash paid during the period for:</w:t>
            </w: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Interest</w:t>
            </w:r>
          </w:p>
        </w:tc>
        <w:tc>
          <w:tcPr>
            <w:tcW w:w="780" w:type="dxa"/>
            <w:vAlign w:val="bottom"/>
            <w:shd w:val="clear" w:color="auto" w:fill="CCEEFF"/>
          </w:tcPr>
          <w:p>
            <w:pPr>
              <w:jc w:val="right"/>
              <w:ind w:right="667"/>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1,820</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1,777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ind w:left="80"/>
              <w:spacing w:after="0"/>
              <w:rPr>
                <w:sz w:val="20"/>
                <w:szCs w:val="20"/>
                <w:color w:val="auto"/>
              </w:rPr>
            </w:pPr>
            <w:r>
              <w:rPr>
                <w:rFonts w:ascii="Arial" w:cs="Arial" w:eastAsia="Arial" w:hAnsi="Arial"/>
                <w:sz w:val="12"/>
                <w:szCs w:val="12"/>
                <w:color w:val="auto"/>
              </w:rPr>
              <w:t>Income taxes</w:t>
            </w:r>
          </w:p>
        </w:tc>
        <w:tc>
          <w:tcPr>
            <w:tcW w:w="7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2,964</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(8,470)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NON-CASH FINANCING ACTIVITIES:</w:t>
            </w: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Common stock issued under deferred compensation plans</w:t>
            </w:r>
          </w:p>
        </w:tc>
        <w:tc>
          <w:tcPr>
            <w:tcW w:w="780" w:type="dxa"/>
            <w:vAlign w:val="bottom"/>
            <w:shd w:val="clear" w:color="auto" w:fill="CCEEFF"/>
          </w:tcPr>
          <w:p>
            <w:pPr>
              <w:jc w:val="right"/>
              <w:ind w:right="667"/>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178</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See notes to unaudited consolidated condensed financial statements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6" w:name="page7"/>
    <w:bookmarkEnd w:id="6"/>
    <w:p>
      <w:pPr>
        <w:ind w:left="8"/>
        <w:spacing w:after="0"/>
        <w:rPr>
          <w:rFonts w:ascii="Arial" w:cs="Arial" w:eastAsia="Arial" w:hAnsi="Arial"/>
          <w:sz w:val="10"/>
          <w:szCs w:val="10"/>
          <w:b w:val="1"/>
          <w:bCs w:val="1"/>
          <w:i w:val="1"/>
          <w:iCs w:val="1"/>
          <w:u w:val="single" w:color="auto"/>
          <w:color w:val="0000EE"/>
        </w:rPr>
      </w:pPr>
      <w:hyperlink w:anchor="page2">
        <w:r>
          <w:rPr>
            <w:rFonts w:ascii="Arial" w:cs="Arial" w:eastAsia="Arial" w:hAnsi="Arial"/>
            <w:sz w:val="10"/>
            <w:szCs w:val="10"/>
            <w:b w:val="1"/>
            <w:bCs w:val="1"/>
            <w:i w:val="1"/>
            <w:iCs w:val="1"/>
            <w:u w:val="single" w:color="auto"/>
            <w:color w:val="0000EE"/>
          </w:rPr>
          <w:t>Table of Contents</w:t>
        </w:r>
      </w:hyperlink>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UNIVERSAL FOREST PRODUCTS, INC.</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UNAUDITED</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CONSOLIDATED CONDENSED FINANCIAL STATEMENTS</w:t>
      </w:r>
    </w:p>
    <w:p>
      <w:pPr>
        <w:spacing w:after="0" w:line="137" w:lineRule="exact"/>
        <w:rPr>
          <w:sz w:val="20"/>
          <w:szCs w:val="20"/>
          <w:color w:val="auto"/>
        </w:rPr>
      </w:pPr>
    </w:p>
    <w:p>
      <w:pPr>
        <w:ind w:left="368" w:hanging="368"/>
        <w:spacing w:after="0"/>
        <w:tabs>
          <w:tab w:leader="none" w:pos="368"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BASIS OF PRESENTATION</w:t>
      </w:r>
    </w:p>
    <w:p>
      <w:pPr>
        <w:spacing w:after="0" w:line="154" w:lineRule="exact"/>
        <w:rPr>
          <w:sz w:val="20"/>
          <w:szCs w:val="20"/>
          <w:color w:val="auto"/>
        </w:rPr>
      </w:pPr>
    </w:p>
    <w:p>
      <w:pPr>
        <w:jc w:val="both"/>
        <w:ind w:left="428"/>
        <w:spacing w:after="0" w:line="298" w:lineRule="auto"/>
        <w:rPr>
          <w:sz w:val="20"/>
          <w:szCs w:val="20"/>
          <w:color w:val="auto"/>
        </w:rPr>
      </w:pPr>
      <w:r>
        <w:rPr>
          <w:rFonts w:ascii="Arial" w:cs="Arial" w:eastAsia="Arial" w:hAnsi="Arial"/>
          <w:sz w:val="11"/>
          <w:szCs w:val="11"/>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105" w:lineRule="exact"/>
        <w:rPr>
          <w:sz w:val="20"/>
          <w:szCs w:val="20"/>
          <w:color w:val="auto"/>
        </w:rPr>
      </w:pPr>
    </w:p>
    <w:p>
      <w:pPr>
        <w:jc w:val="both"/>
        <w:ind w:left="428"/>
        <w:spacing w:after="0" w:line="263" w:lineRule="auto"/>
        <w:rPr>
          <w:sz w:val="20"/>
          <w:szCs w:val="20"/>
          <w:color w:val="auto"/>
        </w:rPr>
      </w:pPr>
      <w:r>
        <w:rPr>
          <w:rFonts w:ascii="Arial" w:cs="Arial" w:eastAsia="Arial" w:hAnsi="Arial"/>
          <w:sz w:val="12"/>
          <w:szCs w:val="12"/>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25, 2010.</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Certain prior year information has been reclassified to conform to the current year presentation.</w:t>
      </w:r>
    </w:p>
    <w:p>
      <w:pPr>
        <w:spacing w:after="0" w:line="150" w:lineRule="exact"/>
        <w:rPr>
          <w:sz w:val="20"/>
          <w:szCs w:val="20"/>
          <w:color w:val="auto"/>
        </w:rPr>
      </w:pPr>
    </w:p>
    <w:p>
      <w:pPr>
        <w:jc w:val="both"/>
        <w:ind w:left="428"/>
        <w:spacing w:after="0" w:line="290" w:lineRule="auto"/>
        <w:rPr>
          <w:sz w:val="20"/>
          <w:szCs w:val="20"/>
          <w:color w:val="auto"/>
        </w:rPr>
      </w:pPr>
      <w:r>
        <w:rPr>
          <w:rFonts w:ascii="Arial" w:cs="Arial" w:eastAsia="Arial" w:hAnsi="Arial"/>
          <w:sz w:val="11"/>
          <w:szCs w:val="11"/>
          <w:color w:val="auto"/>
        </w:rPr>
        <w:t>In June 2011, the Financial Accounting Standards Board (“FASB”) issued Accounting Standards Update No. 2011-05, “Presentation of Comprehensive Income” (“ASU 2011-05”). ASU 2011-05 eliminates the option to present components of other comprehensive income as part of the statement of changes in stockholders’ equity. Under ASU 2011-05, an entity has the option to present the total of comprehensive income, the components of net income, and the components of other comprehensive income either in a continuous statement of comprehensive income or in two separate consecutive statements. The amended guidance is effective for financial periods beginning after December 15, 2011. ASU 2011-05 is not expected to have a material effect on the Company’s consolidated financial position or results of operations.</w:t>
      </w:r>
    </w:p>
    <w:p>
      <w:pPr>
        <w:spacing w:after="0" w:line="105" w:lineRule="exact"/>
        <w:rPr>
          <w:sz w:val="20"/>
          <w:szCs w:val="20"/>
          <w:color w:val="auto"/>
        </w:rPr>
      </w:pPr>
    </w:p>
    <w:p>
      <w:pPr>
        <w:ind w:left="388" w:hanging="388"/>
        <w:spacing w:after="0"/>
        <w:tabs>
          <w:tab w:leader="none" w:pos="388" w:val="left"/>
        </w:tabs>
        <w:numPr>
          <w:ilvl w:val="0"/>
          <w:numId w:val="4"/>
        </w:numPr>
        <w:rPr>
          <w:rFonts w:ascii="Arial" w:cs="Arial" w:eastAsia="Arial" w:hAnsi="Arial"/>
          <w:sz w:val="12"/>
          <w:szCs w:val="12"/>
          <w:b w:val="1"/>
          <w:bCs w:val="1"/>
          <w:color w:val="auto"/>
        </w:rPr>
      </w:pPr>
      <w:r>
        <w:rPr>
          <w:rFonts w:ascii="Arial" w:cs="Arial" w:eastAsia="Arial" w:hAnsi="Arial"/>
          <w:sz w:val="12"/>
          <w:szCs w:val="12"/>
          <w:b w:val="1"/>
          <w:bCs w:val="1"/>
          <w:color w:val="auto"/>
        </w:rPr>
        <w:t>FAIR VALUE</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 xml:space="preserve">We apply the provisions of ASC 820, </w:t>
      </w:r>
      <w:r>
        <w:rPr>
          <w:rFonts w:ascii="Arial" w:cs="Arial" w:eastAsia="Arial" w:hAnsi="Arial"/>
          <w:sz w:val="12"/>
          <w:szCs w:val="12"/>
          <w:i w:val="1"/>
          <w:iCs w:val="1"/>
          <w:color w:val="auto"/>
        </w:rPr>
        <w:t>Fair Value Measurements and Disclosures</w:t>
      </w:r>
      <w:r>
        <w:rPr>
          <w:rFonts w:ascii="Arial" w:cs="Arial" w:eastAsia="Arial" w:hAnsi="Arial"/>
          <w:sz w:val="12"/>
          <w:szCs w:val="12"/>
          <w:color w:val="auto"/>
        </w:rPr>
        <w:t>, to assets and liabilities measured at fair value. Assets measured at fair value are as follows:</w:t>
      </w:r>
    </w:p>
    <w:p>
      <w:pPr>
        <w:spacing w:after="0" w:line="309"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7" w:name="page8"/>
    <w:bookmarkEnd w:id="7"/>
    <w:tbl>
      <w:tblPr>
        <w:tblLayout w:type="fixed"/>
        <w:tblInd w:w="8" w:type="dxa"/>
        <w:tblCellMar>
          <w:top w:w="0" w:type="dxa"/>
          <w:left w:w="0" w:type="dxa"/>
          <w:bottom w:w="0" w:type="dxa"/>
          <w:right w:w="0" w:type="dxa"/>
        </w:tblCellMar>
      </w:tblPr>
      <w:tr>
        <w:trPr>
          <w:trHeight w:val="115"/>
        </w:trPr>
        <w:tc>
          <w:tcPr>
            <w:tcW w:w="3340" w:type="dxa"/>
            <w:vAlign w:val="bottom"/>
            <w:gridSpan w:val="2"/>
          </w:tcPr>
          <w:p>
            <w:pPr>
              <w:spacing w:after="0"/>
              <w:rPr>
                <w:rFonts w:ascii="Arial" w:cs="Arial" w:eastAsia="Arial" w:hAnsi="Arial"/>
                <w:sz w:val="10"/>
                <w:szCs w:val="10"/>
                <w:b w:val="1"/>
                <w:bCs w:val="1"/>
                <w:i w:val="1"/>
                <w:iCs w:val="1"/>
                <w:color w:val="0000EE"/>
              </w:rPr>
            </w:pPr>
            <w:hyperlink w:anchor="page2">
              <w:r>
                <w:rPr>
                  <w:rFonts w:ascii="Arial" w:cs="Arial" w:eastAsia="Arial" w:hAnsi="Arial"/>
                  <w:sz w:val="10"/>
                  <w:szCs w:val="10"/>
                  <w:b w:val="1"/>
                  <w:bCs w:val="1"/>
                  <w:i w:val="1"/>
                  <w:iCs w:val="1"/>
                  <w:color w:val="0000EE"/>
                </w:rPr>
                <w:t>Table of Contents</w:t>
              </w:r>
            </w:hyperlink>
          </w:p>
        </w:tc>
        <w:tc>
          <w:tcPr>
            <w:tcW w:w="8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77"/>
        </w:trPr>
        <w:tc>
          <w:tcPr>
            <w:tcW w:w="680" w:type="dxa"/>
            <w:vAlign w:val="bottom"/>
            <w:tcBorders>
              <w:top w:val="single" w:sz="8" w:color="0000EE"/>
            </w:tcBorders>
          </w:tcPr>
          <w:p>
            <w:pPr>
              <w:spacing w:after="0"/>
              <w:rPr>
                <w:sz w:val="24"/>
                <w:szCs w:val="24"/>
                <w:color w:val="auto"/>
              </w:rPr>
            </w:pPr>
          </w:p>
        </w:tc>
        <w:tc>
          <w:tcPr>
            <w:tcW w:w="2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UNIVERSAL FOREST PRODUCTS, INC.</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6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left="500"/>
              <w:spacing w:after="0"/>
              <w:rPr>
                <w:sz w:val="20"/>
                <w:szCs w:val="20"/>
                <w:color w:val="auto"/>
              </w:rPr>
            </w:pPr>
            <w:r>
              <w:rPr>
                <w:rFonts w:ascii="Arial" w:cs="Arial" w:eastAsia="Arial" w:hAnsi="Arial"/>
                <w:sz w:val="12"/>
                <w:szCs w:val="12"/>
                <w:color w:val="auto"/>
                <w:w w:val="89"/>
              </w:rPr>
              <w:t>June 25, 2011</w:t>
            </w: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94"/>
              </w:rPr>
              <w:t>June 26, 2010</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3"/>
        </w:trPr>
        <w:tc>
          <w:tcPr>
            <w:tcW w:w="6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840" w:type="dxa"/>
            <w:vAlign w:val="bottom"/>
          </w:tcPr>
          <w:p>
            <w:pPr>
              <w:jc w:val="center"/>
              <w:ind w:left="243"/>
              <w:spacing w:after="0" w:line="133" w:lineRule="exact"/>
              <w:rPr>
                <w:sz w:val="20"/>
                <w:szCs w:val="20"/>
                <w:color w:val="auto"/>
              </w:rPr>
            </w:pPr>
            <w:r>
              <w:rPr>
                <w:rFonts w:ascii="Arial" w:cs="Arial" w:eastAsia="Arial" w:hAnsi="Arial"/>
                <w:sz w:val="12"/>
                <w:szCs w:val="12"/>
                <w:color w:val="auto"/>
                <w:w w:val="86"/>
              </w:rPr>
              <w:t>Quoted</w:t>
            </w:r>
          </w:p>
        </w:tc>
        <w:tc>
          <w:tcPr>
            <w:tcW w:w="1680" w:type="dxa"/>
            <w:vAlign w:val="bottom"/>
          </w:tcPr>
          <w:p>
            <w:pPr>
              <w:jc w:val="center"/>
              <w:ind w:left="480"/>
              <w:spacing w:after="0" w:line="133" w:lineRule="exact"/>
              <w:rPr>
                <w:sz w:val="20"/>
                <w:szCs w:val="20"/>
                <w:color w:val="auto"/>
              </w:rPr>
            </w:pPr>
            <w:r>
              <w:rPr>
                <w:rFonts w:ascii="Arial" w:cs="Arial" w:eastAsia="Arial" w:hAnsi="Arial"/>
                <w:sz w:val="12"/>
                <w:szCs w:val="12"/>
                <w:color w:val="auto"/>
                <w:w w:val="93"/>
              </w:rPr>
              <w:t>Prices with</w:t>
            </w:r>
          </w:p>
        </w:tc>
        <w:tc>
          <w:tcPr>
            <w:tcW w:w="1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center"/>
              <w:ind w:right="260"/>
              <w:spacing w:after="0" w:line="133" w:lineRule="exact"/>
              <w:rPr>
                <w:sz w:val="20"/>
                <w:szCs w:val="20"/>
                <w:color w:val="auto"/>
              </w:rPr>
            </w:pPr>
            <w:r>
              <w:rPr>
                <w:rFonts w:ascii="Arial" w:cs="Arial" w:eastAsia="Arial" w:hAnsi="Arial"/>
                <w:sz w:val="12"/>
                <w:szCs w:val="12"/>
                <w:color w:val="auto"/>
                <w:w w:val="86"/>
              </w:rPr>
              <w:t>Quoted</w:t>
            </w:r>
          </w:p>
        </w:tc>
        <w:tc>
          <w:tcPr>
            <w:tcW w:w="260" w:type="dxa"/>
            <w:vAlign w:val="bottom"/>
          </w:tcPr>
          <w:p>
            <w:pPr>
              <w:spacing w:after="0"/>
              <w:rPr>
                <w:sz w:val="11"/>
                <w:szCs w:val="11"/>
                <w:color w:val="auto"/>
              </w:rPr>
            </w:pPr>
          </w:p>
        </w:tc>
        <w:tc>
          <w:tcPr>
            <w:tcW w:w="1100" w:type="dxa"/>
            <w:vAlign w:val="bottom"/>
          </w:tcPr>
          <w:p>
            <w:pPr>
              <w:jc w:val="center"/>
              <w:ind w:right="180"/>
              <w:spacing w:after="0" w:line="133" w:lineRule="exact"/>
              <w:rPr>
                <w:sz w:val="20"/>
                <w:szCs w:val="20"/>
                <w:color w:val="auto"/>
              </w:rPr>
            </w:pPr>
            <w:r>
              <w:rPr>
                <w:rFonts w:ascii="Arial" w:cs="Arial" w:eastAsia="Arial" w:hAnsi="Arial"/>
                <w:sz w:val="12"/>
                <w:szCs w:val="12"/>
                <w:color w:val="auto"/>
                <w:w w:val="93"/>
              </w:rPr>
              <w:t>Prices with</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6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40" w:type="dxa"/>
            <w:vAlign w:val="bottom"/>
          </w:tcPr>
          <w:p>
            <w:pPr>
              <w:jc w:val="center"/>
              <w:ind w:left="243"/>
              <w:spacing w:after="0"/>
              <w:rPr>
                <w:sz w:val="20"/>
                <w:szCs w:val="20"/>
                <w:color w:val="auto"/>
              </w:rPr>
            </w:pPr>
            <w:r>
              <w:rPr>
                <w:rFonts w:ascii="Arial" w:cs="Arial" w:eastAsia="Arial" w:hAnsi="Arial"/>
                <w:sz w:val="12"/>
                <w:szCs w:val="12"/>
                <w:color w:val="auto"/>
                <w:w w:val="91"/>
              </w:rPr>
              <w:t>Prices in</w:t>
            </w:r>
          </w:p>
        </w:tc>
        <w:tc>
          <w:tcPr>
            <w:tcW w:w="1680" w:type="dxa"/>
            <w:vAlign w:val="bottom"/>
          </w:tcPr>
          <w:p>
            <w:pPr>
              <w:jc w:val="center"/>
              <w:ind w:left="500"/>
              <w:spacing w:after="0"/>
              <w:rPr>
                <w:sz w:val="20"/>
                <w:szCs w:val="20"/>
                <w:color w:val="auto"/>
              </w:rPr>
            </w:pPr>
            <w:r>
              <w:rPr>
                <w:rFonts w:ascii="Arial" w:cs="Arial" w:eastAsia="Arial" w:hAnsi="Arial"/>
                <w:sz w:val="12"/>
                <w:szCs w:val="12"/>
                <w:color w:val="auto"/>
                <w:w w:val="93"/>
              </w:rPr>
              <w:t>Other</w:t>
            </w: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260"/>
              <w:spacing w:after="0"/>
              <w:rPr>
                <w:sz w:val="20"/>
                <w:szCs w:val="20"/>
                <w:color w:val="auto"/>
              </w:rPr>
            </w:pPr>
            <w:r>
              <w:rPr>
                <w:rFonts w:ascii="Arial" w:cs="Arial" w:eastAsia="Arial" w:hAnsi="Arial"/>
                <w:sz w:val="12"/>
                <w:szCs w:val="12"/>
                <w:color w:val="auto"/>
                <w:w w:val="91"/>
              </w:rPr>
              <w:t>Prices in</w:t>
            </w:r>
          </w:p>
        </w:tc>
        <w:tc>
          <w:tcPr>
            <w:tcW w:w="260" w:type="dxa"/>
            <w:vAlign w:val="bottom"/>
          </w:tcPr>
          <w:p>
            <w:pPr>
              <w:spacing w:after="0"/>
              <w:rPr>
                <w:sz w:val="12"/>
                <w:szCs w:val="12"/>
                <w:color w:val="auto"/>
              </w:rPr>
            </w:pPr>
          </w:p>
        </w:tc>
        <w:tc>
          <w:tcPr>
            <w:tcW w:w="1100" w:type="dxa"/>
            <w:vAlign w:val="bottom"/>
          </w:tcPr>
          <w:p>
            <w:pPr>
              <w:jc w:val="center"/>
              <w:ind w:right="180"/>
              <w:spacing w:after="0"/>
              <w:rPr>
                <w:sz w:val="20"/>
                <w:szCs w:val="20"/>
                <w:color w:val="auto"/>
              </w:rPr>
            </w:pPr>
            <w:r>
              <w:rPr>
                <w:rFonts w:ascii="Arial" w:cs="Arial" w:eastAsia="Arial" w:hAnsi="Arial"/>
                <w:sz w:val="12"/>
                <w:szCs w:val="12"/>
                <w:color w:val="auto"/>
                <w:w w:val="86"/>
              </w:rPr>
              <w:t>Other</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40" w:type="dxa"/>
            <w:vAlign w:val="bottom"/>
          </w:tcPr>
          <w:p>
            <w:pPr>
              <w:jc w:val="center"/>
              <w:ind w:left="263"/>
              <w:spacing w:after="0"/>
              <w:rPr>
                <w:sz w:val="20"/>
                <w:szCs w:val="20"/>
                <w:color w:val="auto"/>
              </w:rPr>
            </w:pPr>
            <w:r>
              <w:rPr>
                <w:rFonts w:ascii="Arial" w:cs="Arial" w:eastAsia="Arial" w:hAnsi="Arial"/>
                <w:sz w:val="12"/>
                <w:szCs w:val="12"/>
                <w:color w:val="auto"/>
                <w:w w:val="97"/>
              </w:rPr>
              <w:t>Active</w:t>
            </w:r>
          </w:p>
        </w:tc>
        <w:tc>
          <w:tcPr>
            <w:tcW w:w="1680" w:type="dxa"/>
            <w:vAlign w:val="bottom"/>
          </w:tcPr>
          <w:p>
            <w:pPr>
              <w:jc w:val="center"/>
              <w:ind w:left="500"/>
              <w:spacing w:after="0"/>
              <w:rPr>
                <w:sz w:val="20"/>
                <w:szCs w:val="20"/>
                <w:color w:val="auto"/>
              </w:rPr>
            </w:pPr>
            <w:r>
              <w:rPr>
                <w:rFonts w:ascii="Arial" w:cs="Arial" w:eastAsia="Arial" w:hAnsi="Arial"/>
                <w:sz w:val="12"/>
                <w:szCs w:val="12"/>
                <w:color w:val="auto"/>
                <w:w w:val="91"/>
              </w:rPr>
              <w:t>Observable</w:t>
            </w: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240"/>
              <w:spacing w:after="0"/>
              <w:rPr>
                <w:sz w:val="20"/>
                <w:szCs w:val="20"/>
                <w:color w:val="auto"/>
              </w:rPr>
            </w:pPr>
            <w:r>
              <w:rPr>
                <w:rFonts w:ascii="Arial" w:cs="Arial" w:eastAsia="Arial" w:hAnsi="Arial"/>
                <w:sz w:val="12"/>
                <w:szCs w:val="12"/>
                <w:color w:val="auto"/>
                <w:w w:val="97"/>
              </w:rPr>
              <w:t>Active</w:t>
            </w:r>
          </w:p>
        </w:tc>
        <w:tc>
          <w:tcPr>
            <w:tcW w:w="260" w:type="dxa"/>
            <w:vAlign w:val="bottom"/>
          </w:tcPr>
          <w:p>
            <w:pPr>
              <w:spacing w:after="0"/>
              <w:rPr>
                <w:sz w:val="12"/>
                <w:szCs w:val="12"/>
                <w:color w:val="auto"/>
              </w:rPr>
            </w:pPr>
          </w:p>
        </w:tc>
        <w:tc>
          <w:tcPr>
            <w:tcW w:w="1100" w:type="dxa"/>
            <w:vAlign w:val="bottom"/>
          </w:tcPr>
          <w:p>
            <w:pPr>
              <w:jc w:val="center"/>
              <w:ind w:right="180"/>
              <w:spacing w:after="0"/>
              <w:rPr>
                <w:sz w:val="20"/>
                <w:szCs w:val="20"/>
                <w:color w:val="auto"/>
              </w:rPr>
            </w:pPr>
            <w:r>
              <w:rPr>
                <w:rFonts w:ascii="Arial" w:cs="Arial" w:eastAsia="Arial" w:hAnsi="Arial"/>
                <w:sz w:val="12"/>
                <w:szCs w:val="12"/>
                <w:color w:val="auto"/>
                <w:w w:val="87"/>
              </w:rPr>
              <w:t>Observable</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40" w:type="dxa"/>
            <w:vAlign w:val="bottom"/>
          </w:tcPr>
          <w:p>
            <w:pPr>
              <w:jc w:val="center"/>
              <w:ind w:left="243"/>
              <w:spacing w:after="0"/>
              <w:rPr>
                <w:sz w:val="20"/>
                <w:szCs w:val="20"/>
                <w:color w:val="auto"/>
              </w:rPr>
            </w:pPr>
            <w:r>
              <w:rPr>
                <w:rFonts w:ascii="Arial" w:cs="Arial" w:eastAsia="Arial" w:hAnsi="Arial"/>
                <w:sz w:val="12"/>
                <w:szCs w:val="12"/>
                <w:color w:val="auto"/>
                <w:w w:val="88"/>
              </w:rPr>
              <w:t>Markets</w:t>
            </w:r>
          </w:p>
        </w:tc>
        <w:tc>
          <w:tcPr>
            <w:tcW w:w="1680" w:type="dxa"/>
            <w:vAlign w:val="bottom"/>
          </w:tcPr>
          <w:p>
            <w:pPr>
              <w:jc w:val="center"/>
              <w:ind w:left="480"/>
              <w:spacing w:after="0"/>
              <w:rPr>
                <w:sz w:val="20"/>
                <w:szCs w:val="20"/>
                <w:color w:val="auto"/>
              </w:rPr>
            </w:pPr>
            <w:r>
              <w:rPr>
                <w:rFonts w:ascii="Arial" w:cs="Arial" w:eastAsia="Arial" w:hAnsi="Arial"/>
                <w:sz w:val="12"/>
                <w:szCs w:val="12"/>
                <w:color w:val="auto"/>
                <w:w w:val="91"/>
              </w:rPr>
              <w:t>Inputs</w:t>
            </w: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260"/>
              <w:spacing w:after="0"/>
              <w:rPr>
                <w:sz w:val="20"/>
                <w:szCs w:val="20"/>
                <w:color w:val="auto"/>
              </w:rPr>
            </w:pPr>
            <w:r>
              <w:rPr>
                <w:rFonts w:ascii="Arial" w:cs="Arial" w:eastAsia="Arial" w:hAnsi="Arial"/>
                <w:sz w:val="12"/>
                <w:szCs w:val="12"/>
                <w:color w:val="auto"/>
                <w:w w:val="88"/>
              </w:rPr>
              <w:t>Markets</w:t>
            </w:r>
          </w:p>
        </w:tc>
        <w:tc>
          <w:tcPr>
            <w:tcW w:w="260" w:type="dxa"/>
            <w:vAlign w:val="bottom"/>
          </w:tcPr>
          <w:p>
            <w:pPr>
              <w:spacing w:after="0"/>
              <w:rPr>
                <w:sz w:val="12"/>
                <w:szCs w:val="12"/>
                <w:color w:val="auto"/>
              </w:rPr>
            </w:pPr>
          </w:p>
        </w:tc>
        <w:tc>
          <w:tcPr>
            <w:tcW w:w="1100" w:type="dxa"/>
            <w:vAlign w:val="bottom"/>
          </w:tcPr>
          <w:p>
            <w:pPr>
              <w:jc w:val="center"/>
              <w:ind w:right="180"/>
              <w:spacing w:after="0"/>
              <w:rPr>
                <w:sz w:val="20"/>
                <w:szCs w:val="20"/>
                <w:color w:val="auto"/>
              </w:rPr>
            </w:pPr>
            <w:r>
              <w:rPr>
                <w:rFonts w:ascii="Arial" w:cs="Arial" w:eastAsia="Arial" w:hAnsi="Arial"/>
                <w:sz w:val="12"/>
                <w:szCs w:val="12"/>
                <w:color w:val="auto"/>
                <w:w w:val="91"/>
              </w:rPr>
              <w:t>Inputs</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3340" w:type="dxa"/>
            <w:vAlign w:val="bottom"/>
            <w:gridSpan w:val="2"/>
          </w:tcPr>
          <w:p>
            <w:pPr>
              <w:spacing w:after="0"/>
              <w:rPr>
                <w:sz w:val="20"/>
                <w:szCs w:val="20"/>
                <w:color w:val="auto"/>
              </w:rPr>
            </w:pPr>
            <w:r>
              <w:rPr>
                <w:rFonts w:ascii="Arial" w:cs="Arial" w:eastAsia="Arial" w:hAnsi="Arial"/>
                <w:sz w:val="12"/>
                <w:szCs w:val="12"/>
                <w:color w:val="auto"/>
              </w:rPr>
              <w:t>(in thousands)</w:t>
            </w:r>
          </w:p>
        </w:tc>
        <w:tc>
          <w:tcPr>
            <w:tcW w:w="840" w:type="dxa"/>
            <w:vAlign w:val="bottom"/>
          </w:tcPr>
          <w:p>
            <w:pPr>
              <w:jc w:val="center"/>
              <w:ind w:left="243"/>
              <w:spacing w:after="0"/>
              <w:rPr>
                <w:sz w:val="20"/>
                <w:szCs w:val="20"/>
                <w:color w:val="auto"/>
              </w:rPr>
            </w:pPr>
            <w:r>
              <w:rPr>
                <w:rFonts w:ascii="Arial" w:cs="Arial" w:eastAsia="Arial" w:hAnsi="Arial"/>
                <w:sz w:val="12"/>
                <w:szCs w:val="12"/>
                <w:color w:val="auto"/>
                <w:w w:val="98"/>
              </w:rPr>
              <w:t>(Level 1)</w:t>
            </w:r>
          </w:p>
        </w:tc>
        <w:tc>
          <w:tcPr>
            <w:tcW w:w="1680" w:type="dxa"/>
            <w:vAlign w:val="bottom"/>
          </w:tcPr>
          <w:p>
            <w:pPr>
              <w:jc w:val="center"/>
              <w:ind w:left="500"/>
              <w:spacing w:after="0"/>
              <w:rPr>
                <w:sz w:val="20"/>
                <w:szCs w:val="20"/>
                <w:color w:val="auto"/>
              </w:rPr>
            </w:pPr>
            <w:r>
              <w:rPr>
                <w:rFonts w:ascii="Arial" w:cs="Arial" w:eastAsia="Arial" w:hAnsi="Arial"/>
                <w:sz w:val="12"/>
                <w:szCs w:val="12"/>
                <w:color w:val="auto"/>
                <w:w w:val="94"/>
              </w:rPr>
              <w:t>(Level 2)</w:t>
            </w: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Total</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260"/>
              <w:spacing w:after="0"/>
              <w:rPr>
                <w:sz w:val="20"/>
                <w:szCs w:val="20"/>
                <w:color w:val="auto"/>
              </w:rPr>
            </w:pPr>
            <w:r>
              <w:rPr>
                <w:rFonts w:ascii="Arial" w:cs="Arial" w:eastAsia="Arial" w:hAnsi="Arial"/>
                <w:sz w:val="12"/>
                <w:szCs w:val="12"/>
                <w:color w:val="auto"/>
                <w:w w:val="98"/>
              </w:rPr>
              <w:t>(Level 1)</w:t>
            </w:r>
          </w:p>
        </w:tc>
        <w:tc>
          <w:tcPr>
            <w:tcW w:w="260" w:type="dxa"/>
            <w:vAlign w:val="bottom"/>
          </w:tcPr>
          <w:p>
            <w:pPr>
              <w:spacing w:after="0"/>
              <w:rPr>
                <w:sz w:val="13"/>
                <w:szCs w:val="13"/>
                <w:color w:val="auto"/>
              </w:rPr>
            </w:pPr>
          </w:p>
        </w:tc>
        <w:tc>
          <w:tcPr>
            <w:tcW w:w="1100" w:type="dxa"/>
            <w:vAlign w:val="bottom"/>
          </w:tcPr>
          <w:p>
            <w:pPr>
              <w:jc w:val="center"/>
              <w:ind w:right="180"/>
              <w:spacing w:after="0"/>
              <w:rPr>
                <w:sz w:val="20"/>
                <w:szCs w:val="20"/>
                <w:color w:val="auto"/>
              </w:rPr>
            </w:pPr>
            <w:r>
              <w:rPr>
                <w:rFonts w:ascii="Arial" w:cs="Arial" w:eastAsia="Arial" w:hAnsi="Arial"/>
                <w:sz w:val="12"/>
                <w:szCs w:val="12"/>
                <w:color w:val="auto"/>
                <w:w w:val="98"/>
              </w:rPr>
              <w:t>(Level 2)</w:t>
            </w:r>
          </w:p>
        </w:tc>
        <w:tc>
          <w:tcPr>
            <w:tcW w:w="360" w:type="dxa"/>
            <w:vAlign w:val="bottom"/>
          </w:tcPr>
          <w:p>
            <w:pPr>
              <w:spacing w:after="0"/>
              <w:rPr>
                <w:sz w:val="13"/>
                <w:szCs w:val="13"/>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2"/>
                <w:szCs w:val="12"/>
                <w:color w:val="auto"/>
              </w:rPr>
              <w:t>Total</w:t>
            </w:r>
          </w:p>
        </w:tc>
      </w:tr>
      <w:tr>
        <w:trPr>
          <w:trHeight w:val="142"/>
        </w:trPr>
        <w:tc>
          <w:tcPr>
            <w:tcW w:w="3340" w:type="dxa"/>
            <w:vAlign w:val="bottom"/>
            <w:gridSpan w:val="2"/>
          </w:tcPr>
          <w:p>
            <w:pPr>
              <w:spacing w:after="0"/>
              <w:rPr>
                <w:sz w:val="20"/>
                <w:szCs w:val="20"/>
                <w:color w:val="auto"/>
              </w:rPr>
            </w:pPr>
            <w:r>
              <w:rPr>
                <w:rFonts w:ascii="Arial" w:cs="Arial" w:eastAsia="Arial" w:hAnsi="Arial"/>
                <w:sz w:val="12"/>
                <w:szCs w:val="12"/>
                <w:color w:val="auto"/>
              </w:rPr>
              <w:t>Recurring:</w:t>
            </w:r>
          </w:p>
        </w:tc>
        <w:tc>
          <w:tcPr>
            <w:tcW w:w="8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3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Money market funds</w:t>
            </w:r>
          </w:p>
        </w:tc>
        <w:tc>
          <w:tcPr>
            <w:tcW w:w="840" w:type="dxa"/>
            <w:vAlign w:val="bottom"/>
            <w:shd w:val="clear" w:color="auto" w:fill="CCEEFF"/>
          </w:tcPr>
          <w:p>
            <w:pPr>
              <w:jc w:val="right"/>
              <w:ind w:right="723"/>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CEEFF"/>
          </w:tcPr>
          <w:p>
            <w:pPr>
              <w:jc w:val="right"/>
              <w:ind w:right="1320"/>
              <w:spacing w:after="0"/>
              <w:rPr>
                <w:sz w:val="20"/>
                <w:szCs w:val="20"/>
                <w:color w:val="auto"/>
              </w:rPr>
            </w:pPr>
            <w:r>
              <w:rPr>
                <w:rFonts w:ascii="Arial" w:cs="Arial" w:eastAsia="Arial" w:hAnsi="Arial"/>
                <w:sz w:val="12"/>
                <w:szCs w:val="12"/>
                <w:color w:val="auto"/>
              </w:rPr>
              <w:t>84</w:t>
            </w:r>
          </w:p>
        </w:tc>
        <w:tc>
          <w:tcPr>
            <w:tcW w:w="1060" w:type="dxa"/>
            <w:vAlign w:val="bottom"/>
            <w:shd w:val="clear" w:color="auto" w:fill="CCEEFF"/>
          </w:tcPr>
          <w:p>
            <w:pPr>
              <w:jc w:val="right"/>
              <w:ind w:right="7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64</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w:t>
            </w:r>
          </w:p>
        </w:tc>
        <w:tc>
          <w:tcPr>
            <w:tcW w:w="120" w:type="dxa"/>
            <w:vAlign w:val="bottom"/>
            <w:shd w:val="clear" w:color="auto" w:fill="CCEEFF"/>
          </w:tcPr>
          <w:p>
            <w:pPr>
              <w:spacing w:after="0"/>
              <w:rPr>
                <w:sz w:val="12"/>
                <w:szCs w:val="12"/>
                <w:color w:val="auto"/>
              </w:rPr>
            </w:pPr>
          </w:p>
        </w:tc>
      </w:tr>
      <w:tr>
        <w:trPr>
          <w:trHeight w:val="144"/>
        </w:trPr>
        <w:tc>
          <w:tcPr>
            <w:tcW w:w="3340" w:type="dxa"/>
            <w:vAlign w:val="bottom"/>
            <w:gridSpan w:val="2"/>
          </w:tcPr>
          <w:p>
            <w:pPr>
              <w:ind w:left="100"/>
              <w:spacing w:after="0"/>
              <w:rPr>
                <w:sz w:val="20"/>
                <w:szCs w:val="20"/>
                <w:color w:val="auto"/>
              </w:rPr>
            </w:pPr>
            <w:r>
              <w:rPr>
                <w:rFonts w:ascii="Arial" w:cs="Arial" w:eastAsia="Arial" w:hAnsi="Arial"/>
                <w:sz w:val="12"/>
                <w:szCs w:val="12"/>
                <w:color w:val="auto"/>
              </w:rPr>
              <w:t>Mutual funds:</w:t>
            </w:r>
          </w:p>
        </w:tc>
        <w:tc>
          <w:tcPr>
            <w:tcW w:w="8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34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Domestic stock funds</w:t>
            </w:r>
          </w:p>
        </w:tc>
        <w:tc>
          <w:tcPr>
            <w:tcW w:w="84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1320"/>
              <w:spacing w:after="0"/>
              <w:rPr>
                <w:sz w:val="20"/>
                <w:szCs w:val="20"/>
                <w:color w:val="auto"/>
              </w:rPr>
            </w:pPr>
            <w:r>
              <w:rPr>
                <w:rFonts w:ascii="Arial" w:cs="Arial" w:eastAsia="Arial" w:hAnsi="Arial"/>
                <w:sz w:val="12"/>
                <w:szCs w:val="12"/>
                <w:color w:val="auto"/>
              </w:rPr>
              <w:t>570</w:t>
            </w:r>
          </w:p>
        </w:tc>
        <w:tc>
          <w:tcPr>
            <w:tcW w:w="10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436</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436</w:t>
            </w:r>
          </w:p>
        </w:tc>
      </w:tr>
      <w:tr>
        <w:trPr>
          <w:trHeight w:val="144"/>
        </w:trPr>
        <w:tc>
          <w:tcPr>
            <w:tcW w:w="3340" w:type="dxa"/>
            <w:vAlign w:val="bottom"/>
            <w:gridSpan w:val="2"/>
          </w:tcPr>
          <w:p>
            <w:pPr>
              <w:ind w:left="200"/>
              <w:spacing w:after="0"/>
              <w:rPr>
                <w:sz w:val="20"/>
                <w:szCs w:val="20"/>
                <w:color w:val="auto"/>
              </w:rPr>
            </w:pPr>
            <w:r>
              <w:rPr>
                <w:rFonts w:ascii="Arial" w:cs="Arial" w:eastAsia="Arial" w:hAnsi="Arial"/>
                <w:sz w:val="12"/>
                <w:szCs w:val="12"/>
                <w:color w:val="auto"/>
              </w:rPr>
              <w:t>International stock funds</w:t>
            </w:r>
          </w:p>
        </w:tc>
        <w:tc>
          <w:tcPr>
            <w:tcW w:w="840" w:type="dxa"/>
            <w:vAlign w:val="bottom"/>
          </w:tcPr>
          <w:p>
            <w:pPr>
              <w:spacing w:after="0"/>
              <w:rPr>
                <w:sz w:val="12"/>
                <w:szCs w:val="12"/>
                <w:color w:val="auto"/>
              </w:rPr>
            </w:pPr>
          </w:p>
        </w:tc>
        <w:tc>
          <w:tcPr>
            <w:tcW w:w="1680" w:type="dxa"/>
            <w:vAlign w:val="bottom"/>
          </w:tcPr>
          <w:p>
            <w:pPr>
              <w:jc w:val="right"/>
              <w:ind w:right="1320"/>
              <w:spacing w:after="0"/>
              <w:rPr>
                <w:sz w:val="20"/>
                <w:szCs w:val="20"/>
                <w:color w:val="auto"/>
              </w:rPr>
            </w:pPr>
            <w:r>
              <w:rPr>
                <w:rFonts w:ascii="Arial" w:cs="Arial" w:eastAsia="Arial" w:hAnsi="Arial"/>
                <w:sz w:val="12"/>
                <w:szCs w:val="12"/>
                <w:color w:val="auto"/>
              </w:rPr>
              <w:t>539</w:t>
            </w:r>
          </w:p>
        </w:tc>
        <w:tc>
          <w:tcPr>
            <w:tcW w:w="10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539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395</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395</w:t>
            </w:r>
          </w:p>
        </w:tc>
      </w:tr>
      <w:tr>
        <w:trPr>
          <w:trHeight w:val="144"/>
        </w:trPr>
        <w:tc>
          <w:tcPr>
            <w:tcW w:w="334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Target funds</w:t>
            </w:r>
          </w:p>
        </w:tc>
        <w:tc>
          <w:tcPr>
            <w:tcW w:w="84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1320"/>
              <w:spacing w:after="0"/>
              <w:rPr>
                <w:sz w:val="20"/>
                <w:szCs w:val="20"/>
                <w:color w:val="auto"/>
              </w:rPr>
            </w:pPr>
            <w:r>
              <w:rPr>
                <w:rFonts w:ascii="Arial" w:cs="Arial" w:eastAsia="Arial" w:hAnsi="Arial"/>
                <w:sz w:val="12"/>
                <w:szCs w:val="12"/>
                <w:color w:val="auto"/>
              </w:rPr>
              <w:t>153</w:t>
            </w:r>
          </w:p>
        </w:tc>
        <w:tc>
          <w:tcPr>
            <w:tcW w:w="10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114</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114</w:t>
            </w:r>
          </w:p>
        </w:tc>
      </w:tr>
      <w:tr>
        <w:trPr>
          <w:trHeight w:val="144"/>
        </w:trPr>
        <w:tc>
          <w:tcPr>
            <w:tcW w:w="3340" w:type="dxa"/>
            <w:vAlign w:val="bottom"/>
            <w:gridSpan w:val="2"/>
          </w:tcPr>
          <w:p>
            <w:pPr>
              <w:ind w:left="200"/>
              <w:spacing w:after="0"/>
              <w:rPr>
                <w:sz w:val="20"/>
                <w:szCs w:val="20"/>
                <w:color w:val="auto"/>
              </w:rPr>
            </w:pPr>
            <w:r>
              <w:rPr>
                <w:rFonts w:ascii="Arial" w:cs="Arial" w:eastAsia="Arial" w:hAnsi="Arial"/>
                <w:sz w:val="12"/>
                <w:szCs w:val="12"/>
                <w:color w:val="auto"/>
              </w:rPr>
              <w:t>Bond funds</w:t>
            </w:r>
          </w:p>
        </w:tc>
        <w:tc>
          <w:tcPr>
            <w:tcW w:w="8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1320"/>
              <w:spacing w:after="0"/>
              <w:rPr>
                <w:sz w:val="20"/>
                <w:szCs w:val="20"/>
                <w:color w:val="auto"/>
              </w:rPr>
            </w:pPr>
            <w:r>
              <w:rPr>
                <w:rFonts w:ascii="Arial" w:cs="Arial" w:eastAsia="Arial" w:hAnsi="Arial"/>
                <w:sz w:val="12"/>
                <w:szCs w:val="12"/>
                <w:color w:val="auto"/>
              </w:rPr>
              <w:t>105</w:t>
            </w:r>
          </w:p>
        </w:tc>
        <w:tc>
          <w:tcPr>
            <w:tcW w:w="10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49</w:t>
            </w: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w:t>
            </w:r>
          </w:p>
        </w:tc>
        <w:tc>
          <w:tcPr>
            <w:tcW w:w="120" w:type="dxa"/>
            <w:vAlign w:val="bottom"/>
          </w:tcPr>
          <w:p>
            <w:pPr>
              <w:spacing w:after="0"/>
              <w:rPr>
                <w:sz w:val="12"/>
                <w:szCs w:val="12"/>
                <w:color w:val="auto"/>
              </w:rPr>
            </w:pPr>
          </w:p>
        </w:tc>
      </w:tr>
      <w:tr>
        <w:trPr>
          <w:trHeight w:val="142"/>
        </w:trPr>
        <w:tc>
          <w:tcPr>
            <w:tcW w:w="33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Total mutual funds</w:t>
            </w:r>
          </w:p>
        </w:tc>
        <w:tc>
          <w:tcPr>
            <w:tcW w:w="84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1320"/>
              <w:spacing w:after="0"/>
              <w:rPr>
                <w:sz w:val="20"/>
                <w:szCs w:val="20"/>
                <w:color w:val="auto"/>
              </w:rPr>
            </w:pPr>
            <w:r>
              <w:rPr>
                <w:rFonts w:ascii="Arial" w:cs="Arial" w:eastAsia="Arial" w:hAnsi="Arial"/>
                <w:sz w:val="12"/>
                <w:szCs w:val="12"/>
                <w:color w:val="auto"/>
                <w:w w:val="93"/>
              </w:rPr>
              <w:t>1,367</w:t>
            </w:r>
          </w:p>
        </w:tc>
        <w:tc>
          <w:tcPr>
            <w:tcW w:w="10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1,367</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994</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994</w:t>
            </w:r>
          </w:p>
        </w:tc>
      </w:tr>
      <w:tr>
        <w:trPr>
          <w:trHeight w:val="144"/>
        </w:trPr>
        <w:tc>
          <w:tcPr>
            <w:tcW w:w="3340" w:type="dxa"/>
            <w:vAlign w:val="bottom"/>
            <w:gridSpan w:val="2"/>
          </w:tcPr>
          <w:p>
            <w:pPr>
              <w:spacing w:after="0"/>
              <w:rPr>
                <w:sz w:val="20"/>
                <w:szCs w:val="20"/>
                <w:color w:val="auto"/>
              </w:rPr>
            </w:pPr>
            <w:r>
              <w:rPr>
                <w:rFonts w:ascii="Arial" w:cs="Arial" w:eastAsia="Arial" w:hAnsi="Arial"/>
                <w:sz w:val="12"/>
                <w:szCs w:val="12"/>
                <w:color w:val="auto"/>
              </w:rPr>
              <w:t>Non-Recurring:</w:t>
            </w:r>
          </w:p>
        </w:tc>
        <w:tc>
          <w:tcPr>
            <w:tcW w:w="8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3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Property, plant and equipment</w:t>
            </w:r>
          </w:p>
        </w:tc>
        <w:tc>
          <w:tcPr>
            <w:tcW w:w="8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165</w:t>
            </w: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165</w:t>
            </w:r>
          </w:p>
        </w:tc>
      </w:tr>
      <w:tr>
        <w:trPr>
          <w:trHeight w:val="20"/>
        </w:trPr>
        <w:tc>
          <w:tcPr>
            <w:tcW w:w="68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40" w:type="dxa"/>
            <w:vAlign w:val="bottom"/>
          </w:tcPr>
          <w:p>
            <w:pPr>
              <w:jc w:val="right"/>
              <w:ind w:right="723"/>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ind w:right="1320"/>
              <w:spacing w:after="0"/>
              <w:rPr>
                <w:sz w:val="20"/>
                <w:szCs w:val="20"/>
                <w:color w:val="auto"/>
              </w:rPr>
            </w:pPr>
            <w:r>
              <w:rPr>
                <w:rFonts w:ascii="Arial" w:cs="Arial" w:eastAsia="Arial" w:hAnsi="Arial"/>
                <w:sz w:val="12"/>
                <w:szCs w:val="12"/>
                <w:color w:val="auto"/>
                <w:w w:val="93"/>
              </w:rPr>
              <w:t>1,451</w:t>
            </w:r>
          </w:p>
        </w:tc>
        <w:tc>
          <w:tcPr>
            <w:tcW w:w="1060" w:type="dxa"/>
            <w:vAlign w:val="bottom"/>
          </w:tcPr>
          <w:p>
            <w:pPr>
              <w:jc w:val="right"/>
              <w:ind w:right="700"/>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1,451</w:t>
            </w: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1,058</w:t>
            </w:r>
          </w:p>
        </w:tc>
        <w:tc>
          <w:tcPr>
            <w:tcW w:w="2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165</w:t>
            </w:r>
          </w:p>
        </w:tc>
        <w:tc>
          <w:tcPr>
            <w:tcW w:w="3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1,223</w:t>
            </w:r>
          </w:p>
        </w:tc>
      </w:tr>
      <w:tr>
        <w:trPr>
          <w:trHeight w:val="20"/>
        </w:trPr>
        <w:tc>
          <w:tcPr>
            <w:tcW w:w="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5"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 xml:space="preserve">Mutual funds are valued at prices quoted in an active exchange market and are held in “Other Assets”. Property, plant and equipment are valued based on active market prices and other relevant information for sales of similar assets. We have elected not to apply the fair value option under ASC 825, </w:t>
      </w:r>
      <w:r>
        <w:rPr>
          <w:rFonts w:ascii="Arial" w:cs="Arial" w:eastAsia="Arial" w:hAnsi="Arial"/>
          <w:sz w:val="12"/>
          <w:szCs w:val="12"/>
          <w:i w:val="1"/>
          <w:iCs w:val="1"/>
          <w:color w:val="auto"/>
        </w:rPr>
        <w:t>Financial Instruments,</w:t>
      </w:r>
      <w:r>
        <w:rPr>
          <w:rFonts w:ascii="Arial" w:cs="Arial" w:eastAsia="Arial" w:hAnsi="Arial"/>
          <w:sz w:val="12"/>
          <w:szCs w:val="12"/>
          <w:color w:val="auto"/>
        </w:rPr>
        <w:t xml:space="preserve"> to any of our financial instruments except for those expressly required by U.S. GAAP.</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We do not maintain any Level 3 assets or liabilities that would be based on significant unobservable inputs.</w:t>
      </w:r>
    </w:p>
    <w:p>
      <w:pPr>
        <w:spacing w:after="0" w:line="146" w:lineRule="exact"/>
        <w:rPr>
          <w:sz w:val="20"/>
          <w:szCs w:val="20"/>
          <w:color w:val="auto"/>
        </w:rPr>
      </w:pPr>
    </w:p>
    <w:p>
      <w:pPr>
        <w:ind w:left="428" w:hanging="428"/>
        <w:spacing w:after="0"/>
        <w:tabs>
          <w:tab w:leader="none" w:pos="428" w:val="left"/>
        </w:tabs>
        <w:numPr>
          <w:ilvl w:val="0"/>
          <w:numId w:val="5"/>
        </w:numPr>
        <w:rPr>
          <w:rFonts w:ascii="Arial" w:cs="Arial" w:eastAsia="Arial" w:hAnsi="Arial"/>
          <w:sz w:val="12"/>
          <w:szCs w:val="12"/>
          <w:b w:val="1"/>
          <w:bCs w:val="1"/>
          <w:color w:val="auto"/>
        </w:rPr>
      </w:pPr>
      <w:r>
        <w:rPr>
          <w:rFonts w:ascii="Arial" w:cs="Arial" w:eastAsia="Arial" w:hAnsi="Arial"/>
          <w:sz w:val="12"/>
          <w:szCs w:val="12"/>
          <w:b w:val="1"/>
          <w:bCs w:val="1"/>
          <w:color w:val="auto"/>
        </w:rPr>
        <w:t>REVENUE RECOGNITION</w:t>
      </w:r>
    </w:p>
    <w:p>
      <w:pPr>
        <w:spacing w:after="0" w:line="154" w:lineRule="exact"/>
        <w:rPr>
          <w:rFonts w:ascii="Arial" w:cs="Arial" w:eastAsia="Arial" w:hAnsi="Arial"/>
          <w:sz w:val="12"/>
          <w:szCs w:val="12"/>
          <w:b w:val="1"/>
          <w:bCs w:val="1"/>
          <w:color w:val="auto"/>
        </w:rPr>
      </w:pPr>
    </w:p>
    <w:p>
      <w:pPr>
        <w:jc w:val="both"/>
        <w:ind w:left="428"/>
        <w:spacing w:after="0" w:line="255" w:lineRule="auto"/>
        <w:rPr>
          <w:rFonts w:ascii="Arial" w:cs="Arial" w:eastAsia="Arial" w:hAnsi="Arial"/>
          <w:sz w:val="12"/>
          <w:szCs w:val="12"/>
          <w:b w:val="1"/>
          <w:bCs w:val="1"/>
          <w:color w:val="auto"/>
        </w:rPr>
      </w:pPr>
      <w:r>
        <w:rPr>
          <w:rFonts w:ascii="Arial" w:cs="Arial" w:eastAsia="Arial" w:hAnsi="Arial"/>
          <w:sz w:val="12"/>
          <w:szCs w:val="12"/>
          <w:color w:val="auto"/>
        </w:rPr>
        <w:t>Earnings on construction contracts are reflected in operations using either percentage-of-completion accounting, which includes the cost to cost and units of delivery methods, or completed contract accounting,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 Under the completed contract method, revenues and related earnings are recorded when the contracted work is complete and losses are charged to operations in their entirety when such losses become apparent.</w:t>
      </w:r>
    </w:p>
    <w:p>
      <w:pPr>
        <w:spacing w:after="0" w:line="288"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15" w:right="199" w:bottom="1440" w:gutter="0" w:footer="0" w:header="0"/>
        </w:sectPr>
      </w:pPr>
    </w:p>
    <w:bookmarkStart w:id="8" w:name="page9"/>
    <w:bookmarkEnd w:id="8"/>
    <w:tbl>
      <w:tblPr>
        <w:tblLayout w:type="fixed"/>
        <w:tblInd w:w="8" w:type="dxa"/>
        <w:tblCellMar>
          <w:top w:w="0" w:type="dxa"/>
          <w:left w:w="0" w:type="dxa"/>
          <w:bottom w:w="0" w:type="dxa"/>
          <w:right w:w="0" w:type="dxa"/>
        </w:tblCellMar>
      </w:tblPr>
      <w:tr>
        <w:trPr>
          <w:trHeight w:val="115"/>
        </w:trPr>
        <w:tc>
          <w:tcPr>
            <w:tcW w:w="3380" w:type="dxa"/>
            <w:vAlign w:val="bottom"/>
            <w:gridSpan w:val="3"/>
          </w:tcPr>
          <w:p>
            <w:pPr>
              <w:spacing w:after="0"/>
              <w:rPr>
                <w:rFonts w:ascii="Arial" w:cs="Arial" w:eastAsia="Arial" w:hAnsi="Arial"/>
                <w:sz w:val="10"/>
                <w:szCs w:val="10"/>
                <w:b w:val="1"/>
                <w:bCs w:val="1"/>
                <w:i w:val="1"/>
                <w:iCs w:val="1"/>
                <w:color w:val="0000EE"/>
              </w:rPr>
            </w:pPr>
            <w:hyperlink w:anchor="page2">
              <w:r>
                <w:rPr>
                  <w:rFonts w:ascii="Arial" w:cs="Arial" w:eastAsia="Arial" w:hAnsi="Arial"/>
                  <w:sz w:val="10"/>
                  <w:szCs w:val="10"/>
                  <w:b w:val="1"/>
                  <w:bCs w:val="1"/>
                  <w:i w:val="1"/>
                  <w:iCs w:val="1"/>
                  <w:color w:val="0000EE"/>
                </w:rPr>
                <w:t>Table of Contents</w:t>
              </w:r>
            </w:hyperlink>
          </w:p>
        </w:tc>
        <w:tc>
          <w:tcPr>
            <w:tcW w:w="4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700" w:type="dxa"/>
            <w:vAlign w:val="bottom"/>
          </w:tcPr>
          <w:p>
            <w:pPr>
              <w:spacing w:after="0"/>
              <w:rPr>
                <w:sz w:val="24"/>
                <w:szCs w:val="24"/>
                <w:color w:val="auto"/>
              </w:rPr>
            </w:pPr>
          </w:p>
        </w:tc>
        <w:tc>
          <w:tcPr>
            <w:tcW w:w="42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UNIVERSAL FOREST PRODUCTS, INC.</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9980" w:type="dxa"/>
            <w:vAlign w:val="bottom"/>
            <w:gridSpan w:val="8"/>
          </w:tcPr>
          <w:p>
            <w:pPr>
              <w:jc w:val="right"/>
              <w:ind w:right="580"/>
              <w:spacing w:after="0"/>
              <w:rPr>
                <w:sz w:val="20"/>
                <w:szCs w:val="20"/>
                <w:color w:val="auto"/>
              </w:rPr>
            </w:pPr>
            <w:r>
              <w:rPr>
                <w:rFonts w:ascii="Arial" w:cs="Arial" w:eastAsia="Arial" w:hAnsi="Arial"/>
                <w:sz w:val="12"/>
                <w:szCs w:val="12"/>
                <w:color w:val="auto"/>
                <w:w w:val="95"/>
              </w:rPr>
              <w:t>The following table presents the balances of percentage-of-completion accounts which are included in “Other current assets” and “Accrued liabilities: Other”, respectively (in thousands):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2"/>
                <w:szCs w:val="12"/>
                <w:color w:val="auto"/>
                <w:w w:val="97"/>
              </w:rPr>
              <w:t>June 25, 2011</w:t>
            </w:r>
          </w:p>
        </w:tc>
        <w:tc>
          <w:tcPr>
            <w:tcW w:w="80" w:type="dxa"/>
            <w:vAlign w:val="bottom"/>
          </w:tcPr>
          <w:p>
            <w:pPr>
              <w:spacing w:after="0"/>
              <w:rPr>
                <w:sz w:val="24"/>
                <w:szCs w:val="24"/>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w w:val="89"/>
              </w:rPr>
              <w:t>December 25, 2010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2"/>
                <w:szCs w:val="12"/>
                <w:color w:val="auto"/>
                <w:w w:val="97"/>
              </w:rPr>
              <w:t>June 26, 2010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Cost and Earnings in Excess of Billings</w:t>
            </w:r>
          </w:p>
        </w:tc>
        <w:tc>
          <w:tcPr>
            <w:tcW w:w="4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5,716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3,604</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5,333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60" w:type="dxa"/>
            <w:vAlign w:val="bottom"/>
            <w:gridSpan w:val="2"/>
          </w:tcPr>
          <w:p>
            <w:pPr>
              <w:spacing w:after="0"/>
              <w:rPr>
                <w:sz w:val="20"/>
                <w:szCs w:val="20"/>
                <w:color w:val="auto"/>
              </w:rPr>
            </w:pPr>
            <w:r>
              <w:rPr>
                <w:rFonts w:ascii="Arial" w:cs="Arial" w:eastAsia="Arial" w:hAnsi="Arial"/>
                <w:sz w:val="12"/>
                <w:szCs w:val="12"/>
                <w:color w:val="auto"/>
              </w:rPr>
              <w:t>Billings in Excess of Cost and Earnings</w:t>
            </w:r>
          </w:p>
        </w:tc>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2"/>
                <w:szCs w:val="12"/>
                <w:color w:val="auto"/>
              </w:rPr>
              <w:t>1,751</w:t>
            </w: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2,126</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4,426</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28" w:hanging="428"/>
        <w:spacing w:after="0"/>
        <w:tabs>
          <w:tab w:leader="none" w:pos="428" w:val="left"/>
        </w:tabs>
        <w:numPr>
          <w:ilvl w:val="0"/>
          <w:numId w:val="6"/>
        </w:numPr>
        <w:rPr>
          <w:rFonts w:ascii="Arial" w:cs="Arial" w:eastAsia="Arial" w:hAnsi="Arial"/>
          <w:sz w:val="12"/>
          <w:szCs w:val="12"/>
          <w:b w:val="1"/>
          <w:bCs w:val="1"/>
          <w:color w:val="auto"/>
        </w:rPr>
      </w:pPr>
      <w:r>
        <w:rPr>
          <w:rFonts w:ascii="Arial" w:cs="Arial" w:eastAsia="Arial" w:hAnsi="Arial"/>
          <w:sz w:val="12"/>
          <w:szCs w:val="12"/>
          <w:b w:val="1"/>
          <w:bCs w:val="1"/>
          <w:color w:val="auto"/>
        </w:rPr>
        <w:t>EARNINGS PER SHARE</w:t>
      </w:r>
    </w:p>
    <w:p>
      <w:pPr>
        <w:spacing w:after="0" w:line="154"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A reconciliation of the changes in the numerator and the denominator from the calculation of basic EPS to the calculation of diluted EPS follows (in thousands, except per share data):</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5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5"/>
          </w:tcPr>
          <w:p>
            <w:pPr>
              <w:jc w:val="center"/>
              <w:ind w:left="100"/>
              <w:spacing w:after="0"/>
              <w:rPr>
                <w:sz w:val="20"/>
                <w:szCs w:val="20"/>
                <w:color w:val="auto"/>
              </w:rPr>
            </w:pPr>
            <w:r>
              <w:rPr>
                <w:rFonts w:ascii="Arial" w:cs="Arial" w:eastAsia="Arial" w:hAnsi="Arial"/>
                <w:sz w:val="12"/>
                <w:szCs w:val="12"/>
                <w:color w:val="auto"/>
                <w:w w:val="88"/>
              </w:rPr>
              <w:t>Three Months Ended June 25, 2011</w:t>
            </w:r>
          </w:p>
        </w:tc>
        <w:tc>
          <w:tcPr>
            <w:tcW w:w="10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2"/>
                <w:szCs w:val="12"/>
                <w:color w:val="auto"/>
              </w:rPr>
              <w:t>Three Months Ended June 26, 2010</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33"/>
        </w:trPr>
        <w:tc>
          <w:tcPr>
            <w:tcW w:w="5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ind w:right="200"/>
              <w:spacing w:after="0" w:line="133" w:lineRule="exact"/>
              <w:rPr>
                <w:sz w:val="20"/>
                <w:szCs w:val="20"/>
                <w:color w:val="auto"/>
              </w:rPr>
            </w:pPr>
            <w:r>
              <w:rPr>
                <w:rFonts w:ascii="Arial" w:cs="Arial" w:eastAsia="Arial" w:hAnsi="Arial"/>
                <w:sz w:val="12"/>
                <w:szCs w:val="12"/>
                <w:color w:val="auto"/>
                <w:w w:val="85"/>
              </w:rPr>
              <w:t>Per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4"/>
        </w:trPr>
        <w:tc>
          <w:tcPr>
            <w:tcW w:w="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80" w:type="dxa"/>
            <w:vAlign w:val="bottom"/>
          </w:tcPr>
          <w:p>
            <w:pPr>
              <w:jc w:val="right"/>
              <w:ind w:right="85"/>
              <w:spacing w:after="0"/>
              <w:rPr>
                <w:sz w:val="20"/>
                <w:szCs w:val="20"/>
                <w:color w:val="auto"/>
              </w:rPr>
            </w:pPr>
            <w:r>
              <w:rPr>
                <w:rFonts w:ascii="Arial" w:cs="Arial" w:eastAsia="Arial" w:hAnsi="Arial"/>
                <w:sz w:val="12"/>
                <w:szCs w:val="12"/>
                <w:color w:val="auto"/>
              </w:rPr>
              <w:t>Income</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2"/>
                <w:szCs w:val="12"/>
                <w:color w:val="auto"/>
                <w:w w:val="84"/>
              </w:rPr>
              <w:t>Shares</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2"/>
                <w:szCs w:val="12"/>
                <w:color w:val="auto"/>
                <w:w w:val="91"/>
              </w:rPr>
              <w:t>Income</w:t>
            </w:r>
          </w:p>
        </w:tc>
        <w:tc>
          <w:tcPr>
            <w:tcW w:w="1260" w:type="dxa"/>
            <w:vAlign w:val="bottom"/>
            <w:gridSpan w:val="2"/>
          </w:tcPr>
          <w:p>
            <w:pPr>
              <w:jc w:val="center"/>
              <w:ind w:right="100"/>
              <w:spacing w:after="0"/>
              <w:rPr>
                <w:sz w:val="20"/>
                <w:szCs w:val="20"/>
                <w:color w:val="auto"/>
              </w:rPr>
            </w:pPr>
            <w:r>
              <w:rPr>
                <w:rFonts w:ascii="Arial" w:cs="Arial" w:eastAsia="Arial" w:hAnsi="Arial"/>
                <w:sz w:val="12"/>
                <w:szCs w:val="12"/>
                <w:color w:val="auto"/>
                <w:w w:val="84"/>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2"/>
                <w:szCs w:val="12"/>
                <w:color w:val="auto"/>
                <w:w w:val="81"/>
              </w:rPr>
              <w:t>Share</w:t>
            </w:r>
          </w:p>
        </w:tc>
        <w:tc>
          <w:tcPr>
            <w:tcW w:w="580" w:type="dxa"/>
            <w:vAlign w:val="bottom"/>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(Numerator)</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2"/>
                <w:szCs w:val="12"/>
                <w:color w:val="auto"/>
                <w:w w:val="91"/>
              </w:rPr>
              <w:t>(Denominator)</w:t>
            </w:r>
          </w:p>
        </w:tc>
        <w:tc>
          <w:tcPr>
            <w:tcW w:w="10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Arial" w:cs="Arial" w:eastAsia="Arial" w:hAnsi="Arial"/>
                <w:sz w:val="12"/>
                <w:szCs w:val="12"/>
                <w:color w:val="auto"/>
              </w:rPr>
              <w:t>Per Share Amount</w:t>
            </w:r>
          </w:p>
        </w:tc>
        <w:tc>
          <w:tcPr>
            <w:tcW w:w="180" w:type="dxa"/>
            <w:vAlign w:val="bottom"/>
          </w:tcPr>
          <w:p>
            <w:pPr>
              <w:spacing w:after="0"/>
              <w:rPr>
                <w:sz w:val="13"/>
                <w:szCs w:val="13"/>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2"/>
                <w:szCs w:val="12"/>
                <w:color w:val="auto"/>
                <w:w w:val="92"/>
              </w:rPr>
              <w:t>(Numerator)</w:t>
            </w:r>
          </w:p>
        </w:tc>
        <w:tc>
          <w:tcPr>
            <w:tcW w:w="1260" w:type="dxa"/>
            <w:vAlign w:val="bottom"/>
            <w:gridSpan w:val="2"/>
          </w:tcPr>
          <w:p>
            <w:pPr>
              <w:jc w:val="center"/>
              <w:ind w:right="100"/>
              <w:spacing w:after="0"/>
              <w:rPr>
                <w:sz w:val="20"/>
                <w:szCs w:val="20"/>
                <w:color w:val="auto"/>
              </w:rPr>
            </w:pPr>
            <w:r>
              <w:rPr>
                <w:rFonts w:ascii="Arial" w:cs="Arial" w:eastAsia="Arial" w:hAnsi="Arial"/>
                <w:sz w:val="12"/>
                <w:szCs w:val="12"/>
                <w:color w:val="auto"/>
                <w:w w:val="93"/>
              </w:rPr>
              <w:t>(Denominator)</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2"/>
                <w:szCs w:val="12"/>
                <w:color w:val="auto"/>
                <w:w w:val="91"/>
              </w:rPr>
              <w:t>Amount</w:t>
            </w:r>
          </w:p>
        </w:tc>
        <w:tc>
          <w:tcPr>
            <w:tcW w:w="580" w:type="dxa"/>
            <w:vAlign w:val="bottom"/>
          </w:tcPr>
          <w:p>
            <w:pPr>
              <w:spacing w:after="0"/>
              <w:rPr>
                <w:sz w:val="13"/>
                <w:szCs w:val="13"/>
                <w:color w:val="auto"/>
              </w:rPr>
            </w:pPr>
          </w:p>
        </w:tc>
      </w:tr>
      <w:tr>
        <w:trPr>
          <w:trHeight w:val="142"/>
        </w:trPr>
        <w:tc>
          <w:tcPr>
            <w:tcW w:w="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31"/>
        </w:trPr>
        <w:tc>
          <w:tcPr>
            <w:tcW w:w="560" w:type="dxa"/>
            <w:vAlign w:val="bottom"/>
          </w:tcPr>
          <w:p>
            <w:pPr>
              <w:spacing w:after="0"/>
              <w:rPr>
                <w:sz w:val="11"/>
                <w:szCs w:val="11"/>
                <w:color w:val="auto"/>
              </w:rPr>
            </w:pPr>
          </w:p>
        </w:tc>
        <w:tc>
          <w:tcPr>
            <w:tcW w:w="2200" w:type="dxa"/>
            <w:vAlign w:val="bottom"/>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Net Earnings Attributable to</w:t>
            </w: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Pr>
          <w:p>
            <w:pPr>
              <w:spacing w:after="0"/>
              <w:rPr>
                <w:sz w:val="11"/>
                <w:szCs w:val="11"/>
                <w:color w:val="auto"/>
              </w:rPr>
            </w:pPr>
          </w:p>
        </w:tc>
      </w:tr>
      <w:tr>
        <w:trPr>
          <w:trHeight w:val="157"/>
        </w:trPr>
        <w:tc>
          <w:tcPr>
            <w:tcW w:w="560" w:type="dxa"/>
            <w:vAlign w:val="bottom"/>
          </w:tcPr>
          <w:p>
            <w:pPr>
              <w:spacing w:after="0"/>
              <w:rPr>
                <w:sz w:val="13"/>
                <w:szCs w:val="13"/>
                <w:color w:val="auto"/>
              </w:rPr>
            </w:pPr>
          </w:p>
        </w:tc>
        <w:tc>
          <w:tcPr>
            <w:tcW w:w="220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Controlling Interest</w:t>
            </w:r>
          </w:p>
        </w:tc>
        <w:tc>
          <w:tcPr>
            <w:tcW w:w="880" w:type="dxa"/>
            <w:vAlign w:val="bottom"/>
            <w:shd w:val="clear" w:color="auto" w:fill="CCEEFF"/>
          </w:tcPr>
          <w:p>
            <w:pPr>
              <w:jc w:val="right"/>
              <w:ind w:right="765"/>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79"/>
              </w:rPr>
              <w:t>4,277</w:t>
            </w: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13,716</w:t>
            </w: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Pr>
          <w:p>
            <w:pPr>
              <w:spacing w:after="0"/>
              <w:rPr>
                <w:sz w:val="13"/>
                <w:szCs w:val="13"/>
                <w:color w:val="auto"/>
              </w:rPr>
            </w:pPr>
          </w:p>
        </w:tc>
      </w:tr>
      <w:tr>
        <w:trPr>
          <w:trHeight w:val="144"/>
        </w:trPr>
        <w:tc>
          <w:tcPr>
            <w:tcW w:w="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35"/>
        </w:trPr>
        <w:tc>
          <w:tcPr>
            <w:tcW w:w="560" w:type="dxa"/>
            <w:vAlign w:val="bottom"/>
          </w:tcPr>
          <w:p>
            <w:pPr>
              <w:spacing w:after="0"/>
              <w:rPr>
                <w:sz w:val="11"/>
                <w:szCs w:val="11"/>
                <w:color w:val="auto"/>
              </w:rPr>
            </w:pPr>
          </w:p>
        </w:tc>
        <w:tc>
          <w:tcPr>
            <w:tcW w:w="22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EPS – Basic</w:t>
            </w: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Pr>
          <w:p>
            <w:pPr>
              <w:spacing w:after="0"/>
              <w:rPr>
                <w:sz w:val="11"/>
                <w:szCs w:val="11"/>
                <w:color w:val="auto"/>
              </w:rPr>
            </w:pPr>
          </w:p>
        </w:tc>
      </w:tr>
      <w:tr>
        <w:trPr>
          <w:trHeight w:val="193"/>
        </w:trPr>
        <w:tc>
          <w:tcPr>
            <w:tcW w:w="560" w:type="dxa"/>
            <w:vAlign w:val="bottom"/>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2"/>
                <w:szCs w:val="12"/>
                <w:color w:val="auto"/>
                <w:w w:val="97"/>
              </w:rPr>
              <w:t>Income available to common stockholders</w:t>
            </w:r>
          </w:p>
        </w:tc>
        <w:tc>
          <w:tcPr>
            <w:tcW w:w="8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79"/>
              </w:rPr>
              <w:t>4,277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19,413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0.22</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13,716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19,259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0.71</w:t>
            </w:r>
          </w:p>
        </w:tc>
        <w:tc>
          <w:tcPr>
            <w:tcW w:w="580" w:type="dxa"/>
            <w:vAlign w:val="bottom"/>
          </w:tcPr>
          <w:p>
            <w:pPr>
              <w:spacing w:after="0"/>
              <w:rPr>
                <w:sz w:val="16"/>
                <w:szCs w:val="16"/>
                <w:color w:val="auto"/>
              </w:rPr>
            </w:pPr>
          </w:p>
        </w:tc>
      </w:tr>
      <w:tr>
        <w:trPr>
          <w:trHeight w:val="120"/>
        </w:trPr>
        <w:tc>
          <w:tcPr>
            <w:tcW w:w="560" w:type="dxa"/>
            <w:vAlign w:val="bottom"/>
          </w:tcPr>
          <w:p>
            <w:pPr>
              <w:spacing w:after="0"/>
              <w:rPr>
                <w:sz w:val="10"/>
                <w:szCs w:val="10"/>
                <w:color w:val="auto"/>
              </w:rPr>
            </w:pPr>
          </w:p>
        </w:tc>
        <w:tc>
          <w:tcPr>
            <w:tcW w:w="220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80" w:type="dxa"/>
            <w:vAlign w:val="bottom"/>
          </w:tcPr>
          <w:p>
            <w:pPr>
              <w:spacing w:after="0"/>
              <w:rPr>
                <w:sz w:val="10"/>
                <w:szCs w:val="10"/>
                <w:color w:val="auto"/>
              </w:rPr>
            </w:pPr>
          </w:p>
        </w:tc>
      </w:tr>
      <w:tr>
        <w:trPr>
          <w:trHeight w:val="135"/>
        </w:trPr>
        <w:tc>
          <w:tcPr>
            <w:tcW w:w="560" w:type="dxa"/>
            <w:vAlign w:val="bottom"/>
          </w:tcPr>
          <w:p>
            <w:pPr>
              <w:spacing w:after="0"/>
              <w:rPr>
                <w:sz w:val="11"/>
                <w:szCs w:val="11"/>
                <w:color w:val="auto"/>
              </w:rPr>
            </w:pPr>
          </w:p>
        </w:tc>
        <w:tc>
          <w:tcPr>
            <w:tcW w:w="22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Effect of dilutive securities</w:t>
            </w: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Pr>
          <w:p>
            <w:pPr>
              <w:spacing w:after="0"/>
              <w:rPr>
                <w:sz w:val="11"/>
                <w:szCs w:val="11"/>
                <w:color w:val="auto"/>
              </w:rPr>
            </w:pPr>
          </w:p>
        </w:tc>
      </w:tr>
      <w:tr>
        <w:trPr>
          <w:trHeight w:val="153"/>
        </w:trPr>
        <w:tc>
          <w:tcPr>
            <w:tcW w:w="560" w:type="dxa"/>
            <w:vAlign w:val="bottom"/>
          </w:tcPr>
          <w:p>
            <w:pPr>
              <w:spacing w:after="0"/>
              <w:rPr>
                <w:sz w:val="13"/>
                <w:szCs w:val="13"/>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2"/>
                <w:szCs w:val="12"/>
                <w:color w:val="auto"/>
              </w:rPr>
              <w:t>Options</w:t>
            </w: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133</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272</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Pr>
          <w:p>
            <w:pPr>
              <w:spacing w:after="0"/>
              <w:rPr>
                <w:sz w:val="13"/>
                <w:szCs w:val="13"/>
                <w:color w:val="auto"/>
              </w:rPr>
            </w:pPr>
          </w:p>
        </w:tc>
      </w:tr>
      <w:tr>
        <w:trPr>
          <w:trHeight w:val="142"/>
        </w:trPr>
        <w:tc>
          <w:tcPr>
            <w:tcW w:w="560" w:type="dxa"/>
            <w:vAlign w:val="bottom"/>
          </w:tcPr>
          <w:p>
            <w:pPr>
              <w:spacing w:after="0"/>
              <w:rPr>
                <w:sz w:val="12"/>
                <w:szCs w:val="12"/>
                <w:color w:val="auto"/>
              </w:rPr>
            </w:pPr>
          </w:p>
        </w:tc>
        <w:tc>
          <w:tcPr>
            <w:tcW w:w="220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9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80" w:type="dxa"/>
            <w:vAlign w:val="bottom"/>
          </w:tcPr>
          <w:p>
            <w:pPr>
              <w:spacing w:after="0"/>
              <w:rPr>
                <w:sz w:val="12"/>
                <w:szCs w:val="12"/>
                <w:color w:val="auto"/>
              </w:rPr>
            </w:pPr>
          </w:p>
        </w:tc>
      </w:tr>
      <w:tr>
        <w:trPr>
          <w:trHeight w:val="135"/>
        </w:trPr>
        <w:tc>
          <w:tcPr>
            <w:tcW w:w="560" w:type="dxa"/>
            <w:vAlign w:val="bottom"/>
          </w:tcPr>
          <w:p>
            <w:pPr>
              <w:spacing w:after="0"/>
              <w:rPr>
                <w:sz w:val="11"/>
                <w:szCs w:val="11"/>
                <w:color w:val="auto"/>
              </w:rPr>
            </w:pPr>
          </w:p>
        </w:tc>
        <w:tc>
          <w:tcPr>
            <w:tcW w:w="22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EPS - Diluted</w:t>
            </w: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Pr>
          <w:p>
            <w:pPr>
              <w:spacing w:after="0"/>
              <w:rPr>
                <w:sz w:val="11"/>
                <w:szCs w:val="11"/>
                <w:color w:val="auto"/>
              </w:rPr>
            </w:pPr>
          </w:p>
        </w:tc>
      </w:tr>
      <w:tr>
        <w:trPr>
          <w:trHeight w:val="144"/>
        </w:trPr>
        <w:tc>
          <w:tcPr>
            <w:tcW w:w="560" w:type="dxa"/>
            <w:vAlign w:val="bottom"/>
          </w:tcPr>
          <w:p>
            <w:pPr>
              <w:spacing w:after="0"/>
              <w:rPr>
                <w:sz w:val="12"/>
                <w:szCs w:val="12"/>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2"/>
                <w:szCs w:val="12"/>
                <w:color w:val="auto"/>
                <w:w w:val="97"/>
              </w:rPr>
              <w:t>Income available to common stockholders</w:t>
            </w: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tcPr>
          <w:p>
            <w:pPr>
              <w:spacing w:after="0"/>
              <w:rPr>
                <w:sz w:val="12"/>
                <w:szCs w:val="12"/>
                <w:color w:val="auto"/>
              </w:rPr>
            </w:pPr>
          </w:p>
        </w:tc>
      </w:tr>
      <w:tr>
        <w:trPr>
          <w:trHeight w:val="193"/>
        </w:trPr>
        <w:tc>
          <w:tcPr>
            <w:tcW w:w="560" w:type="dxa"/>
            <w:vAlign w:val="bottom"/>
          </w:tcPr>
          <w:p>
            <w:pPr>
              <w:spacing w:after="0"/>
              <w:rPr>
                <w:sz w:val="16"/>
                <w:szCs w:val="16"/>
                <w:color w:val="auto"/>
              </w:rPr>
            </w:pPr>
          </w:p>
        </w:tc>
        <w:tc>
          <w:tcPr>
            <w:tcW w:w="2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and assumed options exercised</w:t>
            </w:r>
          </w:p>
        </w:tc>
        <w:tc>
          <w:tcPr>
            <w:tcW w:w="880" w:type="dxa"/>
            <w:vAlign w:val="bottom"/>
            <w:shd w:val="clear" w:color="auto" w:fill="CCEEFF"/>
          </w:tcPr>
          <w:p>
            <w:pPr>
              <w:jc w:val="right"/>
              <w:ind w:right="765"/>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79"/>
              </w:rPr>
              <w:t>4,277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19,546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0.22</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13,716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19,531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0.70</w:t>
            </w:r>
          </w:p>
        </w:tc>
        <w:tc>
          <w:tcPr>
            <w:tcW w:w="580" w:type="dxa"/>
            <w:vAlign w:val="bottom"/>
          </w:tcPr>
          <w:p>
            <w:pPr>
              <w:spacing w:after="0"/>
              <w:rPr>
                <w:sz w:val="16"/>
                <w:szCs w:val="16"/>
                <w:color w:val="auto"/>
              </w:rPr>
            </w:pPr>
          </w:p>
        </w:tc>
      </w:tr>
      <w:tr>
        <w:trPr>
          <w:trHeight w:val="391"/>
        </w:trPr>
        <w:tc>
          <w:tcPr>
            <w:tcW w:w="560" w:type="dxa"/>
            <w:vAlign w:val="bottom"/>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823"/>
              <w:spacing w:after="0"/>
              <w:rPr>
                <w:sz w:val="20"/>
                <w:szCs w:val="20"/>
                <w:color w:val="auto"/>
              </w:rPr>
            </w:pPr>
            <w:r>
              <w:rPr>
                <w:rFonts w:ascii="Arial" w:cs="Arial" w:eastAsia="Arial" w:hAnsi="Arial"/>
                <w:sz w:val="10"/>
                <w:szCs w:val="10"/>
                <w:color w:val="auto"/>
              </w:rPr>
              <w:t>9</w:t>
            </w: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80" w:type="dxa"/>
            <w:vAlign w:val="bottom"/>
          </w:tcPr>
          <w:p>
            <w:pPr>
              <w:spacing w:after="0"/>
              <w:rPr>
                <w:sz w:val="24"/>
                <w:szCs w:val="24"/>
                <w:color w:val="auto"/>
              </w:rPr>
            </w:pPr>
          </w:p>
        </w:tc>
      </w:tr>
      <w:tr>
        <w:trPr>
          <w:trHeight w:val="66"/>
        </w:trPr>
        <w:tc>
          <w:tcPr>
            <w:tcW w:w="560" w:type="dxa"/>
            <w:vAlign w:val="bottom"/>
            <w:tcBorders>
              <w:bottom w:val="single" w:sz="8" w:color="808080"/>
            </w:tcBorders>
          </w:tcPr>
          <w:p>
            <w:pPr>
              <w:spacing w:after="0"/>
              <w:rPr>
                <w:sz w:val="5"/>
                <w:szCs w:val="5"/>
                <w:color w:val="auto"/>
              </w:rPr>
            </w:pPr>
          </w:p>
        </w:tc>
        <w:tc>
          <w:tcPr>
            <w:tcW w:w="22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115" w:right="199" w:bottom="1440" w:gutter="0" w:footer="0" w:header="0"/>
        </w:sectPr>
      </w:pPr>
    </w:p>
    <w:bookmarkStart w:id="9" w:name="page10"/>
    <w:bookmarkEnd w:id="9"/>
    <w:tbl>
      <w:tblPr>
        <w:tblLayout w:type="fixed"/>
        <w:tblInd w:w="8" w:type="dxa"/>
        <w:tblCellMar>
          <w:top w:w="0" w:type="dxa"/>
          <w:left w:w="0" w:type="dxa"/>
          <w:bottom w:w="0" w:type="dxa"/>
          <w:right w:w="0" w:type="dxa"/>
        </w:tblCellMar>
      </w:tblPr>
      <w:tr>
        <w:trPr>
          <w:trHeight w:val="115"/>
        </w:trPr>
        <w:tc>
          <w:tcPr>
            <w:tcW w:w="2760" w:type="dxa"/>
            <w:vAlign w:val="bottom"/>
            <w:gridSpan w:val="3"/>
          </w:tcPr>
          <w:p>
            <w:pPr>
              <w:spacing w:after="0"/>
              <w:rPr>
                <w:rFonts w:ascii="Arial" w:cs="Arial" w:eastAsia="Arial" w:hAnsi="Arial"/>
                <w:sz w:val="10"/>
                <w:szCs w:val="10"/>
                <w:b w:val="1"/>
                <w:bCs w:val="1"/>
                <w:i w:val="1"/>
                <w:iCs w:val="1"/>
                <w:color w:val="0000EE"/>
              </w:rPr>
            </w:pPr>
            <w:hyperlink w:anchor="page2">
              <w:r>
                <w:rPr>
                  <w:rFonts w:ascii="Arial" w:cs="Arial" w:eastAsia="Arial" w:hAnsi="Arial"/>
                  <w:sz w:val="10"/>
                  <w:szCs w:val="10"/>
                  <w:b w:val="1"/>
                  <w:bCs w:val="1"/>
                  <w:i w:val="1"/>
                  <w:iCs w:val="1"/>
                  <w:color w:val="0000EE"/>
                </w:rPr>
                <w:t>Table of Contents</w:t>
              </w:r>
            </w:hyperlink>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77"/>
        </w:trPr>
        <w:tc>
          <w:tcPr>
            <w:tcW w:w="5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5"/>
          </w:tcPr>
          <w:p>
            <w:pPr>
              <w:ind w:left="500"/>
              <w:spacing w:after="0"/>
              <w:rPr>
                <w:sz w:val="20"/>
                <w:szCs w:val="20"/>
                <w:color w:val="auto"/>
              </w:rPr>
            </w:pPr>
            <w:r>
              <w:rPr>
                <w:rFonts w:ascii="Arial" w:cs="Arial" w:eastAsia="Arial" w:hAnsi="Arial"/>
                <w:sz w:val="12"/>
                <w:szCs w:val="12"/>
                <w:b w:val="1"/>
                <w:bCs w:val="1"/>
                <w:color w:val="auto"/>
                <w:w w:val="98"/>
              </w:rPr>
              <w:t>UNIVERSAL FOREST PRODUCTS, INC.</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center"/>
              <w:spacing w:after="0"/>
              <w:rPr>
                <w:sz w:val="20"/>
                <w:szCs w:val="20"/>
                <w:color w:val="auto"/>
              </w:rPr>
            </w:pPr>
            <w:r>
              <w:rPr>
                <w:rFonts w:ascii="Arial" w:cs="Arial" w:eastAsia="Arial" w:hAnsi="Arial"/>
                <w:sz w:val="12"/>
                <w:szCs w:val="12"/>
                <w:color w:val="auto"/>
                <w:w w:val="89"/>
              </w:rPr>
              <w:t>Six Months Ended June 25, 2011</w:t>
            </w:r>
          </w:p>
        </w:tc>
        <w:tc>
          <w:tcPr>
            <w:tcW w:w="9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2"/>
                <w:szCs w:val="12"/>
                <w:color w:val="auto"/>
                <w:w w:val="90"/>
              </w:rPr>
              <w:t>Six Months Ended June 26, 2010</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3"/>
        </w:trPr>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ind w:right="160"/>
              <w:spacing w:after="0" w:line="133" w:lineRule="exact"/>
              <w:rPr>
                <w:sz w:val="20"/>
                <w:szCs w:val="20"/>
                <w:color w:val="auto"/>
              </w:rPr>
            </w:pPr>
            <w:r>
              <w:rPr>
                <w:rFonts w:ascii="Arial" w:cs="Arial" w:eastAsia="Arial" w:hAnsi="Arial"/>
                <w:sz w:val="12"/>
                <w:szCs w:val="12"/>
                <w:color w:val="auto"/>
                <w:w w:val="85"/>
              </w:rPr>
              <w:t>Per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ind w:right="180"/>
              <w:spacing w:after="0" w:line="133" w:lineRule="exact"/>
              <w:rPr>
                <w:sz w:val="20"/>
                <w:szCs w:val="20"/>
                <w:color w:val="auto"/>
              </w:rPr>
            </w:pPr>
            <w:r>
              <w:rPr>
                <w:rFonts w:ascii="Arial" w:cs="Arial" w:eastAsia="Arial" w:hAnsi="Arial"/>
                <w:sz w:val="12"/>
                <w:szCs w:val="12"/>
                <w:color w:val="auto"/>
                <w:w w:val="85"/>
              </w:rPr>
              <w:t>Per</w:t>
            </w:r>
          </w:p>
        </w:tc>
        <w:tc>
          <w:tcPr>
            <w:tcW w:w="120" w:type="dxa"/>
            <w:vAlign w:val="bottom"/>
          </w:tcPr>
          <w:p>
            <w:pPr>
              <w:spacing w:after="0"/>
              <w:rPr>
                <w:sz w:val="11"/>
                <w:szCs w:val="11"/>
                <w:color w:val="auto"/>
              </w:rPr>
            </w:pPr>
          </w:p>
        </w:tc>
      </w:tr>
      <w:tr>
        <w:trPr>
          <w:trHeight w:val="144"/>
        </w:trPr>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20" w:type="dxa"/>
            <w:vAlign w:val="bottom"/>
          </w:tcPr>
          <w:p>
            <w:pPr>
              <w:jc w:val="right"/>
              <w:ind w:right="125"/>
              <w:spacing w:after="0"/>
              <w:rPr>
                <w:sz w:val="20"/>
                <w:szCs w:val="20"/>
                <w:color w:val="auto"/>
              </w:rPr>
            </w:pPr>
            <w:r>
              <w:rPr>
                <w:rFonts w:ascii="Arial" w:cs="Arial" w:eastAsia="Arial" w:hAnsi="Arial"/>
                <w:sz w:val="12"/>
                <w:szCs w:val="12"/>
                <w:color w:val="auto"/>
              </w:rPr>
              <w:t>Income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2"/>
                <w:szCs w:val="12"/>
                <w:color w:val="auto"/>
                <w:w w:val="84"/>
              </w:rPr>
              <w:t>Shares</w:t>
            </w:r>
          </w:p>
        </w:tc>
        <w:tc>
          <w:tcPr>
            <w:tcW w:w="220" w:type="dxa"/>
            <w:vAlign w:val="bottom"/>
          </w:tcPr>
          <w:p>
            <w:pPr>
              <w:spacing w:after="0"/>
              <w:rPr>
                <w:sz w:val="12"/>
                <w:szCs w:val="12"/>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Share</w:t>
            </w:r>
          </w:p>
        </w:tc>
        <w:tc>
          <w:tcPr>
            <w:tcW w:w="180" w:type="dxa"/>
            <w:vAlign w:val="bottom"/>
          </w:tcPr>
          <w:p>
            <w:pPr>
              <w:spacing w:after="0"/>
              <w:rPr>
                <w:sz w:val="12"/>
                <w:szCs w:val="12"/>
                <w:color w:val="auto"/>
              </w:rPr>
            </w:pPr>
          </w:p>
        </w:tc>
        <w:tc>
          <w:tcPr>
            <w:tcW w:w="980" w:type="dxa"/>
            <w:vAlign w:val="bottom"/>
          </w:tcPr>
          <w:p>
            <w:pPr>
              <w:jc w:val="right"/>
              <w:ind w:right="340"/>
              <w:spacing w:after="0"/>
              <w:rPr>
                <w:sz w:val="20"/>
                <w:szCs w:val="20"/>
                <w:color w:val="auto"/>
              </w:rPr>
            </w:pPr>
            <w:r>
              <w:rPr>
                <w:rFonts w:ascii="Arial" w:cs="Arial" w:eastAsia="Arial" w:hAnsi="Arial"/>
                <w:sz w:val="12"/>
                <w:szCs w:val="12"/>
                <w:color w:val="auto"/>
              </w:rPr>
              <w:t>Income</w:t>
            </w:r>
          </w:p>
        </w:tc>
        <w:tc>
          <w:tcPr>
            <w:tcW w:w="220" w:type="dxa"/>
            <w:vAlign w:val="bottom"/>
          </w:tcPr>
          <w:p>
            <w:pPr>
              <w:spacing w:after="0"/>
              <w:rPr>
                <w:sz w:val="12"/>
                <w:szCs w:val="12"/>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2"/>
                <w:szCs w:val="12"/>
                <w:color w:val="auto"/>
                <w:w w:val="84"/>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2"/>
                <w:szCs w:val="12"/>
                <w:color w:val="auto"/>
                <w:w w:val="81"/>
              </w:rPr>
              <w:t>Share</w:t>
            </w:r>
          </w:p>
        </w:tc>
      </w:tr>
      <w:tr>
        <w:trPr>
          <w:trHeight w:val="153"/>
        </w:trPr>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20" w:type="dxa"/>
            <w:vAlign w:val="bottom"/>
          </w:tcPr>
          <w:p>
            <w:pPr>
              <w:jc w:val="right"/>
              <w:ind w:right="5"/>
              <w:spacing w:after="0"/>
              <w:rPr>
                <w:sz w:val="20"/>
                <w:szCs w:val="20"/>
                <w:color w:val="auto"/>
              </w:rPr>
            </w:pPr>
            <w:r>
              <w:rPr>
                <w:rFonts w:ascii="Arial" w:cs="Arial" w:eastAsia="Arial" w:hAnsi="Arial"/>
                <w:sz w:val="12"/>
                <w:szCs w:val="12"/>
                <w:color w:val="auto"/>
              </w:rPr>
              <w:t>(Numerator)</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2"/>
                <w:szCs w:val="12"/>
                <w:color w:val="auto"/>
                <w:w w:val="91"/>
              </w:rPr>
              <w:t>(Denominator)</w:t>
            </w:r>
          </w:p>
        </w:tc>
        <w:tc>
          <w:tcPr>
            <w:tcW w:w="220" w:type="dxa"/>
            <w:vAlign w:val="bottom"/>
          </w:tcPr>
          <w:p>
            <w:pPr>
              <w:spacing w:after="0"/>
              <w:rPr>
                <w:sz w:val="13"/>
                <w:szCs w:val="13"/>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2"/>
                <w:szCs w:val="12"/>
                <w:color w:val="auto"/>
                <w:w w:val="96"/>
              </w:rPr>
              <w:t>Amount</w:t>
            </w:r>
          </w:p>
        </w:tc>
        <w:tc>
          <w:tcPr>
            <w:tcW w:w="180" w:type="dxa"/>
            <w:vAlign w:val="bottom"/>
          </w:tcPr>
          <w:p>
            <w:pPr>
              <w:spacing w:after="0"/>
              <w:rPr>
                <w:sz w:val="13"/>
                <w:szCs w:val="13"/>
                <w:color w:val="auto"/>
              </w:rPr>
            </w:pPr>
          </w:p>
        </w:tc>
        <w:tc>
          <w:tcPr>
            <w:tcW w:w="980" w:type="dxa"/>
            <w:vAlign w:val="bottom"/>
          </w:tcPr>
          <w:p>
            <w:pPr>
              <w:jc w:val="right"/>
              <w:ind w:right="220"/>
              <w:spacing w:after="0"/>
              <w:rPr>
                <w:sz w:val="20"/>
                <w:szCs w:val="20"/>
                <w:color w:val="auto"/>
              </w:rPr>
            </w:pPr>
            <w:r>
              <w:rPr>
                <w:rFonts w:ascii="Arial" w:cs="Arial" w:eastAsia="Arial" w:hAnsi="Arial"/>
                <w:sz w:val="12"/>
                <w:szCs w:val="12"/>
                <w:color w:val="auto"/>
              </w:rPr>
              <w:t>(Numerator)</w:t>
            </w:r>
          </w:p>
        </w:tc>
        <w:tc>
          <w:tcPr>
            <w:tcW w:w="220" w:type="dxa"/>
            <w:vAlign w:val="bottom"/>
          </w:tcPr>
          <w:p>
            <w:pPr>
              <w:spacing w:after="0"/>
              <w:rPr>
                <w:sz w:val="13"/>
                <w:szCs w:val="13"/>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2"/>
                <w:szCs w:val="12"/>
                <w:color w:val="auto"/>
                <w:w w:val="93"/>
              </w:rPr>
              <w:t>(Denominator)</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2"/>
                <w:szCs w:val="12"/>
                <w:color w:val="auto"/>
                <w:w w:val="91"/>
              </w:rPr>
              <w:t>Amount</w:t>
            </w:r>
          </w:p>
        </w:tc>
      </w:tr>
      <w:tr>
        <w:trPr>
          <w:trHeight w:val="142"/>
        </w:trPr>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1"/>
        </w:trPr>
        <w:tc>
          <w:tcPr>
            <w:tcW w:w="560" w:type="dxa"/>
            <w:vAlign w:val="bottom"/>
          </w:tcPr>
          <w:p>
            <w:pPr>
              <w:spacing w:after="0"/>
              <w:rPr>
                <w:sz w:val="11"/>
                <w:szCs w:val="11"/>
                <w:color w:val="auto"/>
              </w:rPr>
            </w:pPr>
          </w:p>
        </w:tc>
        <w:tc>
          <w:tcPr>
            <w:tcW w:w="220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Net Earnings Attributable to</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7"/>
        </w:trPr>
        <w:tc>
          <w:tcPr>
            <w:tcW w:w="560" w:type="dxa"/>
            <w:vAlign w:val="bottom"/>
          </w:tcPr>
          <w:p>
            <w:pPr>
              <w:spacing w:after="0"/>
              <w:rPr>
                <w:sz w:val="13"/>
                <w:szCs w:val="13"/>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2"/>
                <w:szCs w:val="12"/>
                <w:b w:val="1"/>
                <w:bCs w:val="1"/>
                <w:color w:val="auto"/>
              </w:rPr>
              <w:t>Controlling Interest</w:t>
            </w:r>
          </w:p>
        </w:tc>
        <w:tc>
          <w:tcPr>
            <w:tcW w:w="920" w:type="dxa"/>
            <w:vAlign w:val="bottom"/>
            <w:shd w:val="clear" w:color="auto" w:fill="CCEEFF"/>
          </w:tcPr>
          <w:p>
            <w:pPr>
              <w:jc w:val="right"/>
              <w:ind w:right="805"/>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9"/>
              </w:rPr>
              <w:t>607</w:t>
            </w: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14,703</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4"/>
        </w:trPr>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560" w:type="dxa"/>
            <w:vAlign w:val="bottom"/>
          </w:tcPr>
          <w:p>
            <w:pPr>
              <w:spacing w:after="0"/>
              <w:rPr>
                <w:sz w:val="11"/>
                <w:szCs w:val="11"/>
                <w:color w:val="auto"/>
              </w:rPr>
            </w:pPr>
          </w:p>
        </w:tc>
        <w:tc>
          <w:tcPr>
            <w:tcW w:w="22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EPS – Basic</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93"/>
        </w:trPr>
        <w:tc>
          <w:tcPr>
            <w:tcW w:w="560" w:type="dxa"/>
            <w:vAlign w:val="bottom"/>
          </w:tcPr>
          <w:p>
            <w:pPr>
              <w:spacing w:after="0"/>
              <w:rPr>
                <w:sz w:val="16"/>
                <w:szCs w:val="16"/>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7"/>
              </w:rPr>
              <w:t>Income available to common stockholders</w:t>
            </w:r>
          </w:p>
        </w:tc>
        <w:tc>
          <w:tcPr>
            <w:tcW w:w="9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9"/>
              </w:rPr>
              <w:t>607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19,360</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0.03</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14,703</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19,258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0.76</w:t>
            </w:r>
          </w:p>
        </w:tc>
      </w:tr>
      <w:tr>
        <w:trPr>
          <w:trHeight w:val="120"/>
        </w:trPr>
        <w:tc>
          <w:tcPr>
            <w:tcW w:w="560" w:type="dxa"/>
            <w:vAlign w:val="bottom"/>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8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35"/>
        </w:trPr>
        <w:tc>
          <w:tcPr>
            <w:tcW w:w="560" w:type="dxa"/>
            <w:vAlign w:val="bottom"/>
          </w:tcPr>
          <w:p>
            <w:pPr>
              <w:spacing w:after="0"/>
              <w:rPr>
                <w:sz w:val="11"/>
                <w:szCs w:val="11"/>
                <w:color w:val="auto"/>
              </w:rPr>
            </w:pPr>
          </w:p>
        </w:tc>
        <w:tc>
          <w:tcPr>
            <w:tcW w:w="22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Effect of dilutive securities</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3"/>
        </w:trPr>
        <w:tc>
          <w:tcPr>
            <w:tcW w:w="560" w:type="dxa"/>
            <w:vAlign w:val="bottom"/>
          </w:tcPr>
          <w:p>
            <w:pPr>
              <w:spacing w:after="0"/>
              <w:rPr>
                <w:sz w:val="13"/>
                <w:szCs w:val="13"/>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Options</w:t>
            </w: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153</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266</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2"/>
        </w:trPr>
        <w:tc>
          <w:tcPr>
            <w:tcW w:w="560" w:type="dxa"/>
            <w:vAlign w:val="bottom"/>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8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9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9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35"/>
        </w:trPr>
        <w:tc>
          <w:tcPr>
            <w:tcW w:w="560" w:type="dxa"/>
            <w:vAlign w:val="bottom"/>
          </w:tcPr>
          <w:p>
            <w:pPr>
              <w:spacing w:after="0"/>
              <w:rPr>
                <w:sz w:val="11"/>
                <w:szCs w:val="11"/>
                <w:color w:val="auto"/>
              </w:rPr>
            </w:pPr>
          </w:p>
        </w:tc>
        <w:tc>
          <w:tcPr>
            <w:tcW w:w="22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EPS - Diluted</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560" w:type="dxa"/>
            <w:vAlign w:val="bottom"/>
          </w:tcPr>
          <w:p>
            <w:pPr>
              <w:spacing w:after="0"/>
              <w:rPr>
                <w:sz w:val="12"/>
                <w:szCs w:val="12"/>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7"/>
              </w:rPr>
              <w:t>Income available to common stockholders</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73"/>
        </w:trPr>
        <w:tc>
          <w:tcPr>
            <w:tcW w:w="560" w:type="dxa"/>
            <w:vAlign w:val="bottom"/>
          </w:tcPr>
          <w:p>
            <w:pPr>
              <w:spacing w:after="0"/>
              <w:rPr>
                <w:sz w:val="15"/>
                <w:szCs w:val="15"/>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and assumed options exercised</w:t>
            </w:r>
          </w:p>
        </w:tc>
        <w:tc>
          <w:tcPr>
            <w:tcW w:w="920" w:type="dxa"/>
            <w:vAlign w:val="bottom"/>
            <w:shd w:val="clear" w:color="auto" w:fill="CCEEFF"/>
          </w:tcPr>
          <w:p>
            <w:pPr>
              <w:jc w:val="right"/>
              <w:ind w:right="805"/>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9"/>
              </w:rPr>
              <w:t>607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19,513</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0.03</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14,703</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19,524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0.75</w:t>
            </w:r>
          </w:p>
        </w:tc>
      </w:tr>
      <w:tr>
        <w:trPr>
          <w:trHeight w:val="20"/>
        </w:trPr>
        <w:tc>
          <w:tcPr>
            <w:tcW w:w="56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5"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Options to purchase 30,000 shares were not included in the computation of diluted EPS for the quarter ended June 25, 2011 because the options’ exercise price was greater than the average market price of the common stock during the period and, therefore would be antidilutive.</w:t>
      </w:r>
    </w:p>
    <w:p>
      <w:pPr>
        <w:spacing w:after="0" w:line="115"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Options to purchase 10,000 shares were not included in the computation of diluted EPS for the six months ended June 25, 2011 because the options’ exercise price was greater than the average market price of the common stock during the period and, therefore would be antidilutive.</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 options were excluded from the computation of diluted EPS for the quarter and six months ended June 26, 2010.</w:t>
      </w:r>
    </w:p>
    <w:p>
      <w:pPr>
        <w:spacing w:after="0" w:line="146" w:lineRule="exact"/>
        <w:rPr>
          <w:sz w:val="20"/>
          <w:szCs w:val="20"/>
          <w:color w:val="auto"/>
        </w:rPr>
      </w:pPr>
    </w:p>
    <w:p>
      <w:pPr>
        <w:ind w:left="428" w:hanging="428"/>
        <w:spacing w:after="0"/>
        <w:tabs>
          <w:tab w:leader="none" w:pos="428" w:val="left"/>
        </w:tabs>
        <w:numPr>
          <w:ilvl w:val="0"/>
          <w:numId w:val="7"/>
        </w:numPr>
        <w:rPr>
          <w:rFonts w:ascii="Arial" w:cs="Arial" w:eastAsia="Arial" w:hAnsi="Arial"/>
          <w:sz w:val="12"/>
          <w:szCs w:val="12"/>
          <w:b w:val="1"/>
          <w:bCs w:val="1"/>
          <w:color w:val="auto"/>
        </w:rPr>
      </w:pPr>
      <w:r>
        <w:rPr>
          <w:rFonts w:ascii="Arial" w:cs="Arial" w:eastAsia="Arial" w:hAnsi="Arial"/>
          <w:sz w:val="12"/>
          <w:szCs w:val="12"/>
          <w:b w:val="1"/>
          <w:bCs w:val="1"/>
          <w:color w:val="auto"/>
        </w:rPr>
        <w:t>ASSETS HELD FOR SALE AND NET LOSS ON DISPOSITION OF ASSETS, EARLY RETIRMENT AND OTHER IMPAIRMENTS AND EXIT CHARGES</w:t>
      </w:r>
    </w:p>
    <w:p>
      <w:pPr>
        <w:spacing w:after="0" w:line="154" w:lineRule="exact"/>
        <w:rPr>
          <w:rFonts w:ascii="Arial" w:cs="Arial" w:eastAsia="Arial" w:hAnsi="Arial"/>
          <w:sz w:val="12"/>
          <w:szCs w:val="12"/>
          <w:b w:val="1"/>
          <w:bCs w:val="1"/>
          <w:color w:val="auto"/>
        </w:rPr>
      </w:pPr>
    </w:p>
    <w:p>
      <w:pPr>
        <w:jc w:val="both"/>
        <w:ind w:left="428"/>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Included in “Assets held for sale” on our Consolidated Condensed Balance Sheets are certain property, plant and equipment totaling $5.1 million on June 25, 2011. The assets held for sale consist of certain vacant land and facilities we previously closed to better align manufacturing capacity with the current business environment. The fair values were determined based on appraisals or recent offers to acquire assets. These and other idle assets were evaluated based on the requirements of ASC 360, which resulted in impairment and other exit charges included in “Net loss on disposition of assets, early retirement and other impairment and exit charges” for the periods presented below. These amounts include the following, separated by reporting segment (in thousands):</w:t>
      </w:r>
    </w:p>
    <w:p>
      <w:pPr>
        <w:spacing w:after="0" w:line="283"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15" w:right="1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15"/>
        </w:trPr>
        <w:tc>
          <w:tcPr>
            <w:tcW w:w="2300" w:type="dxa"/>
            <w:vAlign w:val="bottom"/>
            <w:gridSpan w:val="2"/>
          </w:tcPr>
          <w:p>
            <w:pPr>
              <w:spacing w:after="0"/>
              <w:rPr>
                <w:rFonts w:ascii="Arial" w:cs="Arial" w:eastAsia="Arial" w:hAnsi="Arial"/>
                <w:sz w:val="10"/>
                <w:szCs w:val="10"/>
                <w:b w:val="1"/>
                <w:bCs w:val="1"/>
                <w:i w:val="1"/>
                <w:iCs w:val="1"/>
                <w:color w:val="0000EE"/>
              </w:rPr>
            </w:pPr>
            <w:hyperlink w:anchor="page2">
              <w:r>
                <w:rPr>
                  <w:rFonts w:ascii="Arial" w:cs="Arial" w:eastAsia="Arial" w:hAnsi="Arial"/>
                  <w:sz w:val="10"/>
                  <w:szCs w:val="10"/>
                  <w:b w:val="1"/>
                  <w:bCs w:val="1"/>
                  <w:i w:val="1"/>
                  <w:iCs w:val="1"/>
                  <w:color w:val="0000EE"/>
                </w:rPr>
                <w:t>Table of Contents</w:t>
              </w:r>
            </w:hyperlink>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77"/>
        </w:trPr>
        <w:tc>
          <w:tcPr>
            <w:tcW w:w="68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80" w:type="dxa"/>
            <w:vAlign w:val="bottom"/>
            <w:gridSpan w:val="4"/>
          </w:tcPr>
          <w:p>
            <w:pPr>
              <w:jc w:val="right"/>
              <w:ind w:right="60"/>
              <w:spacing w:after="0"/>
              <w:rPr>
                <w:sz w:val="20"/>
                <w:szCs w:val="20"/>
                <w:color w:val="auto"/>
              </w:rPr>
            </w:pPr>
            <w:r>
              <w:rPr>
                <w:rFonts w:ascii="Arial" w:cs="Arial" w:eastAsia="Arial" w:hAnsi="Arial"/>
                <w:sz w:val="12"/>
                <w:szCs w:val="12"/>
                <w:b w:val="1"/>
                <w:bCs w:val="1"/>
                <w:color w:val="auto"/>
              </w:rPr>
              <w:t>UNIVERSAL FOREST PRODUCTS, INC.</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44"/>
        </w:trPr>
        <w:tc>
          <w:tcPr>
            <w:tcW w:w="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3"/>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3"/>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r>
      <w:tr>
        <w:trPr>
          <w:trHeight w:val="160"/>
        </w:trPr>
        <w:tc>
          <w:tcPr>
            <w:tcW w:w="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2"/>
                <w:szCs w:val="12"/>
                <w:color w:val="auto"/>
                <w:w w:val="91"/>
              </w:rPr>
              <w:t>Three Months Ended June 25, 2011</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2"/>
                <w:szCs w:val="12"/>
                <w:color w:val="auto"/>
                <w:w w:val="90"/>
              </w:rPr>
              <w:t>Three Months Ended June 26, 2010</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33"/>
        </w:trPr>
        <w:tc>
          <w:tcPr>
            <w:tcW w:w="6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center"/>
              <w:ind w:right="220"/>
              <w:spacing w:after="0" w:line="133" w:lineRule="exact"/>
              <w:rPr>
                <w:sz w:val="20"/>
                <w:szCs w:val="20"/>
                <w:color w:val="auto"/>
              </w:rPr>
            </w:pPr>
            <w:r>
              <w:rPr>
                <w:rFonts w:ascii="Arial" w:cs="Arial" w:eastAsia="Arial" w:hAnsi="Arial"/>
                <w:sz w:val="12"/>
                <w:szCs w:val="12"/>
                <w:color w:val="auto"/>
                <w:w w:val="86"/>
              </w:rPr>
              <w:t>Eastern</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4"/>
        </w:trPr>
        <w:tc>
          <w:tcPr>
            <w:tcW w:w="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right="220"/>
              <w:spacing w:after="0"/>
              <w:rPr>
                <w:sz w:val="20"/>
                <w:szCs w:val="20"/>
                <w:color w:val="auto"/>
              </w:rPr>
            </w:pPr>
            <w:r>
              <w:rPr>
                <w:rFonts w:ascii="Arial" w:cs="Arial" w:eastAsia="Arial" w:hAnsi="Arial"/>
                <w:sz w:val="12"/>
                <w:szCs w:val="12"/>
                <w:color w:val="auto"/>
                <w:w w:val="79"/>
              </w:rPr>
              <w:t>and</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00"/>
              <w:spacing w:after="0"/>
              <w:rPr>
                <w:sz w:val="20"/>
                <w:szCs w:val="20"/>
                <w:color w:val="auto"/>
              </w:rPr>
            </w:pPr>
            <w:r>
              <w:rPr>
                <w:rFonts w:ascii="Arial" w:cs="Arial" w:eastAsia="Arial" w:hAnsi="Arial"/>
                <w:sz w:val="12"/>
                <w:szCs w:val="12"/>
                <w:color w:val="auto"/>
                <w:w w:val="86"/>
              </w:rPr>
              <w:t>Eastern and</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right="220"/>
              <w:spacing w:after="0"/>
              <w:rPr>
                <w:sz w:val="20"/>
                <w:szCs w:val="20"/>
                <w:color w:val="auto"/>
              </w:rPr>
            </w:pPr>
            <w:r>
              <w:rPr>
                <w:rFonts w:ascii="Arial" w:cs="Arial" w:eastAsia="Arial" w:hAnsi="Arial"/>
                <w:sz w:val="12"/>
                <w:szCs w:val="12"/>
                <w:color w:val="auto"/>
                <w:w w:val="89"/>
              </w:rPr>
              <w:t>Western</w:t>
            </w:r>
          </w:p>
        </w:tc>
        <w:tc>
          <w:tcPr>
            <w:tcW w:w="220" w:type="dxa"/>
            <w:vAlign w:val="bottom"/>
          </w:tcPr>
          <w:p>
            <w:pPr>
              <w:spacing w:after="0"/>
              <w:rPr>
                <w:sz w:val="12"/>
                <w:szCs w:val="12"/>
                <w:color w:val="auto"/>
              </w:rPr>
            </w:pPr>
          </w:p>
        </w:tc>
        <w:tc>
          <w:tcPr>
            <w:tcW w:w="880" w:type="dxa"/>
            <w:vAlign w:val="bottom"/>
          </w:tcPr>
          <w:p>
            <w:pPr>
              <w:ind w:left="140"/>
              <w:spacing w:after="0"/>
              <w:rPr>
                <w:sz w:val="20"/>
                <w:szCs w:val="20"/>
                <w:color w:val="auto"/>
              </w:rPr>
            </w:pPr>
            <w:r>
              <w:rPr>
                <w:rFonts w:ascii="Arial" w:cs="Arial" w:eastAsia="Arial" w:hAnsi="Arial"/>
                <w:sz w:val="12"/>
                <w:szCs w:val="12"/>
                <w:color w:val="auto"/>
              </w:rPr>
              <w:t>Atlantic</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center"/>
              <w:ind w:right="280"/>
              <w:spacing w:after="0"/>
              <w:rPr>
                <w:sz w:val="20"/>
                <w:szCs w:val="20"/>
                <w:color w:val="auto"/>
              </w:rPr>
            </w:pPr>
            <w:r>
              <w:rPr>
                <w:rFonts w:ascii="Arial" w:cs="Arial" w:eastAsia="Arial" w:hAnsi="Arial"/>
                <w:sz w:val="12"/>
                <w:szCs w:val="12"/>
                <w:color w:val="auto"/>
              </w:rPr>
              <w:t>All</w:t>
            </w:r>
          </w:p>
        </w:tc>
        <w:tc>
          <w:tcPr>
            <w:tcW w:w="220" w:type="dxa"/>
            <w:vAlign w:val="bottom"/>
          </w:tcPr>
          <w:p>
            <w:pPr>
              <w:spacing w:after="0"/>
              <w:rPr>
                <w:sz w:val="12"/>
                <w:szCs w:val="12"/>
                <w:color w:val="auto"/>
              </w:rPr>
            </w:pPr>
          </w:p>
        </w:tc>
        <w:tc>
          <w:tcPr>
            <w:tcW w:w="940" w:type="dxa"/>
            <w:vAlign w:val="bottom"/>
          </w:tcPr>
          <w:p>
            <w:pPr>
              <w:jc w:val="center"/>
              <w:ind w:right="180"/>
              <w:spacing w:after="0"/>
              <w:rPr>
                <w:sz w:val="20"/>
                <w:szCs w:val="20"/>
                <w:color w:val="auto"/>
              </w:rPr>
            </w:pPr>
            <w:r>
              <w:rPr>
                <w:rFonts w:ascii="Arial" w:cs="Arial" w:eastAsia="Arial" w:hAnsi="Arial"/>
                <w:sz w:val="12"/>
                <w:szCs w:val="12"/>
                <w:color w:val="auto"/>
                <w:w w:val="84"/>
              </w:rPr>
              <w:t>Western</w:t>
            </w:r>
          </w:p>
        </w:tc>
        <w:tc>
          <w:tcPr>
            <w:tcW w:w="200" w:type="dxa"/>
            <w:vAlign w:val="bottom"/>
          </w:tcPr>
          <w:p>
            <w:pPr>
              <w:spacing w:after="0"/>
              <w:rPr>
                <w:sz w:val="12"/>
                <w:szCs w:val="12"/>
                <w:color w:val="auto"/>
              </w:rPr>
            </w:pPr>
          </w:p>
        </w:tc>
        <w:tc>
          <w:tcPr>
            <w:tcW w:w="920" w:type="dxa"/>
            <w:vAlign w:val="bottom"/>
          </w:tcPr>
          <w:p>
            <w:pPr>
              <w:ind w:left="140"/>
              <w:spacing w:after="0"/>
              <w:rPr>
                <w:sz w:val="20"/>
                <w:szCs w:val="20"/>
                <w:color w:val="auto"/>
              </w:rPr>
            </w:pPr>
            <w:r>
              <w:rPr>
                <w:rFonts w:ascii="Arial" w:cs="Arial" w:eastAsia="Arial" w:hAnsi="Arial"/>
                <w:sz w:val="12"/>
                <w:szCs w:val="12"/>
                <w:color w:val="auto"/>
              </w:rPr>
              <w:t>Atlantic</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ind w:right="240"/>
              <w:spacing w:after="0"/>
              <w:rPr>
                <w:sz w:val="20"/>
                <w:szCs w:val="20"/>
                <w:color w:val="auto"/>
              </w:rPr>
            </w:pPr>
            <w:r>
              <w:rPr>
                <w:rFonts w:ascii="Arial" w:cs="Arial" w:eastAsia="Arial" w:hAnsi="Arial"/>
                <w:sz w:val="12"/>
                <w:szCs w:val="12"/>
                <w:color w:val="auto"/>
              </w:rPr>
              <w:t>All</w:t>
            </w:r>
          </w:p>
        </w:tc>
      </w:tr>
      <w:tr>
        <w:trPr>
          <w:trHeight w:val="153"/>
        </w:trPr>
        <w:tc>
          <w:tcPr>
            <w:tcW w:w="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40"/>
              <w:spacing w:after="0"/>
              <w:rPr>
                <w:sz w:val="20"/>
                <w:szCs w:val="20"/>
                <w:color w:val="auto"/>
              </w:rPr>
            </w:pPr>
            <w:r>
              <w:rPr>
                <w:rFonts w:ascii="Arial" w:cs="Arial" w:eastAsia="Arial" w:hAnsi="Arial"/>
                <w:sz w:val="12"/>
                <w:szCs w:val="12"/>
                <w:color w:val="auto"/>
                <w:w w:val="95"/>
              </w:rPr>
              <w:t>Divisions</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Division</w:t>
            </w: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Corporate</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80"/>
              <w:spacing w:after="0"/>
              <w:rPr>
                <w:sz w:val="20"/>
                <w:szCs w:val="20"/>
                <w:color w:val="auto"/>
              </w:rPr>
            </w:pPr>
            <w:r>
              <w:rPr>
                <w:rFonts w:ascii="Arial" w:cs="Arial" w:eastAsia="Arial" w:hAnsi="Arial"/>
                <w:sz w:val="12"/>
                <w:szCs w:val="12"/>
                <w:color w:val="auto"/>
                <w:w w:val="93"/>
              </w:rPr>
              <w:t>Other</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color w:val="auto"/>
                <w:w w:val="95"/>
              </w:rPr>
              <w:t>Divisions</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Division</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Corporate</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40"/>
              <w:spacing w:after="0"/>
              <w:rPr>
                <w:sz w:val="20"/>
                <w:szCs w:val="20"/>
                <w:color w:val="auto"/>
              </w:rPr>
            </w:pPr>
            <w:r>
              <w:rPr>
                <w:rFonts w:ascii="Arial" w:cs="Arial" w:eastAsia="Arial" w:hAnsi="Arial"/>
                <w:sz w:val="12"/>
                <w:szCs w:val="12"/>
                <w:color w:val="auto"/>
                <w:w w:val="86"/>
              </w:rPr>
              <w:t>Other</w:t>
            </w:r>
          </w:p>
        </w:tc>
      </w:tr>
      <w:tr>
        <w:trPr>
          <w:trHeight w:val="142"/>
        </w:trPr>
        <w:tc>
          <w:tcPr>
            <w:tcW w:w="2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Severances and early retirement</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3,309</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w:t>
            </w:r>
          </w:p>
        </w:tc>
      </w:tr>
      <w:tr>
        <w:trPr>
          <w:trHeight w:val="153"/>
        </w:trPr>
        <w:tc>
          <w:tcPr>
            <w:tcW w:w="2300" w:type="dxa"/>
            <w:vAlign w:val="bottom"/>
            <w:gridSpan w:val="2"/>
          </w:tcPr>
          <w:p>
            <w:pPr>
              <w:spacing w:after="0"/>
              <w:rPr>
                <w:sz w:val="20"/>
                <w:szCs w:val="20"/>
                <w:color w:val="auto"/>
              </w:rPr>
            </w:pPr>
            <w:r>
              <w:rPr>
                <w:rFonts w:ascii="Arial" w:cs="Arial" w:eastAsia="Arial" w:hAnsi="Arial"/>
                <w:sz w:val="12"/>
                <w:szCs w:val="12"/>
                <w:color w:val="auto"/>
              </w:rPr>
              <w:t>Property, plant and equipment</w:t>
            </w:r>
          </w:p>
        </w:tc>
        <w:tc>
          <w:tcPr>
            <w:tcW w:w="260" w:type="dxa"/>
            <w:vAlign w:val="bottom"/>
          </w:tcPr>
          <w:p>
            <w:pPr>
              <w:spacing w:after="0"/>
              <w:rPr>
                <w:sz w:val="13"/>
                <w:szCs w:val="13"/>
                <w:color w:val="auto"/>
              </w:rPr>
            </w:pP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(28)</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191</w:t>
            </w: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(127)</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285</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35"/>
        </w:trPr>
        <w:tc>
          <w:tcPr>
            <w:tcW w:w="6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3"/>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3"/>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2"/>
                <w:szCs w:val="12"/>
                <w:color w:val="auto"/>
                <w:w w:val="96"/>
              </w:rPr>
              <w:t>Six Months Ended June 25, 2011</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color w:val="auto"/>
                <w:w w:val="95"/>
              </w:rPr>
              <w:t>Six Months Ended June 26, 2010</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33"/>
        </w:trPr>
        <w:tc>
          <w:tcPr>
            <w:tcW w:w="6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center"/>
              <w:ind w:right="220"/>
              <w:spacing w:after="0" w:line="133" w:lineRule="exact"/>
              <w:rPr>
                <w:sz w:val="20"/>
                <w:szCs w:val="20"/>
                <w:color w:val="auto"/>
              </w:rPr>
            </w:pPr>
            <w:r>
              <w:rPr>
                <w:rFonts w:ascii="Arial" w:cs="Arial" w:eastAsia="Arial" w:hAnsi="Arial"/>
                <w:sz w:val="12"/>
                <w:szCs w:val="12"/>
                <w:color w:val="auto"/>
                <w:w w:val="86"/>
              </w:rPr>
              <w:t>Eastern</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4"/>
        </w:trPr>
        <w:tc>
          <w:tcPr>
            <w:tcW w:w="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right="220"/>
              <w:spacing w:after="0"/>
              <w:rPr>
                <w:sz w:val="20"/>
                <w:szCs w:val="20"/>
                <w:color w:val="auto"/>
              </w:rPr>
            </w:pPr>
            <w:r>
              <w:rPr>
                <w:rFonts w:ascii="Arial" w:cs="Arial" w:eastAsia="Arial" w:hAnsi="Arial"/>
                <w:sz w:val="12"/>
                <w:szCs w:val="12"/>
                <w:color w:val="auto"/>
                <w:w w:val="79"/>
              </w:rPr>
              <w:t>and</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00"/>
              <w:spacing w:after="0"/>
              <w:rPr>
                <w:sz w:val="20"/>
                <w:szCs w:val="20"/>
                <w:color w:val="auto"/>
              </w:rPr>
            </w:pPr>
            <w:r>
              <w:rPr>
                <w:rFonts w:ascii="Arial" w:cs="Arial" w:eastAsia="Arial" w:hAnsi="Arial"/>
                <w:sz w:val="12"/>
                <w:szCs w:val="12"/>
                <w:color w:val="auto"/>
                <w:w w:val="86"/>
              </w:rPr>
              <w:t>Eastern and</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right="220"/>
              <w:spacing w:after="0"/>
              <w:rPr>
                <w:sz w:val="20"/>
                <w:szCs w:val="20"/>
                <w:color w:val="auto"/>
              </w:rPr>
            </w:pPr>
            <w:r>
              <w:rPr>
                <w:rFonts w:ascii="Arial" w:cs="Arial" w:eastAsia="Arial" w:hAnsi="Arial"/>
                <w:sz w:val="12"/>
                <w:szCs w:val="12"/>
                <w:color w:val="auto"/>
                <w:w w:val="89"/>
              </w:rPr>
              <w:t>Western</w:t>
            </w:r>
          </w:p>
        </w:tc>
        <w:tc>
          <w:tcPr>
            <w:tcW w:w="220" w:type="dxa"/>
            <w:vAlign w:val="bottom"/>
          </w:tcPr>
          <w:p>
            <w:pPr>
              <w:spacing w:after="0"/>
              <w:rPr>
                <w:sz w:val="12"/>
                <w:szCs w:val="12"/>
                <w:color w:val="auto"/>
              </w:rPr>
            </w:pPr>
          </w:p>
        </w:tc>
        <w:tc>
          <w:tcPr>
            <w:tcW w:w="880" w:type="dxa"/>
            <w:vAlign w:val="bottom"/>
          </w:tcPr>
          <w:p>
            <w:pPr>
              <w:ind w:left="140"/>
              <w:spacing w:after="0"/>
              <w:rPr>
                <w:sz w:val="20"/>
                <w:szCs w:val="20"/>
                <w:color w:val="auto"/>
              </w:rPr>
            </w:pPr>
            <w:r>
              <w:rPr>
                <w:rFonts w:ascii="Arial" w:cs="Arial" w:eastAsia="Arial" w:hAnsi="Arial"/>
                <w:sz w:val="12"/>
                <w:szCs w:val="12"/>
                <w:color w:val="auto"/>
              </w:rPr>
              <w:t>Atlantic</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center"/>
              <w:ind w:right="280"/>
              <w:spacing w:after="0"/>
              <w:rPr>
                <w:sz w:val="20"/>
                <w:szCs w:val="20"/>
                <w:color w:val="auto"/>
              </w:rPr>
            </w:pPr>
            <w:r>
              <w:rPr>
                <w:rFonts w:ascii="Arial" w:cs="Arial" w:eastAsia="Arial" w:hAnsi="Arial"/>
                <w:sz w:val="12"/>
                <w:szCs w:val="12"/>
                <w:color w:val="auto"/>
              </w:rPr>
              <w:t>All</w:t>
            </w:r>
          </w:p>
        </w:tc>
        <w:tc>
          <w:tcPr>
            <w:tcW w:w="220" w:type="dxa"/>
            <w:vAlign w:val="bottom"/>
          </w:tcPr>
          <w:p>
            <w:pPr>
              <w:spacing w:after="0"/>
              <w:rPr>
                <w:sz w:val="12"/>
                <w:szCs w:val="12"/>
                <w:color w:val="auto"/>
              </w:rPr>
            </w:pPr>
          </w:p>
        </w:tc>
        <w:tc>
          <w:tcPr>
            <w:tcW w:w="940" w:type="dxa"/>
            <w:vAlign w:val="bottom"/>
          </w:tcPr>
          <w:p>
            <w:pPr>
              <w:jc w:val="center"/>
              <w:ind w:right="180"/>
              <w:spacing w:after="0"/>
              <w:rPr>
                <w:sz w:val="20"/>
                <w:szCs w:val="20"/>
                <w:color w:val="auto"/>
              </w:rPr>
            </w:pPr>
            <w:r>
              <w:rPr>
                <w:rFonts w:ascii="Arial" w:cs="Arial" w:eastAsia="Arial" w:hAnsi="Arial"/>
                <w:sz w:val="12"/>
                <w:szCs w:val="12"/>
                <w:color w:val="auto"/>
                <w:w w:val="84"/>
              </w:rPr>
              <w:t>Western</w:t>
            </w:r>
          </w:p>
        </w:tc>
        <w:tc>
          <w:tcPr>
            <w:tcW w:w="200" w:type="dxa"/>
            <w:vAlign w:val="bottom"/>
          </w:tcPr>
          <w:p>
            <w:pPr>
              <w:spacing w:after="0"/>
              <w:rPr>
                <w:sz w:val="12"/>
                <w:szCs w:val="12"/>
                <w:color w:val="auto"/>
              </w:rPr>
            </w:pPr>
          </w:p>
        </w:tc>
        <w:tc>
          <w:tcPr>
            <w:tcW w:w="920" w:type="dxa"/>
            <w:vAlign w:val="bottom"/>
          </w:tcPr>
          <w:p>
            <w:pPr>
              <w:ind w:left="140"/>
              <w:spacing w:after="0"/>
              <w:rPr>
                <w:sz w:val="20"/>
                <w:szCs w:val="20"/>
                <w:color w:val="auto"/>
              </w:rPr>
            </w:pPr>
            <w:r>
              <w:rPr>
                <w:rFonts w:ascii="Arial" w:cs="Arial" w:eastAsia="Arial" w:hAnsi="Arial"/>
                <w:sz w:val="12"/>
                <w:szCs w:val="12"/>
                <w:color w:val="auto"/>
              </w:rPr>
              <w:t>Atlantic</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ind w:right="240"/>
              <w:spacing w:after="0"/>
              <w:rPr>
                <w:sz w:val="20"/>
                <w:szCs w:val="20"/>
                <w:color w:val="auto"/>
              </w:rPr>
            </w:pPr>
            <w:r>
              <w:rPr>
                <w:rFonts w:ascii="Arial" w:cs="Arial" w:eastAsia="Arial" w:hAnsi="Arial"/>
                <w:sz w:val="12"/>
                <w:szCs w:val="12"/>
                <w:color w:val="auto"/>
              </w:rPr>
              <w:t>All</w:t>
            </w:r>
          </w:p>
        </w:tc>
      </w:tr>
      <w:tr>
        <w:trPr>
          <w:trHeight w:val="153"/>
        </w:trPr>
        <w:tc>
          <w:tcPr>
            <w:tcW w:w="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40"/>
              <w:spacing w:after="0"/>
              <w:rPr>
                <w:sz w:val="20"/>
                <w:szCs w:val="20"/>
                <w:color w:val="auto"/>
              </w:rPr>
            </w:pPr>
            <w:r>
              <w:rPr>
                <w:rFonts w:ascii="Arial" w:cs="Arial" w:eastAsia="Arial" w:hAnsi="Arial"/>
                <w:sz w:val="12"/>
                <w:szCs w:val="12"/>
                <w:color w:val="auto"/>
                <w:w w:val="95"/>
              </w:rPr>
              <w:t>Divisions</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Division</w:t>
            </w: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Corporate</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80"/>
              <w:spacing w:after="0"/>
              <w:rPr>
                <w:sz w:val="20"/>
                <w:szCs w:val="20"/>
                <w:color w:val="auto"/>
              </w:rPr>
            </w:pPr>
            <w:r>
              <w:rPr>
                <w:rFonts w:ascii="Arial" w:cs="Arial" w:eastAsia="Arial" w:hAnsi="Arial"/>
                <w:sz w:val="12"/>
                <w:szCs w:val="12"/>
                <w:color w:val="auto"/>
                <w:w w:val="93"/>
              </w:rPr>
              <w:t>Other</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color w:val="auto"/>
                <w:w w:val="95"/>
              </w:rPr>
              <w:t>Divisions</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Division</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Corporate</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40"/>
              <w:spacing w:after="0"/>
              <w:rPr>
                <w:sz w:val="20"/>
                <w:szCs w:val="20"/>
                <w:color w:val="auto"/>
              </w:rPr>
            </w:pPr>
            <w:r>
              <w:rPr>
                <w:rFonts w:ascii="Arial" w:cs="Arial" w:eastAsia="Arial" w:hAnsi="Arial"/>
                <w:sz w:val="12"/>
                <w:szCs w:val="12"/>
                <w:color w:val="auto"/>
                <w:w w:val="86"/>
              </w:rPr>
              <w:t>Other</w:t>
            </w:r>
          </w:p>
        </w:tc>
      </w:tr>
      <w:tr>
        <w:trPr>
          <w:trHeight w:val="142"/>
        </w:trPr>
        <w:tc>
          <w:tcPr>
            <w:tcW w:w="2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Severances and early retirement</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118</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16</w:t>
            </w:r>
          </w:p>
        </w:tc>
        <w:tc>
          <w:tcPr>
            <w:tcW w:w="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3,334</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136</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85</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w:t>
            </w:r>
          </w:p>
        </w:tc>
      </w:tr>
      <w:tr>
        <w:trPr>
          <w:trHeight w:val="153"/>
        </w:trPr>
        <w:tc>
          <w:tcPr>
            <w:tcW w:w="2300" w:type="dxa"/>
            <w:vAlign w:val="bottom"/>
            <w:gridSpan w:val="2"/>
          </w:tcPr>
          <w:p>
            <w:pPr>
              <w:spacing w:after="0"/>
              <w:rPr>
                <w:sz w:val="20"/>
                <w:szCs w:val="20"/>
                <w:color w:val="auto"/>
              </w:rPr>
            </w:pPr>
            <w:r>
              <w:rPr>
                <w:rFonts w:ascii="Arial" w:cs="Arial" w:eastAsia="Arial" w:hAnsi="Arial"/>
                <w:sz w:val="12"/>
                <w:szCs w:val="12"/>
                <w:color w:val="auto"/>
              </w:rPr>
              <w:t>Property, plant and equipment</w:t>
            </w:r>
          </w:p>
        </w:tc>
        <w:tc>
          <w:tcPr>
            <w:tcW w:w="260" w:type="dxa"/>
            <w:vAlign w:val="bottom"/>
          </w:tcPr>
          <w:p>
            <w:pPr>
              <w:spacing w:after="0"/>
              <w:rPr>
                <w:sz w:val="13"/>
                <w:szCs w:val="13"/>
                <w:color w:val="auto"/>
              </w:rPr>
            </w:pP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(106)</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(33)</w:t>
            </w:r>
          </w:p>
        </w:tc>
        <w:tc>
          <w:tcPr>
            <w:tcW w:w="30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158</w:t>
            </w:r>
          </w:p>
        </w:tc>
        <w:tc>
          <w:tcPr>
            <w:tcW w:w="3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3"/>
                <w:szCs w:val="13"/>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(145)</w:t>
            </w:r>
          </w:p>
        </w:tc>
        <w:tc>
          <w:tcPr>
            <w:tcW w:w="200" w:type="dxa"/>
            <w:vAlign w:val="bottom"/>
          </w:tcPr>
          <w:p>
            <w:pPr>
              <w:spacing w:after="0"/>
              <w:rPr>
                <w:sz w:val="13"/>
                <w:szCs w:val="13"/>
                <w:color w:val="auto"/>
              </w:rPr>
            </w:pP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(11)</w:t>
            </w:r>
          </w:p>
        </w:tc>
        <w:tc>
          <w:tcPr>
            <w:tcW w:w="22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278</w:t>
            </w:r>
          </w:p>
        </w:tc>
        <w:tc>
          <w:tcPr>
            <w:tcW w:w="280" w:type="dxa"/>
            <w:vAlign w:val="bottom"/>
          </w:tcPr>
          <w:p>
            <w:pPr>
              <w:spacing w:after="0"/>
              <w:rPr>
                <w:sz w:val="13"/>
                <w:szCs w:val="13"/>
                <w:color w:val="auto"/>
              </w:rPr>
            </w:pP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(4)</w:t>
            </w:r>
          </w:p>
        </w:tc>
      </w:tr>
    </w:tbl>
    <w:p>
      <w:pPr>
        <w:spacing w:after="0" w:line="126" w:lineRule="exact"/>
        <w:rPr>
          <w:sz w:val="20"/>
          <w:szCs w:val="20"/>
          <w:color w:val="auto"/>
        </w:rPr>
      </w:pPr>
    </w:p>
    <w:p>
      <w:pPr>
        <w:ind w:left="420"/>
        <w:spacing w:after="0" w:line="276" w:lineRule="auto"/>
        <w:rPr>
          <w:sz w:val="20"/>
          <w:szCs w:val="20"/>
          <w:color w:val="auto"/>
        </w:rPr>
      </w:pPr>
      <w:r>
        <w:rPr>
          <w:rFonts w:ascii="Arial" w:cs="Arial" w:eastAsia="Arial" w:hAnsi="Arial"/>
          <w:sz w:val="12"/>
          <w:szCs w:val="12"/>
          <w:color w:val="auto"/>
        </w:rPr>
        <w:t>Our chief executive officer resigned on June 20, 2011; on that same date we entered into a consulting and non-competition agreement with him. Therefore, we accrued for the present value of the future payments to him totaling $2.6 million at the end of June 2011. This amount is included in “severances and early retirement” expenses under Corporate in the table above.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600" w:type="dxa"/>
            <w:vAlign w:val="bottom"/>
          </w:tcPr>
          <w:p>
            <w:pPr>
              <w:ind w:left="400"/>
              <w:spacing w:after="0"/>
              <w:rPr>
                <w:sz w:val="20"/>
                <w:szCs w:val="20"/>
                <w:color w:val="auto"/>
              </w:rPr>
            </w:pPr>
            <w:r>
              <w:rPr>
                <w:rFonts w:ascii="Arial" w:cs="Arial" w:eastAsia="Arial" w:hAnsi="Arial"/>
                <w:sz w:val="12"/>
                <w:szCs w:val="12"/>
                <w:color w:val="auto"/>
              </w:rPr>
              <w:t>The changes in assets held for sale are as follows (in thousands):</w:t>
            </w: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Net Book</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2"/>
                <w:szCs w:val="12"/>
                <w:color w:val="auto"/>
                <w:w w:val="88"/>
              </w:rPr>
              <w:t>Net Sales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00" w:type="dxa"/>
            <w:vAlign w:val="bottom"/>
            <w:tcBorders>
              <w:bottom w:val="single" w:sz="8" w:color="auto"/>
            </w:tcBorders>
          </w:tcPr>
          <w:p>
            <w:pPr>
              <w:ind w:left="2960"/>
              <w:spacing w:after="0"/>
              <w:rPr>
                <w:sz w:val="20"/>
                <w:szCs w:val="20"/>
                <w:color w:val="auto"/>
              </w:rPr>
            </w:pPr>
            <w:r>
              <w:rPr>
                <w:rFonts w:ascii="Arial" w:cs="Arial" w:eastAsia="Arial" w:hAnsi="Arial"/>
                <w:sz w:val="12"/>
                <w:szCs w:val="12"/>
                <w:color w:val="auto"/>
              </w:rPr>
              <w:t>Description</w:t>
            </w:r>
          </w:p>
        </w:tc>
        <w:tc>
          <w:tcPr>
            <w:tcW w:w="1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Value</w:t>
            </w:r>
          </w:p>
        </w:tc>
        <w:tc>
          <w:tcPr>
            <w:tcW w:w="3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center"/>
              <w:ind w:right="240"/>
              <w:spacing w:after="0"/>
              <w:rPr>
                <w:sz w:val="20"/>
                <w:szCs w:val="20"/>
                <w:color w:val="auto"/>
              </w:rPr>
            </w:pPr>
            <w:r>
              <w:rPr>
                <w:rFonts w:ascii="Arial" w:cs="Arial" w:eastAsia="Arial" w:hAnsi="Arial"/>
                <w:sz w:val="12"/>
                <w:szCs w:val="12"/>
                <w:color w:val="auto"/>
                <w:w w:val="87"/>
              </w:rPr>
              <w:t>Date of Sale</w:t>
            </w:r>
          </w:p>
        </w:tc>
        <w:tc>
          <w:tcPr>
            <w:tcW w:w="1760" w:type="dxa"/>
            <w:vAlign w:val="bottom"/>
            <w:tcBorders>
              <w:bottom w:val="single" w:sz="8" w:color="auto"/>
            </w:tcBorders>
          </w:tcPr>
          <w:p>
            <w:pPr>
              <w:ind w:left="780"/>
              <w:spacing w:after="0"/>
              <w:rPr>
                <w:sz w:val="20"/>
                <w:szCs w:val="20"/>
                <w:color w:val="auto"/>
              </w:rPr>
            </w:pPr>
            <w:r>
              <w:rPr>
                <w:rFonts w:ascii="Arial" w:cs="Arial" w:eastAsia="Arial" w:hAnsi="Arial"/>
                <w:sz w:val="12"/>
                <w:szCs w:val="12"/>
                <w:color w:val="auto"/>
              </w:rPr>
              <w:t>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Assets held for sale as of December 25, 2010</w:t>
            </w:r>
          </w:p>
        </w:tc>
        <w:tc>
          <w:tcPr>
            <w:tcW w:w="2860" w:type="dxa"/>
            <w:vAlign w:val="bottom"/>
            <w:gridSpan w:val="3"/>
            <w:shd w:val="clear" w:color="auto" w:fill="CCEEFF"/>
          </w:tcPr>
          <w:p>
            <w:pPr>
              <w:jc w:val="right"/>
              <w:ind w:right="70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2,446</w:t>
            </w:r>
          </w:p>
        </w:tc>
        <w:tc>
          <w:tcPr>
            <w:tcW w:w="156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0" w:type="dxa"/>
            <w:vAlign w:val="bottom"/>
          </w:tcPr>
          <w:p>
            <w:pPr>
              <w:spacing w:after="0"/>
              <w:rPr>
                <w:sz w:val="20"/>
                <w:szCs w:val="20"/>
                <w:color w:val="auto"/>
              </w:rPr>
            </w:pPr>
            <w:r>
              <w:rPr>
                <w:rFonts w:ascii="Arial" w:cs="Arial" w:eastAsia="Arial" w:hAnsi="Arial"/>
                <w:sz w:val="12"/>
                <w:szCs w:val="12"/>
                <w:color w:val="auto"/>
              </w:rPr>
              <w:t>Additions</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2"/>
                <w:szCs w:val="12"/>
                <w:color w:val="auto"/>
              </w:rPr>
              <w:t>5,082</w:t>
            </w:r>
          </w:p>
        </w:tc>
        <w:tc>
          <w:tcPr>
            <w:tcW w:w="15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Transfers to held for use</w:t>
            </w:r>
          </w:p>
        </w:tc>
        <w:tc>
          <w:tcPr>
            <w:tcW w:w="1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4"/>
              </w:rPr>
              <w:t>(1,619)</w:t>
            </w:r>
          </w:p>
        </w:tc>
        <w:tc>
          <w:tcPr>
            <w:tcW w:w="156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0" w:type="dxa"/>
            <w:vAlign w:val="bottom"/>
          </w:tcPr>
          <w:p>
            <w:pPr>
              <w:spacing w:after="0"/>
              <w:rPr>
                <w:sz w:val="20"/>
                <w:szCs w:val="20"/>
                <w:color w:val="auto"/>
              </w:rPr>
            </w:pPr>
            <w:r>
              <w:rPr>
                <w:rFonts w:ascii="Arial" w:cs="Arial" w:eastAsia="Arial" w:hAnsi="Arial"/>
                <w:sz w:val="12"/>
                <w:szCs w:val="12"/>
                <w:color w:val="auto"/>
              </w:rPr>
              <w:t>Sale of certain real estate in Indianapolis, Indiana</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2"/>
                <w:szCs w:val="12"/>
                <w:color w:val="auto"/>
              </w:rPr>
              <w:t>(827)</w:t>
            </w:r>
          </w:p>
        </w:tc>
        <w:tc>
          <w:tcPr>
            <w:tcW w:w="1560" w:type="dxa"/>
            <w:vAlign w:val="bottom"/>
          </w:tcPr>
          <w:p>
            <w:pPr>
              <w:jc w:val="center"/>
              <w:ind w:right="240"/>
              <w:spacing w:after="0"/>
              <w:rPr>
                <w:sz w:val="20"/>
                <w:szCs w:val="20"/>
                <w:color w:val="auto"/>
              </w:rPr>
            </w:pPr>
            <w:r>
              <w:rPr>
                <w:rFonts w:ascii="Arial" w:cs="Arial" w:eastAsia="Arial" w:hAnsi="Arial"/>
                <w:sz w:val="12"/>
                <w:szCs w:val="12"/>
                <w:color w:val="auto"/>
                <w:w w:val="90"/>
              </w:rPr>
              <w:t>May 17, 2011</w:t>
            </w:r>
          </w:p>
        </w:tc>
        <w:tc>
          <w:tcPr>
            <w:tcW w:w="1760" w:type="dxa"/>
            <w:vAlign w:val="bottom"/>
          </w:tcPr>
          <w:p>
            <w:pPr>
              <w:jc w:val="center"/>
              <w:spacing w:after="0"/>
              <w:rPr>
                <w:sz w:val="20"/>
                <w:szCs w:val="20"/>
                <w:color w:val="auto"/>
              </w:rPr>
            </w:pPr>
            <w:r>
              <w:rPr>
                <w:rFonts w:ascii="Arial" w:cs="Arial" w:eastAsia="Arial" w:hAnsi="Arial"/>
                <w:sz w:val="12"/>
                <w:szCs w:val="12"/>
                <w:color w:val="auto"/>
                <w:w w:val="95"/>
              </w:rPr>
              <w:t>$0.7 million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Assets held for sale as of June 25, 2011</w:t>
            </w:r>
          </w:p>
        </w:tc>
        <w:tc>
          <w:tcPr>
            <w:tcW w:w="2860" w:type="dxa"/>
            <w:vAlign w:val="bottom"/>
            <w:gridSpan w:val="3"/>
            <w:shd w:val="clear" w:color="auto" w:fill="CCEEFF"/>
          </w:tcPr>
          <w:p>
            <w:pPr>
              <w:jc w:val="right"/>
              <w:ind w:right="70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5,082</w:t>
            </w:r>
          </w:p>
        </w:tc>
        <w:tc>
          <w:tcPr>
            <w:tcW w:w="15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600" w:type="dxa"/>
            <w:vAlign w:val="bottom"/>
            <w:tcBorders>
              <w:top w:val="single" w:sz="8" w:color="CCEEFF"/>
            </w:tcBorders>
          </w:tcPr>
          <w:p>
            <w:pPr>
              <w:spacing w:after="0"/>
              <w:rPr>
                <w:sz w:val="24"/>
                <w:szCs w:val="24"/>
                <w:color w:val="auto"/>
              </w:rPr>
            </w:pPr>
          </w:p>
        </w:tc>
        <w:tc>
          <w:tcPr>
            <w:tcW w:w="1920" w:type="dxa"/>
            <w:vAlign w:val="bottom"/>
            <w:tcBorders>
              <w:top w:val="single" w:sz="8" w:color="CCEEFF"/>
            </w:tcBorders>
          </w:tcPr>
          <w:p>
            <w:pPr>
              <w:jc w:val="right"/>
              <w:ind w:right="704"/>
              <w:spacing w:after="0"/>
              <w:rPr>
                <w:sz w:val="20"/>
                <w:szCs w:val="20"/>
                <w:color w:val="auto"/>
              </w:rPr>
            </w:pPr>
            <w:r>
              <w:rPr>
                <w:rFonts w:ascii="Arial" w:cs="Arial" w:eastAsia="Arial" w:hAnsi="Arial"/>
                <w:sz w:val="10"/>
                <w:szCs w:val="10"/>
                <w:color w:val="auto"/>
              </w:rPr>
              <w:t>11</w:t>
            </w:r>
          </w:p>
        </w:tc>
        <w:tc>
          <w:tcPr>
            <w:tcW w:w="12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tcPr>
          <w:p>
            <w:pPr>
              <w:spacing w:after="0"/>
              <w:rPr>
                <w:sz w:val="24"/>
                <w:szCs w:val="24"/>
                <w:color w:val="auto"/>
              </w:rPr>
            </w:pPr>
          </w:p>
        </w:tc>
        <w:tc>
          <w:tcPr>
            <w:tcW w:w="17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600" w:type="dxa"/>
            <w:vAlign w:val="bottom"/>
            <w:tcBorders>
              <w:bottom w:val="single" w:sz="8" w:color="808080"/>
            </w:tcBorders>
          </w:tcPr>
          <w:p>
            <w:pPr>
              <w:spacing w:after="0"/>
              <w:rPr>
                <w:sz w:val="5"/>
                <w:szCs w:val="5"/>
                <w:color w:val="auto"/>
              </w:rPr>
            </w:pPr>
          </w:p>
        </w:tc>
        <w:tc>
          <w:tcPr>
            <w:tcW w:w="19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560" w:type="dxa"/>
            <w:vAlign w:val="bottom"/>
            <w:tcBorders>
              <w:bottom w:val="single" w:sz="8" w:color="808080"/>
            </w:tcBorders>
          </w:tcPr>
          <w:p>
            <w:pPr>
              <w:spacing w:after="0"/>
              <w:rPr>
                <w:sz w:val="5"/>
                <w:szCs w:val="5"/>
                <w:color w:val="auto"/>
              </w:rPr>
            </w:pPr>
          </w:p>
        </w:tc>
        <w:tc>
          <w:tcPr>
            <w:tcW w:w="17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11" w:name="page12"/>
    <w:bookmarkEnd w:id="11"/>
    <w:p>
      <w:pPr>
        <w:ind w:left="8"/>
        <w:spacing w:after="0"/>
        <w:rPr>
          <w:rFonts w:ascii="Arial" w:cs="Arial" w:eastAsia="Arial" w:hAnsi="Arial"/>
          <w:sz w:val="10"/>
          <w:szCs w:val="10"/>
          <w:b w:val="1"/>
          <w:bCs w:val="1"/>
          <w:i w:val="1"/>
          <w:iCs w:val="1"/>
          <w:u w:val="single" w:color="auto"/>
          <w:color w:val="0000EE"/>
        </w:rPr>
      </w:pPr>
      <w:hyperlink w:anchor="page2">
        <w:r>
          <w:rPr>
            <w:rFonts w:ascii="Arial" w:cs="Arial" w:eastAsia="Arial" w:hAnsi="Arial"/>
            <w:sz w:val="10"/>
            <w:szCs w:val="10"/>
            <w:b w:val="1"/>
            <w:bCs w:val="1"/>
            <w:i w:val="1"/>
            <w:iCs w:val="1"/>
            <w:u w:val="single" w:color="auto"/>
            <w:color w:val="0000EE"/>
          </w:rPr>
          <w:t>Table of Contents</w:t>
        </w:r>
      </w:hyperlink>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UNIVERSAL FOREST PRODUCTS, INC.</w:t>
      </w:r>
    </w:p>
    <w:p>
      <w:pPr>
        <w:spacing w:after="0" w:line="150" w:lineRule="exact"/>
        <w:rPr>
          <w:sz w:val="20"/>
          <w:szCs w:val="20"/>
          <w:color w:val="auto"/>
        </w:rPr>
      </w:pPr>
    </w:p>
    <w:p>
      <w:pPr>
        <w:ind w:left="428" w:hanging="428"/>
        <w:spacing w:after="0"/>
        <w:tabs>
          <w:tab w:leader="none" w:pos="428"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CONTINGENCIES, AND GUARANTEES</w:t>
      </w:r>
    </w:p>
    <w:p>
      <w:pPr>
        <w:spacing w:after="0" w:line="154"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We are self-insured for environmental impairment liability, including certain liabilities which are insured through a wholly owned subsidiary, UFP Insurance Ltd., a licensed captive insurance company.</w:t>
      </w:r>
    </w:p>
    <w:p>
      <w:pPr>
        <w:spacing w:after="0" w:line="150" w:lineRule="exact"/>
        <w:rPr>
          <w:rFonts w:ascii="Arial" w:cs="Arial" w:eastAsia="Arial" w:hAnsi="Arial"/>
          <w:sz w:val="12"/>
          <w:szCs w:val="12"/>
          <w:b w:val="1"/>
          <w:bCs w:val="1"/>
          <w:color w:val="auto"/>
        </w:rPr>
      </w:pPr>
    </w:p>
    <w:p>
      <w:pPr>
        <w:jc w:val="both"/>
        <w:ind w:left="428"/>
        <w:spacing w:after="0" w:line="286" w:lineRule="auto"/>
        <w:rPr>
          <w:rFonts w:ascii="Arial" w:cs="Arial" w:eastAsia="Arial" w:hAnsi="Arial"/>
          <w:sz w:val="12"/>
          <w:szCs w:val="12"/>
          <w:b w:val="1"/>
          <w:bCs w:val="1"/>
          <w:color w:val="auto"/>
        </w:rPr>
      </w:pPr>
      <w:r>
        <w:rPr>
          <w:rFonts w:ascii="Arial" w:cs="Arial" w:eastAsia="Arial" w:hAnsi="Arial"/>
          <w:sz w:val="11"/>
          <w:szCs w:val="11"/>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our affiliates’ wood preservation facilities in Stockertown, PA; Elizabeth City, NC; Auburndale, FL; Gordon, PA; Janesville, WI; and Medley, FL. In addition, a reserve was established for our affiliate’s facility in Thornton, CA to remove certain lead containing materials which existed on the property at the time of purchase. During 2009, a subsidiary entered into a consent order with the State of Florida to conduct additional testing at the Auburndale, FL facility. We admitted no liability and the costs are not expected to be material.</w:t>
      </w:r>
    </w:p>
    <w:p>
      <w:pPr>
        <w:spacing w:after="0" w:line="111" w:lineRule="exact"/>
        <w:rPr>
          <w:rFonts w:ascii="Arial" w:cs="Arial" w:eastAsia="Arial" w:hAnsi="Arial"/>
          <w:sz w:val="12"/>
          <w:szCs w:val="12"/>
          <w:b w:val="1"/>
          <w:bCs w:val="1"/>
          <w:color w:val="auto"/>
        </w:rPr>
      </w:pPr>
    </w:p>
    <w:p>
      <w:pPr>
        <w:ind w:left="428"/>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On a consolidated basis, we have reserved approximately $3.3 million on June 25, 2011 and $4.2 million on June 26, 2010, representing the estimated costs to complete future remediation efforts. These amounts have not been reduced by an insurance receivable.</w:t>
      </w:r>
    </w:p>
    <w:p>
      <w:pPr>
        <w:spacing w:after="0" w:line="114" w:lineRule="exact"/>
        <w:rPr>
          <w:rFonts w:ascii="Arial" w:cs="Arial" w:eastAsia="Arial" w:hAnsi="Arial"/>
          <w:sz w:val="12"/>
          <w:szCs w:val="12"/>
          <w:b w:val="1"/>
          <w:bCs w:val="1"/>
          <w:color w:val="auto"/>
        </w:rPr>
      </w:pPr>
    </w:p>
    <w:p>
      <w:pPr>
        <w:jc w:val="both"/>
        <w:ind w:left="428"/>
        <w:spacing w:after="0" w:line="263" w:lineRule="auto"/>
        <w:rPr>
          <w:rFonts w:ascii="Arial" w:cs="Arial" w:eastAsia="Arial" w:hAnsi="Arial"/>
          <w:sz w:val="12"/>
          <w:szCs w:val="12"/>
          <w:b w:val="1"/>
          <w:bCs w:val="1"/>
          <w:color w:val="auto"/>
        </w:rPr>
      </w:pPr>
      <w:r>
        <w:rPr>
          <w:rFonts w:ascii="Arial" w:cs="Arial" w:eastAsia="Arial" w:hAnsi="Arial"/>
          <w:sz w:val="12"/>
          <w:szCs w:val="12"/>
          <w:color w:val="auto"/>
        </w:rPr>
        <w:t>From time to time, various special interest environmental groups have petitioned certain states requesting restrictions on the use or disposal of CCA treated products. The wood preservation industry trade groups are working with the individual states and their regulatory agencies to provide an accurate, factual background which demonstrates that the present method of uses and disposal is scientifically supported. Our affiliates market a modest amount of CCA treated products for permitted, non-residential applications.</w:t>
      </w:r>
    </w:p>
    <w:p>
      <w:pPr>
        <w:spacing w:after="0" w:line="122"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We have not accrued for any potential loss related to the contingencies above. However, potential liabilities of this nature are not conducive to precise estimates and are subject to change.</w:t>
      </w:r>
    </w:p>
    <w:p>
      <w:pPr>
        <w:spacing w:after="0" w:line="150" w:lineRule="exact"/>
        <w:rPr>
          <w:rFonts w:ascii="Arial" w:cs="Arial" w:eastAsia="Arial" w:hAnsi="Arial"/>
          <w:sz w:val="12"/>
          <w:szCs w:val="12"/>
          <w:b w:val="1"/>
          <w:bCs w:val="1"/>
          <w:color w:val="auto"/>
        </w:rPr>
      </w:pPr>
    </w:p>
    <w:p>
      <w:pPr>
        <w:ind w:left="428" w:right="20"/>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In addition, on June 25, 2011,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14"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On June 25, 2011, we had outstanding purchase commitments on capital projects of approximately $4.9 million.</w:t>
      </w:r>
    </w:p>
    <w:p>
      <w:pPr>
        <w:spacing w:after="0" w:line="309"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12" w:name="page13"/>
    <w:bookmarkEnd w:id="12"/>
    <w:p>
      <w:pPr>
        <w:spacing w:after="0"/>
        <w:rPr>
          <w:rFonts w:ascii="Arial" w:cs="Arial" w:eastAsia="Arial" w:hAnsi="Arial"/>
          <w:sz w:val="10"/>
          <w:szCs w:val="10"/>
          <w:b w:val="1"/>
          <w:bCs w:val="1"/>
          <w:i w:val="1"/>
          <w:iCs w:val="1"/>
          <w:u w:val="single" w:color="auto"/>
          <w:color w:val="0000EE"/>
        </w:rPr>
      </w:pPr>
      <w:hyperlink w:anchor="page2">
        <w:r>
          <w:rPr>
            <w:rFonts w:ascii="Arial" w:cs="Arial" w:eastAsia="Arial" w:hAnsi="Arial"/>
            <w:sz w:val="10"/>
            <w:szCs w:val="10"/>
            <w:b w:val="1"/>
            <w:bCs w:val="1"/>
            <w:i w:val="1"/>
            <w:i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UNIVERSAL FOREST PRODUCTS, INC.</w:t>
      </w:r>
    </w:p>
    <w:p>
      <w:pPr>
        <w:spacing w:after="0" w:line="154" w:lineRule="exact"/>
        <w:rPr>
          <w:sz w:val="20"/>
          <w:szCs w:val="20"/>
          <w:color w:val="auto"/>
        </w:rPr>
      </w:pPr>
    </w:p>
    <w:p>
      <w:pPr>
        <w:jc w:val="both"/>
        <w:ind w:left="420"/>
        <w:spacing w:after="0" w:line="263" w:lineRule="auto"/>
        <w:rPr>
          <w:sz w:val="20"/>
          <w:szCs w:val="20"/>
          <w:color w:val="auto"/>
        </w:rPr>
      </w:pPr>
      <w:r>
        <w:rPr>
          <w:rFonts w:ascii="Arial" w:cs="Arial" w:eastAsia="Arial" w:hAnsi="Arial"/>
          <w:sz w:val="12"/>
          <w:szCs w:val="12"/>
          <w:color w:val="auto"/>
        </w:rPr>
        <w:t>We provide a variety of warranties for products we manufacture. Historically, warranty claims have not been material. We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affect on our consolidated financial statements.</w:t>
      </w:r>
    </w:p>
    <w:p>
      <w:pPr>
        <w:spacing w:after="0" w:line="123" w:lineRule="exact"/>
        <w:rPr>
          <w:sz w:val="20"/>
          <w:szCs w:val="20"/>
          <w:color w:val="auto"/>
        </w:rPr>
      </w:pPr>
    </w:p>
    <w:p>
      <w:pPr>
        <w:jc w:val="both"/>
        <w:ind w:left="420"/>
        <w:spacing w:after="0" w:line="259" w:lineRule="auto"/>
        <w:rPr>
          <w:sz w:val="20"/>
          <w:szCs w:val="20"/>
          <w:color w:val="auto"/>
        </w:rPr>
      </w:pPr>
      <w:r>
        <w:rPr>
          <w:rFonts w:ascii="Arial" w:cs="Arial" w:eastAsia="Arial" w:hAnsi="Arial"/>
          <w:sz w:val="12"/>
          <w:szCs w:val="12"/>
          <w:color w:val="auto"/>
        </w:rPr>
        <w:t>In certain cases we supply building materials and labor to site-built construction projects or we jointly bid on contracts with framing companies for such projects. In some instances we are required to post payment and performance bonds to insure the owner that the products and installation services are completed in accordance with our contractual obligations. We have agreed to indemnify the surety for claims made against the bonds. As of June 25, 2011, we had approximately $26.8 million in outstanding payment and performance bonds, which expire during the next two years. In addition, approximately $19.7 million in payment and performance bonds are outstanding for completed projects which are still under warranty.</w:t>
      </w:r>
    </w:p>
    <w:p>
      <w:pPr>
        <w:spacing w:after="0" w:line="125" w:lineRule="exact"/>
        <w:rPr>
          <w:sz w:val="20"/>
          <w:szCs w:val="20"/>
          <w:color w:val="auto"/>
        </w:rPr>
      </w:pPr>
    </w:p>
    <w:p>
      <w:pPr>
        <w:jc w:val="both"/>
        <w:ind w:left="420"/>
        <w:spacing w:after="0" w:line="263" w:lineRule="auto"/>
        <w:rPr>
          <w:sz w:val="20"/>
          <w:szCs w:val="20"/>
          <w:color w:val="auto"/>
        </w:rPr>
      </w:pPr>
      <w:r>
        <w:rPr>
          <w:rFonts w:ascii="Arial" w:cs="Arial" w:eastAsia="Arial" w:hAnsi="Arial"/>
          <w:sz w:val="12"/>
          <w:szCs w:val="12"/>
          <w:color w:val="auto"/>
        </w:rPr>
        <w:t>We have entered into operating leases for certain assets that include a guarantee of a portion of the residual value of the leased assets. If, at the expiration of the initial lease term we do not exercise our option to purchase the leased assets and these assets are sold by the lessor for a price below a predetermined amount, we will reimburse the lessor for a certain portion of the shortfall. These operating leases will expire periodically over the next three years. The estimated maximum aggregate exposure of these guarantees is approximately $0.6 million.</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June 25, 2011, we had outstanding letters of credit totaling $31.3 million, primarily related to certain insurance contracts and industrial development revenue bonds described further below.</w:t>
      </w:r>
    </w:p>
    <w:p>
      <w:pPr>
        <w:spacing w:after="0" w:line="150" w:lineRule="exact"/>
        <w:rPr>
          <w:sz w:val="20"/>
          <w:szCs w:val="20"/>
          <w:color w:val="auto"/>
        </w:rPr>
      </w:pPr>
    </w:p>
    <w:p>
      <w:pPr>
        <w:jc w:val="both"/>
        <w:ind w:left="420" w:right="20"/>
        <w:spacing w:after="0" w:line="323" w:lineRule="auto"/>
        <w:rPr>
          <w:sz w:val="20"/>
          <w:szCs w:val="20"/>
          <w:color w:val="auto"/>
        </w:rPr>
      </w:pPr>
      <w:r>
        <w:rPr>
          <w:rFonts w:ascii="Arial" w:cs="Arial" w:eastAsia="Arial" w:hAnsi="Arial"/>
          <w:sz w:val="11"/>
          <w:szCs w:val="11"/>
          <w:color w:val="auto"/>
        </w:rPr>
        <w:t>In lieu of cash deposits, we provide irrevocable letters of credit in favor of our insurers to guarantee our performance under certain insurance contracts. We currently have irrevocable letters of credit outstanding totaling approximately $18.9 million for these types of insurance arrangements. We have reserves recorded on our balance sheet, in accrued liabilities, that reflect our expected future liabilities under these insurance arrangements.</w:t>
      </w:r>
    </w:p>
    <w:p>
      <w:pPr>
        <w:spacing w:after="0" w:line="92" w:lineRule="exact"/>
        <w:rPr>
          <w:sz w:val="20"/>
          <w:szCs w:val="20"/>
          <w:color w:val="auto"/>
        </w:rPr>
      </w:pPr>
    </w:p>
    <w:p>
      <w:pPr>
        <w:jc w:val="both"/>
        <w:ind w:left="420"/>
        <w:spacing w:after="0" w:line="263" w:lineRule="auto"/>
        <w:rPr>
          <w:sz w:val="20"/>
          <w:szCs w:val="20"/>
          <w:color w:val="auto"/>
        </w:rPr>
      </w:pPr>
      <w:r>
        <w:rPr>
          <w:rFonts w:ascii="Arial" w:cs="Arial" w:eastAsia="Arial" w:hAnsi="Arial"/>
          <w:sz w:val="12"/>
          <w:szCs w:val="12"/>
          <w:color w:val="auto"/>
        </w:rPr>
        <w:t>We are required to provide irrevocable letters of credit in favor of the bond trustees for all of the industrial development revenue bonds that we have issued. These letters of credit guarantee principal and interest payments to the bondholders. We currently have irrevocable letters of credit outstanding totaling approximately $12.4 million related to our outstanding industrial development revenue bonds. These letters of credit have varying terms but may be renewed at the option of the issuing banks.</w:t>
      </w:r>
    </w:p>
    <w:p>
      <w:pPr>
        <w:spacing w:after="0" w:line="123" w:lineRule="exact"/>
        <w:rPr>
          <w:sz w:val="20"/>
          <w:szCs w:val="20"/>
          <w:color w:val="auto"/>
        </w:rPr>
      </w:pPr>
    </w:p>
    <w:p>
      <w:pPr>
        <w:jc w:val="both"/>
        <w:ind w:left="420"/>
        <w:spacing w:after="0" w:line="323" w:lineRule="auto"/>
        <w:rPr>
          <w:sz w:val="20"/>
          <w:szCs w:val="20"/>
          <w:color w:val="auto"/>
        </w:rPr>
      </w:pPr>
      <w:r>
        <w:rPr>
          <w:rFonts w:ascii="Arial" w:cs="Arial" w:eastAsia="Arial" w:hAnsi="Arial"/>
          <w:sz w:val="11"/>
          <w:szCs w:val="11"/>
          <w:color w:val="auto"/>
        </w:rPr>
        <w:t>Certain wholly owned domestic subsidiaries have guaranteed the indebtedness of Universal Forest Products, Inc. in certain debt agreements, including the Series 2002-A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3" w:name="page14"/>
    <w:bookmarkEnd w:id="13"/>
    <w:p>
      <w:pPr>
        <w:ind w:left="8"/>
        <w:spacing w:after="0"/>
        <w:rPr>
          <w:rFonts w:ascii="Arial" w:cs="Arial" w:eastAsia="Arial" w:hAnsi="Arial"/>
          <w:sz w:val="10"/>
          <w:szCs w:val="10"/>
          <w:b w:val="1"/>
          <w:bCs w:val="1"/>
          <w:i w:val="1"/>
          <w:iCs w:val="1"/>
          <w:u w:val="single" w:color="auto"/>
          <w:color w:val="0000EE"/>
        </w:rPr>
      </w:pPr>
      <w:hyperlink w:anchor="page2">
        <w:r>
          <w:rPr>
            <w:rFonts w:ascii="Arial" w:cs="Arial" w:eastAsia="Arial" w:hAnsi="Arial"/>
            <w:sz w:val="10"/>
            <w:szCs w:val="10"/>
            <w:b w:val="1"/>
            <w:bCs w:val="1"/>
            <w:i w:val="1"/>
            <w:iCs w:val="1"/>
            <w:u w:val="single" w:color="auto"/>
            <w:color w:val="0000EE"/>
          </w:rPr>
          <w:t>Table of Contents</w:t>
        </w:r>
      </w:hyperlink>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UNIVERSAL FOREST PRODUCTS, INC.</w:t>
      </w:r>
    </w:p>
    <w:p>
      <w:pPr>
        <w:spacing w:after="0" w:line="154" w:lineRule="exact"/>
        <w:rPr>
          <w:sz w:val="20"/>
          <w:szCs w:val="20"/>
          <w:color w:val="auto"/>
        </w:rPr>
      </w:pPr>
    </w:p>
    <w:p>
      <w:pPr>
        <w:jc w:val="both"/>
        <w:ind w:left="428"/>
        <w:spacing w:after="0" w:line="290" w:lineRule="auto"/>
        <w:rPr>
          <w:sz w:val="20"/>
          <w:szCs w:val="20"/>
          <w:color w:val="auto"/>
        </w:rPr>
      </w:pPr>
      <w:r>
        <w:rPr>
          <w:rFonts w:ascii="Arial" w:cs="Arial" w:eastAsia="Arial" w:hAnsi="Arial"/>
          <w:sz w:val="11"/>
          <w:szCs w:val="11"/>
          <w:color w:val="auto"/>
        </w:rPr>
        <w:t>Many of our wood treating operations utilize "Subpart W" drip pads, defined as hazardous waste management units by the EPA. The rules regulating drip pads require that the pad be “closed” at the point that it is no longer intended to be used for wood treating operations or to manage hazardous waste. Closure involves identification and disposal of contaminants which are required to be removed from the facility. The cost of closure is dependent upon a number of factors including, but not limited to, identification and removal of contaminants, cleanup standards that vary from state to state, and the time period over which the cleanup would be completed. Based on our present knowledge of existing circumstances, it is considered probable that these costs will approximate $0.7 million. As a result, this amount is recorded in other long-term liabilities on June 25, 2011.</w:t>
      </w:r>
    </w:p>
    <w:p>
      <w:pPr>
        <w:spacing w:after="0" w:line="109"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We did not enter into any new guarantee arrangements during the second quarter of 2011 which would require us to recognize a liability on our balance sheet.</w:t>
      </w:r>
    </w:p>
    <w:p>
      <w:pPr>
        <w:spacing w:after="0" w:line="146" w:lineRule="exact"/>
        <w:rPr>
          <w:sz w:val="20"/>
          <w:szCs w:val="20"/>
          <w:color w:val="auto"/>
        </w:rPr>
      </w:pPr>
    </w:p>
    <w:p>
      <w:pPr>
        <w:ind w:left="428" w:hanging="428"/>
        <w:spacing w:after="0"/>
        <w:tabs>
          <w:tab w:leader="none" w:pos="428"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BUSINESS COMBINATIONS</w:t>
      </w:r>
    </w:p>
    <w:p>
      <w:pPr>
        <w:spacing w:after="0" w:line="154"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No business combinations were completed in fiscal 2011. We completed the following business combinations in fiscal 2010 which were accounted for using the purchase method (in millions):</w:t>
      </w:r>
    </w:p>
    <w:p>
      <w:pPr>
        <w:spacing w:after="0" w:line="138" w:lineRule="exact"/>
        <w:rPr>
          <w:sz w:val="20"/>
          <w:szCs w:val="20"/>
          <w:color w:val="auto"/>
        </w:rPr>
      </w:pPr>
    </w:p>
    <w:tbl>
      <w:tblPr>
        <w:tblLayout w:type="fixed"/>
        <w:tblInd w:w="18" w:type="dxa"/>
        <w:tblCellMar>
          <w:top w:w="0" w:type="dxa"/>
          <w:left w:w="0" w:type="dxa"/>
          <w:bottom w:w="0" w:type="dxa"/>
          <w:right w:w="0" w:type="dxa"/>
        </w:tblCellMar>
      </w:tblPr>
      <w:tr>
        <w:trPr>
          <w:trHeight w:val="168"/>
        </w:trPr>
        <w:tc>
          <w:tcPr>
            <w:tcW w:w="1860" w:type="dxa"/>
            <w:vAlign w:val="bottom"/>
            <w:tcBorders>
              <w:top w:val="single" w:sz="8" w:color="auto"/>
              <w:left w:val="single" w:sz="8" w:color="auto"/>
              <w:right w:val="single" w:sz="8" w:color="auto"/>
            </w:tcBorders>
          </w:tcPr>
          <w:p>
            <w:pPr>
              <w:spacing w:after="0"/>
              <w:rPr>
                <w:sz w:val="14"/>
                <w:szCs w:val="14"/>
                <w:color w:val="auto"/>
              </w:rPr>
            </w:pPr>
          </w:p>
        </w:tc>
        <w:tc>
          <w:tcPr>
            <w:tcW w:w="1620" w:type="dxa"/>
            <w:vAlign w:val="bottom"/>
            <w:tcBorders>
              <w:top w:val="single" w:sz="8" w:color="auto"/>
              <w:right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20" w:type="dxa"/>
            <w:vAlign w:val="bottom"/>
            <w:tcBorders>
              <w:top w:val="single" w:sz="8" w:color="auto"/>
              <w:right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right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right w:val="single" w:sz="8" w:color="auto"/>
            </w:tcBorders>
          </w:tcPr>
          <w:p>
            <w:pPr>
              <w:jc w:val="center"/>
              <w:ind w:right="300"/>
              <w:spacing w:after="0"/>
              <w:rPr>
                <w:sz w:val="20"/>
                <w:szCs w:val="20"/>
                <w:color w:val="auto"/>
              </w:rPr>
            </w:pPr>
            <w:r>
              <w:rPr>
                <w:rFonts w:ascii="Arial" w:cs="Arial" w:eastAsia="Arial" w:hAnsi="Arial"/>
                <w:sz w:val="12"/>
                <w:szCs w:val="12"/>
                <w:b w:val="1"/>
                <w:bCs w:val="1"/>
                <w:color w:val="auto"/>
                <w:w w:val="92"/>
              </w:rPr>
              <w:t>Net</w:t>
            </w:r>
          </w:p>
        </w:tc>
        <w:tc>
          <w:tcPr>
            <w:tcW w:w="1500" w:type="dxa"/>
            <w:vAlign w:val="bottom"/>
            <w:tcBorders>
              <w:top w:val="single" w:sz="8" w:color="auto"/>
              <w:right w:val="single" w:sz="8" w:color="auto"/>
            </w:tcBorders>
          </w:tcPr>
          <w:p>
            <w:pPr>
              <w:spacing w:after="0"/>
              <w:rPr>
                <w:sz w:val="14"/>
                <w:szCs w:val="14"/>
                <w:color w:val="auto"/>
              </w:rPr>
            </w:pPr>
          </w:p>
        </w:tc>
        <w:tc>
          <w:tcPr>
            <w:tcW w:w="2280" w:type="dxa"/>
            <w:vAlign w:val="bottom"/>
            <w:tcBorders>
              <w:top w:val="single" w:sz="8" w:color="auto"/>
              <w:right w:val="single" w:sz="8" w:color="auto"/>
            </w:tcBorders>
          </w:tcPr>
          <w:p>
            <w:pPr>
              <w:spacing w:after="0"/>
              <w:rPr>
                <w:sz w:val="14"/>
                <w:szCs w:val="14"/>
                <w:color w:val="auto"/>
              </w:rPr>
            </w:pPr>
          </w:p>
        </w:tc>
      </w:tr>
      <w:tr>
        <w:trPr>
          <w:trHeight w:val="144"/>
        </w:trPr>
        <w:tc>
          <w:tcPr>
            <w:tcW w:w="186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2"/>
                <w:szCs w:val="12"/>
                <w:b w:val="1"/>
                <w:bCs w:val="1"/>
                <w:color w:val="auto"/>
              </w:rPr>
              <w:t>Company</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Acquisition</w:t>
            </w:r>
          </w:p>
        </w:tc>
        <w:tc>
          <w:tcPr>
            <w:tcW w:w="320" w:type="dxa"/>
            <w:vAlign w:val="bottom"/>
          </w:tcPr>
          <w:p>
            <w:pPr>
              <w:spacing w:after="0"/>
              <w:rPr>
                <w:sz w:val="12"/>
                <w:szCs w:val="12"/>
                <w:color w:val="auto"/>
              </w:rPr>
            </w:pPr>
          </w:p>
        </w:tc>
        <w:tc>
          <w:tcPr>
            <w:tcW w:w="132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b w:val="1"/>
                <w:bCs w:val="1"/>
                <w:color w:val="auto"/>
                <w:w w:val="85"/>
              </w:rPr>
              <w:t>Purchase</w:t>
            </w:r>
          </w:p>
        </w:tc>
        <w:tc>
          <w:tcPr>
            <w:tcW w:w="180" w:type="dxa"/>
            <w:vAlign w:val="bottom"/>
          </w:tcPr>
          <w:p>
            <w:pPr>
              <w:spacing w:after="0"/>
              <w:rPr>
                <w:sz w:val="12"/>
                <w:szCs w:val="12"/>
                <w:color w:val="auto"/>
              </w:rPr>
            </w:pPr>
          </w:p>
        </w:tc>
        <w:tc>
          <w:tcPr>
            <w:tcW w:w="1060" w:type="dxa"/>
            <w:vAlign w:val="bottom"/>
            <w:tcBorders>
              <w:right w:val="single" w:sz="8" w:color="auto"/>
            </w:tcBorders>
          </w:tcPr>
          <w:p>
            <w:pPr>
              <w:jc w:val="right"/>
              <w:ind w:right="362"/>
              <w:spacing w:after="0"/>
              <w:rPr>
                <w:sz w:val="20"/>
                <w:szCs w:val="20"/>
                <w:color w:val="auto"/>
              </w:rPr>
            </w:pPr>
            <w:r>
              <w:rPr>
                <w:rFonts w:ascii="Arial" w:cs="Arial" w:eastAsia="Arial" w:hAnsi="Arial"/>
                <w:sz w:val="12"/>
                <w:szCs w:val="12"/>
                <w:b w:val="1"/>
                <w:bCs w:val="1"/>
                <w:color w:val="auto"/>
              </w:rPr>
              <w:t>Intangible</w:t>
            </w:r>
          </w:p>
        </w:tc>
        <w:tc>
          <w:tcPr>
            <w:tcW w:w="300" w:type="dxa"/>
            <w:vAlign w:val="bottom"/>
          </w:tcPr>
          <w:p>
            <w:pPr>
              <w:spacing w:after="0"/>
              <w:rPr>
                <w:sz w:val="12"/>
                <w:szCs w:val="12"/>
                <w:color w:val="auto"/>
              </w:rPr>
            </w:pPr>
          </w:p>
        </w:tc>
        <w:tc>
          <w:tcPr>
            <w:tcW w:w="106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b w:val="1"/>
                <w:bCs w:val="1"/>
                <w:color w:val="auto"/>
                <w:w w:val="89"/>
              </w:rPr>
              <w:t>Tangible</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Operating</w:t>
            </w:r>
          </w:p>
        </w:tc>
        <w:tc>
          <w:tcPr>
            <w:tcW w:w="2280" w:type="dxa"/>
            <w:vAlign w:val="bottom"/>
            <w:tcBorders>
              <w:right w:val="single" w:sz="8" w:color="auto"/>
            </w:tcBorders>
          </w:tcPr>
          <w:p>
            <w:pPr>
              <w:spacing w:after="0"/>
              <w:rPr>
                <w:sz w:val="12"/>
                <w:szCs w:val="12"/>
                <w:color w:val="auto"/>
              </w:rPr>
            </w:pPr>
          </w:p>
        </w:tc>
      </w:tr>
      <w:tr>
        <w:trPr>
          <w:trHeight w:val="174"/>
        </w:trPr>
        <w:tc>
          <w:tcPr>
            <w:tcW w:w="186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2"/>
                <w:szCs w:val="12"/>
                <w:b w:val="1"/>
                <w:bCs w:val="1"/>
                <w:color w:val="auto"/>
              </w:rPr>
              <w:t>Name</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jc w:val="center"/>
              <w:ind w:right="2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jc w:val="right"/>
              <w:ind w:right="462"/>
              <w:spacing w:after="0"/>
              <w:rPr>
                <w:sz w:val="20"/>
                <w:szCs w:val="20"/>
                <w:color w:val="auto"/>
              </w:rPr>
            </w:pPr>
            <w:r>
              <w:rPr>
                <w:rFonts w:ascii="Arial" w:cs="Arial" w:eastAsia="Arial" w:hAnsi="Arial"/>
                <w:sz w:val="12"/>
                <w:szCs w:val="12"/>
                <w:b w:val="1"/>
                <w:bCs w:val="1"/>
                <w:color w:val="auto"/>
              </w:rPr>
              <w:t>Assets</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jc w:val="center"/>
              <w:ind w:right="280"/>
              <w:spacing w:after="0"/>
              <w:rPr>
                <w:sz w:val="20"/>
                <w:szCs w:val="20"/>
                <w:color w:val="auto"/>
              </w:rPr>
            </w:pPr>
            <w:r>
              <w:rPr>
                <w:rFonts w:ascii="Arial" w:cs="Arial" w:eastAsia="Arial" w:hAnsi="Arial"/>
                <w:sz w:val="12"/>
                <w:szCs w:val="12"/>
                <w:b w:val="1"/>
                <w:bCs w:val="1"/>
                <w:color w:val="auto"/>
                <w:w w:val="81"/>
              </w:rPr>
              <w:t>Assets</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Segment</w:t>
            </w:r>
          </w:p>
        </w:tc>
        <w:tc>
          <w:tcPr>
            <w:tcW w:w="228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2"/>
                <w:szCs w:val="12"/>
                <w:b w:val="1"/>
                <w:bCs w:val="1"/>
                <w:color w:val="auto"/>
              </w:rPr>
              <w:t>Business Description</w:t>
            </w:r>
          </w:p>
        </w:tc>
      </w:tr>
      <w:tr>
        <w:trPr>
          <w:trHeight w:val="152"/>
        </w:trPr>
        <w:tc>
          <w:tcPr>
            <w:tcW w:w="18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Shepherd Distribution Co.</w:t>
            </w:r>
          </w:p>
        </w:tc>
        <w:tc>
          <w:tcPr>
            <w:tcW w:w="16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April 29, 2010</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32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w w:val="96"/>
              </w:rPr>
              <w:t>5.9 (asset purchase)</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2.2</w:t>
            </w:r>
          </w:p>
        </w:tc>
        <w:tc>
          <w:tcPr>
            <w:tcW w:w="3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60" w:type="dxa"/>
            <w:vAlign w:val="bottom"/>
            <w:tcBorders>
              <w:right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3.7</w:t>
            </w:r>
          </w:p>
        </w:tc>
        <w:tc>
          <w:tcPr>
            <w:tcW w:w="15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2"/>
                <w:szCs w:val="12"/>
                <w:color w:val="auto"/>
              </w:rPr>
              <w:t>Distribution Division</w:t>
            </w:r>
          </w:p>
        </w:tc>
        <w:tc>
          <w:tcPr>
            <w:tcW w:w="22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2"/>
                <w:szCs w:val="12"/>
                <w:color w:val="auto"/>
              </w:rPr>
              <w:t>Distributes shingle underlayment, bottom</w:t>
            </w:r>
          </w:p>
        </w:tc>
      </w:tr>
      <w:tr>
        <w:trPr>
          <w:trHeight w:val="144"/>
        </w:trPr>
        <w:tc>
          <w:tcPr>
            <w:tcW w:w="18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(“Shepherd”)</w:t>
            </w:r>
          </w:p>
        </w:tc>
        <w:tc>
          <w:tcPr>
            <w:tcW w:w="162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tcBorders>
              <w:right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tcBorders>
              <w:right w:val="single" w:sz="8" w:color="auto"/>
            </w:tcBorders>
            <w:shd w:val="clear" w:color="auto" w:fill="CCEEFF"/>
          </w:tcPr>
          <w:p>
            <w:pPr>
              <w:spacing w:after="0"/>
              <w:rPr>
                <w:sz w:val="12"/>
                <w:szCs w:val="12"/>
                <w:color w:val="auto"/>
              </w:rPr>
            </w:pPr>
          </w:p>
        </w:tc>
        <w:tc>
          <w:tcPr>
            <w:tcW w:w="1500" w:type="dxa"/>
            <w:vAlign w:val="bottom"/>
            <w:tcBorders>
              <w:right w:val="single" w:sz="8" w:color="auto"/>
            </w:tcBorders>
            <w:shd w:val="clear" w:color="auto" w:fill="CCEEFF"/>
          </w:tcPr>
          <w:p>
            <w:pPr>
              <w:spacing w:after="0"/>
              <w:rPr>
                <w:sz w:val="12"/>
                <w:szCs w:val="12"/>
                <w:color w:val="auto"/>
              </w:rPr>
            </w:pPr>
          </w:p>
        </w:tc>
        <w:tc>
          <w:tcPr>
            <w:tcW w:w="22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2"/>
                <w:szCs w:val="12"/>
                <w:color w:val="auto"/>
                <w:w w:val="92"/>
              </w:rPr>
              <w:t>board, house wrap, siding, poly film and other</w:t>
            </w:r>
          </w:p>
        </w:tc>
      </w:tr>
      <w:tr>
        <w:trPr>
          <w:trHeight w:val="144"/>
        </w:trPr>
        <w:tc>
          <w:tcPr>
            <w:tcW w:w="1860" w:type="dxa"/>
            <w:vAlign w:val="bottom"/>
            <w:tcBorders>
              <w:left w:val="single" w:sz="8" w:color="auto"/>
              <w:right w:val="single" w:sz="8" w:color="auto"/>
            </w:tcBorders>
            <w:shd w:val="clear" w:color="auto" w:fill="CCEEFF"/>
          </w:tcPr>
          <w:p>
            <w:pPr>
              <w:spacing w:after="0"/>
              <w:rPr>
                <w:sz w:val="12"/>
                <w:szCs w:val="12"/>
                <w:color w:val="auto"/>
              </w:rPr>
            </w:pPr>
          </w:p>
        </w:tc>
        <w:tc>
          <w:tcPr>
            <w:tcW w:w="162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tcBorders>
              <w:right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tcBorders>
              <w:right w:val="single" w:sz="8" w:color="auto"/>
            </w:tcBorders>
            <w:shd w:val="clear" w:color="auto" w:fill="CCEEFF"/>
          </w:tcPr>
          <w:p>
            <w:pPr>
              <w:spacing w:after="0"/>
              <w:rPr>
                <w:sz w:val="12"/>
                <w:szCs w:val="12"/>
                <w:color w:val="auto"/>
              </w:rPr>
            </w:pPr>
          </w:p>
        </w:tc>
        <w:tc>
          <w:tcPr>
            <w:tcW w:w="1500" w:type="dxa"/>
            <w:vAlign w:val="bottom"/>
            <w:tcBorders>
              <w:right w:val="single" w:sz="8" w:color="auto"/>
            </w:tcBorders>
            <w:shd w:val="clear" w:color="auto" w:fill="CCEEFF"/>
          </w:tcPr>
          <w:p>
            <w:pPr>
              <w:spacing w:after="0"/>
              <w:rPr>
                <w:sz w:val="12"/>
                <w:szCs w:val="12"/>
                <w:color w:val="auto"/>
              </w:rPr>
            </w:pPr>
          </w:p>
        </w:tc>
        <w:tc>
          <w:tcPr>
            <w:tcW w:w="22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2"/>
                <w:szCs w:val="12"/>
                <w:color w:val="auto"/>
                <w:w w:val="99"/>
              </w:rPr>
              <w:t>products to manufactured housing and RV</w:t>
            </w:r>
          </w:p>
        </w:tc>
      </w:tr>
      <w:tr>
        <w:trPr>
          <w:trHeight w:val="144"/>
        </w:trPr>
        <w:tc>
          <w:tcPr>
            <w:tcW w:w="1860" w:type="dxa"/>
            <w:vAlign w:val="bottom"/>
            <w:tcBorders>
              <w:left w:val="single" w:sz="8" w:color="auto"/>
              <w:right w:val="single" w:sz="8" w:color="auto"/>
            </w:tcBorders>
            <w:shd w:val="clear" w:color="auto" w:fill="CCEEFF"/>
          </w:tcPr>
          <w:p>
            <w:pPr>
              <w:spacing w:after="0"/>
              <w:rPr>
                <w:sz w:val="12"/>
                <w:szCs w:val="12"/>
                <w:color w:val="auto"/>
              </w:rPr>
            </w:pPr>
          </w:p>
        </w:tc>
        <w:tc>
          <w:tcPr>
            <w:tcW w:w="162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tcBorders>
              <w:right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tcBorders>
              <w:right w:val="single" w:sz="8" w:color="auto"/>
            </w:tcBorders>
            <w:shd w:val="clear" w:color="auto" w:fill="CCEEFF"/>
          </w:tcPr>
          <w:p>
            <w:pPr>
              <w:spacing w:after="0"/>
              <w:rPr>
                <w:sz w:val="12"/>
                <w:szCs w:val="12"/>
                <w:color w:val="auto"/>
              </w:rPr>
            </w:pPr>
          </w:p>
        </w:tc>
        <w:tc>
          <w:tcPr>
            <w:tcW w:w="1500" w:type="dxa"/>
            <w:vAlign w:val="bottom"/>
            <w:tcBorders>
              <w:right w:val="single" w:sz="8" w:color="auto"/>
            </w:tcBorders>
            <w:shd w:val="clear" w:color="auto" w:fill="CCEEFF"/>
          </w:tcPr>
          <w:p>
            <w:pPr>
              <w:spacing w:after="0"/>
              <w:rPr>
                <w:sz w:val="12"/>
                <w:szCs w:val="12"/>
                <w:color w:val="auto"/>
              </w:rPr>
            </w:pPr>
          </w:p>
        </w:tc>
        <w:tc>
          <w:tcPr>
            <w:tcW w:w="22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2"/>
                <w:szCs w:val="12"/>
                <w:color w:val="auto"/>
              </w:rPr>
              <w:t>customers. Headquartered in Elkhart,</w:t>
            </w:r>
          </w:p>
        </w:tc>
      </w:tr>
      <w:tr>
        <w:trPr>
          <w:trHeight w:val="144"/>
        </w:trPr>
        <w:tc>
          <w:tcPr>
            <w:tcW w:w="1860" w:type="dxa"/>
            <w:vAlign w:val="bottom"/>
            <w:tcBorders>
              <w:left w:val="single" w:sz="8" w:color="auto"/>
              <w:right w:val="single" w:sz="8" w:color="auto"/>
            </w:tcBorders>
            <w:shd w:val="clear" w:color="auto" w:fill="CCEEFF"/>
          </w:tcPr>
          <w:p>
            <w:pPr>
              <w:spacing w:after="0"/>
              <w:rPr>
                <w:sz w:val="12"/>
                <w:szCs w:val="12"/>
                <w:color w:val="auto"/>
              </w:rPr>
            </w:pPr>
          </w:p>
        </w:tc>
        <w:tc>
          <w:tcPr>
            <w:tcW w:w="162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tcBorders>
              <w:right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tcBorders>
              <w:right w:val="single" w:sz="8" w:color="auto"/>
            </w:tcBorders>
            <w:shd w:val="clear" w:color="auto" w:fill="CCEEFF"/>
          </w:tcPr>
          <w:p>
            <w:pPr>
              <w:spacing w:after="0"/>
              <w:rPr>
                <w:sz w:val="12"/>
                <w:szCs w:val="12"/>
                <w:color w:val="auto"/>
              </w:rPr>
            </w:pPr>
          </w:p>
        </w:tc>
        <w:tc>
          <w:tcPr>
            <w:tcW w:w="1500" w:type="dxa"/>
            <w:vAlign w:val="bottom"/>
            <w:tcBorders>
              <w:right w:val="single" w:sz="8" w:color="auto"/>
            </w:tcBorders>
            <w:shd w:val="clear" w:color="auto" w:fill="CCEEFF"/>
          </w:tcPr>
          <w:p>
            <w:pPr>
              <w:spacing w:after="0"/>
              <w:rPr>
                <w:sz w:val="12"/>
                <w:szCs w:val="12"/>
                <w:color w:val="auto"/>
              </w:rPr>
            </w:pPr>
          </w:p>
        </w:tc>
        <w:tc>
          <w:tcPr>
            <w:tcW w:w="22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2"/>
                <w:szCs w:val="12"/>
                <w:color w:val="auto"/>
              </w:rPr>
              <w:t>Indiana, it has distribution capabilities</w:t>
            </w:r>
          </w:p>
        </w:tc>
      </w:tr>
      <w:tr>
        <w:trPr>
          <w:trHeight w:val="169"/>
        </w:trPr>
        <w:tc>
          <w:tcPr>
            <w:tcW w:w="186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1620" w:type="dxa"/>
            <w:vAlign w:val="bottom"/>
            <w:tcBorders>
              <w:bottom w:val="single" w:sz="8" w:color="auto"/>
              <w:right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right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right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right w:val="single" w:sz="8" w:color="auto"/>
            </w:tcBorders>
            <w:shd w:val="clear" w:color="auto" w:fill="CCEEFF"/>
          </w:tcPr>
          <w:p>
            <w:pPr>
              <w:spacing w:after="0"/>
              <w:rPr>
                <w:sz w:val="14"/>
                <w:szCs w:val="14"/>
                <w:color w:val="auto"/>
              </w:rPr>
            </w:pPr>
          </w:p>
        </w:tc>
        <w:tc>
          <w:tcPr>
            <w:tcW w:w="1500" w:type="dxa"/>
            <w:vAlign w:val="bottom"/>
            <w:tcBorders>
              <w:bottom w:val="single" w:sz="8" w:color="auto"/>
              <w:right w:val="single" w:sz="8" w:color="auto"/>
            </w:tcBorders>
            <w:shd w:val="clear" w:color="auto" w:fill="CCEEFF"/>
          </w:tcPr>
          <w:p>
            <w:pPr>
              <w:spacing w:after="0"/>
              <w:rPr>
                <w:sz w:val="14"/>
                <w:szCs w:val="14"/>
                <w:color w:val="auto"/>
              </w:rPr>
            </w:pPr>
          </w:p>
        </w:tc>
        <w:tc>
          <w:tcPr>
            <w:tcW w:w="22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2"/>
                <w:szCs w:val="12"/>
                <w:color w:val="auto"/>
              </w:rPr>
              <w:t>throughout the United States.</w:t>
            </w:r>
          </w:p>
        </w:tc>
      </w:tr>
      <w:tr>
        <w:trPr>
          <w:trHeight w:val="15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Service Supply Distribution, Inc.</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March 8, 2010</w:t>
            </w:r>
          </w:p>
        </w:tc>
        <w:tc>
          <w:tcPr>
            <w:tcW w:w="3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320" w:type="dxa"/>
            <w:vAlign w:val="bottom"/>
            <w:tcBorders>
              <w:right w:val="single" w:sz="8" w:color="auto"/>
            </w:tcBorders>
          </w:tcPr>
          <w:p>
            <w:pPr>
              <w:ind w:left="220"/>
              <w:spacing w:after="0"/>
              <w:rPr>
                <w:sz w:val="20"/>
                <w:szCs w:val="20"/>
                <w:color w:val="auto"/>
              </w:rPr>
            </w:pPr>
            <w:r>
              <w:rPr>
                <w:rFonts w:ascii="Arial" w:cs="Arial" w:eastAsia="Arial" w:hAnsi="Arial"/>
                <w:sz w:val="12"/>
                <w:szCs w:val="12"/>
                <w:color w:val="auto"/>
                <w:w w:val="96"/>
              </w:rPr>
              <w:t>0.6 (asset purchase)</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auto"/>
            </w:tcBorders>
          </w:tcPr>
          <w:p>
            <w:pPr>
              <w:jc w:val="right"/>
              <w:ind w:right="82"/>
              <w:spacing w:after="0"/>
              <w:rPr>
                <w:sz w:val="20"/>
                <w:szCs w:val="20"/>
                <w:color w:val="auto"/>
              </w:rPr>
            </w:pPr>
            <w:r>
              <w:rPr>
                <w:rFonts w:ascii="Arial" w:cs="Arial" w:eastAsia="Arial" w:hAnsi="Arial"/>
                <w:sz w:val="12"/>
                <w:szCs w:val="12"/>
                <w:color w:val="auto"/>
              </w:rPr>
              <w:t>0.0</w:t>
            </w:r>
          </w:p>
        </w:tc>
        <w:tc>
          <w:tcPr>
            <w:tcW w:w="3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Arial" w:cs="Arial" w:eastAsia="Arial" w:hAnsi="Arial"/>
                <w:sz w:val="12"/>
                <w:szCs w:val="12"/>
                <w:color w:val="auto"/>
              </w:rPr>
              <w:t>0.6</w:t>
            </w:r>
          </w:p>
        </w:tc>
        <w:tc>
          <w:tcPr>
            <w:tcW w:w="15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Distribution Division</w:t>
            </w:r>
          </w:p>
        </w:tc>
        <w:tc>
          <w:tcPr>
            <w:tcW w:w="22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Distributes certain plumbing, electrical,</w:t>
            </w:r>
          </w:p>
        </w:tc>
      </w:tr>
      <w:tr>
        <w:trPr>
          <w:trHeight w:val="144"/>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(“Service Supply”)</w:t>
            </w:r>
          </w:p>
        </w:tc>
        <w:tc>
          <w:tcPr>
            <w:tcW w:w="162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4"/>
              </w:rPr>
              <w:t>adhesives, flooring, paint and other products</w:t>
            </w:r>
          </w:p>
        </w:tc>
      </w:tr>
      <w:tr>
        <w:trPr>
          <w:trHeight w:val="144"/>
        </w:trPr>
        <w:tc>
          <w:tcPr>
            <w:tcW w:w="186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to manufactured housing and RV</w:t>
            </w:r>
          </w:p>
        </w:tc>
      </w:tr>
      <w:tr>
        <w:trPr>
          <w:trHeight w:val="144"/>
        </w:trPr>
        <w:tc>
          <w:tcPr>
            <w:tcW w:w="186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customers. Headquartered in Cordele,</w:t>
            </w:r>
          </w:p>
        </w:tc>
      </w:tr>
      <w:tr>
        <w:trPr>
          <w:trHeight w:val="144"/>
        </w:trPr>
        <w:tc>
          <w:tcPr>
            <w:tcW w:w="186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Georgia, it has distribution capabilities</w:t>
            </w:r>
          </w:p>
        </w:tc>
      </w:tr>
      <w:tr>
        <w:trPr>
          <w:trHeight w:val="169"/>
        </w:trPr>
        <w:tc>
          <w:tcPr>
            <w:tcW w:w="1860" w:type="dxa"/>
            <w:vAlign w:val="bottom"/>
            <w:tcBorders>
              <w:left w:val="single" w:sz="8" w:color="auto"/>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throughout the United States.</w:t>
            </w:r>
          </w:p>
        </w:tc>
      </w:tr>
      <w:tr>
        <w:trPr>
          <w:trHeight w:val="288"/>
        </w:trPr>
        <w:tc>
          <w:tcPr>
            <w:tcW w:w="9220" w:type="dxa"/>
            <w:vAlign w:val="bottom"/>
            <w:gridSpan w:val="9"/>
          </w:tcPr>
          <w:p>
            <w:pPr>
              <w:ind w:left="420"/>
              <w:spacing w:after="0"/>
              <w:rPr>
                <w:sz w:val="20"/>
                <w:szCs w:val="20"/>
                <w:color w:val="auto"/>
              </w:rPr>
            </w:pPr>
            <w:r>
              <w:rPr>
                <w:rFonts w:ascii="Arial" w:cs="Arial" w:eastAsia="Arial" w:hAnsi="Arial"/>
                <w:sz w:val="12"/>
                <w:szCs w:val="12"/>
                <w:color w:val="auto"/>
              </w:rPr>
              <w:t>The business combinations mentioned above were not significant to our operating results individually or in aggregate, and thus pro forma results are not presented.</w:t>
            </w:r>
          </w:p>
        </w:tc>
        <w:tc>
          <w:tcPr>
            <w:tcW w:w="2280" w:type="dxa"/>
            <w:vAlign w:val="bottom"/>
          </w:tcPr>
          <w:p>
            <w:pPr>
              <w:spacing w:after="0"/>
              <w:rPr>
                <w:sz w:val="24"/>
                <w:szCs w:val="24"/>
                <w:color w:val="auto"/>
              </w:rPr>
            </w:pPr>
          </w:p>
        </w:tc>
      </w:tr>
      <w:tr>
        <w:trPr>
          <w:trHeight w:val="415"/>
        </w:trPr>
        <w:tc>
          <w:tcPr>
            <w:tcW w:w="18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522"/>
              <w:spacing w:after="0"/>
              <w:rPr>
                <w:sz w:val="20"/>
                <w:szCs w:val="20"/>
                <w:color w:val="auto"/>
              </w:rPr>
            </w:pPr>
            <w:r>
              <w:rPr>
                <w:rFonts w:ascii="Arial" w:cs="Arial" w:eastAsia="Arial" w:hAnsi="Arial"/>
                <w:sz w:val="10"/>
                <w:szCs w:val="10"/>
                <w:color w:val="auto"/>
              </w:rPr>
              <w:t>14</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66"/>
        </w:trPr>
        <w:tc>
          <w:tcPr>
            <w:tcW w:w="1860" w:type="dxa"/>
            <w:vAlign w:val="bottom"/>
            <w:tcBorders>
              <w:bottom w:val="single" w:sz="8" w:color="808080"/>
            </w:tcBorders>
          </w:tcPr>
          <w:p>
            <w:pPr>
              <w:spacing w:after="0"/>
              <w:rPr>
                <w:sz w:val="5"/>
                <w:szCs w:val="5"/>
                <w:color w:val="auto"/>
              </w:rPr>
            </w:pPr>
          </w:p>
        </w:tc>
        <w:tc>
          <w:tcPr>
            <w:tcW w:w="16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1500" w:type="dxa"/>
            <w:vAlign w:val="bottom"/>
            <w:tcBorders>
              <w:bottom w:val="single" w:sz="8" w:color="808080"/>
            </w:tcBorders>
          </w:tcPr>
          <w:p>
            <w:pPr>
              <w:spacing w:after="0"/>
              <w:rPr>
                <w:sz w:val="5"/>
                <w:szCs w:val="5"/>
                <w:color w:val="auto"/>
              </w:rPr>
            </w:pPr>
          </w:p>
        </w:tc>
        <w:tc>
          <w:tcPr>
            <w:tcW w:w="228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14" w:name="page15"/>
    <w:bookmarkEnd w:id="14"/>
    <w:p>
      <w:pPr>
        <w:ind w:left="8"/>
        <w:spacing w:after="0"/>
        <w:rPr>
          <w:rFonts w:ascii="Arial" w:cs="Arial" w:eastAsia="Arial" w:hAnsi="Arial"/>
          <w:sz w:val="10"/>
          <w:szCs w:val="10"/>
          <w:b w:val="1"/>
          <w:bCs w:val="1"/>
          <w:i w:val="1"/>
          <w:iCs w:val="1"/>
          <w:u w:val="single" w:color="auto"/>
          <w:color w:val="0000EE"/>
        </w:rPr>
      </w:pPr>
      <w:hyperlink w:anchor="page2">
        <w:r>
          <w:rPr>
            <w:rFonts w:ascii="Arial" w:cs="Arial" w:eastAsia="Arial" w:hAnsi="Arial"/>
            <w:sz w:val="10"/>
            <w:szCs w:val="10"/>
            <w:b w:val="1"/>
            <w:bCs w:val="1"/>
            <w:i w:val="1"/>
            <w:iCs w:val="1"/>
            <w:u w:val="single" w:color="auto"/>
            <w:color w:val="0000EE"/>
          </w:rPr>
          <w:t>Table of Contents</w:t>
        </w:r>
      </w:hyperlink>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UNIVERSAL FOREST PRODUCTS, INC.</w:t>
      </w:r>
    </w:p>
    <w:p>
      <w:pPr>
        <w:spacing w:after="0" w:line="150" w:lineRule="exact"/>
        <w:rPr>
          <w:sz w:val="20"/>
          <w:szCs w:val="20"/>
          <w:color w:val="auto"/>
        </w:rPr>
      </w:pPr>
    </w:p>
    <w:p>
      <w:pPr>
        <w:ind w:left="428" w:hanging="428"/>
        <w:spacing w:after="0"/>
        <w:tabs>
          <w:tab w:leader="none" w:pos="428" w:val="left"/>
        </w:tabs>
        <w:numPr>
          <w:ilvl w:val="0"/>
          <w:numId w:val="10"/>
        </w:numPr>
        <w:rPr>
          <w:rFonts w:ascii="Arial" w:cs="Arial" w:eastAsia="Arial" w:hAnsi="Arial"/>
          <w:sz w:val="12"/>
          <w:szCs w:val="12"/>
          <w:b w:val="1"/>
          <w:bCs w:val="1"/>
          <w:color w:val="auto"/>
        </w:rPr>
      </w:pPr>
      <w:r>
        <w:rPr>
          <w:rFonts w:ascii="Arial" w:cs="Arial" w:eastAsia="Arial" w:hAnsi="Arial"/>
          <w:sz w:val="12"/>
          <w:szCs w:val="12"/>
          <w:b w:val="1"/>
          <w:bCs w:val="1"/>
          <w:color w:val="auto"/>
        </w:rPr>
        <w:t>SEGMENT REPORTING</w:t>
      </w:r>
    </w:p>
    <w:p>
      <w:pPr>
        <w:spacing w:after="0" w:line="154" w:lineRule="exact"/>
        <w:rPr>
          <w:rFonts w:ascii="Arial" w:cs="Arial" w:eastAsia="Arial" w:hAnsi="Arial"/>
          <w:sz w:val="12"/>
          <w:szCs w:val="12"/>
          <w:b w:val="1"/>
          <w:bCs w:val="1"/>
          <w:color w:val="auto"/>
        </w:rPr>
      </w:pPr>
    </w:p>
    <w:p>
      <w:pPr>
        <w:ind w:left="428"/>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 xml:space="preserve">ASC 280, </w:t>
      </w:r>
      <w:r>
        <w:rPr>
          <w:rFonts w:ascii="Arial" w:cs="Arial" w:eastAsia="Arial" w:hAnsi="Arial"/>
          <w:sz w:val="12"/>
          <w:szCs w:val="12"/>
          <w:i w:val="1"/>
          <w:iCs w:val="1"/>
          <w:color w:val="auto"/>
        </w:rPr>
        <w:t>Segment Reporting</w:t>
      </w:r>
      <w:r>
        <w:rPr>
          <w:rFonts w:ascii="Arial" w:cs="Arial" w:eastAsia="Arial" w:hAnsi="Arial"/>
          <w:sz w:val="12"/>
          <w:szCs w:val="12"/>
          <w:color w:val="auto"/>
        </w:rPr>
        <w:t xml:space="preserve">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14" w:lineRule="exact"/>
        <w:rPr>
          <w:rFonts w:ascii="Arial" w:cs="Arial" w:eastAsia="Arial" w:hAnsi="Arial"/>
          <w:sz w:val="12"/>
          <w:szCs w:val="12"/>
          <w:b w:val="1"/>
          <w:bCs w:val="1"/>
          <w:color w:val="auto"/>
        </w:rPr>
      </w:pPr>
    </w:p>
    <w:p>
      <w:pPr>
        <w:jc w:val="both"/>
        <w:ind w:left="428"/>
        <w:spacing w:after="0" w:line="298" w:lineRule="auto"/>
        <w:rPr>
          <w:rFonts w:ascii="Arial" w:cs="Arial" w:eastAsia="Arial" w:hAnsi="Arial"/>
          <w:sz w:val="12"/>
          <w:szCs w:val="12"/>
          <w:b w:val="1"/>
          <w:bCs w:val="1"/>
          <w:color w:val="auto"/>
        </w:rPr>
      </w:pPr>
      <w:r>
        <w:rPr>
          <w:rFonts w:ascii="Arial" w:cs="Arial" w:eastAsia="Arial" w:hAnsi="Arial"/>
          <w:sz w:val="11"/>
          <w:szCs w:val="11"/>
          <w:color w:val="auto"/>
        </w:rPr>
        <w:t>Our operating segments consist of Eastern, Western, Atlantic, Consumer Products and Distribution divisions. In accordance with ASC 280, due to similar economic characteristics, nature of products, distribution methods, and customers, we have aggregated our Eastern and Western operating segments into one reportable segment. The Atlantic division is considered a separate reportable segment. Our other divisions do not collectively form a reportable segment because their respective operations are dissimilar and they do not meet the applicable quantitative requirements. These operations have been included in the “All Other” column of the table below.</w:t>
      </w:r>
    </w:p>
    <w:p>
      <w:pPr>
        <w:spacing w:after="0" w:line="105" w:lineRule="exact"/>
        <w:rPr>
          <w:sz w:val="20"/>
          <w:szCs w:val="20"/>
          <w:color w:val="auto"/>
        </w:rPr>
      </w:pPr>
    </w:p>
    <w:tbl>
      <w:tblPr>
        <w:tblLayout w:type="fixed"/>
        <w:tblInd w:w="568" w:type="dxa"/>
        <w:tblCellMar>
          <w:top w:w="0" w:type="dxa"/>
          <w:left w:w="0" w:type="dxa"/>
          <w:bottom w:w="0" w:type="dxa"/>
          <w:right w:w="0" w:type="dxa"/>
        </w:tblCellMar>
      </w:tblPr>
      <w:tr>
        <w:trPr>
          <w:trHeight w:val="153"/>
        </w:trPr>
        <w:tc>
          <w:tcPr>
            <w:tcW w:w="2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2"/>
                <w:szCs w:val="12"/>
                <w:color w:val="auto"/>
                <w:w w:val="89"/>
              </w:rPr>
              <w:t>Six Months Ended June 25, 2011</w:t>
            </w:r>
          </w:p>
        </w:tc>
        <w:tc>
          <w:tcPr>
            <w:tcW w:w="9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r>
      <w:tr>
        <w:trPr>
          <w:trHeight w:val="133"/>
        </w:trPr>
        <w:tc>
          <w:tcPr>
            <w:tcW w:w="2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380"/>
              <w:spacing w:after="0" w:line="133" w:lineRule="exact"/>
              <w:rPr>
                <w:sz w:val="20"/>
                <w:szCs w:val="20"/>
                <w:color w:val="auto"/>
              </w:rPr>
            </w:pPr>
            <w:r>
              <w:rPr>
                <w:rFonts w:ascii="Arial" w:cs="Arial" w:eastAsia="Arial" w:hAnsi="Arial"/>
                <w:sz w:val="12"/>
                <w:szCs w:val="12"/>
                <w:color w:val="auto"/>
                <w:w w:val="86"/>
              </w:rPr>
              <w:t>Eastern and</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2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Western</w:t>
            </w:r>
          </w:p>
        </w:tc>
        <w:tc>
          <w:tcPr>
            <w:tcW w:w="220" w:type="dxa"/>
            <w:vAlign w:val="bottom"/>
          </w:tcPr>
          <w:p>
            <w:pPr>
              <w:spacing w:after="0"/>
              <w:rPr>
                <w:sz w:val="12"/>
                <w:szCs w:val="12"/>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color w:val="auto"/>
              </w:rPr>
              <w:t>Atlantic</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2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color w:val="auto"/>
                <w:w w:val="95"/>
              </w:rPr>
              <w:t>Divisions</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Division</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Corporate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All Other</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Total</w:t>
            </w:r>
          </w:p>
        </w:tc>
        <w:tc>
          <w:tcPr>
            <w:tcW w:w="120" w:type="dxa"/>
            <w:vAlign w:val="bottom"/>
          </w:tcPr>
          <w:p>
            <w:pPr>
              <w:spacing w:after="0"/>
              <w:rPr>
                <w:sz w:val="13"/>
                <w:szCs w:val="13"/>
                <w:color w:val="auto"/>
              </w:rPr>
            </w:pPr>
          </w:p>
        </w:tc>
      </w:tr>
      <w:tr>
        <w:trPr>
          <w:trHeight w:val="142"/>
        </w:trPr>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Net sales to outside customers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634,267</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220,765</w:t>
            </w:r>
          </w:p>
        </w:tc>
        <w:tc>
          <w:tcPr>
            <w:tcW w:w="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76,340</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931,372</w:t>
            </w:r>
          </w:p>
        </w:tc>
        <w:tc>
          <w:tcPr>
            <w:tcW w:w="120" w:type="dxa"/>
            <w:vAlign w:val="bottom"/>
            <w:shd w:val="clear" w:color="auto" w:fill="CCEEFF"/>
          </w:tcPr>
          <w:p>
            <w:pPr>
              <w:spacing w:after="0"/>
              <w:rPr>
                <w:sz w:val="12"/>
                <w:szCs w:val="12"/>
                <w:color w:val="auto"/>
              </w:rPr>
            </w:pPr>
          </w:p>
        </w:tc>
      </w:tr>
      <w:tr>
        <w:trPr>
          <w:trHeight w:val="144"/>
        </w:trPr>
        <w:tc>
          <w:tcPr>
            <w:tcW w:w="2540" w:type="dxa"/>
            <w:vAlign w:val="bottom"/>
          </w:tcPr>
          <w:p>
            <w:pPr>
              <w:spacing w:after="0"/>
              <w:rPr>
                <w:sz w:val="20"/>
                <w:szCs w:val="20"/>
                <w:color w:val="auto"/>
              </w:rPr>
            </w:pPr>
            <w:r>
              <w:rPr>
                <w:rFonts w:ascii="Arial" w:cs="Arial" w:eastAsia="Arial" w:hAnsi="Arial"/>
                <w:sz w:val="12"/>
                <w:szCs w:val="12"/>
                <w:color w:val="auto"/>
              </w:rPr>
              <w:t>Intersegment net sales</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35,010</w:t>
            </w:r>
          </w:p>
        </w:tc>
        <w:tc>
          <w:tcPr>
            <w:tcW w:w="22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21,281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20,847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77,138</w:t>
            </w:r>
          </w:p>
        </w:tc>
      </w:tr>
      <w:tr>
        <w:trPr>
          <w:trHeight w:val="144"/>
        </w:trPr>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Segment operating profit (loss)</w:t>
            </w: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7,193</w:t>
            </w:r>
          </w:p>
        </w:tc>
        <w:tc>
          <w:tcPr>
            <w:tcW w:w="2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(4,057)</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1,635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(2,075)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2,696</w:t>
            </w:r>
          </w:p>
        </w:tc>
        <w:tc>
          <w:tcPr>
            <w:tcW w:w="120" w:type="dxa"/>
            <w:vAlign w:val="bottom"/>
            <w:shd w:val="clear" w:color="auto" w:fill="CCEEFF"/>
          </w:tcPr>
          <w:p>
            <w:pPr>
              <w:spacing w:after="0"/>
              <w:rPr>
                <w:sz w:val="12"/>
                <w:szCs w:val="12"/>
                <w:color w:val="auto"/>
              </w:rPr>
            </w:pPr>
          </w:p>
        </w:tc>
      </w:tr>
      <w:tr>
        <w:trPr>
          <w:trHeight w:val="288"/>
        </w:trPr>
        <w:tc>
          <w:tcPr>
            <w:tcW w:w="2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2"/>
                <w:szCs w:val="12"/>
                <w:color w:val="auto"/>
                <w:w w:val="89"/>
              </w:rPr>
              <w:t>Six Months Ended June 26, 2010</w:t>
            </w: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3"/>
        </w:trPr>
        <w:tc>
          <w:tcPr>
            <w:tcW w:w="2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380"/>
              <w:spacing w:after="0" w:line="133" w:lineRule="exact"/>
              <w:rPr>
                <w:sz w:val="20"/>
                <w:szCs w:val="20"/>
                <w:color w:val="auto"/>
              </w:rPr>
            </w:pPr>
            <w:r>
              <w:rPr>
                <w:rFonts w:ascii="Arial" w:cs="Arial" w:eastAsia="Arial" w:hAnsi="Arial"/>
                <w:sz w:val="12"/>
                <w:szCs w:val="12"/>
                <w:color w:val="auto"/>
                <w:w w:val="86"/>
              </w:rPr>
              <w:t>Eastern and</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2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Western</w:t>
            </w:r>
          </w:p>
        </w:tc>
        <w:tc>
          <w:tcPr>
            <w:tcW w:w="220" w:type="dxa"/>
            <w:vAlign w:val="bottom"/>
          </w:tcPr>
          <w:p>
            <w:pPr>
              <w:spacing w:after="0"/>
              <w:rPr>
                <w:sz w:val="12"/>
                <w:szCs w:val="12"/>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color w:val="auto"/>
              </w:rPr>
              <w:t>Atlantic</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2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color w:val="auto"/>
                <w:w w:val="95"/>
              </w:rPr>
              <w:t>Divisions</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Division</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Corporate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All Other</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Total</w:t>
            </w:r>
          </w:p>
        </w:tc>
        <w:tc>
          <w:tcPr>
            <w:tcW w:w="120" w:type="dxa"/>
            <w:vAlign w:val="bottom"/>
          </w:tcPr>
          <w:p>
            <w:pPr>
              <w:spacing w:after="0"/>
              <w:rPr>
                <w:sz w:val="13"/>
                <w:szCs w:val="13"/>
                <w:color w:val="auto"/>
              </w:rPr>
            </w:pPr>
          </w:p>
        </w:tc>
      </w:tr>
      <w:tr>
        <w:trPr>
          <w:trHeight w:val="142"/>
        </w:trPr>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Net sales to outside customers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698,847</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254,280</w:t>
            </w:r>
          </w:p>
        </w:tc>
        <w:tc>
          <w:tcPr>
            <w:tcW w:w="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78,466</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1,031,593</w:t>
            </w:r>
          </w:p>
        </w:tc>
        <w:tc>
          <w:tcPr>
            <w:tcW w:w="120" w:type="dxa"/>
            <w:vAlign w:val="bottom"/>
            <w:shd w:val="clear" w:color="auto" w:fill="CCEEFF"/>
          </w:tcPr>
          <w:p>
            <w:pPr>
              <w:spacing w:after="0"/>
              <w:rPr>
                <w:sz w:val="12"/>
                <w:szCs w:val="12"/>
                <w:color w:val="auto"/>
              </w:rPr>
            </w:pPr>
          </w:p>
        </w:tc>
      </w:tr>
      <w:tr>
        <w:trPr>
          <w:trHeight w:val="144"/>
        </w:trPr>
        <w:tc>
          <w:tcPr>
            <w:tcW w:w="2540" w:type="dxa"/>
            <w:vAlign w:val="bottom"/>
          </w:tcPr>
          <w:p>
            <w:pPr>
              <w:spacing w:after="0"/>
              <w:rPr>
                <w:sz w:val="20"/>
                <w:szCs w:val="20"/>
                <w:color w:val="auto"/>
              </w:rPr>
            </w:pPr>
            <w:r>
              <w:rPr>
                <w:rFonts w:ascii="Arial" w:cs="Arial" w:eastAsia="Arial" w:hAnsi="Arial"/>
                <w:sz w:val="12"/>
                <w:szCs w:val="12"/>
                <w:color w:val="auto"/>
              </w:rPr>
              <w:t>Intersegment net sales</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49,590</w:t>
            </w:r>
          </w:p>
        </w:tc>
        <w:tc>
          <w:tcPr>
            <w:tcW w:w="22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19,456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34,645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103,691</w:t>
            </w:r>
          </w:p>
        </w:tc>
        <w:tc>
          <w:tcPr>
            <w:tcW w:w="120" w:type="dxa"/>
            <w:vAlign w:val="bottom"/>
          </w:tcPr>
          <w:p>
            <w:pPr>
              <w:spacing w:after="0"/>
              <w:rPr>
                <w:sz w:val="12"/>
                <w:szCs w:val="12"/>
                <w:color w:val="auto"/>
              </w:rPr>
            </w:pPr>
          </w:p>
        </w:tc>
      </w:tr>
      <w:tr>
        <w:trPr>
          <w:trHeight w:val="144"/>
        </w:trPr>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Segment operating profit (loss)</w:t>
            </w: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19,753</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(1,530)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5,293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26,606</w:t>
            </w:r>
          </w:p>
        </w:tc>
      </w:tr>
    </w:tbl>
    <w:p>
      <w:pPr>
        <w:spacing w:after="0" w:line="131" w:lineRule="exact"/>
        <w:rPr>
          <w:sz w:val="20"/>
          <w:szCs w:val="20"/>
          <w:color w:val="auto"/>
        </w:rPr>
      </w:pPr>
    </w:p>
    <w:p>
      <w:pPr>
        <w:ind w:left="428" w:hanging="428"/>
        <w:spacing w:after="0"/>
        <w:tabs>
          <w:tab w:leader="none" w:pos="428" w:val="left"/>
        </w:tabs>
        <w:numPr>
          <w:ilvl w:val="0"/>
          <w:numId w:val="11"/>
        </w:numPr>
        <w:rPr>
          <w:rFonts w:ascii="Arial" w:cs="Arial" w:eastAsia="Arial" w:hAnsi="Arial"/>
          <w:sz w:val="12"/>
          <w:szCs w:val="12"/>
          <w:b w:val="1"/>
          <w:bCs w:val="1"/>
          <w:color w:val="auto"/>
        </w:rPr>
      </w:pPr>
      <w:r>
        <w:rPr>
          <w:rFonts w:ascii="Arial" w:cs="Arial" w:eastAsia="Arial" w:hAnsi="Arial"/>
          <w:sz w:val="12"/>
          <w:szCs w:val="12"/>
          <w:b w:val="1"/>
          <w:bCs w:val="1"/>
          <w:color w:val="auto"/>
        </w:rPr>
        <w:t>INCOME TAXES</w:t>
      </w:r>
    </w:p>
    <w:p>
      <w:pPr>
        <w:spacing w:after="0" w:line="154" w:lineRule="exact"/>
        <w:rPr>
          <w:rFonts w:ascii="Arial" w:cs="Arial" w:eastAsia="Arial" w:hAnsi="Arial"/>
          <w:sz w:val="12"/>
          <w:szCs w:val="12"/>
          <w:b w:val="1"/>
          <w:bCs w:val="1"/>
          <w:color w:val="auto"/>
        </w:rPr>
      </w:pPr>
    </w:p>
    <w:p>
      <w:pPr>
        <w:jc w:val="both"/>
        <w:ind w:left="428"/>
        <w:spacing w:after="0" w:line="263" w:lineRule="auto"/>
        <w:rPr>
          <w:rFonts w:ascii="Arial" w:cs="Arial" w:eastAsia="Arial" w:hAnsi="Arial"/>
          <w:sz w:val="12"/>
          <w:szCs w:val="12"/>
          <w:b w:val="1"/>
          <w:bCs w:val="1"/>
          <w:color w:val="auto"/>
        </w:rPr>
      </w:pPr>
      <w:r>
        <w:rPr>
          <w:rFonts w:ascii="Arial" w:cs="Arial" w:eastAsia="Arial" w:hAnsi="Arial"/>
          <w:sz w:val="12"/>
          <w:szCs w:val="12"/>
          <w:color w:val="auto"/>
        </w:rPr>
        <w:t>Effective tax rates differ from statutory federal income tax rates, primarily due to provisions for state and local income taxes and permanent tax differences. Our effective tax rate was 35.8% in the second quarter of 2011 and 36.5% for same period of 2010. Our effective tax rate was 17.0% in the first six months of 2011, which was well below our statutory rate, primarily due to the profits of our non-U.S. subsidiaries, which have a lower tax rate, and our non-wholly owned partnerships that we consolidate, which comprised a greater percentage of our year to date profits than in the prior year period.</w:t>
      </w:r>
    </w:p>
    <w:p>
      <w:pPr>
        <w:spacing w:after="0" w:line="281"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128" w:right="219" w:bottom="1440" w:gutter="0" w:footer="0" w:header="0"/>
        </w:sectPr>
      </w:pPr>
    </w:p>
    <w:bookmarkStart w:id="15" w:name="page16"/>
    <w:bookmarkEnd w:id="15"/>
    <w:p>
      <w:pPr>
        <w:ind w:left="8"/>
        <w:spacing w:after="0"/>
        <w:rPr>
          <w:rFonts w:ascii="Arial" w:cs="Arial" w:eastAsia="Arial" w:hAnsi="Arial"/>
          <w:sz w:val="10"/>
          <w:szCs w:val="10"/>
          <w:b w:val="1"/>
          <w:bCs w:val="1"/>
          <w:i w:val="1"/>
          <w:iCs w:val="1"/>
          <w:u w:val="single" w:color="auto"/>
          <w:color w:val="0000EE"/>
        </w:rPr>
      </w:pPr>
      <w:hyperlink w:anchor="page2">
        <w:r>
          <w:rPr>
            <w:rFonts w:ascii="Arial" w:cs="Arial" w:eastAsia="Arial" w:hAnsi="Arial"/>
            <w:sz w:val="10"/>
            <w:szCs w:val="10"/>
            <w:b w:val="1"/>
            <w:bCs w:val="1"/>
            <w:i w:val="1"/>
            <w:iCs w:val="1"/>
            <w:u w:val="single" w:color="auto"/>
            <w:color w:val="0000EE"/>
          </w:rPr>
          <w:t>Table of Contents</w:t>
        </w:r>
      </w:hyperlink>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UNIVERSAL FOREST PRODUCTS, INC.</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MANAGEMENT’S DISCUSSION AND ANALYSIS OF</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FINANCIAL CONDITION AND RESULTS OF OPERATIONS</w:t>
      </w:r>
    </w:p>
    <w:p>
      <w:pPr>
        <w:spacing w:after="0" w:line="159"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 xml:space="preserve">Universal Forest Products, Inc. ("the Company") is a holding company that provides capital, management and administrative resources to subsidiaries that design, manufacture and market wood and wood-alternative products for DIY/retail home centers and other retailers, structural lumber and other products for the manufactured housing industry, engineered wood components for the site-built construction market, and specialty wood packaging and components and packing materials for various industries. The Company’s subsidiaries also provide framing services for the site-built market and forming products for concrete construction. The Company's consumer products subsidiary offers a large portfolio of outdoor living products, including wood composite decking, decorative balusters, post caps and plastic lattice. Its lawn and garden group offers an array of products, such as trellises and arches, to retailers nationwide. The Company is headquartered in Grand Rapids, Michigan, and its subsidiaries operate facilities throughout North America. For more about Universal Forest Products, Inc., go to </w:t>
      </w:r>
      <w:r>
        <w:rPr>
          <w:rFonts w:ascii="Arial" w:cs="Arial" w:eastAsia="Arial" w:hAnsi="Arial"/>
          <w:sz w:val="11"/>
          <w:szCs w:val="11"/>
          <w:u w:val="single" w:color="auto"/>
          <w:color w:val="auto"/>
        </w:rPr>
        <w:t>www.ufpi.com</w:t>
      </w:r>
      <w:r>
        <w:rPr>
          <w:rFonts w:ascii="Arial" w:cs="Arial" w:eastAsia="Arial" w:hAnsi="Arial"/>
          <w:sz w:val="11"/>
          <w:szCs w:val="11"/>
          <w:color w:val="auto"/>
        </w:rPr>
        <w:t>.</w:t>
      </w:r>
    </w:p>
    <w:p>
      <w:pPr>
        <w:spacing w:after="0" w:line="129"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Please be aware that: Any statements included in this report that are not historical facts are forward-looking statements within the meaning of Section 21E of the Securities Exchange Act of 1934, as amended. Such forward-looking statements are based on the beliefs of the Company's management as well as on assumptions made by, and information currently available to, the Company at the time such statements were made. The Company does not undertake to update forward-looking statements to reflect facts, circumstances, assumptions or events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adverse lumber market trends, competitive activity, negative economic trends, government regulations and weather. Certain of these risk factors and additional information are included in the Company's reports on Form 10-K and 10-Q on file with the Securities and Exchange Commission. We are pleased to present this overview of 2011.</w:t>
      </w:r>
    </w:p>
    <w:p>
      <w:pPr>
        <w:spacing w:after="0" w:line="14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Our results for the second quarter of 2011 were impacted by the following:</w:t>
      </w:r>
    </w:p>
    <w:p>
      <w:pPr>
        <w:spacing w:after="0" w:line="168" w:lineRule="exact"/>
        <w:rPr>
          <w:sz w:val="20"/>
          <w:szCs w:val="20"/>
          <w:color w:val="auto"/>
        </w:rPr>
      </w:pPr>
    </w:p>
    <w:p>
      <w:pPr>
        <w:jc w:val="both"/>
        <w:ind w:left="208" w:hanging="208"/>
        <w:spacing w:after="0" w:line="290" w:lineRule="auto"/>
        <w:tabs>
          <w:tab w:leader="none" w:pos="208" w:val="left"/>
        </w:tabs>
        <w:numPr>
          <w:ilvl w:val="0"/>
          <w:numId w:val="12"/>
        </w:numPr>
        <w:rPr>
          <w:rFonts w:ascii="Arial" w:cs="Arial" w:eastAsia="Arial" w:hAnsi="Arial"/>
          <w:sz w:val="11"/>
          <w:szCs w:val="11"/>
          <w:color w:val="auto"/>
        </w:rPr>
      </w:pPr>
      <w:r>
        <w:rPr>
          <w:rFonts w:ascii="Arial" w:cs="Arial" w:eastAsia="Arial" w:hAnsi="Arial"/>
          <w:sz w:val="11"/>
          <w:szCs w:val="11"/>
          <w:color w:val="auto"/>
        </w:rPr>
        <w:t>Our overall unit sales decreased 4% compared to the second quarter of 2010 due to a decline in sales to our retail building materials, residential construction, and manufactured housing markets, offset by increases in unit sales to our commercial construction and concrete forming and industrial markets. We believe we gained additional share of the commercial construction, concrete forming and industrial markets we serve. Share gains in our industrial market were achieved by adding many new customers. We believe we have maintained our share of the retail building materials market based on the number of stores we serve of our customers compared to last year. Finally, within the last year we closed several plants that supply the site-built construction market in order to achieve profitability and cash flow goals. Consequently, we believe that these actions may temporarily cause us to lose some market share.</w:t>
      </w:r>
    </w:p>
    <w:p>
      <w:pPr>
        <w:spacing w:after="0" w:line="223"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16" w:name="page17"/>
    <w:bookmarkEnd w:id="16"/>
    <w:p>
      <w:pPr>
        <w:ind w:left="8"/>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UNIVERSAL FOREST PRODUCTS, INC.</w:t>
      </w:r>
    </w:p>
    <w:p>
      <w:pPr>
        <w:spacing w:after="0" w:line="172" w:lineRule="exact"/>
        <w:rPr>
          <w:sz w:val="20"/>
          <w:szCs w:val="20"/>
          <w:color w:val="auto"/>
        </w:rPr>
      </w:pPr>
    </w:p>
    <w:p>
      <w:pPr>
        <w:ind w:left="208" w:hanging="208"/>
        <w:spacing w:after="0" w:line="276" w:lineRule="auto"/>
        <w:tabs>
          <w:tab w:leader="none" w:pos="20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Lumber Market was down 16.4% in the quarter compared to the same period of 2010. We estimate that lower lumber prices reduced our overall selling prices by approximately 10% comparing the second quarter of 2011 and 2010.</w:t>
      </w:r>
    </w:p>
    <w:p>
      <w:pPr>
        <w:spacing w:after="0" w:line="132"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13"/>
        </w:numPr>
        <w:rPr>
          <w:rFonts w:ascii="Arial" w:cs="Arial" w:eastAsia="Arial" w:hAnsi="Arial"/>
          <w:sz w:val="12"/>
          <w:szCs w:val="12"/>
          <w:color w:val="auto"/>
        </w:rPr>
      </w:pPr>
      <w:r>
        <w:rPr>
          <w:rFonts w:ascii="Arial" w:cs="Arial" w:eastAsia="Arial" w:hAnsi="Arial"/>
          <w:sz w:val="12"/>
          <w:szCs w:val="12"/>
          <w:color w:val="auto"/>
        </w:rPr>
        <w:t>National housing starts decreased approximately 11% in the period from March through May of 2011 (our sales trail housing starts by about a month), compared to the same period of 2010, primarily due to the expiration of certain housing-related government tax credits in 2010.</w:t>
      </w:r>
    </w:p>
    <w:p>
      <w:pPr>
        <w:spacing w:after="0" w:line="132" w:lineRule="exact"/>
        <w:rPr>
          <w:rFonts w:ascii="Arial" w:cs="Arial" w:eastAsia="Arial" w:hAnsi="Arial"/>
          <w:sz w:val="12"/>
          <w:szCs w:val="12"/>
          <w:color w:val="auto"/>
        </w:rPr>
      </w:pPr>
    </w:p>
    <w:p>
      <w:pPr>
        <w:ind w:left="208" w:right="20" w:hanging="208"/>
        <w:spacing w:after="0" w:line="276" w:lineRule="auto"/>
        <w:tabs>
          <w:tab w:leader="none" w:pos="208" w:val="left"/>
        </w:tabs>
        <w:numPr>
          <w:ilvl w:val="0"/>
          <w:numId w:val="13"/>
        </w:numPr>
        <w:rPr>
          <w:rFonts w:ascii="Arial" w:cs="Arial" w:eastAsia="Arial" w:hAnsi="Arial"/>
          <w:sz w:val="12"/>
          <w:szCs w:val="12"/>
          <w:color w:val="auto"/>
        </w:rPr>
      </w:pPr>
      <w:r>
        <w:rPr>
          <w:rFonts w:ascii="Arial" w:cs="Arial" w:eastAsia="Arial" w:hAnsi="Arial"/>
          <w:sz w:val="12"/>
          <w:szCs w:val="12"/>
          <w:color w:val="auto"/>
        </w:rPr>
        <w:t>Shipments of HUD code manufactured homes were down 14% in April and May of 2011, compared to the same period of 2010. Shipments of manufactured homes were also positively impacted by certain housing-related tax credits in 2010 that have now expired.</w:t>
      </w:r>
    </w:p>
    <w:p>
      <w:pPr>
        <w:spacing w:after="0" w:line="132" w:lineRule="exact"/>
        <w:rPr>
          <w:rFonts w:ascii="Arial" w:cs="Arial" w:eastAsia="Arial" w:hAnsi="Arial"/>
          <w:sz w:val="12"/>
          <w:szCs w:val="12"/>
          <w:color w:val="auto"/>
        </w:rPr>
      </w:pPr>
    </w:p>
    <w:p>
      <w:pPr>
        <w:ind w:left="208" w:hanging="208"/>
        <w:spacing w:after="0" w:line="258" w:lineRule="auto"/>
        <w:tabs>
          <w:tab w:leader="none" w:pos="208"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gross profit percentage decreased to 10.4% from 12.2% comparing the second quarter of 2011 with the same period of 2010. In addition, our gross profit dollars decreased by 27% comparing the second quarter of 2011 with the same period of 2010, which compares unfavorably to our 4% decrease in unit sales. The decline in our gross margin and profitability this quarter was due to several factors.</w:t>
      </w:r>
    </w:p>
    <w:p>
      <w:pPr>
        <w:jc w:val="both"/>
        <w:ind w:left="648" w:hanging="216"/>
        <w:spacing w:after="0" w:line="250" w:lineRule="auto"/>
        <w:tabs>
          <w:tab w:leader="none" w:pos="648" w:val="left"/>
        </w:tabs>
        <w:numPr>
          <w:ilvl w:val="1"/>
          <w:numId w:val="13"/>
        </w:numPr>
        <w:rPr>
          <w:rFonts w:ascii="Arial" w:cs="Arial" w:eastAsia="Arial" w:hAnsi="Arial"/>
          <w:sz w:val="12"/>
          <w:szCs w:val="12"/>
          <w:color w:val="auto"/>
        </w:rPr>
      </w:pPr>
      <w:r>
        <w:rPr>
          <w:rFonts w:ascii="Arial" w:cs="Arial" w:eastAsia="Arial" w:hAnsi="Arial"/>
          <w:sz w:val="12"/>
          <w:szCs w:val="12"/>
          <w:color w:val="auto"/>
        </w:rPr>
        <w:t>Most notably, gross margins on sales to the retail building materials market declined 230 basis points for the quarter resulting primarily from an increase in material costs as a percentage of sales to this market. This was primarily due to the Lumber Market, which decreased 11 consecutive weeks from the end of March 2011 through the end of May 2011. As a result, this adversely impacted our gross margins on products whose prices were indexed to the current Lumber Market at the time they are sold.</w:t>
      </w:r>
    </w:p>
    <w:p>
      <w:pPr>
        <w:spacing w:after="0" w:line="1" w:lineRule="exact"/>
        <w:rPr>
          <w:rFonts w:ascii="Arial" w:cs="Arial" w:eastAsia="Arial" w:hAnsi="Arial"/>
          <w:sz w:val="12"/>
          <w:szCs w:val="12"/>
          <w:color w:val="auto"/>
        </w:rPr>
      </w:pPr>
    </w:p>
    <w:p>
      <w:pPr>
        <w:ind w:left="648" w:right="20" w:hanging="216"/>
        <w:spacing w:after="0" w:line="250" w:lineRule="auto"/>
        <w:tabs>
          <w:tab w:leader="none" w:pos="648" w:val="left"/>
        </w:tabs>
        <w:numPr>
          <w:ilvl w:val="1"/>
          <w:numId w:val="13"/>
        </w:numPr>
        <w:rPr>
          <w:rFonts w:ascii="Arial" w:cs="Arial" w:eastAsia="Arial" w:hAnsi="Arial"/>
          <w:sz w:val="12"/>
          <w:szCs w:val="12"/>
          <w:color w:val="auto"/>
        </w:rPr>
      </w:pPr>
      <w:r>
        <w:rPr>
          <w:rFonts w:ascii="Arial" w:cs="Arial" w:eastAsia="Arial" w:hAnsi="Arial"/>
          <w:sz w:val="12"/>
          <w:szCs w:val="12"/>
          <w:color w:val="auto"/>
        </w:rPr>
        <w:t>A decline in sales to our retail building materials, residential construction, and manufactured housing markets adversely impacted our margins due to fixed manufacturing costs. In addition, as these markets have contracted, competitive pricing pressure has become greater and adversely impacted 2011 margins.</w:t>
      </w:r>
    </w:p>
    <w:p>
      <w:pPr>
        <w:ind w:left="648" w:hanging="216"/>
        <w:spacing w:after="0"/>
        <w:tabs>
          <w:tab w:leader="none" w:pos="648" w:val="left"/>
        </w:tabs>
        <w:numPr>
          <w:ilvl w:val="1"/>
          <w:numId w:val="13"/>
        </w:numPr>
        <w:rPr>
          <w:rFonts w:ascii="Arial" w:cs="Arial" w:eastAsia="Arial" w:hAnsi="Arial"/>
          <w:sz w:val="12"/>
          <w:szCs w:val="12"/>
          <w:color w:val="auto"/>
        </w:rPr>
      </w:pPr>
      <w:r>
        <w:rPr>
          <w:rFonts w:ascii="Arial" w:cs="Arial" w:eastAsia="Arial" w:hAnsi="Arial"/>
          <w:sz w:val="12"/>
          <w:szCs w:val="12"/>
          <w:color w:val="auto"/>
        </w:rPr>
        <w:t>We recorded a $2 million loss during the second quarter of 2011 on a construction project, which represents the entire loss we believe we will incur on the project.</w:t>
      </w:r>
    </w:p>
    <w:p>
      <w:pPr>
        <w:spacing w:after="0" w:line="6" w:lineRule="exact"/>
        <w:rPr>
          <w:rFonts w:ascii="Arial" w:cs="Arial" w:eastAsia="Arial" w:hAnsi="Arial"/>
          <w:sz w:val="12"/>
          <w:szCs w:val="12"/>
          <w:color w:val="auto"/>
        </w:rPr>
      </w:pPr>
    </w:p>
    <w:p>
      <w:pPr>
        <w:ind w:left="648" w:hanging="216"/>
        <w:spacing w:after="0"/>
        <w:tabs>
          <w:tab w:leader="none" w:pos="648" w:val="left"/>
        </w:tabs>
        <w:numPr>
          <w:ilvl w:val="1"/>
          <w:numId w:val="13"/>
        </w:numPr>
        <w:rPr>
          <w:rFonts w:ascii="Arial" w:cs="Arial" w:eastAsia="Arial" w:hAnsi="Arial"/>
          <w:sz w:val="12"/>
          <w:szCs w:val="12"/>
          <w:color w:val="auto"/>
        </w:rPr>
      </w:pPr>
      <w:r>
        <w:rPr>
          <w:rFonts w:ascii="Arial" w:cs="Arial" w:eastAsia="Arial" w:hAnsi="Arial"/>
          <w:sz w:val="12"/>
          <w:szCs w:val="12"/>
          <w:color w:val="auto"/>
        </w:rPr>
        <w:t>Finally, our freight costs increased as a percentage of sales this quarter primarily due to higher year over year fuel prices.</w:t>
      </w:r>
    </w:p>
    <w:p>
      <w:pPr>
        <w:spacing w:after="0" w:line="159"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chief executive officer resigned on June 20, 2011; on that same date we entered into a consulting and non-competition agreement with him. Therefore, we accrued for the present value of the future payments to him totaling $2.6 million at the end of June 2011.</w:t>
      </w:r>
    </w:p>
    <w:p>
      <w:pPr>
        <w:spacing w:after="0" w:line="228"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17" w:name="page18"/>
    <w:bookmarkEnd w:id="17"/>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5000" w:type="dxa"/>
            <w:vAlign w:val="bottom"/>
            <w:gridSpan w:val="2"/>
          </w:tcPr>
          <w:p>
            <w:pPr>
              <w:jc w:val="right"/>
              <w:ind w:right="2420"/>
              <w:spacing w:after="0"/>
              <w:rPr>
                <w:sz w:val="20"/>
                <w:szCs w:val="20"/>
                <w:color w:val="auto"/>
              </w:rPr>
            </w:pPr>
            <w:r>
              <w:rPr>
                <w:rFonts w:ascii="Arial" w:cs="Arial" w:eastAsia="Arial" w:hAnsi="Arial"/>
                <w:sz w:val="12"/>
                <w:szCs w:val="12"/>
                <w:b w:val="1"/>
                <w:bCs w:val="1"/>
                <w:color w:val="auto"/>
              </w:rPr>
              <w:t>UNIVERSAL FOREST PRODUCTS, INC.</w:t>
            </w:r>
          </w:p>
        </w:tc>
        <w:tc>
          <w:tcPr>
            <w:tcW w:w="1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000" w:type="dxa"/>
            <w:vAlign w:val="bottom"/>
            <w:gridSpan w:val="2"/>
          </w:tcPr>
          <w:p>
            <w:pPr>
              <w:jc w:val="right"/>
              <w:ind w:right="2620"/>
              <w:spacing w:after="0"/>
              <w:rPr>
                <w:sz w:val="20"/>
                <w:szCs w:val="20"/>
                <w:color w:val="auto"/>
              </w:rPr>
            </w:pPr>
            <w:r>
              <w:rPr>
                <w:rFonts w:ascii="Arial" w:cs="Arial" w:eastAsia="Arial" w:hAnsi="Arial"/>
                <w:sz w:val="12"/>
                <w:szCs w:val="12"/>
                <w:b w:val="1"/>
                <w:bCs w:val="1"/>
                <w:color w:val="auto"/>
              </w:rPr>
              <w:t>HISTORICAL LUMBER PRICES</w:t>
            </w: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320" w:type="dxa"/>
            <w:vAlign w:val="bottom"/>
            <w:gridSpan w:val="2"/>
          </w:tcPr>
          <w:p>
            <w:pPr>
              <w:spacing w:after="0"/>
              <w:rPr>
                <w:sz w:val="20"/>
                <w:szCs w:val="20"/>
                <w:color w:val="auto"/>
              </w:rPr>
            </w:pPr>
            <w:r>
              <w:rPr>
                <w:rFonts w:ascii="Arial" w:cs="Arial" w:eastAsia="Arial" w:hAnsi="Arial"/>
                <w:sz w:val="12"/>
                <w:szCs w:val="12"/>
                <w:color w:val="auto"/>
                <w:w w:val="98"/>
              </w:rPr>
              <w:t>The following table presents the Random Lengths framing lumber composite price:</w:t>
            </w:r>
          </w:p>
        </w:tc>
        <w:tc>
          <w:tcPr>
            <w:tcW w:w="9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000" w:type="dxa"/>
            <w:vAlign w:val="bottom"/>
            <w:gridSpan w:val="2"/>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60" w:type="dxa"/>
            <w:vAlign w:val="bottom"/>
            <w:tcBorders>
              <w:top w:val="single" w:sz="8" w:color="auto"/>
              <w:bottom w:val="single" w:sz="8" w:color="auto"/>
            </w:tcBorders>
          </w:tcPr>
          <w:p>
            <w:pPr>
              <w:jc w:val="right"/>
              <w:ind w:right="1140"/>
              <w:spacing w:after="0"/>
              <w:rPr>
                <w:sz w:val="20"/>
                <w:szCs w:val="20"/>
                <w:color w:val="auto"/>
              </w:rPr>
            </w:pPr>
            <w:r>
              <w:rPr>
                <w:rFonts w:ascii="Arial" w:cs="Arial" w:eastAsia="Arial" w:hAnsi="Arial"/>
                <w:sz w:val="12"/>
                <w:szCs w:val="12"/>
                <w:color w:val="auto"/>
              </w:rPr>
              <w:t>2011</w:t>
            </w:r>
          </w:p>
        </w:tc>
        <w:tc>
          <w:tcPr>
            <w:tcW w:w="14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January</w:t>
            </w:r>
          </w:p>
        </w:tc>
        <w:tc>
          <w:tcPr>
            <w:tcW w:w="5000" w:type="dxa"/>
            <w:vAlign w:val="bottom"/>
            <w:gridSpan w:val="2"/>
            <w:shd w:val="clear" w:color="auto" w:fill="CCEEFF"/>
          </w:tcPr>
          <w:p>
            <w:pPr>
              <w:jc w:val="right"/>
              <w:ind w:right="1360"/>
              <w:spacing w:after="0"/>
              <w:rPr>
                <w:sz w:val="20"/>
                <w:szCs w:val="20"/>
                <w:color w:val="auto"/>
              </w:rPr>
            </w:pPr>
            <w:r>
              <w:rPr>
                <w:rFonts w:ascii="Arial" w:cs="Arial" w:eastAsia="Arial" w:hAnsi="Arial"/>
                <w:sz w:val="12"/>
                <w:szCs w:val="12"/>
                <w:color w:val="auto"/>
              </w:rPr>
              <w:t>$</w:t>
            </w:r>
          </w:p>
        </w:tc>
        <w:tc>
          <w:tcPr>
            <w:tcW w:w="222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301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February</w:t>
            </w:r>
          </w:p>
        </w:tc>
        <w:tc>
          <w:tcPr>
            <w:tcW w:w="9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20" w:type="dxa"/>
            <w:vAlign w:val="bottom"/>
            <w:gridSpan w:val="2"/>
          </w:tcPr>
          <w:p>
            <w:pPr>
              <w:jc w:val="right"/>
              <w:ind w:right="780"/>
              <w:spacing w:after="0"/>
              <w:rPr>
                <w:sz w:val="20"/>
                <w:szCs w:val="20"/>
                <w:color w:val="auto"/>
              </w:rPr>
            </w:pPr>
            <w:r>
              <w:rPr>
                <w:rFonts w:ascii="Arial" w:cs="Arial" w:eastAsia="Arial" w:hAnsi="Arial"/>
                <w:sz w:val="12"/>
                <w:szCs w:val="12"/>
                <w:color w:val="auto"/>
              </w:rPr>
              <w:t>296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March</w:t>
            </w:r>
          </w:p>
        </w:tc>
        <w:tc>
          <w:tcPr>
            <w:tcW w:w="940" w:type="dxa"/>
            <w:vAlign w:val="bottom"/>
            <w:shd w:val="clear" w:color="auto" w:fill="CCEEFF"/>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294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April</w:t>
            </w:r>
          </w:p>
        </w:tc>
        <w:tc>
          <w:tcPr>
            <w:tcW w:w="9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20" w:type="dxa"/>
            <w:vAlign w:val="bottom"/>
            <w:gridSpan w:val="2"/>
          </w:tcPr>
          <w:p>
            <w:pPr>
              <w:jc w:val="right"/>
              <w:ind w:right="780"/>
              <w:spacing w:after="0"/>
              <w:rPr>
                <w:sz w:val="20"/>
                <w:szCs w:val="20"/>
                <w:color w:val="auto"/>
              </w:rPr>
            </w:pPr>
            <w:r>
              <w:rPr>
                <w:rFonts w:ascii="Arial" w:cs="Arial" w:eastAsia="Arial" w:hAnsi="Arial"/>
                <w:sz w:val="12"/>
                <w:szCs w:val="12"/>
                <w:color w:val="auto"/>
              </w:rPr>
              <w:t>275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May</w:t>
            </w:r>
          </w:p>
        </w:tc>
        <w:tc>
          <w:tcPr>
            <w:tcW w:w="940" w:type="dxa"/>
            <w:vAlign w:val="bottom"/>
            <w:shd w:val="clear" w:color="auto" w:fill="CCEEFF"/>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259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June</w:t>
            </w:r>
          </w:p>
        </w:tc>
        <w:tc>
          <w:tcPr>
            <w:tcW w:w="9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20" w:type="dxa"/>
            <w:vAlign w:val="bottom"/>
            <w:gridSpan w:val="2"/>
          </w:tcPr>
          <w:p>
            <w:pPr>
              <w:jc w:val="right"/>
              <w:ind w:right="780"/>
              <w:spacing w:after="0"/>
              <w:rPr>
                <w:sz w:val="20"/>
                <w:szCs w:val="20"/>
                <w:color w:val="auto"/>
              </w:rPr>
            </w:pPr>
            <w:r>
              <w:rPr>
                <w:rFonts w:ascii="Arial" w:cs="Arial" w:eastAsia="Arial" w:hAnsi="Arial"/>
                <w:sz w:val="12"/>
                <w:szCs w:val="12"/>
                <w:color w:val="auto"/>
              </w:rPr>
              <w:t>262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Second quarter average</w:t>
            </w:r>
          </w:p>
        </w:tc>
        <w:tc>
          <w:tcPr>
            <w:tcW w:w="5000" w:type="dxa"/>
            <w:vAlign w:val="bottom"/>
            <w:gridSpan w:val="2"/>
          </w:tcPr>
          <w:p>
            <w:pPr>
              <w:jc w:val="right"/>
              <w:ind w:right="1360"/>
              <w:spacing w:after="0"/>
              <w:rPr>
                <w:sz w:val="20"/>
                <w:szCs w:val="20"/>
                <w:color w:val="auto"/>
              </w:rPr>
            </w:pPr>
            <w:r>
              <w:rPr>
                <w:rFonts w:ascii="Arial" w:cs="Arial" w:eastAsia="Arial" w:hAnsi="Arial"/>
                <w:sz w:val="12"/>
                <w:szCs w:val="12"/>
                <w:color w:val="auto"/>
              </w:rPr>
              <w:t>$</w:t>
            </w:r>
          </w:p>
        </w:tc>
        <w:tc>
          <w:tcPr>
            <w:tcW w:w="2220" w:type="dxa"/>
            <w:vAlign w:val="bottom"/>
            <w:gridSpan w:val="2"/>
          </w:tcPr>
          <w:p>
            <w:pPr>
              <w:jc w:val="right"/>
              <w:ind w:right="780"/>
              <w:spacing w:after="0"/>
              <w:rPr>
                <w:sz w:val="20"/>
                <w:szCs w:val="20"/>
                <w:color w:val="auto"/>
              </w:rPr>
            </w:pPr>
            <w:r>
              <w:rPr>
                <w:rFonts w:ascii="Arial" w:cs="Arial" w:eastAsia="Arial" w:hAnsi="Arial"/>
                <w:sz w:val="12"/>
                <w:szCs w:val="12"/>
                <w:color w:val="auto"/>
              </w:rPr>
              <w:t>265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Year-to-date average</w:t>
            </w:r>
          </w:p>
        </w:tc>
        <w:tc>
          <w:tcPr>
            <w:tcW w:w="5000" w:type="dxa"/>
            <w:vAlign w:val="bottom"/>
            <w:gridSpan w:val="2"/>
            <w:shd w:val="clear" w:color="auto" w:fill="CCEEFF"/>
          </w:tcPr>
          <w:p>
            <w:pPr>
              <w:jc w:val="right"/>
              <w:ind w:right="1360"/>
              <w:spacing w:after="0"/>
              <w:rPr>
                <w:sz w:val="20"/>
                <w:szCs w:val="20"/>
                <w:color w:val="auto"/>
              </w:rPr>
            </w:pPr>
            <w:r>
              <w:rPr>
                <w:rFonts w:ascii="Arial" w:cs="Arial" w:eastAsia="Arial" w:hAnsi="Arial"/>
                <w:sz w:val="12"/>
                <w:szCs w:val="12"/>
                <w:color w:val="auto"/>
              </w:rPr>
              <w:t>$</w:t>
            </w:r>
          </w:p>
        </w:tc>
        <w:tc>
          <w:tcPr>
            <w:tcW w:w="222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281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Second quarter percentagechange from 2010</w:t>
            </w:r>
          </w:p>
        </w:tc>
        <w:tc>
          <w:tcPr>
            <w:tcW w:w="940" w:type="dxa"/>
            <w:vAlign w:val="bottom"/>
            <w:shd w:val="clear" w:color="auto" w:fill="CCEEFF"/>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(16.4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Year-to-date percentagechange from 2010</w:t>
            </w:r>
          </w:p>
        </w:tc>
        <w:tc>
          <w:tcPr>
            <w:tcW w:w="9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220" w:type="dxa"/>
            <w:vAlign w:val="bottom"/>
            <w:gridSpan w:val="2"/>
          </w:tcPr>
          <w:p>
            <w:pPr>
              <w:jc w:val="right"/>
              <w:ind w:right="780"/>
              <w:spacing w:after="0"/>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In addition, a Southern Yellow Pine ("SYP") composite price, which we prepare and use, is presented below. Sales of products produced using this species, which primarily consists of our preservative-treated products, may comprise up to 50% of our sales volume.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1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2"/>
                <w:szCs w:val="12"/>
                <w:color w:val="auto"/>
                <w:w w:val="90"/>
              </w:rPr>
              <w:t>Random Lengths SYP</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2"/>
                <w:szCs w:val="12"/>
                <w:color w:val="auto"/>
              </w:rPr>
              <w:t>Average $/MBF</w:t>
            </w: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c>
          <w:tcPr>
            <w:tcW w:w="4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w w:val="97"/>
              </w:rPr>
              <w:t>2010</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vMerge w:val="restart"/>
          </w:tcPr>
          <w:p>
            <w:pPr>
              <w:spacing w:after="0"/>
              <w:rPr>
                <w:sz w:val="12"/>
                <w:szCs w:val="12"/>
                <w:color w:val="auto"/>
              </w:rPr>
            </w:pPr>
          </w:p>
        </w:tc>
        <w:tc>
          <w:tcPr>
            <w:tcW w:w="3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vMerge w:val="continue"/>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January</w:t>
            </w:r>
          </w:p>
        </w:tc>
        <w:tc>
          <w:tcPr>
            <w:tcW w:w="386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w:t>
            </w:r>
          </w:p>
        </w:tc>
        <w:tc>
          <w:tcPr>
            <w:tcW w:w="2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w:t>
            </w:r>
          </w:p>
        </w:tc>
        <w:tc>
          <w:tcPr>
            <w:tcW w:w="12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Arial" w:cs="Arial" w:eastAsia="Arial" w:hAnsi="Arial"/>
                <w:sz w:val="12"/>
                <w:szCs w:val="12"/>
                <w:color w:val="auto"/>
              </w:rPr>
              <w:t>February</w:t>
            </w:r>
          </w:p>
        </w:tc>
        <w:tc>
          <w:tcPr>
            <w:tcW w:w="3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289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331</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March</w:t>
            </w:r>
          </w:p>
        </w:tc>
        <w:tc>
          <w:tcPr>
            <w:tcW w:w="3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w:t>
            </w:r>
          </w:p>
        </w:tc>
        <w:tc>
          <w:tcPr>
            <w:tcW w:w="12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Arial" w:cs="Arial" w:eastAsia="Arial" w:hAnsi="Arial"/>
                <w:sz w:val="12"/>
                <w:szCs w:val="12"/>
                <w:color w:val="auto"/>
              </w:rPr>
              <w:t>April</w:t>
            </w:r>
          </w:p>
        </w:tc>
        <w:tc>
          <w:tcPr>
            <w:tcW w:w="3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266</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382</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May</w:t>
            </w:r>
          </w:p>
        </w:tc>
        <w:tc>
          <w:tcPr>
            <w:tcW w:w="3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w:t>
            </w:r>
          </w:p>
        </w:tc>
        <w:tc>
          <w:tcPr>
            <w:tcW w:w="12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Arial" w:cs="Arial" w:eastAsia="Arial" w:hAnsi="Arial"/>
                <w:sz w:val="12"/>
                <w:szCs w:val="12"/>
                <w:color w:val="auto"/>
              </w:rPr>
              <w:t>June</w:t>
            </w:r>
          </w:p>
        </w:tc>
        <w:tc>
          <w:tcPr>
            <w:tcW w:w="3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246</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293</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vMerge w:val="restart"/>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vMerge w:val="continue"/>
          </w:tcPr>
          <w:p>
            <w:pPr>
              <w:spacing w:after="0"/>
              <w:rPr>
                <w:sz w:val="12"/>
                <w:szCs w:val="12"/>
                <w:color w:val="auto"/>
              </w:rPr>
            </w:pPr>
          </w:p>
        </w:tc>
        <w:tc>
          <w:tcPr>
            <w:tcW w:w="3360" w:type="dxa"/>
            <w:vAlign w:val="bottom"/>
          </w:tcPr>
          <w:p>
            <w:pPr>
              <w:spacing w:after="0"/>
              <w:rPr>
                <w:sz w:val="20"/>
                <w:szCs w:val="20"/>
                <w:color w:val="auto"/>
              </w:rPr>
            </w:pPr>
            <w:r>
              <w:rPr>
                <w:rFonts w:ascii="Arial" w:cs="Arial" w:eastAsia="Arial" w:hAnsi="Arial"/>
                <w:sz w:val="12"/>
                <w:szCs w:val="12"/>
                <w:color w:val="auto"/>
              </w:rPr>
              <w:t>Second quarter average</w:t>
            </w:r>
          </w:p>
        </w:tc>
        <w:tc>
          <w:tcPr>
            <w:tcW w:w="3860" w:type="dxa"/>
            <w:vAlign w:val="bottom"/>
            <w:gridSpan w:val="2"/>
          </w:tcPr>
          <w:p>
            <w:pPr>
              <w:jc w:val="right"/>
              <w:ind w:right="60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255</w:t>
            </w:r>
          </w:p>
        </w:tc>
        <w:tc>
          <w:tcPr>
            <w:tcW w:w="240" w:type="dxa"/>
            <w:vAlign w:val="bottom"/>
          </w:tcPr>
          <w:p>
            <w:pPr>
              <w:spacing w:after="0"/>
              <w:rPr>
                <w:sz w:val="12"/>
                <w:szCs w:val="12"/>
                <w:color w:val="auto"/>
              </w:rPr>
            </w:pPr>
          </w:p>
        </w:tc>
        <w:tc>
          <w:tcPr>
            <w:tcW w:w="4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350</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Year-to-date average</w:t>
            </w:r>
          </w:p>
        </w:tc>
        <w:tc>
          <w:tcPr>
            <w:tcW w:w="386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w:t>
            </w:r>
          </w:p>
        </w:tc>
        <w:tc>
          <w:tcPr>
            <w:tcW w:w="2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w:t>
            </w:r>
          </w:p>
        </w:tc>
        <w:tc>
          <w:tcPr>
            <w:tcW w:w="12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vMerge w:val="restart"/>
          </w:tcPr>
          <w:p>
            <w:pPr>
              <w:spacing w:after="0"/>
              <w:rPr>
                <w:sz w:val="12"/>
                <w:szCs w:val="12"/>
                <w:color w:val="auto"/>
              </w:rPr>
            </w:pPr>
          </w:p>
        </w:tc>
        <w:tc>
          <w:tcPr>
            <w:tcW w:w="3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vMerge w:val="continue"/>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Second quarter percentage change from 2010</w:t>
            </w:r>
          </w:p>
        </w:tc>
        <w:tc>
          <w:tcPr>
            <w:tcW w:w="3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(27.1 %)</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2"/>
                <w:szCs w:val="12"/>
                <w:color w:val="auto"/>
              </w:rPr>
              <w:t>Year-to-date percentage change from 2010</w:t>
            </w:r>
          </w:p>
        </w:tc>
        <w:tc>
          <w:tcPr>
            <w:tcW w:w="3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(18.1 %)</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140" w:type="dxa"/>
            <w:vAlign w:val="bottom"/>
          </w:tcPr>
          <w:p>
            <w:pPr>
              <w:jc w:val="right"/>
              <w:ind w:right="1803"/>
              <w:spacing w:after="0"/>
              <w:rPr>
                <w:sz w:val="20"/>
                <w:szCs w:val="20"/>
                <w:color w:val="auto"/>
              </w:rPr>
            </w:pPr>
            <w:r>
              <w:rPr>
                <w:rFonts w:ascii="Arial" w:cs="Arial" w:eastAsia="Arial" w:hAnsi="Arial"/>
                <w:sz w:val="10"/>
                <w:szCs w:val="10"/>
                <w:color w:val="auto"/>
              </w:rPr>
              <w:t>18</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140" w:type="dxa"/>
            <w:vAlign w:val="bottom"/>
            <w:tcBorders>
              <w:bottom w:val="single" w:sz="8" w:color="808080"/>
            </w:tcBorders>
          </w:tcPr>
          <w:p>
            <w:pPr>
              <w:spacing w:after="0"/>
              <w:rPr>
                <w:sz w:val="5"/>
                <w:szCs w:val="5"/>
                <w:color w:val="auto"/>
              </w:rPr>
            </w:pPr>
          </w:p>
        </w:tc>
        <w:tc>
          <w:tcPr>
            <w:tcW w:w="3360" w:type="dxa"/>
            <w:vAlign w:val="bottom"/>
            <w:tcBorders>
              <w:bottom w:val="single" w:sz="8" w:color="808080"/>
            </w:tcBorders>
          </w:tcPr>
          <w:p>
            <w:pPr>
              <w:spacing w:after="0"/>
              <w:rPr>
                <w:sz w:val="5"/>
                <w:szCs w:val="5"/>
                <w:color w:val="auto"/>
              </w:rPr>
            </w:pPr>
          </w:p>
        </w:tc>
        <w:tc>
          <w:tcPr>
            <w:tcW w:w="314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40"/>
          </w:cols>
          <w:pgMar w:left="220" w:top="128" w:right="139" w:bottom="1440" w:gutter="0" w:footer="0" w:header="0"/>
        </w:sectPr>
      </w:pPr>
    </w:p>
    <w:bookmarkStart w:id="18" w:name="page19"/>
    <w:bookmarkEnd w:id="18"/>
    <w:p>
      <w:pPr>
        <w:ind w:left="8"/>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UNIVERSAL FOREST PRODUCTS, INC.</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IMPACT OF THE LUMBER MARKET ON OUR OPERATING RESULTS</w:t>
      </w:r>
    </w:p>
    <w:p>
      <w:pPr>
        <w:spacing w:after="0" w:line="172"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We experience significant fluctuations in the cost of commodity lumber products from primary producers ("Lumber Market"). We generally try to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are a significant percentage of our cost of goods sold.</w:t>
      </w:r>
    </w:p>
    <w:p>
      <w:pPr>
        <w:spacing w:after="0" w:line="141"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 xml:space="preserve">Our gross margins are impacted by both (1) the relative </w:t>
      </w:r>
      <w:r>
        <w:rPr>
          <w:rFonts w:ascii="Arial" w:cs="Arial" w:eastAsia="Arial" w:hAnsi="Arial"/>
          <w:sz w:val="11"/>
          <w:szCs w:val="11"/>
          <w:u w:val="single" w:color="auto"/>
          <w:color w:val="auto"/>
        </w:rPr>
        <w:t>level</w:t>
      </w:r>
      <w:r>
        <w:rPr>
          <w:rFonts w:ascii="Arial" w:cs="Arial" w:eastAsia="Arial" w:hAnsi="Arial"/>
          <w:sz w:val="11"/>
          <w:szCs w:val="11"/>
          <w:color w:val="auto"/>
        </w:rPr>
        <w:t xml:space="preserve"> of the Lumber Market (i.e. whether prices are higher or lower from comparative periods), and (2) the </w:t>
      </w:r>
      <w:r>
        <w:rPr>
          <w:rFonts w:ascii="Arial" w:cs="Arial" w:eastAsia="Arial" w:hAnsi="Arial"/>
          <w:sz w:val="11"/>
          <w:szCs w:val="11"/>
          <w:u w:val="single" w:color="auto"/>
          <w:color w:val="auto"/>
        </w:rPr>
        <w:t>trend</w:t>
      </w:r>
      <w:r>
        <w:rPr>
          <w:rFonts w:ascii="Arial" w:cs="Arial" w:eastAsia="Arial" w:hAnsi="Arial"/>
          <w:sz w:val="11"/>
          <w:szCs w:val="11"/>
          <w:color w:val="auto"/>
        </w:rPr>
        <w:t xml:space="preserve">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w:t>
      </w:r>
      <w:r>
        <w:rPr>
          <w:rFonts w:ascii="Arial" w:cs="Arial" w:eastAsia="Arial" w:hAnsi="Arial"/>
          <w:sz w:val="11"/>
          <w:szCs w:val="11"/>
          <w:u w:val="single" w:color="auto"/>
          <w:color w:val="auto"/>
        </w:rPr>
        <w:t>level</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trend</w:t>
      </w:r>
      <w:r>
        <w:rPr>
          <w:rFonts w:ascii="Arial" w:cs="Arial" w:eastAsia="Arial" w:hAnsi="Arial"/>
          <w:sz w:val="11"/>
          <w:szCs w:val="11"/>
          <w:color w:val="auto"/>
        </w:rPr>
        <w:t xml:space="preserve"> of the Lumber Market impact our products differently.</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color w:val="auto"/>
        </w:rPr>
        <w:t>Below is a general description of the primary ways in which our products are priced.</w:t>
      </w:r>
    </w:p>
    <w:p>
      <w:pPr>
        <w:spacing w:after="0" w:line="168" w:lineRule="exact"/>
        <w:rPr>
          <w:sz w:val="20"/>
          <w:szCs w:val="20"/>
          <w:color w:val="auto"/>
        </w:rPr>
      </w:pPr>
    </w:p>
    <w:p>
      <w:pPr>
        <w:jc w:val="both"/>
        <w:ind w:left="208" w:hanging="208"/>
        <w:spacing w:after="0" w:line="259" w:lineRule="auto"/>
        <w:tabs>
          <w:tab w:leader="none" w:pos="208" w:val="left"/>
        </w:tabs>
        <w:numPr>
          <w:ilvl w:val="0"/>
          <w:numId w:val="14"/>
        </w:numPr>
        <w:rPr>
          <w:rFonts w:ascii="Arial" w:cs="Arial" w:eastAsia="Arial" w:hAnsi="Arial"/>
          <w:sz w:val="12"/>
          <w:szCs w:val="12"/>
          <w:color w:val="auto"/>
        </w:rPr>
      </w:pPr>
      <w:r>
        <w:rPr>
          <w:rFonts w:ascii="Arial" w:cs="Arial" w:eastAsia="Arial" w:hAnsi="Arial"/>
          <w:sz w:val="12"/>
          <w:szCs w:val="12"/>
          <w:u w:val="single" w:color="auto"/>
          <w:color w:val="auto"/>
        </w:rPr>
        <w:t>Products with fixed selling prices.</w:t>
      </w:r>
      <w:r>
        <w:rPr>
          <w:rFonts w:ascii="Arial" w:cs="Arial" w:eastAsia="Arial" w:hAnsi="Arial"/>
          <w:sz w:val="12"/>
          <w:szCs w:val="12"/>
          <w:color w:val="auto"/>
        </w:rPr>
        <w:t xml:space="preserve"> These products include value-added products such as decking and fencing sold to DIY/retail customers, as well as trusses, wall panels and other components sold to the site-built construction market, and most industrial packaging products. Prices for these products are generally fixed at the time of the sales quotation for a specified period of time or are based upon a specific quantity. In order to maintain margins and reduce any exposure to adverse </w:t>
      </w:r>
      <w:r>
        <w:rPr>
          <w:rFonts w:ascii="Arial" w:cs="Arial" w:eastAsia="Arial" w:hAnsi="Arial"/>
          <w:sz w:val="12"/>
          <w:szCs w:val="12"/>
          <w:u w:val="single" w:color="auto"/>
          <w:color w:val="auto"/>
        </w:rPr>
        <w:t>trends</w:t>
      </w:r>
      <w:r>
        <w:rPr>
          <w:rFonts w:ascii="Arial" w:cs="Arial" w:eastAsia="Arial" w:hAnsi="Arial"/>
          <w:sz w:val="12"/>
          <w:szCs w:val="12"/>
          <w:color w:val="auto"/>
        </w:rPr>
        <w:t xml:space="preserve"> in the price of component lumber products, we attempt to lock in costs for these sales commitments with our suppliers. Also, the time period and quantity limitations generally allow us to re-price our products for changes in lumber costs from our suppliers.</w:t>
      </w:r>
    </w:p>
    <w:p>
      <w:pPr>
        <w:spacing w:after="0" w:line="142" w:lineRule="exact"/>
        <w:rPr>
          <w:rFonts w:ascii="Arial" w:cs="Arial" w:eastAsia="Arial" w:hAnsi="Arial"/>
          <w:sz w:val="12"/>
          <w:szCs w:val="12"/>
          <w:color w:val="auto"/>
        </w:rPr>
      </w:pPr>
    </w:p>
    <w:p>
      <w:pPr>
        <w:jc w:val="both"/>
        <w:ind w:left="208" w:hanging="208"/>
        <w:spacing w:after="0" w:line="290" w:lineRule="auto"/>
        <w:tabs>
          <w:tab w:leader="none" w:pos="208" w:val="left"/>
        </w:tabs>
        <w:numPr>
          <w:ilvl w:val="0"/>
          <w:numId w:val="14"/>
        </w:numPr>
        <w:rPr>
          <w:rFonts w:ascii="Arial" w:cs="Arial" w:eastAsia="Arial" w:hAnsi="Arial"/>
          <w:sz w:val="11"/>
          <w:szCs w:val="11"/>
          <w:color w:val="auto"/>
        </w:rPr>
      </w:pPr>
      <w:r>
        <w:rPr>
          <w:rFonts w:ascii="Arial" w:cs="Arial" w:eastAsia="Arial" w:hAnsi="Arial"/>
          <w:sz w:val="11"/>
          <w:szCs w:val="11"/>
          <w:u w:val="single" w:color="auto"/>
          <w:color w:val="auto"/>
        </w:rPr>
        <w:t>Products with selling prices indexed to the reported Lumber Market with a fixed dollar "adder" to cover conversion costs and profits.</w:t>
      </w:r>
      <w:r>
        <w:rPr>
          <w:rFonts w:ascii="Arial" w:cs="Arial" w:eastAsia="Arial" w:hAnsi="Arial"/>
          <w:sz w:val="11"/>
          <w:szCs w:val="11"/>
          <w:color w:val="auto"/>
        </w:rPr>
        <w:t xml:space="preserve"> These products primarily include treated lumber, remanufactured lumber, and trusses sold to the manufactured housing industry. For these products, we estimate the customers' needs and carry anticipated levels of inventory. Because lumber costs are incurred in advance of final sale prices, subsequent increases or decreases in the market price of lumber impact our gross margins. For these products, our margins are exposed to changes in the </w:t>
      </w:r>
      <w:r>
        <w:rPr>
          <w:rFonts w:ascii="Arial" w:cs="Arial" w:eastAsia="Arial" w:hAnsi="Arial"/>
          <w:sz w:val="11"/>
          <w:szCs w:val="11"/>
          <w:u w:val="single" w:color="auto"/>
          <w:color w:val="auto"/>
        </w:rPr>
        <w:t>trend</w:t>
      </w:r>
      <w:r>
        <w:rPr>
          <w:rFonts w:ascii="Arial" w:cs="Arial" w:eastAsia="Arial" w:hAnsi="Arial"/>
          <w:sz w:val="11"/>
          <w:szCs w:val="11"/>
          <w:color w:val="auto"/>
        </w:rPr>
        <w:t xml:space="preserve"> of lumber prices. As a result of the decline in the housing market and our sales to residential and commercial builders, a greater percentage of our sales fall into this general pricing category. Consequently, we believe our profitability may be impacted to a much greater extent to changes in the trend of lumber prices.</w:t>
      </w:r>
    </w:p>
    <w:p>
      <w:pPr>
        <w:spacing w:after="0" w:line="223"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19" w:name="page20"/>
    <w:bookmarkEnd w:id="19"/>
    <w:p>
      <w:pPr>
        <w:ind w:left="8"/>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UNIVERSAL FOREST PRODUCTS, INC.</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Changes in the </w:t>
      </w:r>
      <w:r>
        <w:rPr>
          <w:rFonts w:ascii="Arial" w:cs="Arial" w:eastAsia="Arial" w:hAnsi="Arial"/>
          <w:sz w:val="12"/>
          <w:szCs w:val="12"/>
          <w:u w:val="single" w:color="auto"/>
          <w:color w:val="auto"/>
        </w:rPr>
        <w:t>trend</w:t>
      </w:r>
      <w:r>
        <w:rPr>
          <w:rFonts w:ascii="Arial" w:cs="Arial" w:eastAsia="Arial" w:hAnsi="Arial"/>
          <w:sz w:val="12"/>
          <w:szCs w:val="12"/>
          <w:color w:val="auto"/>
        </w:rPr>
        <w:t xml:space="preserve"> of lumber prices have their greatest impact on the following products:</w:t>
      </w:r>
    </w:p>
    <w:p>
      <w:pPr>
        <w:spacing w:after="0" w:line="168" w:lineRule="exact"/>
        <w:rPr>
          <w:sz w:val="20"/>
          <w:szCs w:val="20"/>
          <w:color w:val="auto"/>
        </w:rPr>
      </w:pPr>
    </w:p>
    <w:p>
      <w:pPr>
        <w:jc w:val="both"/>
        <w:ind w:left="208" w:hanging="208"/>
        <w:spacing w:after="0" w:line="259" w:lineRule="auto"/>
        <w:tabs>
          <w:tab w:leader="none" w:pos="208" w:val="left"/>
        </w:tabs>
        <w:numPr>
          <w:ilvl w:val="0"/>
          <w:numId w:val="15"/>
        </w:numPr>
        <w:rPr>
          <w:rFonts w:ascii="Arial" w:cs="Arial" w:eastAsia="Arial" w:hAnsi="Arial"/>
          <w:sz w:val="12"/>
          <w:szCs w:val="12"/>
          <w:color w:val="auto"/>
        </w:rPr>
      </w:pPr>
      <w:r>
        <w:rPr>
          <w:rFonts w:ascii="Arial" w:cs="Arial" w:eastAsia="Arial" w:hAnsi="Arial"/>
          <w:sz w:val="12"/>
          <w:szCs w:val="12"/>
          <w:u w:val="single" w:color="auto"/>
          <w:color w:val="auto"/>
        </w:rPr>
        <w:t>Products with significant inventory levels with low turnover rates, whose selling prices are indexed to the Lumber Market.</w:t>
      </w:r>
      <w:r>
        <w:rPr>
          <w:rFonts w:ascii="Arial" w:cs="Arial" w:eastAsia="Arial" w:hAnsi="Arial"/>
          <w:sz w:val="12"/>
          <w:szCs w:val="12"/>
          <w:color w:val="auto"/>
        </w:rPr>
        <w:t xml:space="preserve"> In other words, the longer the period of time these products remain in inventory, the greater the exposure to changes in the price of lumber. This would include treated lumber, which comprises approximately 17%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2"/>
          <w:szCs w:val="12"/>
          <w:i w:val="1"/>
          <w:iCs w:val="1"/>
          <w:color w:val="auto"/>
        </w:rPr>
        <w:t>Please refer to the “Risk Factors” section of</w:t>
      </w:r>
      <w:r>
        <w:rPr>
          <w:rFonts w:ascii="Arial" w:cs="Arial" w:eastAsia="Arial" w:hAnsi="Arial"/>
          <w:sz w:val="12"/>
          <w:szCs w:val="12"/>
          <w:color w:val="auto"/>
        </w:rPr>
        <w:t xml:space="preserve"> </w:t>
      </w:r>
      <w:r>
        <w:rPr>
          <w:rFonts w:ascii="Arial" w:cs="Arial" w:eastAsia="Arial" w:hAnsi="Arial"/>
          <w:sz w:val="12"/>
          <w:szCs w:val="12"/>
          <w:i w:val="1"/>
          <w:iCs w:val="1"/>
          <w:color w:val="auto"/>
        </w:rPr>
        <w:t>our annual report on form 10-K, filed with the United States Securities and Exchange Commission.</w:t>
      </w:r>
      <w:r>
        <w:rPr>
          <w:rFonts w:ascii="Arial" w:cs="Arial" w:eastAsia="Arial" w:hAnsi="Arial"/>
          <w:sz w:val="12"/>
          <w:szCs w:val="12"/>
          <w:color w:val="auto"/>
        </w:rPr>
        <w:t>)</w:t>
      </w:r>
    </w:p>
    <w:p>
      <w:pPr>
        <w:spacing w:after="0" w:line="124" w:lineRule="exact"/>
        <w:rPr>
          <w:rFonts w:ascii="Arial" w:cs="Arial" w:eastAsia="Arial" w:hAnsi="Arial"/>
          <w:sz w:val="12"/>
          <w:szCs w:val="12"/>
          <w:color w:val="auto"/>
        </w:rPr>
      </w:pPr>
    </w:p>
    <w:p>
      <w:pPr>
        <w:ind w:left="208" w:hanging="208"/>
        <w:spacing w:after="0"/>
        <w:tabs>
          <w:tab w:leader="none" w:pos="208" w:val="left"/>
        </w:tabs>
        <w:numPr>
          <w:ilvl w:val="0"/>
          <w:numId w:val="15"/>
        </w:numPr>
        <w:rPr>
          <w:rFonts w:ascii="Arial" w:cs="Arial" w:eastAsia="Arial" w:hAnsi="Arial"/>
          <w:sz w:val="11"/>
          <w:szCs w:val="11"/>
          <w:color w:val="auto"/>
        </w:rPr>
      </w:pPr>
      <w:r>
        <w:rPr>
          <w:rFonts w:ascii="Arial" w:cs="Arial" w:eastAsia="Arial" w:hAnsi="Arial"/>
          <w:sz w:val="11"/>
          <w:szCs w:val="11"/>
          <w:u w:val="single" w:color="auto"/>
          <w:color w:val="auto"/>
        </w:rPr>
        <w:t>Products with fixed selling prices sold under long-term supply arrangements, particularly those involving multi-family construction projects.</w:t>
      </w:r>
      <w:r>
        <w:rPr>
          <w:rFonts w:ascii="Arial" w:cs="Arial" w:eastAsia="Arial" w:hAnsi="Arial"/>
          <w:sz w:val="11"/>
          <w:szCs w:val="11"/>
          <w:color w:val="auto"/>
        </w:rPr>
        <w:t xml:space="preserve"> We attempt to mitigate this risk through our purchasing practices by locking in costs.</w:t>
      </w:r>
    </w:p>
    <w:p>
      <w:pPr>
        <w:spacing w:after="0" w:line="162" w:lineRule="exact"/>
        <w:rPr>
          <w:sz w:val="20"/>
          <w:szCs w:val="20"/>
          <w:color w:val="auto"/>
        </w:rPr>
      </w:pPr>
    </w:p>
    <w:p>
      <w:pPr>
        <w:ind w:left="8"/>
        <w:spacing w:after="0" w:line="234" w:lineRule="auto"/>
        <w:rPr>
          <w:sz w:val="20"/>
          <w:szCs w:val="20"/>
          <w:color w:val="auto"/>
        </w:rPr>
      </w:pPr>
      <w:r>
        <w:rPr>
          <w:rFonts w:ascii="Arial" w:cs="Arial" w:eastAsia="Arial" w:hAnsi="Arial"/>
          <w:sz w:val="12"/>
          <w:szCs w:val="12"/>
          <w:color w:val="auto"/>
        </w:rPr>
        <w:t xml:space="preserve">In addition to the impact of the Lumber Market </w:t>
      </w:r>
      <w:r>
        <w:rPr>
          <w:rFonts w:ascii="Arial" w:cs="Arial" w:eastAsia="Arial" w:hAnsi="Arial"/>
          <w:sz w:val="12"/>
          <w:szCs w:val="12"/>
          <w:u w:val="single" w:color="auto"/>
          <w:color w:val="auto"/>
        </w:rPr>
        <w:t>trends</w:t>
      </w:r>
      <w:r>
        <w:rPr>
          <w:rFonts w:ascii="Arial" w:cs="Arial" w:eastAsia="Arial" w:hAnsi="Arial"/>
          <w:sz w:val="12"/>
          <w:szCs w:val="12"/>
          <w:color w:val="auto"/>
        </w:rPr>
        <w:t xml:space="preserve"> on gross margins, changes in the </w:t>
      </w:r>
      <w:r>
        <w:rPr>
          <w:rFonts w:ascii="Arial" w:cs="Arial" w:eastAsia="Arial" w:hAnsi="Arial"/>
          <w:sz w:val="12"/>
          <w:szCs w:val="12"/>
          <w:u w:val="single" w:color="auto"/>
          <w:color w:val="auto"/>
        </w:rPr>
        <w:t>level</w:t>
      </w:r>
      <w:r>
        <w:rPr>
          <w:rFonts w:ascii="Arial" w:cs="Arial" w:eastAsia="Arial" w:hAnsi="Arial"/>
          <w:sz w:val="12"/>
          <w:szCs w:val="12"/>
          <w:color w:val="auto"/>
        </w:rPr>
        <w:t xml:space="preserve">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 w:lineRule="exact"/>
        <w:rPr>
          <w:sz w:val="20"/>
          <w:szCs w:val="20"/>
          <w:color w:val="auto"/>
        </w:rPr>
      </w:pPr>
    </w:p>
    <w:tbl>
      <w:tblPr>
        <w:tblLayout w:type="fixed"/>
        <w:tblInd w:w="1148"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Period 1</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Period 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Lumber cost</w:t>
            </w:r>
          </w:p>
        </w:tc>
        <w:tc>
          <w:tcPr>
            <w:tcW w:w="262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tcPr>
          <w:p>
            <w:pPr>
              <w:spacing w:after="0"/>
              <w:rPr>
                <w:sz w:val="20"/>
                <w:szCs w:val="20"/>
                <w:color w:val="auto"/>
              </w:rPr>
            </w:pPr>
            <w:r>
              <w:rPr>
                <w:rFonts w:ascii="Arial" w:cs="Arial" w:eastAsia="Arial" w:hAnsi="Arial"/>
                <w:sz w:val="12"/>
                <w:szCs w:val="12"/>
                <w:color w:val="auto"/>
              </w:rPr>
              <w:t>Conversion cost</w:t>
            </w:r>
          </w:p>
        </w:tc>
        <w:tc>
          <w:tcPr>
            <w:tcW w:w="2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 Product cost</w:t>
            </w:r>
          </w:p>
        </w:tc>
        <w:tc>
          <w:tcPr>
            <w:tcW w:w="26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tcPr>
          <w:p>
            <w:pPr>
              <w:spacing w:after="0"/>
              <w:rPr>
                <w:sz w:val="20"/>
                <w:szCs w:val="20"/>
                <w:color w:val="auto"/>
              </w:rPr>
            </w:pPr>
            <w:r>
              <w:rPr>
                <w:rFonts w:ascii="Arial" w:cs="Arial" w:eastAsia="Arial" w:hAnsi="Arial"/>
                <w:sz w:val="12"/>
                <w:szCs w:val="12"/>
                <w:color w:val="auto"/>
              </w:rPr>
              <w:t>Adder</w:t>
            </w:r>
          </w:p>
        </w:tc>
        <w:tc>
          <w:tcPr>
            <w:tcW w:w="2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 Sell price</w:t>
            </w:r>
          </w:p>
        </w:tc>
        <w:tc>
          <w:tcPr>
            <w:tcW w:w="262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2"/>
                <w:szCs w:val="12"/>
                <w:color w:val="auto"/>
              </w:rPr>
              <w:t>Gross margin</w:t>
            </w:r>
          </w:p>
        </w:tc>
        <w:tc>
          <w:tcPr>
            <w:tcW w:w="2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12.5%</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 xml:space="preserve">As is apparent from the preceding example, the </w:t>
      </w:r>
      <w:r>
        <w:rPr>
          <w:rFonts w:ascii="Arial" w:cs="Arial" w:eastAsia="Arial" w:hAnsi="Arial"/>
          <w:sz w:val="12"/>
          <w:szCs w:val="12"/>
          <w:u w:val="single" w:color="auto"/>
          <w:color w:val="auto"/>
        </w:rPr>
        <w:t>level</w:t>
      </w:r>
      <w:r>
        <w:rPr>
          <w:rFonts w:ascii="Arial" w:cs="Arial" w:eastAsia="Arial" w:hAnsi="Arial"/>
          <w:sz w:val="12"/>
          <w:szCs w:val="12"/>
          <w:color w:val="auto"/>
        </w:rPr>
        <w:t xml:space="preserve"> of lumber prices does not impact our overall profits, but does impact our margins. Gross margins are negatively impacted during periods of high lumber prices; conversely, we experience margin improvement when lumber prices are relatively low.</w:t>
      </w:r>
    </w:p>
    <w:p>
      <w:pPr>
        <w:spacing w:after="0" w:line="228"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20" w:name="page21"/>
    <w:bookmarkEnd w:id="20"/>
    <w:tbl>
      <w:tblPr>
        <w:tblLayout w:type="fixed"/>
        <w:tblInd w:w="8" w:type="dxa"/>
        <w:tblCellMar>
          <w:top w:w="0" w:type="dxa"/>
          <w:left w:w="0" w:type="dxa"/>
          <w:bottom w:w="0" w:type="dxa"/>
          <w:right w:w="0" w:type="dxa"/>
        </w:tblCellMar>
      </w:tblPr>
      <w:tr>
        <w:trPr>
          <w:trHeight w:val="115"/>
        </w:trPr>
        <w:tc>
          <w:tcPr>
            <w:tcW w:w="4440" w:type="dxa"/>
            <w:vAlign w:val="bottom"/>
            <w:gridSpan w:val="3"/>
          </w:tcPr>
          <w:p>
            <w:pPr>
              <w:spacing w:after="0"/>
              <w:rPr>
                <w:rFonts w:ascii="Arial" w:cs="Arial" w:eastAsia="Arial" w:hAnsi="Arial"/>
                <w:sz w:val="10"/>
                <w:szCs w:val="10"/>
                <w:i w:val="1"/>
                <w:iCs w:val="1"/>
                <w:color w:val="0000EE"/>
              </w:rPr>
            </w:pPr>
            <w:hyperlink w:anchor="page2">
              <w:r>
                <w:rPr>
                  <w:rFonts w:ascii="Arial" w:cs="Arial" w:eastAsia="Arial" w:hAnsi="Arial"/>
                  <w:sz w:val="10"/>
                  <w:szCs w:val="10"/>
                  <w:i w:val="1"/>
                  <w:iCs w:val="1"/>
                  <w:color w:val="0000EE"/>
                </w:rPr>
                <w:t>Table of Contents</w:t>
              </w:r>
            </w:hyperlink>
          </w:p>
        </w:tc>
        <w:tc>
          <w:tcPr>
            <w:tcW w:w="15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780" w:type="dxa"/>
            <w:vAlign w:val="bottom"/>
          </w:tcPr>
          <w:p>
            <w:pPr>
              <w:spacing w:after="0"/>
              <w:rPr>
                <w:sz w:val="24"/>
                <w:szCs w:val="24"/>
                <w:color w:val="auto"/>
              </w:rPr>
            </w:pPr>
          </w:p>
        </w:tc>
        <w:tc>
          <w:tcPr>
            <w:tcW w:w="316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9"/>
              </w:rPr>
              <w:t>UNIVERSAL FOREST PRODUCTS, INC.</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16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9"/>
              </w:rPr>
              <w:t>BUSINESS COMBINATIONS</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600" w:type="dxa"/>
            <w:vAlign w:val="bottom"/>
            <w:gridSpan w:val="5"/>
          </w:tcPr>
          <w:p>
            <w:pPr>
              <w:spacing w:after="0"/>
              <w:rPr>
                <w:sz w:val="20"/>
                <w:szCs w:val="20"/>
                <w:color w:val="auto"/>
              </w:rPr>
            </w:pPr>
            <w:r>
              <w:rPr>
                <w:rFonts w:ascii="Arial" w:cs="Arial" w:eastAsia="Arial" w:hAnsi="Arial"/>
                <w:sz w:val="12"/>
                <w:szCs w:val="12"/>
                <w:color w:val="auto"/>
              </w:rPr>
              <w:t>See Notes to Unaudited Consolidated Condensed Financial Statements, Note G, "Business Combinations."</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16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7"/>
              </w:rPr>
              <w:t>RESULTS OF OPERATIONS</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600" w:type="dxa"/>
            <w:vAlign w:val="bottom"/>
            <w:gridSpan w:val="5"/>
          </w:tcPr>
          <w:p>
            <w:pPr>
              <w:spacing w:after="0"/>
              <w:rPr>
                <w:sz w:val="20"/>
                <w:szCs w:val="20"/>
                <w:color w:val="auto"/>
              </w:rPr>
            </w:pPr>
            <w:r>
              <w:rPr>
                <w:rFonts w:ascii="Arial" w:cs="Arial" w:eastAsia="Arial" w:hAnsi="Arial"/>
                <w:sz w:val="12"/>
                <w:szCs w:val="12"/>
                <w:color w:val="auto"/>
                <w:w w:val="90"/>
              </w:rPr>
              <w:t>The following table presents, for the periods indicated, the components of our Consolidated Condensed Statements of Earnings as a percentage of net sales.</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40" w:type="dxa"/>
            <w:vAlign w:val="bottom"/>
            <w:tcBorders>
              <w:bottom w:val="single" w:sz="8" w:color="auto"/>
            </w:tcBorders>
            <w:gridSpan w:val="2"/>
          </w:tcPr>
          <w:p>
            <w:pPr>
              <w:jc w:val="right"/>
              <w:ind w:right="800"/>
              <w:spacing w:after="0"/>
              <w:rPr>
                <w:sz w:val="20"/>
                <w:szCs w:val="20"/>
                <w:color w:val="auto"/>
              </w:rPr>
            </w:pPr>
            <w:r>
              <w:rPr>
                <w:rFonts w:ascii="Arial" w:cs="Arial" w:eastAsia="Arial" w:hAnsi="Arial"/>
                <w:sz w:val="12"/>
                <w:szCs w:val="12"/>
                <w:color w:val="auto"/>
              </w:rPr>
              <w:t>For the Three Months Ended</w:t>
            </w:r>
          </w:p>
        </w:tc>
        <w:tc>
          <w:tcPr>
            <w:tcW w:w="256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2"/>
                <w:szCs w:val="12"/>
                <w:color w:val="auto"/>
              </w:rPr>
              <w:t>For the 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rPr>
              <w:t>June 25, 2011</w:t>
            </w:r>
          </w:p>
        </w:tc>
        <w:tc>
          <w:tcPr>
            <w:tcW w:w="13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w w:val="99"/>
              </w:rPr>
              <w:t>June 26, 2010</w:t>
            </w:r>
          </w:p>
        </w:tc>
        <w:tc>
          <w:tcPr>
            <w:tcW w:w="13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rPr>
              <w:t>June 25, 2011</w:t>
            </w:r>
          </w:p>
        </w:tc>
        <w:tc>
          <w:tcPr>
            <w:tcW w:w="118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June 26, 2010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sales</w:t>
            </w:r>
          </w:p>
        </w:tc>
        <w:tc>
          <w:tcPr>
            <w:tcW w:w="3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100.0%</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100.0%</w:t>
            </w: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20" w:type="dxa"/>
            <w:vAlign w:val="bottom"/>
            <w:gridSpan w:val="2"/>
          </w:tcPr>
          <w:p>
            <w:pPr>
              <w:spacing w:after="0"/>
              <w:rPr>
                <w:sz w:val="20"/>
                <w:szCs w:val="20"/>
                <w:color w:val="auto"/>
              </w:rPr>
            </w:pPr>
            <w:r>
              <w:rPr>
                <w:rFonts w:ascii="Arial" w:cs="Arial" w:eastAsia="Arial" w:hAnsi="Arial"/>
                <w:sz w:val="12"/>
                <w:szCs w:val="12"/>
                <w:color w:val="auto"/>
              </w:rPr>
              <w:t>Cost of goods sold</w:t>
            </w:r>
          </w:p>
        </w:tc>
        <w:tc>
          <w:tcPr>
            <w:tcW w:w="1540" w:type="dxa"/>
            <w:vAlign w:val="bottom"/>
          </w:tcPr>
          <w:p>
            <w:pPr>
              <w:spacing w:after="0"/>
              <w:rPr>
                <w:sz w:val="12"/>
                <w:szCs w:val="12"/>
                <w:color w:val="auto"/>
              </w:rPr>
            </w:pPr>
          </w:p>
        </w:tc>
        <w:tc>
          <w:tcPr>
            <w:tcW w:w="162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89.6</w:t>
            </w:r>
          </w:p>
        </w:tc>
        <w:tc>
          <w:tcPr>
            <w:tcW w:w="13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87.8</w:t>
            </w:r>
          </w:p>
        </w:tc>
        <w:tc>
          <w:tcPr>
            <w:tcW w:w="13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89.5</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Gross profit</w:t>
            </w:r>
          </w:p>
        </w:tc>
        <w:tc>
          <w:tcPr>
            <w:tcW w:w="31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10.4</w:t>
            </w: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12.2</w:t>
            </w:r>
          </w:p>
        </w:tc>
        <w:tc>
          <w:tcPr>
            <w:tcW w:w="138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10.5</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20" w:type="dxa"/>
            <w:vAlign w:val="bottom"/>
            <w:gridSpan w:val="2"/>
          </w:tcPr>
          <w:p>
            <w:pPr>
              <w:spacing w:after="0"/>
              <w:rPr>
                <w:sz w:val="20"/>
                <w:szCs w:val="20"/>
                <w:color w:val="auto"/>
              </w:rPr>
            </w:pPr>
            <w:r>
              <w:rPr>
                <w:rFonts w:ascii="Arial" w:cs="Arial" w:eastAsia="Arial" w:hAnsi="Arial"/>
                <w:sz w:val="12"/>
                <w:szCs w:val="12"/>
                <w:color w:val="auto"/>
              </w:rPr>
              <w:t>Selling, general, and administrative expenses</w:t>
            </w:r>
          </w:p>
        </w:tc>
        <w:tc>
          <w:tcPr>
            <w:tcW w:w="3160" w:type="dxa"/>
            <w:vAlign w:val="bottom"/>
            <w:gridSpan w:val="2"/>
          </w:tcPr>
          <w:p>
            <w:pPr>
              <w:jc w:val="right"/>
              <w:ind w:right="300"/>
              <w:spacing w:after="0"/>
              <w:rPr>
                <w:sz w:val="20"/>
                <w:szCs w:val="20"/>
                <w:color w:val="auto"/>
              </w:rPr>
            </w:pPr>
            <w:r>
              <w:rPr>
                <w:rFonts w:ascii="Arial" w:cs="Arial" w:eastAsia="Arial" w:hAnsi="Arial"/>
                <w:sz w:val="12"/>
                <w:szCs w:val="12"/>
                <w:color w:val="auto"/>
              </w:rPr>
              <w:t>8.3</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8.5</w:t>
            </w:r>
          </w:p>
        </w:tc>
        <w:tc>
          <w:tcPr>
            <w:tcW w:w="1380" w:type="dxa"/>
            <w:vAlign w:val="bottom"/>
          </w:tcPr>
          <w:p>
            <w:pPr>
              <w:jc w:val="right"/>
              <w:ind w:right="220"/>
              <w:spacing w:after="0"/>
              <w:rPr>
                <w:sz w:val="20"/>
                <w:szCs w:val="20"/>
                <w:color w:val="auto"/>
              </w:rPr>
            </w:pPr>
            <w:r>
              <w:rPr>
                <w:rFonts w:ascii="Arial" w:cs="Arial" w:eastAsia="Arial" w:hAnsi="Arial"/>
                <w:sz w:val="12"/>
                <w:szCs w:val="12"/>
                <w:color w:val="auto"/>
              </w:rPr>
              <w:t>9.9</w:t>
            </w: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w w:val="93"/>
              </w:rPr>
              <w:t>Net loss on disposition of assets, early retirement, and other impairment and exit charges</w:t>
            </w:r>
          </w:p>
        </w:tc>
        <w:tc>
          <w:tcPr>
            <w:tcW w:w="154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0.6</w:t>
            </w:r>
          </w:p>
        </w:tc>
        <w:tc>
          <w:tcPr>
            <w:tcW w:w="13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rPr>
              <w:t>0.0</w:t>
            </w:r>
          </w:p>
        </w:tc>
        <w:tc>
          <w:tcPr>
            <w:tcW w:w="13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rPr>
              <w:t>0.4</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gridSpan w:val="2"/>
          </w:tcPr>
          <w:p>
            <w:pPr>
              <w:spacing w:after="0"/>
              <w:rPr>
                <w:sz w:val="20"/>
                <w:szCs w:val="20"/>
                <w:color w:val="auto"/>
              </w:rPr>
            </w:pPr>
            <w:r>
              <w:rPr>
                <w:rFonts w:ascii="Arial" w:cs="Arial" w:eastAsia="Arial" w:hAnsi="Arial"/>
                <w:sz w:val="12"/>
                <w:szCs w:val="12"/>
                <w:color w:val="auto"/>
              </w:rPr>
              <w:t>Earnings from operations</w:t>
            </w:r>
          </w:p>
        </w:tc>
        <w:tc>
          <w:tcPr>
            <w:tcW w:w="3160" w:type="dxa"/>
            <w:vAlign w:val="bottom"/>
            <w:gridSpan w:val="2"/>
          </w:tcPr>
          <w:p>
            <w:pPr>
              <w:jc w:val="right"/>
              <w:ind w:right="300"/>
              <w:spacing w:after="0"/>
              <w:rPr>
                <w:sz w:val="20"/>
                <w:szCs w:val="20"/>
                <w:color w:val="auto"/>
              </w:rPr>
            </w:pPr>
            <w:r>
              <w:rPr>
                <w:rFonts w:ascii="Arial" w:cs="Arial" w:eastAsia="Arial" w:hAnsi="Arial"/>
                <w:sz w:val="12"/>
                <w:szCs w:val="12"/>
                <w:color w:val="auto"/>
              </w:rPr>
              <w:t>1.4</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3.7</w:t>
            </w:r>
          </w:p>
        </w:tc>
        <w:tc>
          <w:tcPr>
            <w:tcW w:w="1380" w:type="dxa"/>
            <w:vAlign w:val="bottom"/>
          </w:tcPr>
          <w:p>
            <w:pPr>
              <w:jc w:val="right"/>
              <w:ind w:right="220"/>
              <w:spacing w:after="0"/>
              <w:rPr>
                <w:sz w:val="20"/>
                <w:szCs w:val="20"/>
                <w:color w:val="auto"/>
              </w:rPr>
            </w:pPr>
            <w:r>
              <w:rPr>
                <w:rFonts w:ascii="Arial" w:cs="Arial" w:eastAsia="Arial" w:hAnsi="Arial"/>
                <w:sz w:val="12"/>
                <w:szCs w:val="12"/>
                <w:color w:val="auto"/>
              </w:rPr>
              <w:t>0.3</w:t>
            </w: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Interest, net</w:t>
            </w:r>
          </w:p>
        </w:tc>
        <w:tc>
          <w:tcPr>
            <w:tcW w:w="154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0.2</w:t>
            </w:r>
          </w:p>
        </w:tc>
        <w:tc>
          <w:tcPr>
            <w:tcW w:w="13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rPr>
              <w:t>0.1</w:t>
            </w:r>
          </w:p>
        </w:tc>
        <w:tc>
          <w:tcPr>
            <w:tcW w:w="13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rPr>
              <w:t>0.2</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gridSpan w:val="2"/>
          </w:tcPr>
          <w:p>
            <w:pPr>
              <w:spacing w:after="0"/>
              <w:rPr>
                <w:sz w:val="20"/>
                <w:szCs w:val="20"/>
                <w:color w:val="auto"/>
              </w:rPr>
            </w:pPr>
            <w:r>
              <w:rPr>
                <w:rFonts w:ascii="Arial" w:cs="Arial" w:eastAsia="Arial" w:hAnsi="Arial"/>
                <w:sz w:val="12"/>
                <w:szCs w:val="12"/>
                <w:color w:val="auto"/>
              </w:rPr>
              <w:t>Earnings before income taxes</w:t>
            </w:r>
          </w:p>
        </w:tc>
        <w:tc>
          <w:tcPr>
            <w:tcW w:w="3160" w:type="dxa"/>
            <w:vAlign w:val="bottom"/>
            <w:gridSpan w:val="2"/>
          </w:tcPr>
          <w:p>
            <w:pPr>
              <w:jc w:val="right"/>
              <w:ind w:right="300"/>
              <w:spacing w:after="0"/>
              <w:rPr>
                <w:sz w:val="20"/>
                <w:szCs w:val="20"/>
                <w:color w:val="auto"/>
              </w:rPr>
            </w:pPr>
            <w:r>
              <w:rPr>
                <w:rFonts w:ascii="Arial" w:cs="Arial" w:eastAsia="Arial" w:hAnsi="Arial"/>
                <w:sz w:val="12"/>
                <w:szCs w:val="12"/>
                <w:color w:val="auto"/>
              </w:rPr>
              <w:t>1.3</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3.6</w:t>
            </w:r>
          </w:p>
        </w:tc>
        <w:tc>
          <w:tcPr>
            <w:tcW w:w="1380" w:type="dxa"/>
            <w:vAlign w:val="bottom"/>
          </w:tcPr>
          <w:p>
            <w:pPr>
              <w:jc w:val="right"/>
              <w:ind w:right="220"/>
              <w:spacing w:after="0"/>
              <w:rPr>
                <w:sz w:val="20"/>
                <w:szCs w:val="20"/>
                <w:color w:val="auto"/>
              </w:rPr>
            </w:pPr>
            <w:r>
              <w:rPr>
                <w:rFonts w:ascii="Arial" w:cs="Arial" w:eastAsia="Arial" w:hAnsi="Arial"/>
                <w:sz w:val="12"/>
                <w:szCs w:val="12"/>
                <w:color w:val="auto"/>
              </w:rPr>
              <w:t>0.1</w:t>
            </w: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Income taxes</w:t>
            </w:r>
          </w:p>
        </w:tc>
        <w:tc>
          <w:tcPr>
            <w:tcW w:w="154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0.5</w:t>
            </w:r>
          </w:p>
        </w:tc>
        <w:tc>
          <w:tcPr>
            <w:tcW w:w="13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rPr>
              <w:t>1.3</w:t>
            </w:r>
          </w:p>
        </w:tc>
        <w:tc>
          <w:tcPr>
            <w:tcW w:w="13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rPr>
              <w:t>0.0</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gridSpan w:val="2"/>
          </w:tcPr>
          <w:p>
            <w:pPr>
              <w:spacing w:after="0"/>
              <w:rPr>
                <w:sz w:val="20"/>
                <w:szCs w:val="20"/>
                <w:color w:val="auto"/>
              </w:rPr>
            </w:pPr>
            <w:r>
              <w:rPr>
                <w:rFonts w:ascii="Arial" w:cs="Arial" w:eastAsia="Arial" w:hAnsi="Arial"/>
                <w:sz w:val="12"/>
                <w:szCs w:val="12"/>
                <w:color w:val="auto"/>
              </w:rPr>
              <w:t>Net earnings</w:t>
            </w:r>
          </w:p>
        </w:tc>
        <w:tc>
          <w:tcPr>
            <w:tcW w:w="3160" w:type="dxa"/>
            <w:vAlign w:val="bottom"/>
            <w:gridSpan w:val="2"/>
          </w:tcPr>
          <w:p>
            <w:pPr>
              <w:jc w:val="right"/>
              <w:ind w:right="300"/>
              <w:spacing w:after="0"/>
              <w:rPr>
                <w:sz w:val="20"/>
                <w:szCs w:val="20"/>
                <w:color w:val="auto"/>
              </w:rPr>
            </w:pPr>
            <w:r>
              <w:rPr>
                <w:rFonts w:ascii="Arial" w:cs="Arial" w:eastAsia="Arial" w:hAnsi="Arial"/>
                <w:sz w:val="12"/>
                <w:szCs w:val="12"/>
                <w:color w:val="auto"/>
              </w:rPr>
              <w:t>0.8</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2.3</w:t>
            </w:r>
          </w:p>
        </w:tc>
        <w:tc>
          <w:tcPr>
            <w:tcW w:w="1380" w:type="dxa"/>
            <w:vAlign w:val="bottom"/>
          </w:tcPr>
          <w:p>
            <w:pPr>
              <w:jc w:val="right"/>
              <w:ind w:right="220"/>
              <w:spacing w:after="0"/>
              <w:rPr>
                <w:sz w:val="20"/>
                <w:szCs w:val="20"/>
                <w:color w:val="auto"/>
              </w:rPr>
            </w:pPr>
            <w:r>
              <w:rPr>
                <w:rFonts w:ascii="Arial" w:cs="Arial" w:eastAsia="Arial" w:hAnsi="Arial"/>
                <w:sz w:val="12"/>
                <w:szCs w:val="12"/>
                <w:color w:val="auto"/>
              </w:rPr>
              <w:t>0.1</w:t>
            </w: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Less net earnings attributable to noncontrolling interest</w:t>
            </w:r>
          </w:p>
        </w:tc>
        <w:tc>
          <w:tcPr>
            <w:tcW w:w="154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rPr>
              <w:t>(0.0)</w:t>
            </w:r>
          </w:p>
        </w:tc>
        <w:tc>
          <w:tcPr>
            <w:tcW w:w="13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(0.1)</w:t>
            </w:r>
          </w:p>
        </w:tc>
        <w:tc>
          <w:tcPr>
            <w:tcW w:w="1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(0.0)</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gridSpan w:val="2"/>
          </w:tcPr>
          <w:p>
            <w:pPr>
              <w:spacing w:after="0"/>
              <w:rPr>
                <w:sz w:val="20"/>
                <w:szCs w:val="20"/>
                <w:color w:val="auto"/>
              </w:rPr>
            </w:pPr>
            <w:r>
              <w:rPr>
                <w:rFonts w:ascii="Arial" w:cs="Arial" w:eastAsia="Arial" w:hAnsi="Arial"/>
                <w:sz w:val="12"/>
                <w:szCs w:val="12"/>
                <w:color w:val="auto"/>
              </w:rPr>
              <w:t>Net earnings attributable to controlling interest</w:t>
            </w:r>
          </w:p>
        </w:tc>
        <w:tc>
          <w:tcPr>
            <w:tcW w:w="3160" w:type="dxa"/>
            <w:vAlign w:val="bottom"/>
            <w:gridSpan w:val="2"/>
          </w:tcPr>
          <w:p>
            <w:pPr>
              <w:jc w:val="right"/>
              <w:ind w:right="200"/>
              <w:spacing w:after="0"/>
              <w:rPr>
                <w:sz w:val="20"/>
                <w:szCs w:val="20"/>
                <w:color w:val="auto"/>
              </w:rPr>
            </w:pPr>
            <w:r>
              <w:rPr>
                <w:rFonts w:ascii="Arial" w:cs="Arial" w:eastAsia="Arial" w:hAnsi="Arial"/>
                <w:sz w:val="12"/>
                <w:szCs w:val="12"/>
                <w:color w:val="auto"/>
              </w:rPr>
              <w:t>0.8%</w:t>
            </w:r>
          </w:p>
        </w:tc>
        <w:tc>
          <w:tcPr>
            <w:tcW w:w="1320" w:type="dxa"/>
            <w:vAlign w:val="bottom"/>
          </w:tcPr>
          <w:p>
            <w:pPr>
              <w:jc w:val="right"/>
              <w:ind w:right="140"/>
              <w:spacing w:after="0"/>
              <w:rPr>
                <w:sz w:val="20"/>
                <w:szCs w:val="20"/>
                <w:color w:val="auto"/>
              </w:rPr>
            </w:pPr>
            <w:r>
              <w:rPr>
                <w:rFonts w:ascii="Arial" w:cs="Arial" w:eastAsia="Arial" w:hAnsi="Arial"/>
                <w:sz w:val="12"/>
                <w:szCs w:val="12"/>
                <w:color w:val="auto"/>
              </w:rPr>
              <w:t>2.2%</w:t>
            </w:r>
          </w:p>
        </w:tc>
        <w:tc>
          <w:tcPr>
            <w:tcW w:w="1380" w:type="dxa"/>
            <w:vAlign w:val="bottom"/>
          </w:tcPr>
          <w:p>
            <w:pPr>
              <w:jc w:val="right"/>
              <w:ind w:right="120"/>
              <w:spacing w:after="0"/>
              <w:rPr>
                <w:sz w:val="20"/>
                <w:szCs w:val="20"/>
                <w:color w:val="auto"/>
              </w:rPr>
            </w:pPr>
            <w:r>
              <w:rPr>
                <w:rFonts w:ascii="Arial" w:cs="Arial" w:eastAsia="Arial" w:hAnsi="Arial"/>
                <w:sz w:val="12"/>
                <w:szCs w:val="12"/>
                <w:color w:val="auto"/>
              </w:rPr>
              <w:t>0.1%</w:t>
            </w:r>
          </w:p>
        </w:tc>
        <w:tc>
          <w:tcPr>
            <w:tcW w:w="1180" w:type="dxa"/>
            <w:vAlign w:val="bottom"/>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8"/>
        <w:spacing w:after="0"/>
        <w:rPr>
          <w:sz w:val="20"/>
          <w:szCs w:val="20"/>
          <w:color w:val="auto"/>
        </w:rPr>
      </w:pPr>
      <w:r>
        <w:rPr>
          <w:rFonts w:ascii="Arial" w:cs="Arial" w:eastAsia="Arial" w:hAnsi="Arial"/>
          <w:sz w:val="12"/>
          <w:szCs w:val="12"/>
          <w:color w:val="auto"/>
        </w:rPr>
        <w:t>Note: Actual percentages are calculated and may not sum to total due to rounding.</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GROSS SALES</w:t>
      </w:r>
    </w:p>
    <w:p>
      <w:pPr>
        <w:spacing w:after="0" w:line="172"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We design, manufacture and market wood and wood-alternative products for national home centers and other retailers, structural lumber and other products for the manufactured housing industry, engineered wood components for residential and commercial construction, and specialty wood packaging, components and packing materials for various industries. Our strategic long-term sales objectives include:</w:t>
      </w:r>
    </w:p>
    <w:p>
      <w:pPr>
        <w:spacing w:after="0" w:line="133" w:lineRule="exact"/>
        <w:rPr>
          <w:sz w:val="20"/>
          <w:szCs w:val="20"/>
          <w:color w:val="auto"/>
        </w:rPr>
      </w:pPr>
    </w:p>
    <w:p>
      <w:pPr>
        <w:ind w:left="208" w:right="320" w:hanging="208"/>
        <w:spacing w:after="0" w:line="276" w:lineRule="auto"/>
        <w:tabs>
          <w:tab w:leader="none" w:pos="208" w:val="left"/>
        </w:tabs>
        <w:numPr>
          <w:ilvl w:val="0"/>
          <w:numId w:val="16"/>
        </w:numPr>
        <w:rPr>
          <w:rFonts w:ascii="Arial" w:cs="Arial" w:eastAsia="Arial" w:hAnsi="Arial"/>
          <w:sz w:val="12"/>
          <w:szCs w:val="12"/>
          <w:color w:val="auto"/>
        </w:rPr>
      </w:pPr>
      <w:r>
        <w:rPr>
          <w:rFonts w:ascii="Arial" w:cs="Arial" w:eastAsia="Arial" w:hAnsi="Arial"/>
          <w:sz w:val="12"/>
          <w:szCs w:val="12"/>
          <w:color w:val="auto"/>
        </w:rPr>
        <w:t>Diversifying our end market sales mix by increasing sales of specialty wood packaging to industrial users, increasing our penetration of the concrete forms market, increasing our sales of engineered wood components for custom home, multi-family and light commercial construction, increasing our market share with independent retailers, and expanding our product lines in each of the markets we serve.</w:t>
      </w:r>
    </w:p>
    <w:p>
      <w:pPr>
        <w:spacing w:after="0" w:line="132" w:lineRule="exact"/>
        <w:rPr>
          <w:rFonts w:ascii="Arial" w:cs="Arial" w:eastAsia="Arial" w:hAnsi="Arial"/>
          <w:sz w:val="12"/>
          <w:szCs w:val="12"/>
          <w:color w:val="auto"/>
        </w:rPr>
      </w:pPr>
    </w:p>
    <w:p>
      <w:pPr>
        <w:ind w:left="208" w:hanging="208"/>
        <w:spacing w:after="0"/>
        <w:tabs>
          <w:tab w:leader="none" w:pos="208" w:val="left"/>
        </w:tabs>
        <w:numPr>
          <w:ilvl w:val="0"/>
          <w:numId w:val="16"/>
        </w:numPr>
        <w:rPr>
          <w:rFonts w:ascii="Arial" w:cs="Arial" w:eastAsia="Arial" w:hAnsi="Arial"/>
          <w:sz w:val="12"/>
          <w:szCs w:val="12"/>
          <w:color w:val="auto"/>
        </w:rPr>
      </w:pPr>
      <w:r>
        <w:rPr>
          <w:rFonts w:ascii="Arial" w:cs="Arial" w:eastAsia="Arial" w:hAnsi="Arial"/>
          <w:sz w:val="12"/>
          <w:szCs w:val="12"/>
          <w:color w:val="auto"/>
        </w:rPr>
        <w:t>Expanding geographically in our core businesses.</w:t>
      </w:r>
    </w:p>
    <w:p>
      <w:pPr>
        <w:spacing w:after="0" w:line="264"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15" w:right="199" w:bottom="1440" w:gutter="0" w:footer="0" w:header="0"/>
        </w:sectPr>
      </w:pPr>
    </w:p>
    <w:bookmarkStart w:id="21" w:name="page22"/>
    <w:bookmarkEnd w:id="21"/>
    <w:p>
      <w:pPr>
        <w:ind w:left="8"/>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UNIVERSAL FOREST PRODUCTS, INC.</w:t>
      </w:r>
    </w:p>
    <w:p>
      <w:pPr>
        <w:spacing w:after="0" w:line="172" w:lineRule="exact"/>
        <w:rPr>
          <w:sz w:val="20"/>
          <w:szCs w:val="20"/>
          <w:color w:val="auto"/>
        </w:rPr>
      </w:pPr>
    </w:p>
    <w:p>
      <w:pPr>
        <w:ind w:left="208" w:right="340" w:hanging="208"/>
        <w:spacing w:after="0" w:line="298" w:lineRule="auto"/>
        <w:tabs>
          <w:tab w:leader="none" w:pos="208" w:val="left"/>
        </w:tabs>
        <w:numPr>
          <w:ilvl w:val="0"/>
          <w:numId w:val="17"/>
        </w:numPr>
        <w:rPr>
          <w:rFonts w:ascii="Arial" w:cs="Arial" w:eastAsia="Arial" w:hAnsi="Arial"/>
          <w:sz w:val="11"/>
          <w:szCs w:val="11"/>
          <w:color w:val="auto"/>
        </w:rPr>
      </w:pPr>
      <w:r>
        <w:rPr>
          <w:rFonts w:ascii="Arial" w:cs="Arial" w:eastAsia="Arial" w:hAnsi="Arial"/>
          <w:sz w:val="11"/>
          <w:szCs w:val="11"/>
          <w:color w:val="auto"/>
        </w:rPr>
        <w:t>Increasing sales of "value-added" products and framing services. Value-added product sales primarily consist of fencing, decking, lattice, and other specialty products sold to the retail building materials market, specialty wood packaging, engineered wood components,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 totals.</w:t>
      </w:r>
    </w:p>
    <w:p>
      <w:pPr>
        <w:spacing w:after="0" w:line="123" w:lineRule="exact"/>
        <w:rPr>
          <w:rFonts w:ascii="Arial" w:cs="Arial" w:eastAsia="Arial" w:hAnsi="Arial"/>
          <w:sz w:val="11"/>
          <w:szCs w:val="11"/>
          <w:color w:val="auto"/>
        </w:rPr>
      </w:pPr>
    </w:p>
    <w:p>
      <w:pPr>
        <w:ind w:left="208" w:hanging="208"/>
        <w:spacing w:after="0"/>
        <w:tabs>
          <w:tab w:leader="none" w:pos="208"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Developing new products and expanding our product offering for existing customers.</w:t>
      </w:r>
    </w:p>
    <w:p>
      <w:pPr>
        <w:spacing w:after="0" w:line="168" w:lineRule="exact"/>
        <w:rPr>
          <w:rFonts w:ascii="Arial" w:cs="Arial" w:eastAsia="Arial" w:hAnsi="Arial"/>
          <w:sz w:val="12"/>
          <w:szCs w:val="12"/>
          <w:color w:val="auto"/>
        </w:rPr>
      </w:pPr>
    </w:p>
    <w:p>
      <w:pPr>
        <w:ind w:left="208" w:hanging="208"/>
        <w:spacing w:after="0"/>
        <w:tabs>
          <w:tab w:leader="none" w:pos="208" w:val="left"/>
        </w:tabs>
        <w:numPr>
          <w:ilvl w:val="0"/>
          <w:numId w:val="17"/>
        </w:numPr>
        <w:rPr>
          <w:rFonts w:ascii="Arial" w:cs="Arial" w:eastAsia="Arial" w:hAnsi="Arial"/>
          <w:sz w:val="12"/>
          <w:szCs w:val="12"/>
          <w:color w:val="auto"/>
        </w:rPr>
      </w:pPr>
      <w:r>
        <w:rPr>
          <w:rFonts w:ascii="Arial" w:cs="Arial" w:eastAsia="Arial" w:hAnsi="Arial"/>
          <w:sz w:val="12"/>
          <w:szCs w:val="12"/>
          <w:color w:val="auto"/>
        </w:rPr>
        <w:t>Maximizing unit sales growth while achieving return on investment goals.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presents, for the periods indicated, our gross sales (in thousands) and percentage change in gross sales by market classification.</w:t>
      </w:r>
    </w:p>
    <w:p>
      <w:pPr>
        <w:spacing w:after="0" w:line="168"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2"/>
                <w:szCs w:val="12"/>
                <w:color w:val="auto"/>
                <w:w w:val="91"/>
              </w:rPr>
              <w:t>For the Three Months Ended</w:t>
            </w:r>
          </w:p>
        </w:tc>
        <w:tc>
          <w:tcPr>
            <w:tcW w:w="7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color w:val="auto"/>
                <w:w w:val="93"/>
              </w:rPr>
              <w:t>For the Six Months Ended</w:t>
            </w: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right"/>
              <w:ind w:right="380"/>
              <w:spacing w:after="0" w:line="133" w:lineRule="exact"/>
              <w:rPr>
                <w:sz w:val="20"/>
                <w:szCs w:val="20"/>
                <w:color w:val="auto"/>
              </w:rPr>
            </w:pPr>
            <w:r>
              <w:rPr>
                <w:rFonts w:ascii="Arial" w:cs="Arial" w:eastAsia="Arial" w:hAnsi="Arial"/>
                <w:sz w:val="12"/>
                <w:szCs w:val="12"/>
                <w:color w:val="auto"/>
              </w:rPr>
              <w:t>June 25,</w:t>
            </w:r>
          </w:p>
        </w:tc>
        <w:tc>
          <w:tcPr>
            <w:tcW w:w="1680" w:type="dxa"/>
            <w:vAlign w:val="bottom"/>
            <w:gridSpan w:val="3"/>
          </w:tcPr>
          <w:p>
            <w:pPr>
              <w:jc w:val="center"/>
              <w:ind w:right="200"/>
              <w:spacing w:after="0" w:line="133" w:lineRule="exact"/>
              <w:rPr>
                <w:sz w:val="20"/>
                <w:szCs w:val="20"/>
                <w:color w:val="auto"/>
              </w:rPr>
            </w:pPr>
            <w:r>
              <w:rPr>
                <w:rFonts w:ascii="Arial" w:cs="Arial" w:eastAsia="Arial" w:hAnsi="Arial"/>
                <w:sz w:val="12"/>
                <w:szCs w:val="12"/>
                <w:color w:val="auto"/>
                <w:w w:val="86"/>
              </w:rPr>
              <w:t>June 26,</w:t>
            </w:r>
          </w:p>
        </w:tc>
        <w:tc>
          <w:tcPr>
            <w:tcW w:w="700" w:type="dxa"/>
            <w:vAlign w:val="bottom"/>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ind w:right="400"/>
              <w:spacing w:after="0" w:line="133" w:lineRule="exact"/>
              <w:rPr>
                <w:sz w:val="20"/>
                <w:szCs w:val="20"/>
                <w:color w:val="auto"/>
              </w:rPr>
            </w:pPr>
            <w:r>
              <w:rPr>
                <w:rFonts w:ascii="Arial" w:cs="Arial" w:eastAsia="Arial" w:hAnsi="Arial"/>
                <w:sz w:val="12"/>
                <w:szCs w:val="12"/>
                <w:color w:val="auto"/>
              </w:rPr>
              <w:t>June 25,</w:t>
            </w:r>
          </w:p>
        </w:tc>
        <w:tc>
          <w:tcPr>
            <w:tcW w:w="360" w:type="dxa"/>
            <w:vAlign w:val="bottom"/>
          </w:tcPr>
          <w:p>
            <w:pPr>
              <w:spacing w:after="0"/>
              <w:rPr>
                <w:sz w:val="11"/>
                <w:szCs w:val="11"/>
                <w:color w:val="auto"/>
              </w:rPr>
            </w:pPr>
          </w:p>
        </w:tc>
        <w:tc>
          <w:tcPr>
            <w:tcW w:w="1240" w:type="dxa"/>
            <w:vAlign w:val="bottom"/>
            <w:gridSpan w:val="2"/>
          </w:tcPr>
          <w:p>
            <w:pPr>
              <w:jc w:val="right"/>
              <w:ind w:right="700"/>
              <w:spacing w:after="0" w:line="133" w:lineRule="exact"/>
              <w:rPr>
                <w:sz w:val="20"/>
                <w:szCs w:val="20"/>
                <w:color w:val="auto"/>
              </w:rPr>
            </w:pPr>
            <w:r>
              <w:rPr>
                <w:rFonts w:ascii="Arial" w:cs="Arial" w:eastAsia="Arial" w:hAnsi="Arial"/>
                <w:sz w:val="12"/>
                <w:szCs w:val="12"/>
                <w:color w:val="auto"/>
              </w:rPr>
              <w:t>June 26,</w:t>
            </w:r>
          </w:p>
        </w:tc>
        <w:tc>
          <w:tcPr>
            <w:tcW w:w="1020" w:type="dxa"/>
            <w:vAlign w:val="bottom"/>
          </w:tcPr>
          <w:p>
            <w:pPr>
              <w:jc w:val="right"/>
              <w:ind w:right="440"/>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340" w:type="dxa"/>
            <w:vAlign w:val="bottom"/>
            <w:gridSpan w:val="3"/>
          </w:tcPr>
          <w:p>
            <w:pPr>
              <w:spacing w:after="0"/>
              <w:rPr>
                <w:sz w:val="20"/>
                <w:szCs w:val="20"/>
                <w:color w:val="auto"/>
              </w:rPr>
            </w:pPr>
            <w:r>
              <w:rPr>
                <w:rFonts w:ascii="Arial" w:cs="Arial" w:eastAsia="Arial" w:hAnsi="Arial"/>
                <w:sz w:val="12"/>
                <w:szCs w:val="12"/>
                <w:color w:val="auto"/>
              </w:rPr>
              <w:t>Market Classification</w:t>
            </w:r>
          </w:p>
        </w:tc>
        <w:tc>
          <w:tcPr>
            <w:tcW w:w="220" w:type="dxa"/>
            <w:vAlign w:val="bottom"/>
          </w:tcPr>
          <w:p>
            <w:pPr>
              <w:spacing w:after="0"/>
              <w:rPr>
                <w:sz w:val="12"/>
                <w:szCs w:val="12"/>
                <w:color w:val="auto"/>
              </w:rPr>
            </w:pPr>
          </w:p>
        </w:tc>
        <w:tc>
          <w:tcPr>
            <w:tcW w:w="1000" w:type="dxa"/>
            <w:vAlign w:val="bottom"/>
          </w:tcPr>
          <w:p>
            <w:pPr>
              <w:jc w:val="right"/>
              <w:ind w:right="480"/>
              <w:spacing w:after="0"/>
              <w:rPr>
                <w:sz w:val="20"/>
                <w:szCs w:val="20"/>
                <w:color w:val="auto"/>
              </w:rPr>
            </w:pPr>
            <w:r>
              <w:rPr>
                <w:rFonts w:ascii="Arial" w:cs="Arial" w:eastAsia="Arial" w:hAnsi="Arial"/>
                <w:sz w:val="12"/>
                <w:szCs w:val="12"/>
                <w:color w:val="auto"/>
              </w:rPr>
              <w:t>2011</w:t>
            </w:r>
          </w:p>
        </w:tc>
        <w:tc>
          <w:tcPr>
            <w:tcW w:w="900" w:type="dxa"/>
            <w:vAlign w:val="bottom"/>
          </w:tcPr>
          <w:p>
            <w:pPr>
              <w:jc w:val="center"/>
              <w:ind w:left="520"/>
              <w:spacing w:after="0"/>
              <w:rPr>
                <w:sz w:val="20"/>
                <w:szCs w:val="20"/>
                <w:color w:val="auto"/>
              </w:rPr>
            </w:pPr>
            <w:r>
              <w:rPr>
                <w:rFonts w:ascii="Arial" w:cs="Arial" w:eastAsia="Arial" w:hAnsi="Arial"/>
                <w:sz w:val="12"/>
                <w:szCs w:val="12"/>
                <w:color w:val="auto"/>
                <w:w w:val="89"/>
              </w:rPr>
              <w:t>2010</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center"/>
              <w:ind w:left="120"/>
              <w:spacing w:after="0"/>
              <w:rPr>
                <w:sz w:val="20"/>
                <w:szCs w:val="20"/>
                <w:color w:val="auto"/>
              </w:rPr>
            </w:pPr>
            <w:r>
              <w:rPr>
                <w:rFonts w:ascii="Arial" w:cs="Arial" w:eastAsia="Arial" w:hAnsi="Arial"/>
                <w:sz w:val="12"/>
                <w:szCs w:val="12"/>
                <w:color w:val="auto"/>
                <w:w w:val="85"/>
              </w:rPr>
              <w:t>Change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500"/>
              <w:spacing w:after="0"/>
              <w:rPr>
                <w:sz w:val="20"/>
                <w:szCs w:val="20"/>
                <w:color w:val="auto"/>
              </w:rPr>
            </w:pPr>
            <w:r>
              <w:rPr>
                <w:rFonts w:ascii="Arial" w:cs="Arial" w:eastAsia="Arial" w:hAnsi="Arial"/>
                <w:sz w:val="12"/>
                <w:szCs w:val="12"/>
                <w:color w:val="auto"/>
              </w:rPr>
              <w:t>2011</w:t>
            </w:r>
          </w:p>
        </w:tc>
        <w:tc>
          <w:tcPr>
            <w:tcW w:w="360" w:type="dxa"/>
            <w:vAlign w:val="bottom"/>
          </w:tcPr>
          <w:p>
            <w:pPr>
              <w:spacing w:after="0"/>
              <w:rPr>
                <w:sz w:val="12"/>
                <w:szCs w:val="12"/>
                <w:color w:val="auto"/>
              </w:rPr>
            </w:pPr>
          </w:p>
        </w:tc>
        <w:tc>
          <w:tcPr>
            <w:tcW w:w="920" w:type="dxa"/>
            <w:vAlign w:val="bottom"/>
          </w:tcPr>
          <w:p>
            <w:pPr>
              <w:jc w:val="right"/>
              <w:ind w:right="400"/>
              <w:spacing w:after="0"/>
              <w:rPr>
                <w:sz w:val="20"/>
                <w:szCs w:val="20"/>
                <w:color w:val="auto"/>
              </w:rPr>
            </w:pPr>
            <w:r>
              <w:rPr>
                <w:rFonts w:ascii="Arial" w:cs="Arial" w:eastAsia="Arial" w:hAnsi="Arial"/>
                <w:sz w:val="12"/>
                <w:szCs w:val="12"/>
                <w:color w:val="auto"/>
              </w:rPr>
              <w:t>2010</w:t>
            </w:r>
          </w:p>
        </w:tc>
        <w:tc>
          <w:tcPr>
            <w:tcW w:w="32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Retail Building Materials</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287,528</w:t>
            </w:r>
          </w:p>
        </w:tc>
        <w:tc>
          <w:tcPr>
            <w:tcW w:w="900" w:type="dxa"/>
            <w:vAlign w:val="bottom"/>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353,060</w:t>
            </w: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(18.6)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462,809</w:t>
            </w:r>
          </w:p>
        </w:tc>
        <w:tc>
          <w:tcPr>
            <w:tcW w:w="3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540,086</w:t>
            </w: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Residential Construction</w:t>
            </w:r>
          </w:p>
        </w:tc>
        <w:tc>
          <w:tcPr>
            <w:tcW w:w="220" w:type="dxa"/>
            <w:vAlign w:val="bottom"/>
          </w:tcPr>
          <w:p>
            <w:pPr>
              <w:spacing w:after="0"/>
              <w:rPr>
                <w:sz w:val="12"/>
                <w:szCs w:val="12"/>
                <w:color w:val="auto"/>
              </w:rPr>
            </w:pPr>
          </w:p>
        </w:tc>
        <w:tc>
          <w:tcPr>
            <w:tcW w:w="1000" w:type="dxa"/>
            <w:vAlign w:val="bottom"/>
          </w:tcPr>
          <w:p>
            <w:pPr>
              <w:jc w:val="right"/>
              <w:ind w:right="20"/>
              <w:spacing w:after="0"/>
              <w:rPr>
                <w:sz w:val="20"/>
                <w:szCs w:val="20"/>
                <w:color w:val="auto"/>
              </w:rPr>
            </w:pPr>
            <w:r>
              <w:rPr>
                <w:rFonts w:ascii="Arial" w:cs="Arial" w:eastAsia="Arial" w:hAnsi="Arial"/>
                <w:sz w:val="12"/>
                <w:szCs w:val="12"/>
                <w:color w:val="auto"/>
              </w:rPr>
              <w:t>56,655</w:t>
            </w:r>
          </w:p>
        </w:tc>
        <w:tc>
          <w:tcPr>
            <w:tcW w:w="900" w:type="dxa"/>
            <w:vAlign w:val="bottom"/>
          </w:tcPr>
          <w:p>
            <w:pPr>
              <w:spacing w:after="0"/>
              <w:rPr>
                <w:sz w:val="12"/>
                <w:szCs w:val="12"/>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2"/>
                <w:szCs w:val="12"/>
                <w:color w:val="auto"/>
              </w:rPr>
              <w:t>67,035</w:t>
            </w:r>
          </w:p>
        </w:tc>
        <w:tc>
          <w:tcPr>
            <w:tcW w:w="700" w:type="dxa"/>
            <w:vAlign w:val="bottom"/>
          </w:tcPr>
          <w:p>
            <w:pPr>
              <w:spacing w:after="0"/>
              <w:rPr>
                <w:sz w:val="12"/>
                <w:szCs w:val="12"/>
                <w:color w:val="auto"/>
              </w:rPr>
            </w:pPr>
          </w:p>
        </w:tc>
        <w:tc>
          <w:tcPr>
            <w:tcW w:w="460" w:type="dxa"/>
            <w:vAlign w:val="bottom"/>
          </w:tcPr>
          <w:p>
            <w:pPr>
              <w:jc w:val="right"/>
              <w:ind w:right="40"/>
              <w:spacing w:after="0"/>
              <w:rPr>
                <w:sz w:val="20"/>
                <w:szCs w:val="20"/>
                <w:color w:val="auto"/>
              </w:rPr>
            </w:pPr>
            <w:r>
              <w:rPr>
                <w:rFonts w:ascii="Arial" w:cs="Arial" w:eastAsia="Arial" w:hAnsi="Arial"/>
                <w:sz w:val="12"/>
                <w:szCs w:val="12"/>
                <w:color w:val="auto"/>
              </w:rPr>
              <w:t>(15.5)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104,486</w:t>
            </w:r>
          </w:p>
        </w:tc>
        <w:tc>
          <w:tcPr>
            <w:tcW w:w="3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120,739</w:t>
            </w:r>
          </w:p>
        </w:tc>
        <w:tc>
          <w:tcPr>
            <w:tcW w:w="32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Commercial Construction and Concrete Forming</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20,841</w:t>
            </w:r>
          </w:p>
        </w:tc>
        <w:tc>
          <w:tcPr>
            <w:tcW w:w="9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16,914</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23.2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35,270</w:t>
            </w:r>
          </w:p>
        </w:tc>
        <w:tc>
          <w:tcPr>
            <w:tcW w:w="3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31,302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Industrial</w:t>
            </w:r>
          </w:p>
        </w:tc>
        <w:tc>
          <w:tcPr>
            <w:tcW w:w="220" w:type="dxa"/>
            <w:vAlign w:val="bottom"/>
          </w:tcPr>
          <w:p>
            <w:pPr>
              <w:spacing w:after="0"/>
              <w:rPr>
                <w:sz w:val="12"/>
                <w:szCs w:val="12"/>
                <w:color w:val="auto"/>
              </w:rPr>
            </w:pPr>
          </w:p>
        </w:tc>
        <w:tc>
          <w:tcPr>
            <w:tcW w:w="1000" w:type="dxa"/>
            <w:vAlign w:val="bottom"/>
          </w:tcPr>
          <w:p>
            <w:pPr>
              <w:jc w:val="right"/>
              <w:ind w:right="20"/>
              <w:spacing w:after="0"/>
              <w:rPr>
                <w:sz w:val="20"/>
                <w:szCs w:val="20"/>
                <w:color w:val="auto"/>
              </w:rPr>
            </w:pPr>
            <w:r>
              <w:rPr>
                <w:rFonts w:ascii="Arial" w:cs="Arial" w:eastAsia="Arial" w:hAnsi="Arial"/>
                <w:sz w:val="12"/>
                <w:szCs w:val="12"/>
                <w:color w:val="auto"/>
              </w:rPr>
              <w:t>126,541</w:t>
            </w:r>
          </w:p>
        </w:tc>
        <w:tc>
          <w:tcPr>
            <w:tcW w:w="9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2"/>
              </w:rPr>
              <w:t>129,073</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jc w:val="right"/>
              <w:ind w:right="40"/>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236,186</w:t>
            </w:r>
          </w:p>
        </w:tc>
        <w:tc>
          <w:tcPr>
            <w:tcW w:w="3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224,665</w:t>
            </w:r>
          </w:p>
        </w:tc>
        <w:tc>
          <w:tcPr>
            <w:tcW w:w="32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Manufactured Housing and Recreational Vehicles</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64,597</w:t>
            </w:r>
          </w:p>
        </w:tc>
        <w:tc>
          <w:tcPr>
            <w:tcW w:w="9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82,831</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(22.0)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111,633</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131,766</w:t>
            </w: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gridSpan w:val="2"/>
          </w:tcPr>
          <w:p>
            <w:pPr>
              <w:spacing w:after="0"/>
              <w:rPr>
                <w:sz w:val="20"/>
                <w:szCs w:val="20"/>
                <w:color w:val="auto"/>
              </w:rPr>
            </w:pPr>
            <w:r>
              <w:rPr>
                <w:rFonts w:ascii="Arial" w:cs="Arial" w:eastAsia="Arial" w:hAnsi="Arial"/>
                <w:sz w:val="12"/>
                <w:szCs w:val="12"/>
                <w:color w:val="auto"/>
              </w:rPr>
              <w:t>Total Gross Sales</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rPr>
              <w:t>556,162</w:t>
            </w:r>
          </w:p>
        </w:tc>
        <w:tc>
          <w:tcPr>
            <w:tcW w:w="9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2"/>
              </w:rPr>
              <w:t>648,913</w:t>
            </w:r>
          </w:p>
        </w:tc>
        <w:tc>
          <w:tcPr>
            <w:tcW w:w="36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jc w:val="right"/>
              <w:ind w:right="40"/>
              <w:spacing w:after="0"/>
              <w:rPr>
                <w:sz w:val="20"/>
                <w:szCs w:val="20"/>
                <w:color w:val="auto"/>
              </w:rPr>
            </w:pPr>
            <w:r>
              <w:rPr>
                <w:rFonts w:ascii="Arial" w:cs="Arial" w:eastAsia="Arial" w:hAnsi="Arial"/>
                <w:sz w:val="12"/>
                <w:szCs w:val="12"/>
                <w:color w:val="auto"/>
              </w:rPr>
              <w:t>(14.3)</w:t>
            </w: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950,384</w:t>
            </w:r>
          </w:p>
        </w:tc>
        <w:tc>
          <w:tcPr>
            <w:tcW w:w="3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1,048,558</w:t>
            </w:r>
          </w:p>
        </w:tc>
        <w:tc>
          <w:tcPr>
            <w:tcW w:w="3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Sales Allowances</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(12,023)</w:t>
            </w:r>
          </w:p>
        </w:tc>
        <w:tc>
          <w:tcPr>
            <w:tcW w:w="9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98"/>
              </w:rPr>
              <w:t>(10,278)</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(19,012)</w:t>
            </w:r>
          </w:p>
        </w:tc>
        <w:tc>
          <w:tcPr>
            <w:tcW w:w="3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(16,965)</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Total Net Sales</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20"/>
              <w:spacing w:after="0"/>
              <w:rPr>
                <w:sz w:val="20"/>
                <w:szCs w:val="20"/>
                <w:color w:val="auto"/>
              </w:rPr>
            </w:pPr>
            <w:r>
              <w:rPr>
                <w:rFonts w:ascii="Arial" w:cs="Arial" w:eastAsia="Arial" w:hAnsi="Arial"/>
                <w:sz w:val="12"/>
                <w:szCs w:val="12"/>
                <w:color w:val="auto"/>
              </w:rPr>
              <w:t>544,139</w:t>
            </w:r>
          </w:p>
        </w:tc>
        <w:tc>
          <w:tcPr>
            <w:tcW w:w="900" w:type="dxa"/>
            <w:vAlign w:val="bottom"/>
          </w:tcPr>
          <w:p>
            <w:pPr>
              <w:jc w:val="right"/>
              <w:ind w:right="62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2"/>
              </w:rPr>
              <w:t>638,635</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jc w:val="right"/>
              <w:ind w:right="40"/>
              <w:spacing w:after="0"/>
              <w:rPr>
                <w:sz w:val="20"/>
                <w:szCs w:val="20"/>
                <w:color w:val="auto"/>
              </w:rPr>
            </w:pPr>
            <w:r>
              <w:rPr>
                <w:rFonts w:ascii="Arial" w:cs="Arial" w:eastAsia="Arial" w:hAnsi="Arial"/>
                <w:sz w:val="12"/>
                <w:szCs w:val="12"/>
                <w:color w:val="auto"/>
              </w:rPr>
              <w:t>(14.8)</w:t>
            </w: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931,372</w:t>
            </w:r>
          </w:p>
        </w:tc>
        <w:tc>
          <w:tcPr>
            <w:tcW w:w="3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1,031,593</w:t>
            </w:r>
          </w:p>
        </w:tc>
        <w:tc>
          <w:tcPr>
            <w:tcW w:w="32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left="428" w:right="20" w:hanging="419"/>
        <w:spacing w:after="0" w:line="276" w:lineRule="auto"/>
        <w:tabs>
          <w:tab w:leader="none" w:pos="408" w:val="left"/>
        </w:tabs>
        <w:rPr>
          <w:sz w:val="20"/>
          <w:szCs w:val="20"/>
          <w:color w:val="auto"/>
        </w:rPr>
      </w:pPr>
      <w:r>
        <w:rPr>
          <w:rFonts w:ascii="Arial" w:cs="Arial" w:eastAsia="Arial" w:hAnsi="Arial"/>
          <w:sz w:val="12"/>
          <w:szCs w:val="12"/>
          <w:color w:val="auto"/>
        </w:rPr>
        <w:t>Note:</w:t>
        <w:tab/>
        <w:t>In the second quarter of 2011, we made changes to our customer market classifications to improve our reporting by better aligning our customer market designations with available industry reporting and end market research. Prior year information has been restated to reflect these reclassifications. See also Exhibit 99(a).</w:t>
      </w:r>
    </w:p>
    <w:p>
      <w:pPr>
        <w:spacing w:after="0" w:line="133"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Gross sales in the second quarter of 2011 decreased 14% compared to the same period of 2010, primarily due to an estimated 4% decrease in overall unit sales and an estimated 10% decrease in overall selling prices due to the Lumber Market.</w:t>
      </w:r>
    </w:p>
    <w:p>
      <w:pPr>
        <w:spacing w:after="0" w:line="133"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Gross sales in the first six months of 2011 decreased 9% compared to the same period of 2010, primarily due to an estimated 3% decrease in overall unit sales and an estimated 6% decrease in overall selling prices due to the Lumber Market.</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color w:val="auto"/>
        </w:rPr>
        <w:t>Changes in our sales by market are discussed below.</w:t>
      </w:r>
    </w:p>
    <w:p>
      <w:pPr>
        <w:spacing w:after="0" w:line="264"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22" w:name="page23"/>
    <w:bookmarkEnd w:id="22"/>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UNIVERSAL FOREST PRODUCTS, INC.</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Retail Building Materials: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Gross sales to the retail building materials market decreased 19% in the second quarter of 2011 compared to the same period of 2010, primarily due to an estimated 8% decrease in our overall unit sales and an estimated 11% decrease in our overall selling prices. Unit sales declined primarily due to a decrease in consumer spending for “big ticket” building materials products such as decking and fencing. As unemployment remains high and housing prices have decreased, we believe many homeowners have delayed plans for these projects. In the long-term, we believe this business will rebound as the economy improves and housing prices stabilize. In addition, our sales of composite decking have decreased as we are preparing to launch a new product in 2012.</w:t>
      </w:r>
    </w:p>
    <w:p>
      <w:pPr>
        <w:spacing w:after="0" w:line="14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Gross sales to the retail building materials market decreased 14% in the first six months of 2011 compared to the same period of 2010, primarily due to an estimated 7% decrease in our overall unit sales and an estimated 7% decrease in our overall selling prices. Unit sales declined due to the same factors mentioned in the paragraph above.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Residential Construction:</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Gross sales to the residential construction market decreased 15% in the second quarter of 2011 compared to the same period of 2010 due to a combination of a 15% decrease in unit sales as a result of operations we have recently closed and an estimated 8% decrease in selling prices, offset by an estimated 8% increase in unit sales out of existing plants as we have shifted our focus to the multi-family market. National housing starts decreased approximately 11% in the period from March through May of 2011 (our sales trail housing starts by about a month), compared to the same period of 2010. We have taken several recent plant closure actions in order to achieve profitability and cash flow objectives, which may temporarily result in a loss of market share.</w:t>
      </w:r>
    </w:p>
    <w:p>
      <w:pPr>
        <w:spacing w:after="0" w:line="143"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Gross sales to the residential construction market decreased 13% in the first six months of 2011 compared to the same period of 2010 due to a combination of a 14% decrease in unit sales as a result of operations we have recently closed and an estimated 4% decrease in selling prices, offset by an estimated 5% increase in unit sales out of existing plants. National housing starts decreased approximately 9% in the period from December through May of 2011 (our sales trail housing starts by about a month), compared to the same period of 2010. We have taken several recent plant closure actions in order to achieve profitability and cash flow objectives, which may temporarily result in a loss of market share.</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Commercial Construction and Concrete Forming:</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Gross sales to the commercial construction and concrete forming market increased 23% in the second quarter of 2011 compared to the same period of 2010, primarily due to an estimated 39% increase in our overall unit sales, offset by an estimated 16% decrease in our overall selling prices. Volume has increased as a result of adding a few large accounts this quarter.</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3" w:name="page24"/>
    <w:bookmarkEnd w:id="23"/>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UNIVERSAL FOREST PRODUCTS, INC.</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Gross sales to the commercial construction and concrete forming market increased 13% in the first six months of 2011 compared to the same period of 2010, primarily due to an estimated 20% increase in our overall unit sales, offset by an estimated 7% decrease in our overall selling prices.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Industrial:</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Gross sales to the industrial market decreased 2% in the second quarter of 2011 compared to the same period of 2010, primarily due to an estimated 7% increase in unit sales, offset by an estimated 9% decrease in overall selling prices. Our rate of growth slowed this quarter primarily due to a decline in demand of existing customers, which we believe is a reflection of a slowdown in manufacturing output in the U.S. In addition, we had a decline in sales of our Mexican partnership as changes in exchange rates have made their pricing in the U.S. less competitive resulting in a loss of volume. We added almost 300 new customers again this quarter which allowed us to continue to add market share and grow unit sales this quarter.</w:t>
      </w:r>
    </w:p>
    <w:p>
      <w:pPr>
        <w:spacing w:after="0" w:line="14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Gross sales to the industrial market increased 5% in the first six months of 2011 compared to the same period of 2010, primarily due to an estimated 10% increase in unit sales, offset by an estimated 5% decrease in overall selling prices. Unit sales increased due to the same factors mentioned in the paragraph above.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Manufactured Housing and Recreation Vehicles:</w:t>
      </w:r>
    </w:p>
    <w:p>
      <w:pPr>
        <w:spacing w:after="0" w:line="168" w:lineRule="exact"/>
        <w:rPr>
          <w:sz w:val="20"/>
          <w:szCs w:val="20"/>
          <w:color w:val="auto"/>
        </w:rPr>
      </w:pPr>
    </w:p>
    <w:p>
      <w:pPr>
        <w:jc w:val="both"/>
        <w:spacing w:after="0" w:line="380" w:lineRule="auto"/>
        <w:rPr>
          <w:sz w:val="20"/>
          <w:szCs w:val="20"/>
          <w:color w:val="auto"/>
        </w:rPr>
      </w:pPr>
      <w:r>
        <w:rPr>
          <w:rFonts w:ascii="Arial" w:cs="Arial" w:eastAsia="Arial" w:hAnsi="Arial"/>
          <w:sz w:val="10"/>
          <w:szCs w:val="10"/>
          <w:color w:val="auto"/>
        </w:rPr>
        <w:t>Gross sales to the manufactured housing market decreased 22% in the second quarter of 2011 compared to 2010, primarily due to a combination of a 13% decrease in unit sales out of existing operations and an estimated 11% decrease in overall selling prices, offset by a 2% increase in unit sales of new operations we acquired in 2010. Shipments of HUD code manufactured homes were down 14% in April and May of 2011, compared to the same period of 2010.</w:t>
      </w:r>
    </w:p>
    <w:p>
      <w:pPr>
        <w:spacing w:after="0" w:line="86"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Gross sales to the manufactured housing market decreased 15% in the first six months of 2011 compared to 2010, primarily due to a combination of a 14% decrease in unit sales out of existing operations and an estimated 6% decrease in overall selling prices, offset by a 5% increase in unit sales of new operations we acquired in 2010. Shipments of HUD code manufactured homes were down 14% in January through May of 2011, compared to the same period of 2010.</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Value-Added and Commodity-Based Sales:</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presents, for the periods indicated, our percentage of value-added and commodity-based sales to total sales. Value-added products generally carry higher gross margins than our commodity-based products.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320" w:type="dxa"/>
            <w:vAlign w:val="bottom"/>
            <w:tcBorders>
              <w:top w:val="single" w:sz="8" w:color="auto"/>
              <w:bottom w:val="single" w:sz="8" w:color="auto"/>
            </w:tcBorders>
            <w:gridSpan w:val="4"/>
          </w:tcPr>
          <w:p>
            <w:pPr>
              <w:ind w:left="840"/>
              <w:spacing w:after="0"/>
              <w:rPr>
                <w:sz w:val="20"/>
                <w:szCs w:val="20"/>
                <w:color w:val="auto"/>
              </w:rPr>
            </w:pPr>
            <w:r>
              <w:rPr>
                <w:rFonts w:ascii="Arial" w:cs="Arial" w:eastAsia="Arial" w:hAnsi="Arial"/>
                <w:sz w:val="12"/>
                <w:szCs w:val="12"/>
                <w:color w:val="auto"/>
              </w:rPr>
              <w:t>Three Months Ended</w:t>
            </w:r>
          </w:p>
        </w:tc>
        <w:tc>
          <w:tcPr>
            <w:tcW w:w="64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gridSpan w:val="3"/>
          </w:tcPr>
          <w:p>
            <w:pPr>
              <w:ind w:left="700"/>
              <w:spacing w:after="0"/>
              <w:rPr>
                <w:sz w:val="20"/>
                <w:szCs w:val="20"/>
                <w:color w:val="auto"/>
              </w:rPr>
            </w:pPr>
            <w:r>
              <w:rPr>
                <w:rFonts w:ascii="Arial" w:cs="Arial" w:eastAsia="Arial" w:hAnsi="Arial"/>
                <w:sz w:val="12"/>
                <w:szCs w:val="12"/>
                <w:color w:val="auto"/>
                <w:w w:val="92"/>
              </w:rPr>
              <w:t>Six Months Ended</w:t>
            </w:r>
          </w:p>
        </w:tc>
        <w:tc>
          <w:tcPr>
            <w:tcW w:w="920" w:type="dxa"/>
            <w:vAlign w:val="bottom"/>
            <w:tcBorders>
              <w:top w:val="single" w:sz="8" w:color="auto"/>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r>
      <w:tr>
        <w:trPr>
          <w:trHeight w:val="135"/>
        </w:trPr>
        <w:tc>
          <w:tcPr>
            <w:tcW w:w="5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960" w:type="dxa"/>
            <w:vAlign w:val="bottom"/>
          </w:tcPr>
          <w:p>
            <w:pPr>
              <w:jc w:val="center"/>
              <w:ind w:left="340"/>
              <w:spacing w:after="0" w:line="136" w:lineRule="exact"/>
              <w:rPr>
                <w:sz w:val="20"/>
                <w:szCs w:val="20"/>
                <w:color w:val="auto"/>
              </w:rPr>
            </w:pPr>
            <w:r>
              <w:rPr>
                <w:rFonts w:ascii="Arial" w:cs="Arial" w:eastAsia="Arial" w:hAnsi="Arial"/>
                <w:sz w:val="12"/>
                <w:szCs w:val="12"/>
                <w:color w:val="auto"/>
                <w:w w:val="86"/>
              </w:rPr>
              <w:t>June 25,</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ind w:left="240"/>
              <w:spacing w:after="0" w:line="136" w:lineRule="exact"/>
              <w:rPr>
                <w:sz w:val="20"/>
                <w:szCs w:val="20"/>
                <w:color w:val="auto"/>
              </w:rPr>
            </w:pPr>
            <w:r>
              <w:rPr>
                <w:rFonts w:ascii="Arial" w:cs="Arial" w:eastAsia="Arial" w:hAnsi="Arial"/>
                <w:sz w:val="12"/>
                <w:szCs w:val="12"/>
                <w:color w:val="auto"/>
                <w:w w:val="86"/>
              </w:rPr>
              <w:t>June 26,</w:t>
            </w:r>
          </w:p>
        </w:tc>
        <w:tc>
          <w:tcPr>
            <w:tcW w:w="640" w:type="dxa"/>
            <w:vAlign w:val="bottom"/>
          </w:tcPr>
          <w:p>
            <w:pPr>
              <w:spacing w:after="0"/>
              <w:rPr>
                <w:sz w:val="11"/>
                <w:szCs w:val="11"/>
                <w:color w:val="auto"/>
              </w:rPr>
            </w:pPr>
          </w:p>
        </w:tc>
        <w:tc>
          <w:tcPr>
            <w:tcW w:w="1620" w:type="dxa"/>
            <w:vAlign w:val="bottom"/>
            <w:gridSpan w:val="3"/>
          </w:tcPr>
          <w:p>
            <w:pPr>
              <w:jc w:val="center"/>
              <w:ind w:right="740"/>
              <w:spacing w:after="0" w:line="136" w:lineRule="exact"/>
              <w:rPr>
                <w:sz w:val="20"/>
                <w:szCs w:val="20"/>
                <w:color w:val="auto"/>
              </w:rPr>
            </w:pPr>
            <w:r>
              <w:rPr>
                <w:rFonts w:ascii="Arial" w:cs="Arial" w:eastAsia="Arial" w:hAnsi="Arial"/>
                <w:sz w:val="12"/>
                <w:szCs w:val="12"/>
                <w:color w:val="auto"/>
                <w:w w:val="86"/>
              </w:rPr>
              <w:t>June 25,</w:t>
            </w:r>
          </w:p>
        </w:tc>
        <w:tc>
          <w:tcPr>
            <w:tcW w:w="920" w:type="dxa"/>
            <w:vAlign w:val="bottom"/>
          </w:tcPr>
          <w:p>
            <w:pPr>
              <w:jc w:val="right"/>
              <w:ind w:right="440"/>
              <w:spacing w:after="0" w:line="136" w:lineRule="exact"/>
              <w:rPr>
                <w:sz w:val="20"/>
                <w:szCs w:val="20"/>
                <w:color w:val="auto"/>
              </w:rPr>
            </w:pPr>
            <w:r>
              <w:rPr>
                <w:rFonts w:ascii="Arial" w:cs="Arial" w:eastAsia="Arial" w:hAnsi="Arial"/>
                <w:sz w:val="12"/>
                <w:szCs w:val="12"/>
                <w:color w:val="auto"/>
                <w:w w:val="86"/>
              </w:rPr>
              <w:t>June 26,</w:t>
            </w:r>
          </w:p>
        </w:tc>
        <w:tc>
          <w:tcPr>
            <w:tcW w:w="580" w:type="dxa"/>
            <w:vAlign w:val="bottom"/>
          </w:tcPr>
          <w:p>
            <w:pPr>
              <w:spacing w:after="0"/>
              <w:rPr>
                <w:sz w:val="11"/>
                <w:szCs w:val="11"/>
                <w:color w:val="auto"/>
              </w:rPr>
            </w:pPr>
          </w:p>
        </w:tc>
      </w:tr>
      <w:tr>
        <w:trPr>
          <w:trHeight w:val="153"/>
        </w:trPr>
        <w:tc>
          <w:tcPr>
            <w:tcW w:w="560" w:type="dxa"/>
            <w:vAlign w:val="bottom"/>
          </w:tcPr>
          <w:p>
            <w:pPr>
              <w:spacing w:after="0"/>
              <w:rPr>
                <w:sz w:val="13"/>
                <w:szCs w:val="13"/>
                <w:color w:val="auto"/>
              </w:rPr>
            </w:pPr>
          </w:p>
        </w:tc>
        <w:tc>
          <w:tcPr>
            <w:tcW w:w="5800" w:type="dxa"/>
            <w:vAlign w:val="bottom"/>
            <w:gridSpan w:val="2"/>
          </w:tcPr>
          <w:p>
            <w:pPr>
              <w:jc w:val="right"/>
              <w:ind w:right="120"/>
              <w:spacing w:after="0"/>
              <w:rPr>
                <w:sz w:val="20"/>
                <w:szCs w:val="20"/>
                <w:color w:val="auto"/>
              </w:rPr>
            </w:pPr>
            <w:r>
              <w:rPr>
                <w:rFonts w:ascii="Arial" w:cs="Arial" w:eastAsia="Arial" w:hAnsi="Arial"/>
                <w:sz w:val="12"/>
                <w:szCs w:val="12"/>
                <w:color w:val="auto"/>
              </w:rPr>
              <w:t>2011</w:t>
            </w:r>
          </w:p>
        </w:tc>
        <w:tc>
          <w:tcPr>
            <w:tcW w:w="1360" w:type="dxa"/>
            <w:vAlign w:val="bottom"/>
            <w:gridSpan w:val="3"/>
          </w:tcPr>
          <w:p>
            <w:pPr>
              <w:jc w:val="right"/>
              <w:ind w:right="100"/>
              <w:spacing w:after="0"/>
              <w:rPr>
                <w:sz w:val="20"/>
                <w:szCs w:val="20"/>
                <w:color w:val="auto"/>
              </w:rPr>
            </w:pPr>
            <w:r>
              <w:rPr>
                <w:rFonts w:ascii="Arial" w:cs="Arial" w:eastAsia="Arial" w:hAnsi="Arial"/>
                <w:sz w:val="12"/>
                <w:szCs w:val="12"/>
                <w:color w:val="auto"/>
              </w:rPr>
              <w:t>2010</w:t>
            </w:r>
          </w:p>
        </w:tc>
        <w:tc>
          <w:tcPr>
            <w:tcW w:w="640" w:type="dxa"/>
            <w:vAlign w:val="bottom"/>
          </w:tcPr>
          <w:p>
            <w:pPr>
              <w:spacing w:after="0"/>
              <w:rPr>
                <w:sz w:val="13"/>
                <w:szCs w:val="13"/>
                <w:color w:val="auto"/>
              </w:rPr>
            </w:pPr>
          </w:p>
        </w:tc>
        <w:tc>
          <w:tcPr>
            <w:tcW w:w="1020" w:type="dxa"/>
            <w:vAlign w:val="bottom"/>
          </w:tcPr>
          <w:p>
            <w:pPr>
              <w:jc w:val="right"/>
              <w:ind w:right="400"/>
              <w:spacing w:after="0"/>
              <w:rPr>
                <w:sz w:val="20"/>
                <w:szCs w:val="20"/>
                <w:color w:val="auto"/>
              </w:rPr>
            </w:pPr>
            <w:r>
              <w:rPr>
                <w:rFonts w:ascii="Arial" w:cs="Arial" w:eastAsia="Arial" w:hAnsi="Arial"/>
                <w:sz w:val="12"/>
                <w:szCs w:val="12"/>
                <w:color w:val="auto"/>
              </w:rPr>
              <w:t>2011</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jc w:val="right"/>
              <w:ind w:right="520"/>
              <w:spacing w:after="0"/>
              <w:rPr>
                <w:sz w:val="20"/>
                <w:szCs w:val="20"/>
                <w:color w:val="auto"/>
              </w:rPr>
            </w:pPr>
            <w:r>
              <w:rPr>
                <w:rFonts w:ascii="Arial" w:cs="Arial" w:eastAsia="Arial" w:hAnsi="Arial"/>
                <w:sz w:val="12"/>
                <w:szCs w:val="12"/>
                <w:color w:val="auto"/>
              </w:rPr>
              <w:t>2010</w:t>
            </w:r>
          </w:p>
        </w:tc>
        <w:tc>
          <w:tcPr>
            <w:tcW w:w="580" w:type="dxa"/>
            <w:vAlign w:val="bottom"/>
          </w:tcPr>
          <w:p>
            <w:pPr>
              <w:spacing w:after="0"/>
              <w:rPr>
                <w:sz w:val="13"/>
                <w:szCs w:val="13"/>
                <w:color w:val="auto"/>
              </w:rPr>
            </w:pPr>
          </w:p>
        </w:tc>
      </w:tr>
      <w:tr>
        <w:trPr>
          <w:trHeight w:val="142"/>
        </w:trPr>
        <w:tc>
          <w:tcPr>
            <w:tcW w:w="5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Value-Added</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59.9%</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58.8%</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59.0%</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w:t>
            </w:r>
          </w:p>
        </w:tc>
        <w:tc>
          <w:tcPr>
            <w:tcW w:w="580" w:type="dxa"/>
            <w:vAlign w:val="bottom"/>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5800" w:type="dxa"/>
            <w:vAlign w:val="bottom"/>
            <w:gridSpan w:val="2"/>
          </w:tcPr>
          <w:p>
            <w:pPr>
              <w:spacing w:after="0"/>
              <w:rPr>
                <w:sz w:val="20"/>
                <w:szCs w:val="20"/>
                <w:color w:val="auto"/>
              </w:rPr>
            </w:pPr>
            <w:r>
              <w:rPr>
                <w:rFonts w:ascii="Arial" w:cs="Arial" w:eastAsia="Arial" w:hAnsi="Arial"/>
                <w:sz w:val="12"/>
                <w:szCs w:val="12"/>
                <w:color w:val="auto"/>
              </w:rPr>
              <w:t>Commodity-Based</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40.1%</w:t>
            </w:r>
          </w:p>
        </w:tc>
        <w:tc>
          <w:tcPr>
            <w:tcW w:w="860" w:type="dxa"/>
            <w:vAlign w:val="bottom"/>
          </w:tcPr>
          <w:p>
            <w:pPr>
              <w:spacing w:after="0"/>
              <w:rPr>
                <w:sz w:val="13"/>
                <w:szCs w:val="13"/>
                <w:color w:val="auto"/>
              </w:rPr>
            </w:pPr>
          </w:p>
        </w:tc>
        <w:tc>
          <w:tcPr>
            <w:tcW w:w="640" w:type="dxa"/>
            <w:vAlign w:val="bottom"/>
          </w:tcPr>
          <w:p>
            <w:pPr>
              <w:jc w:val="right"/>
              <w:ind w:right="200"/>
              <w:spacing w:after="0"/>
              <w:rPr>
                <w:sz w:val="20"/>
                <w:szCs w:val="20"/>
                <w:color w:val="auto"/>
              </w:rPr>
            </w:pPr>
            <w:r>
              <w:rPr>
                <w:rFonts w:ascii="Arial" w:cs="Arial" w:eastAsia="Arial" w:hAnsi="Arial"/>
                <w:sz w:val="12"/>
                <w:szCs w:val="12"/>
                <w:color w:val="auto"/>
              </w:rPr>
              <w:t>41.2%</w:t>
            </w: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41.0%</w:t>
            </w:r>
          </w:p>
        </w:tc>
        <w:tc>
          <w:tcPr>
            <w:tcW w:w="3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41.5%</w:t>
            </w:r>
          </w:p>
        </w:tc>
        <w:tc>
          <w:tcPr>
            <w:tcW w:w="580" w:type="dxa"/>
            <w:vAlign w:val="bottom"/>
          </w:tcPr>
          <w:p>
            <w:pPr>
              <w:spacing w:after="0"/>
              <w:rPr>
                <w:sz w:val="13"/>
                <w:szCs w:val="13"/>
                <w:color w:val="auto"/>
              </w:rPr>
            </w:pPr>
          </w:p>
        </w:tc>
      </w:tr>
      <w:tr>
        <w:trPr>
          <w:trHeight w:val="361"/>
        </w:trPr>
        <w:tc>
          <w:tcPr>
            <w:tcW w:w="560" w:type="dxa"/>
            <w:vAlign w:val="bottom"/>
          </w:tcPr>
          <w:p>
            <w:pPr>
              <w:spacing w:after="0"/>
              <w:rPr>
                <w:sz w:val="24"/>
                <w:szCs w:val="24"/>
                <w:color w:val="auto"/>
              </w:rPr>
            </w:pPr>
          </w:p>
        </w:tc>
        <w:tc>
          <w:tcPr>
            <w:tcW w:w="5800" w:type="dxa"/>
            <w:vAlign w:val="bottom"/>
            <w:gridSpan w:val="2"/>
          </w:tcPr>
          <w:p>
            <w:pPr>
              <w:jc w:val="right"/>
              <w:ind w:right="520"/>
              <w:spacing w:after="0"/>
              <w:rPr>
                <w:sz w:val="20"/>
                <w:szCs w:val="20"/>
                <w:color w:val="auto"/>
              </w:rPr>
            </w:pPr>
            <w:r>
              <w:rPr>
                <w:rFonts w:ascii="Arial" w:cs="Arial" w:eastAsia="Arial" w:hAnsi="Arial"/>
                <w:sz w:val="10"/>
                <w:szCs w:val="10"/>
                <w:color w:val="auto"/>
              </w:rPr>
              <w:t>24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6"/>
        </w:trPr>
        <w:tc>
          <w:tcPr>
            <w:tcW w:w="560" w:type="dxa"/>
            <w:vAlign w:val="bottom"/>
            <w:tcBorders>
              <w:bottom w:val="single" w:sz="8" w:color="808080"/>
            </w:tcBorders>
          </w:tcPr>
          <w:p>
            <w:pPr>
              <w:spacing w:after="0"/>
              <w:rPr>
                <w:sz w:val="5"/>
                <w:szCs w:val="5"/>
                <w:color w:val="auto"/>
              </w:rPr>
            </w:pPr>
          </w:p>
        </w:tc>
        <w:tc>
          <w:tcPr>
            <w:tcW w:w="484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4" w:name="page25"/>
    <w:bookmarkEnd w:id="24"/>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UNIVERSAL FOREST PRODUCTS, INC.</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COST OF GOODS SOLD AND GROSS PROFIT</w:t>
      </w:r>
    </w:p>
    <w:p>
      <w:pPr>
        <w:spacing w:after="0" w:line="17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Our gross profit percentage decreased to 10.4% from 12.2% comparing the second quarter of 2011 with the same period of 2010. In addition, our gross profit dollars decreased by 27% comparing the second quarter of 2011 with the same period of 2010, which compares unfavorably to our 4% decrease in unit sales. The decline in our gross margin and profitability this quarter was due to several factors.</w:t>
      </w:r>
    </w:p>
    <w:p>
      <w:pPr>
        <w:spacing w:after="0" w:line="133" w:lineRule="exact"/>
        <w:rPr>
          <w:sz w:val="20"/>
          <w:szCs w:val="20"/>
          <w:color w:val="auto"/>
        </w:rPr>
      </w:pPr>
    </w:p>
    <w:p>
      <w:pPr>
        <w:jc w:val="both"/>
        <w:ind w:left="640" w:hanging="216"/>
        <w:spacing w:after="0" w:line="255" w:lineRule="auto"/>
        <w:tabs>
          <w:tab w:leader="none" w:pos="6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Most notably, gross margins on sales to the retail building materials market declined 230 basis points for the quarter resulting primarily from an increase in material costs as a percentage of sales to this market. This was primarily due to the Lumber Market, which decreased 11 consecutive weeks from the end of March 2011 through the end of May 2011. As a result, this adversely impacted our gross margins on products whose prices were indexed to the current Lumber Market at the time they are sold.</w:t>
      </w:r>
    </w:p>
    <w:p>
      <w:pPr>
        <w:spacing w:after="0" w:line="1" w:lineRule="exact"/>
        <w:rPr>
          <w:rFonts w:ascii="Arial" w:cs="Arial" w:eastAsia="Arial" w:hAnsi="Arial"/>
          <w:sz w:val="12"/>
          <w:szCs w:val="12"/>
          <w:color w:val="auto"/>
        </w:rPr>
      </w:pPr>
    </w:p>
    <w:p>
      <w:pPr>
        <w:ind w:left="640" w:right="20" w:hanging="216"/>
        <w:spacing w:after="0" w:line="250" w:lineRule="auto"/>
        <w:tabs>
          <w:tab w:leader="none" w:pos="6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 decline in sales to our retail building materials, residential construction, and manufactured housing markets adversely impacted our margins due to fixed manufacturing costs. In addition, as these markets have contracted, competitive pricing pressure has become greater and adversely impacted 2011 margins.</w:t>
      </w:r>
    </w:p>
    <w:p>
      <w:pPr>
        <w:ind w:left="640" w:hanging="216"/>
        <w:spacing w:after="0"/>
        <w:tabs>
          <w:tab w:leader="none" w:pos="6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We recorded a $2 million loss during the second quarter of 2011 on a construction project, which represents the entire loss we believe we will incur on the project.</w:t>
      </w:r>
    </w:p>
    <w:p>
      <w:pPr>
        <w:spacing w:after="0" w:line="6" w:lineRule="exact"/>
        <w:rPr>
          <w:rFonts w:ascii="Arial" w:cs="Arial" w:eastAsia="Arial" w:hAnsi="Arial"/>
          <w:sz w:val="12"/>
          <w:szCs w:val="12"/>
          <w:color w:val="auto"/>
        </w:rPr>
      </w:pPr>
    </w:p>
    <w:p>
      <w:pPr>
        <w:ind w:left="640" w:hanging="216"/>
        <w:spacing w:after="0"/>
        <w:tabs>
          <w:tab w:leader="none" w:pos="6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Finally, our freight costs increased as a percentage of sales this quarter primarily due to higher year over year fuel prices.</w:t>
      </w:r>
    </w:p>
    <w:p>
      <w:pPr>
        <w:spacing w:after="0" w:line="159"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Our gross profit percentage decreased to 10.5% from 12.6% comparing the first six months of 2011 with the same period of 2010. In addition, our gross profit dollars decreased by 24% comparing the first six months of 2011 with the same period of 2010, which compares unfavorably to our 3% decrease in unit sales. The decline in our gross margin and profitability this quarter was primarily due to the same factors discussed above. In addition, inclement weather in the first quarter resulted in many lost production days and adversely impacted our efficiencies and profitability.</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SELLING, GENERAL AND ADMINISTRATIVE EXPENSES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Selling, general and administrative ("SG&amp;A") expenses decreased by approximately $8.7 million, or 16.1%, in the second quarter of 2011 compared to the same period of 2010, while we reported a 4% decrease in unit sales. The decline in SG&amp;A was primarily due to a decrease in accrued bonus expense, compensation and related expenses, and bad debt expense. At the end of the second quarter, we reduced our headcount and implemented certain other cost reductions. We estimate the annual cost savings of these actions to total about $10 million. Approximately $8 million was completed at the end of the second quarter which should favorably impact the third and fourth quarters.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5" w:name="page26"/>
    <w:bookmarkEnd w:id="25"/>
    <w:p>
      <w:pPr>
        <w:ind w:left="8"/>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UNIVERSAL FOREST PRODUCTS, INC.</w:t>
      </w:r>
    </w:p>
    <w:p>
      <w:pPr>
        <w:spacing w:after="0" w:line="172"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Selling, general and administrative ("SG&amp;A") expenses decreased by approximately $10.7 million, or 10.4%, in the first six of 2011 compared to the same period of 2010, while we reported a 3% decrease in unit sales. The decline in SG&amp;A was primarily due to a decrease in accrued bonus expense and compensation and related expenses.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NET LOSS ON DISPOSITION OF ASSETS, EARLY RETIREMENT AND OTHER IMPAIRMENT AND EXIT CHARGES</w:t>
      </w:r>
    </w:p>
    <w:p>
      <w:pPr>
        <w:spacing w:after="0" w:line="172"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We incurred approximately $0.9 million of charges in the first six months of 2011 and $384,000 in the first six months of 2010 relating to asset impairments and other costs associated with idled facilities and down-sizing efforts combined with early retirement expenses. These costs were offset by gains on disposition of property, plant and equipment totaling approximately $47,000 in the first six months of 2011.</w:t>
      </w:r>
    </w:p>
    <w:p>
      <w:pPr>
        <w:spacing w:after="0" w:line="133"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Our chief executive officer resigned on June 20, 2011; on that same date we entered into a consulting and non-competition agreement with him. Therefore, we accrued for the present value of the future payments to him totaling $2.6 million at the end of June 2011.</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regularly review the performance of each our operations and make decisions to permanently or temporarily close operations based on a variety of factors including:</w:t>
      </w:r>
    </w:p>
    <w:p>
      <w:pPr>
        <w:spacing w:after="0" w:line="168" w:lineRule="exact"/>
        <w:rPr>
          <w:sz w:val="20"/>
          <w:szCs w:val="20"/>
          <w:color w:val="auto"/>
        </w:rPr>
      </w:pPr>
    </w:p>
    <w:p>
      <w:pPr>
        <w:ind w:left="208" w:hanging="208"/>
        <w:spacing w:after="0"/>
        <w:tabs>
          <w:tab w:leader="none" w:pos="208" w:val="left"/>
        </w:tabs>
        <w:numPr>
          <w:ilvl w:val="0"/>
          <w:numId w:val="19"/>
        </w:numPr>
        <w:rPr>
          <w:rFonts w:ascii="Arial" w:cs="Arial" w:eastAsia="Arial" w:hAnsi="Arial"/>
          <w:sz w:val="12"/>
          <w:szCs w:val="12"/>
          <w:color w:val="auto"/>
        </w:rPr>
      </w:pPr>
      <w:r>
        <w:rPr>
          <w:rFonts w:ascii="Arial" w:cs="Arial" w:eastAsia="Arial" w:hAnsi="Arial"/>
          <w:sz w:val="12"/>
          <w:szCs w:val="12"/>
          <w:color w:val="auto"/>
        </w:rPr>
        <w:t>Current and projected earnings, cash flow and return on investment</w:t>
      </w:r>
    </w:p>
    <w:p>
      <w:pPr>
        <w:spacing w:after="0" w:line="14" w:lineRule="exact"/>
        <w:rPr>
          <w:rFonts w:ascii="Arial" w:cs="Arial" w:eastAsia="Arial" w:hAnsi="Arial"/>
          <w:sz w:val="12"/>
          <w:szCs w:val="12"/>
          <w:color w:val="auto"/>
        </w:rPr>
      </w:pPr>
    </w:p>
    <w:p>
      <w:pPr>
        <w:ind w:left="208" w:hanging="208"/>
        <w:spacing w:after="0"/>
        <w:tabs>
          <w:tab w:leader="none" w:pos="208" w:val="left"/>
        </w:tabs>
        <w:numPr>
          <w:ilvl w:val="0"/>
          <w:numId w:val="19"/>
        </w:numPr>
        <w:rPr>
          <w:rFonts w:ascii="Arial" w:cs="Arial" w:eastAsia="Arial" w:hAnsi="Arial"/>
          <w:sz w:val="12"/>
          <w:szCs w:val="12"/>
          <w:color w:val="auto"/>
        </w:rPr>
      </w:pPr>
      <w:r>
        <w:rPr>
          <w:rFonts w:ascii="Arial" w:cs="Arial" w:eastAsia="Arial" w:hAnsi="Arial"/>
          <w:sz w:val="12"/>
          <w:szCs w:val="12"/>
          <w:color w:val="auto"/>
        </w:rPr>
        <w:t>Current and projected market demand</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9"/>
        </w:numPr>
        <w:rPr>
          <w:rFonts w:ascii="Arial" w:cs="Arial" w:eastAsia="Arial" w:hAnsi="Arial"/>
          <w:sz w:val="12"/>
          <w:szCs w:val="12"/>
          <w:color w:val="auto"/>
        </w:rPr>
      </w:pPr>
      <w:r>
        <w:rPr>
          <w:rFonts w:ascii="Arial" w:cs="Arial" w:eastAsia="Arial" w:hAnsi="Arial"/>
          <w:sz w:val="12"/>
          <w:szCs w:val="12"/>
          <w:color w:val="auto"/>
        </w:rPr>
        <w:t>Market share</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Competitive factors</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9"/>
        </w:numPr>
        <w:rPr>
          <w:rFonts w:ascii="Arial" w:cs="Arial" w:eastAsia="Arial" w:hAnsi="Arial"/>
          <w:sz w:val="12"/>
          <w:szCs w:val="12"/>
          <w:color w:val="auto"/>
        </w:rPr>
      </w:pPr>
      <w:r>
        <w:rPr>
          <w:rFonts w:ascii="Arial" w:cs="Arial" w:eastAsia="Arial" w:hAnsi="Arial"/>
          <w:sz w:val="12"/>
          <w:szCs w:val="12"/>
          <w:color w:val="auto"/>
        </w:rPr>
        <w:t>Future growth opportunities</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9"/>
        </w:numPr>
        <w:rPr>
          <w:rFonts w:ascii="Arial" w:cs="Arial" w:eastAsia="Arial" w:hAnsi="Arial"/>
          <w:sz w:val="12"/>
          <w:szCs w:val="12"/>
          <w:color w:val="auto"/>
        </w:rPr>
      </w:pPr>
      <w:r>
        <w:rPr>
          <w:rFonts w:ascii="Arial" w:cs="Arial" w:eastAsia="Arial" w:hAnsi="Arial"/>
          <w:sz w:val="12"/>
          <w:szCs w:val="12"/>
          <w:color w:val="auto"/>
        </w:rPr>
        <w:t>Personnel and management</w:t>
      </w:r>
    </w:p>
    <w:p>
      <w:pPr>
        <w:spacing w:after="0" w:line="159"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We currently have 16 operations which are experiencing operating losses and negative cash flow for the first six months of 2011. The net book value of the long-lived assets of these operations, which could be subject to an impairment charge in the future, was $16.5 million at the end of June of 2011. In addition, these operations had future fixed operating lease payments totaling $1.3 million at the end of June of 2011.</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INTEREST, NET</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Net interest costs were comparable in the second quarter and first six months of 2011 compared to the same period of 2010 as there have been no significant changes in our debt structure or borrowing rates.</w:t>
      </w:r>
    </w:p>
    <w:p>
      <w:pPr>
        <w:spacing w:after="0" w:line="264"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26" w:name="page27"/>
    <w:bookmarkEnd w:id="26"/>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UNIVERSAL FOREST PRODUCTS, INC.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Effective tax rates differ from statutory federal income tax rates, primarily due to provisions for state and local income taxes and permanent tax differences. Our effective tax rate was 35.8% in the second quarter of 2011 and 36.5% for same period of 2010. Our effective tax rate was 17.0% in the first six months of 2011, which was well below our statutory rate, primarily due to the profits of our non-U.S. subsidiaries, which have a lower tax rate, and our non-wholly owned partnerships that we consolidate, which comprised a greater percentage of our year to date profits.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OFF-BALANCE SHEET TRANSACTIONS</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8840" w:type="dxa"/>
            <w:vAlign w:val="bottom"/>
            <w:gridSpan w:val="2"/>
          </w:tcPr>
          <w:p>
            <w:pPr>
              <w:spacing w:after="0"/>
              <w:rPr>
                <w:sz w:val="20"/>
                <w:szCs w:val="20"/>
                <w:color w:val="auto"/>
              </w:rPr>
            </w:pPr>
            <w:r>
              <w:rPr>
                <w:rFonts w:ascii="Arial" w:cs="Arial" w:eastAsia="Arial" w:hAnsi="Arial"/>
                <w:sz w:val="12"/>
                <w:szCs w:val="12"/>
                <w:color w:val="auto"/>
              </w:rPr>
              <w:t>We have no significant off-balance sheet transactions other than operating leases.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8820" w:type="dxa"/>
            <w:vAlign w:val="bottom"/>
          </w:tcPr>
          <w:p>
            <w:pPr>
              <w:ind w:left="4580"/>
              <w:spacing w:after="0"/>
              <w:rPr>
                <w:sz w:val="20"/>
                <w:szCs w:val="20"/>
                <w:color w:val="auto"/>
              </w:rPr>
            </w:pPr>
            <w:r>
              <w:rPr>
                <w:rFonts w:ascii="Arial" w:cs="Arial" w:eastAsia="Arial" w:hAnsi="Arial"/>
                <w:sz w:val="12"/>
                <w:szCs w:val="12"/>
                <w:b w:val="1"/>
                <w:bCs w:val="1"/>
                <w:color w:val="auto"/>
              </w:rPr>
              <w:t>LIQUIDITY AND CAPITAL RESOURCES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gridSpan w:val="2"/>
          </w:tcPr>
          <w:p>
            <w:pPr>
              <w:spacing w:after="0"/>
              <w:rPr>
                <w:sz w:val="20"/>
                <w:szCs w:val="20"/>
                <w:color w:val="auto"/>
              </w:rPr>
            </w:pPr>
            <w:r>
              <w:rPr>
                <w:rFonts w:ascii="Arial" w:cs="Arial" w:eastAsia="Arial" w:hAnsi="Arial"/>
                <w:sz w:val="12"/>
                <w:szCs w:val="12"/>
                <w:color w:val="auto"/>
              </w:rPr>
              <w:t>The table below presents, for the periods indicated, a summary of our cash flow statement (in thousands):</w:t>
            </w:r>
          </w:p>
        </w:tc>
        <w:tc>
          <w:tcPr>
            <w:tcW w:w="160" w:type="dxa"/>
            <w:vAlign w:val="bottom"/>
          </w:tcPr>
          <w:p>
            <w:pPr>
              <w:spacing w:after="0"/>
              <w:rPr>
                <w:sz w:val="24"/>
                <w:szCs w:val="24"/>
                <w:color w:val="auto"/>
              </w:rPr>
            </w:pPr>
          </w:p>
        </w:tc>
        <w:tc>
          <w:tcPr>
            <w:tcW w:w="2480" w:type="dxa"/>
            <w:vAlign w:val="bottom"/>
            <w:gridSpan w:val="5"/>
            <w:vMerge w:val="restart"/>
          </w:tcPr>
          <w:p>
            <w:pPr>
              <w:jc w:val="right"/>
              <w:ind w:right="920"/>
              <w:spacing w:after="0"/>
              <w:rPr>
                <w:sz w:val="20"/>
                <w:szCs w:val="20"/>
                <w:color w:val="auto"/>
              </w:rPr>
            </w:pPr>
            <w:r>
              <w:rPr>
                <w:rFonts w:ascii="Arial" w:cs="Arial" w:eastAsia="Arial" w:hAnsi="Arial"/>
                <w:sz w:val="12"/>
                <w:szCs w:val="12"/>
                <w:color w:val="auto"/>
              </w:rPr>
              <w:t>Six Months Ended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97"/>
              </w:rPr>
              <w:t>June 25, 2011</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97"/>
              </w:rPr>
              <w:t>June 26, 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Cash from operating activities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(57,911)</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(55,973)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from investing activities</w:t>
            </w:r>
          </w:p>
        </w:tc>
        <w:tc>
          <w:tcPr>
            <w:tcW w:w="16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(10,726)</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(17,879)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Cash from financing activities</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16,603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Net change in cash and cash equivalents</w:t>
            </w:r>
          </w:p>
        </w:tc>
        <w:tc>
          <w:tcPr>
            <w:tcW w:w="16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(52,034)</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(66,715)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beginning of period</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43,363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67,410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end of period</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(8,671)</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general, we financed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 We are currently below our internal targets but plan to manage our capital structure conservatively in light of current economic conditions.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Seasonality has a significant impact on our working capital from March to August which historically resulted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June 26, 2010 balances in the accompanying unaudited consolidated condensed balance sheets.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7" w:name="page28"/>
    <w:bookmarkEnd w:id="27"/>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UNIVERSAL FOREST PRODUCTS, INC.</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Due to the seasonality of our business and the effects of the Lumber Market, we believe our cash cycle (days of sales outstanding plus days supply of inventory less days payables outstanding) is a good indicator of our working capital management. Our cash cycle increased to 53 days in the first six months of 2011 from 43 days in the first six months of 2010, due to a 1 day increase in our receivables cycle combined with a 9 day increase in our days supply of inventory, due to much higher inventory levels this year. In preparation for the 2011 selling season, we changed our purchasing strategy to buy inventory earlier at opportune times in an attempt to protect margins and avoid buying as much inventory during the peak of the season when lumber prices tend to rise.</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Cash used in operating activities was $57.9 million in the first six months of 2011, which was comprised of a $77.3 million increase in working capital since the end of 2010, offset by net earnings of $0.6 million and $18.8 million of non-cash expenses. Working capital increased primarily due to the usual seasonality of our business combined with higher inventory levels than we expected at the end of June primarily due to weaker sales to the retail building materials market than we planned. Based on the seasonality of our operations, we currently anticipate achieving strong cash flows from operations for the balance of the year as we move beyond our seasonal peak for working capital requirements and manage our inventories down to a level necessary to support current demand.</w:t>
      </w:r>
    </w:p>
    <w:p>
      <w:pPr>
        <w:spacing w:after="0" w:line="14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Capital expenditures were $12.2 million in the first six months of 2011. We currently plan to spend up to $35 million in 2011, which includes outstanding purchase commitments on existing capital projects totaling approximately $4.9 million on June 25, 2011. We intend to fund capital expenditures and purchase commitments through our operating cash flows for the balance of the year.</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On June 25, 2011, we had $23.0 million outstanding on our $300 million revolving credit facility, which matures in February of 2012. The revolving credit facility also supports letters of credit totaling approximately $31.3 million on June 25, 2011. Financial covenants on the unsecured revolving credit facility and unsecured notes include a minimum net worth requirement, minimum interest and fixed charge coverage tests, and a maximum leverage ratio. The agreements also restrict the amount of additional indebtedness we may incur and the amount of assets which may be sold. We were within all of our lending requirements on June 25, 2011.</w:t>
      </w:r>
    </w:p>
    <w:p>
      <w:pPr>
        <w:spacing w:after="0" w:line="101" w:lineRule="exact"/>
        <w:rPr>
          <w:sz w:val="20"/>
          <w:szCs w:val="20"/>
          <w:color w:val="auto"/>
        </w:rPr>
      </w:pPr>
    </w:p>
    <w:p>
      <w:pPr>
        <w:ind w:left="4040"/>
        <w:spacing w:after="0"/>
        <w:rPr>
          <w:sz w:val="20"/>
          <w:szCs w:val="20"/>
          <w:color w:val="auto"/>
        </w:rPr>
      </w:pPr>
      <w:r>
        <w:rPr>
          <w:rFonts w:ascii="Arial" w:cs="Arial" w:eastAsia="Arial" w:hAnsi="Arial"/>
          <w:sz w:val="12"/>
          <w:szCs w:val="12"/>
          <w:b w:val="1"/>
          <w:bCs w:val="1"/>
          <w:color w:val="auto"/>
        </w:rPr>
        <w:t>ENVIRONMENTAL CONSIDERATIONS AND REGULATIONS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See Notes to Unaudited Consolidated Condensed Financial Statements, Note F, "Commitments, Contingencies, and Guarantees."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CRITICAL ACCOUNTING POLICIES</w:t>
      </w:r>
    </w:p>
    <w:p>
      <w:pPr>
        <w:spacing w:after="0" w:line="17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25, 2010.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8" w:name="page29"/>
    <w:bookmarkEnd w:id="28"/>
    <w:p>
      <w:pPr>
        <w:ind w:left="8"/>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UNIVERSAL FOREST PRODUCTS, INC.</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Item 3. Quantitative and Qualitative Disclosures about Market Risk</w:t>
      </w:r>
      <w:r>
        <w:rPr>
          <w:rFonts w:ascii="Arial" w:cs="Arial" w:eastAsia="Arial" w:hAnsi="Arial"/>
          <w:sz w:val="12"/>
          <w:szCs w:val="12"/>
          <w:color w:val="auto"/>
        </w:rPr>
        <w:t>.</w:t>
      </w:r>
    </w:p>
    <w:p>
      <w:pPr>
        <w:spacing w:after="0" w:line="168"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3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41"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Item 4. Controls and Procedures</w:t>
      </w:r>
      <w:r>
        <w:rPr>
          <w:rFonts w:ascii="Arial" w:cs="Arial" w:eastAsia="Arial" w:hAnsi="Arial"/>
          <w:sz w:val="12"/>
          <w:szCs w:val="12"/>
          <w:color w:val="auto"/>
        </w:rPr>
        <w:t>.</w:t>
      </w:r>
    </w:p>
    <w:p>
      <w:pPr>
        <w:spacing w:after="0" w:line="168" w:lineRule="exact"/>
        <w:rPr>
          <w:sz w:val="20"/>
          <w:szCs w:val="20"/>
          <w:color w:val="auto"/>
        </w:rPr>
      </w:pPr>
    </w:p>
    <w:p>
      <w:pPr>
        <w:ind w:left="208" w:hanging="208"/>
        <w:spacing w:after="0" w:line="323" w:lineRule="auto"/>
        <w:tabs>
          <w:tab w:leader="none" w:pos="208" w:val="left"/>
        </w:tabs>
        <w:numPr>
          <w:ilvl w:val="0"/>
          <w:numId w:val="20"/>
        </w:numPr>
        <w:rPr>
          <w:rFonts w:ascii="Arial" w:cs="Arial" w:eastAsia="Arial" w:hAnsi="Arial"/>
          <w:sz w:val="11"/>
          <w:szCs w:val="11"/>
          <w:color w:val="auto"/>
        </w:rPr>
      </w:pPr>
      <w:r>
        <w:rPr>
          <w:rFonts w:ascii="Arial" w:cs="Arial" w:eastAsia="Arial" w:hAnsi="Arial"/>
          <w:sz w:val="11"/>
          <w:szCs w:val="11"/>
          <w:u w:val="single" w:color="auto"/>
          <w:color w:val="auto"/>
        </w:rPr>
        <w:t>Evaluation of Disclosure Controls and Procedures</w:t>
      </w:r>
      <w:r>
        <w:rPr>
          <w:rFonts w:ascii="Arial" w:cs="Arial" w:eastAsia="Arial" w:hAnsi="Arial"/>
          <w:sz w:val="11"/>
          <w:szCs w:val="11"/>
          <w:color w:val="auto"/>
        </w:rPr>
        <w:t>. With the participation of management, our chief executive officer and chief financial officer, after evaluating the effectiveness of our disclosure controls and procedures (as defined in Exchange Act Rules 13a – 15e and 15d – 15e) as of the quarter ended June 25, 2011 (the “Evaluation Date”), have concluded that, as of such date, our disclosure controls and procedures were effective.</w:t>
      </w:r>
    </w:p>
    <w:p>
      <w:pPr>
        <w:spacing w:after="0" w:line="109" w:lineRule="exact"/>
        <w:rPr>
          <w:rFonts w:ascii="Arial" w:cs="Arial" w:eastAsia="Arial" w:hAnsi="Arial"/>
          <w:sz w:val="11"/>
          <w:szCs w:val="11"/>
          <w:color w:val="auto"/>
        </w:rPr>
      </w:pPr>
    </w:p>
    <w:p>
      <w:pPr>
        <w:ind w:left="208" w:hanging="208"/>
        <w:spacing w:after="0" w:line="276" w:lineRule="auto"/>
        <w:tabs>
          <w:tab w:leader="none" w:pos="208" w:val="left"/>
        </w:tabs>
        <w:numPr>
          <w:ilvl w:val="0"/>
          <w:numId w:val="20"/>
        </w:numPr>
        <w:rPr>
          <w:rFonts w:ascii="Arial" w:cs="Arial" w:eastAsia="Arial" w:hAnsi="Arial"/>
          <w:sz w:val="12"/>
          <w:szCs w:val="12"/>
          <w:color w:val="auto"/>
        </w:rPr>
      </w:pPr>
      <w:r>
        <w:rPr>
          <w:rFonts w:ascii="Arial" w:cs="Arial" w:eastAsia="Arial" w:hAnsi="Arial"/>
          <w:sz w:val="12"/>
          <w:szCs w:val="12"/>
          <w:u w:val="single" w:color="auto"/>
          <w:color w:val="auto"/>
        </w:rPr>
        <w:t>Changes in Internal Controls</w:t>
      </w:r>
      <w:r>
        <w:rPr>
          <w:rFonts w:ascii="Arial" w:cs="Arial" w:eastAsia="Arial" w:hAnsi="Arial"/>
          <w:sz w:val="12"/>
          <w:szCs w:val="12"/>
          <w:color w:val="auto"/>
        </w:rPr>
        <w:t>. During the quarter ended June 25, 2011, there were no changes in our internal control over financial reporting that materially affected, or is reasonably likely to materially affect, our internal control over financial reporting.</w:t>
      </w:r>
    </w:p>
    <w:p>
      <w:pPr>
        <w:spacing w:after="0" w:line="373"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29" w:name="page30"/>
    <w:bookmarkEnd w:id="29"/>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UNIVERSAL FOREST PRODUCTS, INC.</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 OTHER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2. Unregistered Sales of Equity Securities and Use of Proceeds</w:t>
      </w:r>
      <w:r>
        <w:rPr>
          <w:rFonts w:ascii="Arial" w:cs="Arial" w:eastAsia="Arial" w:hAnsi="Arial"/>
          <w:sz w:val="12"/>
          <w:szCs w:val="12"/>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80" w:type="dxa"/>
            <w:vAlign w:val="bottom"/>
          </w:tcPr>
          <w:p>
            <w:pPr>
              <w:spacing w:after="0"/>
              <w:rPr>
                <w:sz w:val="20"/>
                <w:szCs w:val="20"/>
                <w:color w:val="auto"/>
              </w:rPr>
            </w:pPr>
            <w:r>
              <w:rPr>
                <w:rFonts w:ascii="Arial" w:cs="Arial" w:eastAsia="Arial" w:hAnsi="Arial"/>
                <w:sz w:val="12"/>
                <w:szCs w:val="12"/>
                <w:color w:val="auto"/>
              </w:rPr>
              <w:t>(a)</w:t>
            </w:r>
          </w:p>
        </w:tc>
        <w:tc>
          <w:tcPr>
            <w:tcW w:w="5800" w:type="dxa"/>
            <w:vAlign w:val="bottom"/>
            <w:gridSpan w:val="4"/>
          </w:tcPr>
          <w:p>
            <w:pPr>
              <w:ind w:left="60"/>
              <w:spacing w:after="0"/>
              <w:rPr>
                <w:sz w:val="20"/>
                <w:szCs w:val="20"/>
                <w:color w:val="auto"/>
              </w:rPr>
            </w:pPr>
            <w:r>
              <w:rPr>
                <w:rFonts w:ascii="Arial" w:cs="Arial" w:eastAsia="Arial" w:hAnsi="Arial"/>
                <w:sz w:val="12"/>
                <w:szCs w:val="12"/>
                <w:color w:val="auto"/>
              </w:rPr>
              <w:t>None.</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180" w:type="dxa"/>
            <w:vAlign w:val="bottom"/>
          </w:tcPr>
          <w:p>
            <w:pPr>
              <w:spacing w:after="0"/>
              <w:rPr>
                <w:sz w:val="20"/>
                <w:szCs w:val="20"/>
                <w:color w:val="auto"/>
              </w:rPr>
            </w:pPr>
            <w:r>
              <w:rPr>
                <w:rFonts w:ascii="Arial" w:cs="Arial" w:eastAsia="Arial" w:hAnsi="Arial"/>
                <w:sz w:val="12"/>
                <w:szCs w:val="12"/>
                <w:color w:val="auto"/>
              </w:rPr>
              <w:t>(b)</w:t>
            </w:r>
          </w:p>
        </w:tc>
        <w:tc>
          <w:tcPr>
            <w:tcW w:w="5800" w:type="dxa"/>
            <w:vAlign w:val="bottom"/>
            <w:gridSpan w:val="4"/>
          </w:tcPr>
          <w:p>
            <w:pPr>
              <w:ind w:left="80"/>
              <w:spacing w:after="0"/>
              <w:rPr>
                <w:sz w:val="20"/>
                <w:szCs w:val="20"/>
                <w:color w:val="auto"/>
              </w:rPr>
            </w:pPr>
            <w:r>
              <w:rPr>
                <w:rFonts w:ascii="Arial" w:cs="Arial" w:eastAsia="Arial" w:hAnsi="Arial"/>
                <w:sz w:val="12"/>
                <w:szCs w:val="12"/>
                <w:color w:val="auto"/>
              </w:rPr>
              <w:t>None.</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980" w:type="dxa"/>
            <w:vAlign w:val="bottom"/>
            <w:gridSpan w:val="5"/>
          </w:tcPr>
          <w:p>
            <w:pPr>
              <w:spacing w:after="0"/>
              <w:rPr>
                <w:sz w:val="20"/>
                <w:szCs w:val="20"/>
                <w:color w:val="auto"/>
              </w:rPr>
            </w:pPr>
            <w:r>
              <w:rPr>
                <w:rFonts w:ascii="Arial" w:cs="Arial" w:eastAsia="Arial" w:hAnsi="Arial"/>
                <w:sz w:val="12"/>
                <w:szCs w:val="12"/>
                <w:color w:val="auto"/>
              </w:rPr>
              <w:t>(c)  Issuer purchases of equity securities.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80" w:type="dxa"/>
            <w:vAlign w:val="bottom"/>
          </w:tcPr>
          <w:p>
            <w:pPr>
              <w:spacing w:after="0"/>
              <w:rPr>
                <w:sz w:val="24"/>
                <w:szCs w:val="24"/>
                <w:color w:val="auto"/>
              </w:rPr>
            </w:pPr>
          </w:p>
        </w:tc>
        <w:tc>
          <w:tcPr>
            <w:tcW w:w="5800" w:type="dxa"/>
            <w:vAlign w:val="bottom"/>
            <w:gridSpan w:val="4"/>
          </w:tcPr>
          <w:p>
            <w:pPr>
              <w:ind w:left="960"/>
              <w:spacing w:after="0"/>
              <w:rPr>
                <w:sz w:val="20"/>
                <w:szCs w:val="20"/>
                <w:color w:val="auto"/>
              </w:rPr>
            </w:pPr>
            <w:r>
              <w:rPr>
                <w:rFonts w:ascii="Arial" w:cs="Arial" w:eastAsia="Arial" w:hAnsi="Arial"/>
                <w:sz w:val="12"/>
                <w:szCs w:val="12"/>
                <w:color w:val="auto"/>
              </w:rPr>
              <w:t>Fiscal Month</w:t>
            </w:r>
          </w:p>
        </w:tc>
        <w:tc>
          <w:tcPr>
            <w:tcW w:w="920" w:type="dxa"/>
            <w:vAlign w:val="bottom"/>
          </w:tcPr>
          <w:p>
            <w:pPr>
              <w:ind w:left="380"/>
              <w:spacing w:after="0"/>
              <w:rPr>
                <w:sz w:val="20"/>
                <w:szCs w:val="20"/>
                <w:color w:val="auto"/>
              </w:rPr>
            </w:pPr>
            <w:r>
              <w:rPr>
                <w:rFonts w:ascii="Arial" w:cs="Arial" w:eastAsia="Arial" w:hAnsi="Arial"/>
                <w:sz w:val="12"/>
                <w:szCs w:val="12"/>
                <w:color w:val="auto"/>
              </w:rPr>
              <w:t>(a)</w:t>
            </w:r>
          </w:p>
        </w:tc>
        <w:tc>
          <w:tcPr>
            <w:tcW w:w="22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12"/>
                <w:szCs w:val="12"/>
                <w:color w:val="auto"/>
              </w:rPr>
              <w:t>(b)</w:t>
            </w:r>
          </w:p>
        </w:tc>
        <w:tc>
          <w:tcPr>
            <w:tcW w:w="22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Arial" w:cs="Arial" w:eastAsia="Arial" w:hAnsi="Arial"/>
                <w:sz w:val="12"/>
                <w:szCs w:val="12"/>
                <w:color w:val="auto"/>
              </w:rPr>
              <w:t>(c)</w:t>
            </w:r>
          </w:p>
        </w:tc>
        <w:tc>
          <w:tcPr>
            <w:tcW w:w="220" w:type="dxa"/>
            <w:vAlign w:val="bottom"/>
          </w:tcPr>
          <w:p>
            <w:pPr>
              <w:spacing w:after="0"/>
              <w:rPr>
                <w:sz w:val="24"/>
                <w:szCs w:val="24"/>
                <w:color w:val="auto"/>
              </w:rPr>
            </w:pPr>
          </w:p>
        </w:tc>
        <w:tc>
          <w:tcPr>
            <w:tcW w:w="940" w:type="dxa"/>
            <w:vAlign w:val="bottom"/>
          </w:tcPr>
          <w:p>
            <w:pPr>
              <w:jc w:val="right"/>
              <w:ind w:right="340"/>
              <w:spacing w:after="0"/>
              <w:rPr>
                <w:sz w:val="20"/>
                <w:szCs w:val="20"/>
                <w:color w:val="auto"/>
              </w:rPr>
            </w:pPr>
            <w:r>
              <w:rPr>
                <w:rFonts w:ascii="Arial" w:cs="Arial" w:eastAsia="Arial" w:hAnsi="Arial"/>
                <w:sz w:val="12"/>
                <w:szCs w:val="12"/>
                <w:color w:val="auto"/>
              </w:rPr>
              <w:t>(d)</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0" w:type="dxa"/>
            <w:vAlign w:val="bottom"/>
          </w:tcPr>
          <w:p>
            <w:pPr>
              <w:spacing w:after="0"/>
              <w:rPr>
                <w:sz w:val="11"/>
                <w:szCs w:val="11"/>
                <w:color w:val="auto"/>
              </w:rPr>
            </w:pPr>
          </w:p>
        </w:tc>
        <w:tc>
          <w:tcPr>
            <w:tcW w:w="96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6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820" w:type="dxa"/>
            <w:vAlign w:val="bottom"/>
            <w:gridSpan w:val="2"/>
            <w:shd w:val="clear" w:color="auto" w:fill="CCEEFF"/>
          </w:tcPr>
          <w:p>
            <w:pPr>
              <w:spacing w:after="0" w:line="144" w:lineRule="exact"/>
              <w:rPr>
                <w:sz w:val="20"/>
                <w:szCs w:val="20"/>
                <w:color w:val="auto"/>
              </w:rPr>
            </w:pPr>
            <w:r>
              <w:rPr>
                <w:rFonts w:ascii="Arial" w:cs="Arial" w:eastAsia="Arial" w:hAnsi="Arial"/>
                <w:sz w:val="12"/>
                <w:szCs w:val="12"/>
                <w:color w:val="auto"/>
              </w:rPr>
              <w:t>March 27, 2011 – April 30, 2011</w:t>
            </w:r>
            <w:r>
              <w:rPr>
                <w:rFonts w:ascii="Arial" w:cs="Arial" w:eastAsia="Arial" w:hAnsi="Arial"/>
                <w:sz w:val="16"/>
                <w:szCs w:val="16"/>
                <w:color w:val="auto"/>
                <w:vertAlign w:val="superscript"/>
              </w:rPr>
              <w:t>(1)</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2,988,229</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gridSpan w:val="2"/>
          </w:tcPr>
          <w:p>
            <w:pPr>
              <w:spacing w:after="0"/>
              <w:rPr>
                <w:sz w:val="20"/>
                <w:szCs w:val="20"/>
                <w:color w:val="auto"/>
              </w:rPr>
            </w:pPr>
            <w:r>
              <w:rPr>
                <w:rFonts w:ascii="Arial" w:cs="Arial" w:eastAsia="Arial" w:hAnsi="Arial"/>
                <w:sz w:val="12"/>
                <w:szCs w:val="12"/>
                <w:color w:val="auto"/>
              </w:rPr>
              <w:t>May 1 – 28, 2011</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2"/>
                <w:szCs w:val="12"/>
                <w:color w:val="auto"/>
              </w:rPr>
              <w:t>2,988,229</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May 29 – June 25, 2011</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2,988,229</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1100" w:hanging="640"/>
        <w:spacing w:after="0"/>
        <w:tabs>
          <w:tab w:leader="none" w:pos="1100" w:val="left"/>
        </w:tabs>
        <w:numPr>
          <w:ilvl w:val="1"/>
          <w:numId w:val="21"/>
        </w:numPr>
        <w:rPr>
          <w:rFonts w:ascii="Arial" w:cs="Arial" w:eastAsia="Arial" w:hAnsi="Arial"/>
          <w:sz w:val="12"/>
          <w:szCs w:val="12"/>
          <w:color w:val="auto"/>
        </w:rPr>
      </w:pPr>
      <w:r>
        <w:rPr>
          <w:rFonts w:ascii="Arial" w:cs="Arial" w:eastAsia="Arial" w:hAnsi="Arial"/>
          <w:sz w:val="12"/>
          <w:szCs w:val="12"/>
          <w:color w:val="auto"/>
        </w:rPr>
        <w:t>Total number of shares purchased.</w:t>
      </w:r>
    </w:p>
    <w:p>
      <w:pPr>
        <w:spacing w:after="0" w:line="14" w:lineRule="exact"/>
        <w:rPr>
          <w:rFonts w:ascii="Arial" w:cs="Arial" w:eastAsia="Arial" w:hAnsi="Arial"/>
          <w:sz w:val="12"/>
          <w:szCs w:val="12"/>
          <w:color w:val="auto"/>
        </w:rPr>
      </w:pPr>
    </w:p>
    <w:p>
      <w:pPr>
        <w:ind w:left="640" w:hanging="216"/>
        <w:spacing w:after="0"/>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Average price paid per share.</w:t>
      </w:r>
    </w:p>
    <w:p>
      <w:pPr>
        <w:spacing w:after="0" w:line="6" w:lineRule="exact"/>
        <w:rPr>
          <w:rFonts w:ascii="Arial" w:cs="Arial" w:eastAsia="Arial" w:hAnsi="Arial"/>
          <w:sz w:val="12"/>
          <w:szCs w:val="12"/>
          <w:color w:val="auto"/>
        </w:rPr>
      </w:pPr>
    </w:p>
    <w:p>
      <w:pPr>
        <w:ind w:left="640" w:hanging="216"/>
        <w:spacing w:after="0"/>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Total number of shares purchased as part of publicly announced plans or programs.</w:t>
      </w:r>
    </w:p>
    <w:p>
      <w:pPr>
        <w:spacing w:after="0" w:line="6" w:lineRule="exact"/>
        <w:rPr>
          <w:rFonts w:ascii="Arial" w:cs="Arial" w:eastAsia="Arial" w:hAnsi="Arial"/>
          <w:sz w:val="12"/>
          <w:szCs w:val="12"/>
          <w:color w:val="auto"/>
        </w:rPr>
      </w:pPr>
    </w:p>
    <w:p>
      <w:pPr>
        <w:ind w:left="640" w:hanging="216"/>
        <w:spacing w:after="0"/>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Maximum number of shares that may yet be purchased under the plans or programs.</w:t>
      </w:r>
    </w:p>
    <w:p>
      <w:pPr>
        <w:spacing w:after="0" w:line="159" w:lineRule="exact"/>
        <w:rPr>
          <w:sz w:val="20"/>
          <w:szCs w:val="20"/>
          <w:color w:val="auto"/>
        </w:rPr>
      </w:pPr>
    </w:p>
    <w:p>
      <w:pPr>
        <w:ind w:left="640" w:hanging="216"/>
        <w:spacing w:after="0" w:line="229" w:lineRule="auto"/>
        <w:tabs>
          <w:tab w:leader="none" w:pos="640" w:val="left"/>
        </w:tabs>
        <w:numPr>
          <w:ilvl w:val="0"/>
          <w:numId w:val="23"/>
        </w:numPr>
        <w:rPr>
          <w:rFonts w:ascii="Arial" w:cs="Arial" w:eastAsia="Arial" w:hAnsi="Arial"/>
          <w:sz w:val="16"/>
          <w:szCs w:val="16"/>
          <w:color w:val="auto"/>
          <w:vertAlign w:val="superscript"/>
        </w:rPr>
      </w:pPr>
      <w:r>
        <w:rPr>
          <w:rFonts w:ascii="Arial" w:cs="Arial" w:eastAsia="Arial" w:hAnsi="Arial"/>
          <w:sz w:val="11"/>
          <w:szCs w:val="11"/>
          <w:color w:val="auto"/>
        </w:rPr>
        <w:t>On November 14, 2001, the Board of Directors approved a share repurchase program (which succeeded a previous program) allowing us to repurchase up to 2.5 million shares of our common stock. On October 14, 2010, our Board authorized an additional 2 million shares to be repurchased under our share repurchase program. The total number of shares that may be repurchased under the program is almost 3 million shares.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5. Other Information</w:t>
      </w:r>
      <w:r>
        <w:rPr>
          <w:rFonts w:ascii="Arial" w:cs="Arial" w:eastAsia="Arial" w:hAnsi="Arial"/>
          <w:sz w:val="12"/>
          <w:szCs w:val="12"/>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0" w:name="page31"/>
    <w:bookmarkEnd w:id="30"/>
    <w:p>
      <w:pPr>
        <w:ind w:left="8"/>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jc w:val="center"/>
        <w:ind w:right="-1228"/>
        <w:spacing w:after="0"/>
        <w:rPr>
          <w:sz w:val="20"/>
          <w:szCs w:val="20"/>
          <w:color w:val="auto"/>
        </w:rPr>
      </w:pPr>
      <w:r>
        <w:rPr>
          <w:rFonts w:ascii="Arial" w:cs="Arial" w:eastAsia="Arial" w:hAnsi="Arial"/>
          <w:sz w:val="12"/>
          <w:szCs w:val="12"/>
          <w:b w:val="1"/>
          <w:bCs w:val="1"/>
          <w:color w:val="auto"/>
        </w:rPr>
        <w:t>UNIVERSAL FOREST PRODUCTS, INC.</w:t>
      </w:r>
    </w:p>
    <w:p>
      <w:pPr>
        <w:spacing w:after="0" w:line="168" w:lineRule="exact"/>
        <w:rPr>
          <w:sz w:val="20"/>
          <w:szCs w:val="20"/>
          <w:color w:val="auto"/>
        </w:rPr>
      </w:pPr>
    </w:p>
    <w:p>
      <w:pPr>
        <w:ind w:left="4808"/>
        <w:spacing w:after="0"/>
        <w:rPr>
          <w:sz w:val="20"/>
          <w:szCs w:val="20"/>
          <w:color w:val="auto"/>
        </w:rPr>
      </w:pPr>
      <w:r>
        <w:rPr>
          <w:rFonts w:ascii="Arial" w:cs="Arial" w:eastAsia="Arial" w:hAnsi="Arial"/>
          <w:sz w:val="12"/>
          <w:szCs w:val="12"/>
          <w:b w:val="1"/>
          <w:bCs w:val="1"/>
          <w:color w:val="auto"/>
        </w:rPr>
        <w:t>PART II. OTHER INFORMATION</w:t>
      </w:r>
    </w:p>
    <w:p>
      <w:pPr>
        <w:spacing w:after="0" w:line="334"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Item 6. Exhibits</w:t>
      </w:r>
      <w:r>
        <w:rPr>
          <w:rFonts w:ascii="Arial" w:cs="Arial" w:eastAsia="Arial" w:hAnsi="Arial"/>
          <w:sz w:val="12"/>
          <w:szCs w:val="12"/>
          <w:color w:val="auto"/>
        </w:rPr>
        <w:t>.</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exhibits (listed by number corresponding to the Exhibit Table as Item 601 in Regulation S-K) are filed with this report:</w:t>
      </w:r>
    </w:p>
    <w:p>
      <w:pPr>
        <w:spacing w:after="0" w:line="168" w:lineRule="exact"/>
        <w:rPr>
          <w:sz w:val="20"/>
          <w:szCs w:val="20"/>
          <w:color w:val="auto"/>
        </w:rPr>
      </w:pPr>
    </w:p>
    <w:p>
      <w:pPr>
        <w:ind w:left="428" w:hanging="428"/>
        <w:spacing w:after="0"/>
        <w:tabs>
          <w:tab w:leader="none" w:pos="428" w:val="left"/>
        </w:tabs>
        <w:numPr>
          <w:ilvl w:val="0"/>
          <w:numId w:val="24"/>
        </w:numPr>
        <w:rPr>
          <w:rFonts w:ascii="Arial" w:cs="Arial" w:eastAsia="Arial" w:hAnsi="Arial"/>
          <w:sz w:val="12"/>
          <w:szCs w:val="12"/>
          <w:color w:val="auto"/>
        </w:rPr>
      </w:pPr>
      <w:r>
        <w:rPr>
          <w:rFonts w:ascii="Arial" w:cs="Arial" w:eastAsia="Arial" w:hAnsi="Arial"/>
          <w:sz w:val="12"/>
          <w:szCs w:val="12"/>
          <w:color w:val="auto"/>
        </w:rPr>
        <w:t>Certifications.</w:t>
      </w:r>
    </w:p>
    <w:p>
      <w:pPr>
        <w:spacing w:after="0" w:line="168" w:lineRule="exact"/>
        <w:rPr>
          <w:rFonts w:ascii="Arial" w:cs="Arial" w:eastAsia="Arial" w:hAnsi="Arial"/>
          <w:sz w:val="12"/>
          <w:szCs w:val="12"/>
          <w:color w:val="auto"/>
        </w:rPr>
      </w:pPr>
    </w:p>
    <w:p>
      <w:pPr>
        <w:ind w:left="868" w:hanging="436"/>
        <w:spacing w:after="0"/>
        <w:tabs>
          <w:tab w:leader="none" w:pos="868" w:val="left"/>
        </w:tabs>
        <w:numPr>
          <w:ilvl w:val="1"/>
          <w:numId w:val="24"/>
        </w:numPr>
        <w:rPr>
          <w:rFonts w:ascii="Arial" w:cs="Arial" w:eastAsia="Arial" w:hAnsi="Arial"/>
          <w:sz w:val="10"/>
          <w:szCs w:val="10"/>
          <w:color w:val="auto"/>
        </w:rPr>
      </w:pPr>
      <w:r>
        <w:rPr>
          <w:rFonts w:ascii="Arial" w:cs="Arial" w:eastAsia="Arial" w:hAnsi="Arial"/>
          <w:sz w:val="10"/>
          <w:szCs w:val="10"/>
          <w:color w:val="auto"/>
        </w:rPr>
        <w:t>Certificate of the Chief Executive Officer of Universal Forest Products, Inc., pursuant to Section 302 of the Sarbanes-Oxley Act of 2002 (18 U.S.C. 1350).</w:t>
      </w:r>
    </w:p>
    <w:p>
      <w:pPr>
        <w:spacing w:after="0" w:line="191" w:lineRule="exact"/>
        <w:rPr>
          <w:rFonts w:ascii="Arial" w:cs="Arial" w:eastAsia="Arial" w:hAnsi="Arial"/>
          <w:sz w:val="10"/>
          <w:szCs w:val="10"/>
          <w:color w:val="auto"/>
        </w:rPr>
      </w:pPr>
    </w:p>
    <w:p>
      <w:pPr>
        <w:ind w:left="868" w:hanging="436"/>
        <w:spacing w:after="0"/>
        <w:tabs>
          <w:tab w:leader="none" w:pos="868" w:val="left"/>
        </w:tabs>
        <w:numPr>
          <w:ilvl w:val="1"/>
          <w:numId w:val="24"/>
        </w:numPr>
        <w:rPr>
          <w:rFonts w:ascii="Arial" w:cs="Arial" w:eastAsia="Arial" w:hAnsi="Arial"/>
          <w:sz w:val="11"/>
          <w:szCs w:val="11"/>
          <w:color w:val="auto"/>
        </w:rPr>
      </w:pPr>
      <w:r>
        <w:rPr>
          <w:rFonts w:ascii="Arial" w:cs="Arial" w:eastAsia="Arial" w:hAnsi="Arial"/>
          <w:sz w:val="11"/>
          <w:szCs w:val="11"/>
          <w:color w:val="auto"/>
        </w:rPr>
        <w:t>Certificate of the Chief Financial Officer of Universal Forest Products, Inc., pursuant to Section 302 of the Sarbanes-Oxley Act of 2002 (18 U.S.C. 1350).</w:t>
      </w:r>
    </w:p>
    <w:p>
      <w:pPr>
        <w:spacing w:after="0" w:line="179" w:lineRule="exact"/>
        <w:rPr>
          <w:rFonts w:ascii="Arial" w:cs="Arial" w:eastAsia="Arial" w:hAnsi="Arial"/>
          <w:sz w:val="11"/>
          <w:szCs w:val="11"/>
          <w:color w:val="auto"/>
        </w:rPr>
      </w:pPr>
    </w:p>
    <w:p>
      <w:pPr>
        <w:ind w:left="428" w:hanging="428"/>
        <w:spacing w:after="0"/>
        <w:tabs>
          <w:tab w:leader="none" w:pos="428" w:val="left"/>
        </w:tabs>
        <w:numPr>
          <w:ilvl w:val="0"/>
          <w:numId w:val="24"/>
        </w:numPr>
        <w:rPr>
          <w:rFonts w:ascii="Arial" w:cs="Arial" w:eastAsia="Arial" w:hAnsi="Arial"/>
          <w:sz w:val="12"/>
          <w:szCs w:val="12"/>
          <w:color w:val="auto"/>
        </w:rPr>
      </w:pPr>
      <w:r>
        <w:rPr>
          <w:rFonts w:ascii="Arial" w:cs="Arial" w:eastAsia="Arial" w:hAnsi="Arial"/>
          <w:sz w:val="12"/>
          <w:szCs w:val="12"/>
          <w:color w:val="auto"/>
        </w:rPr>
        <w:t>Certifications.</w:t>
      </w:r>
    </w:p>
    <w:p>
      <w:pPr>
        <w:spacing w:after="0" w:line="168" w:lineRule="exact"/>
        <w:rPr>
          <w:rFonts w:ascii="Arial" w:cs="Arial" w:eastAsia="Arial" w:hAnsi="Arial"/>
          <w:sz w:val="12"/>
          <w:szCs w:val="12"/>
          <w:color w:val="auto"/>
        </w:rPr>
      </w:pPr>
    </w:p>
    <w:p>
      <w:pPr>
        <w:ind w:left="868" w:hanging="436"/>
        <w:spacing w:after="0"/>
        <w:tabs>
          <w:tab w:leader="none" w:pos="868" w:val="left"/>
        </w:tabs>
        <w:numPr>
          <w:ilvl w:val="1"/>
          <w:numId w:val="24"/>
        </w:numPr>
        <w:rPr>
          <w:rFonts w:ascii="Arial" w:cs="Arial" w:eastAsia="Arial" w:hAnsi="Arial"/>
          <w:sz w:val="10"/>
          <w:szCs w:val="10"/>
          <w:color w:val="auto"/>
        </w:rPr>
      </w:pPr>
      <w:r>
        <w:rPr>
          <w:rFonts w:ascii="Arial" w:cs="Arial" w:eastAsia="Arial" w:hAnsi="Arial"/>
          <w:sz w:val="10"/>
          <w:szCs w:val="10"/>
          <w:color w:val="auto"/>
        </w:rPr>
        <w:t>Certificate of the Chief Executive Officer of Universal Forest Products, Inc., pursuant to Section 906 of the Sarbanes-Oxley Act of 2002 (18 U.S.C. 1350).</w:t>
      </w:r>
    </w:p>
    <w:p>
      <w:pPr>
        <w:spacing w:after="0" w:line="191" w:lineRule="exact"/>
        <w:rPr>
          <w:rFonts w:ascii="Arial" w:cs="Arial" w:eastAsia="Arial" w:hAnsi="Arial"/>
          <w:sz w:val="10"/>
          <w:szCs w:val="10"/>
          <w:color w:val="auto"/>
        </w:rPr>
      </w:pPr>
    </w:p>
    <w:p>
      <w:pPr>
        <w:ind w:left="868" w:hanging="436"/>
        <w:spacing w:after="0"/>
        <w:tabs>
          <w:tab w:leader="none" w:pos="868" w:val="left"/>
        </w:tabs>
        <w:numPr>
          <w:ilvl w:val="1"/>
          <w:numId w:val="24"/>
        </w:numPr>
        <w:rPr>
          <w:rFonts w:ascii="Arial" w:cs="Arial" w:eastAsia="Arial" w:hAnsi="Arial"/>
          <w:sz w:val="11"/>
          <w:szCs w:val="11"/>
          <w:color w:val="auto"/>
        </w:rPr>
      </w:pPr>
      <w:r>
        <w:rPr>
          <w:rFonts w:ascii="Arial" w:cs="Arial" w:eastAsia="Arial" w:hAnsi="Arial"/>
          <w:sz w:val="11"/>
          <w:szCs w:val="11"/>
          <w:color w:val="auto"/>
        </w:rPr>
        <w:t>Certificate of the Chief Financial Officer of Universal Forest Products, Inc., pursuant to Section 906 of the Sarbanes-Oxley Act of 2002 (18 U.S.C. 1350).</w:t>
      </w:r>
    </w:p>
    <w:p>
      <w:pPr>
        <w:spacing w:after="0" w:line="179" w:lineRule="exact"/>
        <w:rPr>
          <w:rFonts w:ascii="Arial" w:cs="Arial" w:eastAsia="Arial" w:hAnsi="Arial"/>
          <w:sz w:val="11"/>
          <w:szCs w:val="11"/>
          <w:color w:val="auto"/>
        </w:rPr>
      </w:pPr>
    </w:p>
    <w:p>
      <w:pPr>
        <w:ind w:left="428" w:hanging="428"/>
        <w:spacing w:after="0"/>
        <w:tabs>
          <w:tab w:leader="none" w:pos="428" w:val="left"/>
        </w:tabs>
        <w:numPr>
          <w:ilvl w:val="0"/>
          <w:numId w:val="25"/>
        </w:numPr>
        <w:rPr>
          <w:rFonts w:ascii="Arial" w:cs="Arial" w:eastAsia="Arial" w:hAnsi="Arial"/>
          <w:sz w:val="12"/>
          <w:szCs w:val="12"/>
          <w:color w:val="auto"/>
        </w:rPr>
      </w:pPr>
      <w:r>
        <w:rPr>
          <w:rFonts w:ascii="Arial" w:cs="Arial" w:eastAsia="Arial" w:hAnsi="Arial"/>
          <w:sz w:val="12"/>
          <w:szCs w:val="12"/>
          <w:color w:val="auto"/>
        </w:rPr>
        <w:t>Additional Exhibits.</w:t>
      </w:r>
    </w:p>
    <w:p>
      <w:pPr>
        <w:spacing w:after="0" w:line="168" w:lineRule="exact"/>
        <w:rPr>
          <w:sz w:val="20"/>
          <w:szCs w:val="20"/>
          <w:color w:val="auto"/>
        </w:rPr>
      </w:pPr>
    </w:p>
    <w:p>
      <w:pPr>
        <w:ind w:left="868" w:hanging="436"/>
        <w:spacing w:after="0"/>
        <w:tabs>
          <w:tab w:leader="none" w:pos="868" w:val="left"/>
        </w:tabs>
        <w:numPr>
          <w:ilvl w:val="0"/>
          <w:numId w:val="26"/>
        </w:numPr>
        <w:rPr>
          <w:rFonts w:ascii="Arial" w:cs="Arial" w:eastAsia="Arial" w:hAnsi="Arial"/>
          <w:sz w:val="12"/>
          <w:szCs w:val="12"/>
          <w:color w:val="auto"/>
        </w:rPr>
      </w:pPr>
      <w:r>
        <w:rPr>
          <w:rFonts w:ascii="Arial" w:cs="Arial" w:eastAsia="Arial" w:hAnsi="Arial"/>
          <w:sz w:val="12"/>
          <w:szCs w:val="12"/>
          <w:color w:val="auto"/>
        </w:rPr>
        <w:t>Summary of historical quarterly sales based on our new market classifications.</w:t>
      </w:r>
    </w:p>
    <w:p>
      <w:pPr>
        <w:spacing w:after="0" w:line="168"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101</w:t>
      </w:r>
      <w:r>
        <w:rPr>
          <w:rFonts w:ascii="Arial" w:cs="Arial" w:eastAsia="Arial" w:hAnsi="Arial"/>
          <w:sz w:val="11"/>
          <w:szCs w:val="11"/>
          <w:color w:val="auto"/>
        </w:rPr>
        <w:t>Interactive Data File.</w:t>
      </w:r>
    </w:p>
    <w:p>
      <w:pPr>
        <w:spacing w:after="0" w:line="168"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2"/>
          <w:szCs w:val="12"/>
          <w:color w:val="auto"/>
        </w:rPr>
        <w:t>(INS)</w:t>
        <w:tab/>
        <w:t>XBRL Instance Document.</w:t>
      </w:r>
    </w:p>
    <w:p>
      <w:pPr>
        <w:spacing w:after="0" w:line="168"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2"/>
          <w:szCs w:val="12"/>
          <w:color w:val="auto"/>
        </w:rPr>
        <w:t>(SCH)</w:t>
      </w:r>
      <w:r>
        <w:rPr>
          <w:sz w:val="20"/>
          <w:szCs w:val="20"/>
          <w:color w:val="auto"/>
        </w:rPr>
        <w:tab/>
      </w:r>
      <w:r>
        <w:rPr>
          <w:rFonts w:ascii="Arial" w:cs="Arial" w:eastAsia="Arial" w:hAnsi="Arial"/>
          <w:sz w:val="10"/>
          <w:szCs w:val="10"/>
          <w:color w:val="auto"/>
        </w:rPr>
        <w:t>XBRL Schema Document.</w:t>
      </w:r>
    </w:p>
    <w:p>
      <w:pPr>
        <w:spacing w:after="0" w:line="168"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2"/>
          <w:szCs w:val="12"/>
          <w:color w:val="auto"/>
        </w:rPr>
        <w:t>(CAL)</w:t>
      </w:r>
      <w:r>
        <w:rPr>
          <w:sz w:val="20"/>
          <w:szCs w:val="20"/>
          <w:color w:val="auto"/>
        </w:rPr>
        <w:tab/>
      </w:r>
      <w:r>
        <w:rPr>
          <w:rFonts w:ascii="Arial" w:cs="Arial" w:eastAsia="Arial" w:hAnsi="Arial"/>
          <w:sz w:val="11"/>
          <w:szCs w:val="11"/>
          <w:color w:val="auto"/>
        </w:rPr>
        <w:t>XBRL Taxonomy Extension Calculation Linkbase Document.</w:t>
      </w:r>
    </w:p>
    <w:p>
      <w:pPr>
        <w:spacing w:after="0" w:line="168"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2"/>
          <w:szCs w:val="12"/>
          <w:color w:val="auto"/>
        </w:rPr>
        <w:t>(LAB)</w:t>
      </w:r>
      <w:r>
        <w:rPr>
          <w:sz w:val="20"/>
          <w:szCs w:val="20"/>
          <w:color w:val="auto"/>
        </w:rPr>
        <w:tab/>
      </w:r>
      <w:r>
        <w:rPr>
          <w:rFonts w:ascii="Arial" w:cs="Arial" w:eastAsia="Arial" w:hAnsi="Arial"/>
          <w:sz w:val="11"/>
          <w:szCs w:val="11"/>
          <w:color w:val="auto"/>
        </w:rPr>
        <w:t>XBRL Taxonomy Extension Label Linkbase Document.</w:t>
      </w:r>
    </w:p>
    <w:p>
      <w:pPr>
        <w:spacing w:after="0" w:line="168"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2"/>
          <w:szCs w:val="12"/>
          <w:color w:val="auto"/>
        </w:rPr>
        <w:t>(PRE)</w:t>
        <w:tab/>
        <w:t>XBRL Taxonomy Extension Presentation Linkbase Document.</w:t>
      </w:r>
    </w:p>
    <w:p>
      <w:pPr>
        <w:spacing w:after="0" w:line="168"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2"/>
          <w:szCs w:val="12"/>
          <w:color w:val="auto"/>
        </w:rPr>
        <w:t>(DEF)</w:t>
        <w:tab/>
        <w:t>XBRL Taxonomy Extension Definition Linkbase Document.</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______________________________________</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 Indicates a compensatory arrangement.</w:t>
      </w:r>
    </w:p>
    <w:p>
      <w:pPr>
        <w:spacing w:after="0" w:line="264" w:lineRule="exact"/>
        <w:rPr>
          <w:sz w:val="20"/>
          <w:szCs w:val="20"/>
          <w:color w:val="auto"/>
        </w:rPr>
      </w:pPr>
    </w:p>
    <w:p>
      <w:pPr>
        <w:ind w:left="5688"/>
        <w:spacing w:after="0"/>
        <w:rPr>
          <w:sz w:val="20"/>
          <w:szCs w:val="20"/>
          <w:color w:val="auto"/>
        </w:rPr>
      </w:pPr>
      <w:r>
        <w:rPr>
          <w:rFonts w:ascii="Arial" w:cs="Arial" w:eastAsia="Arial" w:hAnsi="Arial"/>
          <w:sz w:val="10"/>
          <w:szCs w:val="1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729932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47"/>
          </w:cols>
          <w:pgMar w:left="212" w:top="128" w:right="1440" w:bottom="1440" w:gutter="0" w:footer="0" w:header="0"/>
        </w:sectPr>
      </w:pPr>
    </w:p>
    <w:bookmarkStart w:id="31" w:name="page32"/>
    <w:bookmarkEnd w:id="31"/>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ind w:left="4620"/>
        <w:spacing w:after="0"/>
        <w:rPr>
          <w:sz w:val="20"/>
          <w:szCs w:val="20"/>
          <w:color w:val="auto"/>
        </w:rPr>
      </w:pPr>
      <w:r>
        <w:rPr>
          <w:rFonts w:ascii="Arial" w:cs="Arial" w:eastAsia="Arial" w:hAnsi="Arial"/>
          <w:sz w:val="12"/>
          <w:szCs w:val="12"/>
          <w:b w:val="1"/>
          <w:bCs w:val="1"/>
          <w:color w:val="auto"/>
        </w:rPr>
        <w:t>UNIVERSAL FOREST PRODUCTS, INC.</w:t>
      </w:r>
    </w:p>
    <w:p>
      <w:pPr>
        <w:spacing w:after="0" w:line="330"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and Exchange Act of 1934, the registrant has duly caused this report to be signed on its behalf by the undersigned thereunto duly authorized.</w:t>
      </w:r>
    </w:p>
    <w:p>
      <w:pPr>
        <w:spacing w:after="0" w:line="176"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UNIVERSAL FOREST PRODUCTS, INC.</w:t>
      </w:r>
    </w:p>
    <w:p>
      <w:pPr>
        <w:spacing w:after="0" w:line="298" w:lineRule="exact"/>
        <w:rPr>
          <w:sz w:val="20"/>
          <w:szCs w:val="20"/>
          <w:color w:val="auto"/>
        </w:rPr>
      </w:pPr>
    </w:p>
    <w:p>
      <w:pPr>
        <w:ind w:left="20"/>
        <w:spacing w:after="0"/>
        <w:tabs>
          <w:tab w:leader="none" w:pos="540" w:val="left"/>
          <w:tab w:leader="none" w:pos="5720" w:val="left"/>
          <w:tab w:leader="none" w:pos="606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August 1, 2011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20955</wp:posOffset>
            </wp:positionV>
            <wp:extent cx="949325"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49325" cy="11430"/>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20955</wp:posOffset>
            </wp:positionV>
            <wp:extent cx="3425825"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5825" cy="11430"/>
                    </a:xfrm>
                    <a:prstGeom prst="rect">
                      <a:avLst/>
                    </a:prstGeom>
                    <a:noFill/>
                  </pic:spPr>
                </pic:pic>
              </a:graphicData>
            </a:graphic>
          </wp:anchor>
        </w:drawing>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Matthew J. Missad</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Chief Executive Officer and Principal Executive Officer</w:t>
      </w:r>
    </w:p>
    <w:p>
      <w:pPr>
        <w:spacing w:after="0" w:line="303" w:lineRule="exact"/>
        <w:rPr>
          <w:sz w:val="20"/>
          <w:szCs w:val="20"/>
          <w:color w:val="auto"/>
        </w:rPr>
      </w:pPr>
    </w:p>
    <w:p>
      <w:pPr>
        <w:ind w:left="20"/>
        <w:spacing w:after="0"/>
        <w:tabs>
          <w:tab w:leader="none" w:pos="580" w:val="left"/>
          <w:tab w:leader="none" w:pos="5720" w:val="left"/>
          <w:tab w:leader="none" w:pos="606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August 1, 2011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20955</wp:posOffset>
            </wp:positionV>
            <wp:extent cx="949325"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9325" cy="11430"/>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20955</wp:posOffset>
            </wp:positionV>
            <wp:extent cx="3425825"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5825" cy="11430"/>
                    </a:xfrm>
                    <a:prstGeom prst="rect">
                      <a:avLst/>
                    </a:prstGeom>
                    <a:noFill/>
                  </pic:spPr>
                </pic:pic>
              </a:graphicData>
            </a:graphic>
          </wp:anchor>
        </w:drawing>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Michael R. Cole,</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1"/>
          <w:szCs w:val="11"/>
          <w:color w:val="auto"/>
        </w:rPr>
        <w:t>Chief Financial Officer, Principal Financial Officer and Principal Accounting Officer</w:t>
      </w:r>
    </w:p>
    <w:p>
      <w:pPr>
        <w:spacing w:after="0" w:line="266" w:lineRule="exact"/>
        <w:rPr>
          <w:sz w:val="20"/>
          <w:szCs w:val="20"/>
          <w:color w:val="auto"/>
        </w:rPr>
      </w:pPr>
    </w:p>
    <w:p>
      <w:pPr>
        <w:ind w:left="5680"/>
        <w:spacing w:after="0"/>
        <w:rPr>
          <w:sz w:val="20"/>
          <w:szCs w:val="20"/>
          <w:color w:val="auto"/>
        </w:rPr>
      </w:pPr>
      <w:r>
        <w:rPr>
          <w:rFonts w:ascii="Arial" w:cs="Arial" w:eastAsia="Arial" w:hAnsi="Arial"/>
          <w:sz w:val="10"/>
          <w:szCs w:val="1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128" w:right="1440" w:bottom="1440" w:gutter="0" w:footer="0" w:header="0"/>
        </w:sectPr>
      </w:pPr>
    </w:p>
    <w:bookmarkStart w:id="32" w:name="page33"/>
    <w:bookmarkEnd w:id="32"/>
    <w:p>
      <w:pPr>
        <w:ind w:left="8"/>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31" w:lineRule="exact"/>
        <w:rPr>
          <w:sz w:val="20"/>
          <w:szCs w:val="20"/>
          <w:color w:val="auto"/>
        </w:rPr>
      </w:pPr>
    </w:p>
    <w:p>
      <w:pPr>
        <w:ind w:left="5308"/>
        <w:spacing w:after="0"/>
        <w:rPr>
          <w:sz w:val="20"/>
          <w:szCs w:val="20"/>
          <w:color w:val="auto"/>
        </w:rPr>
      </w:pPr>
      <w:r>
        <w:rPr>
          <w:rFonts w:ascii="Arial" w:cs="Arial" w:eastAsia="Arial" w:hAnsi="Arial"/>
          <w:sz w:val="12"/>
          <w:szCs w:val="12"/>
          <w:u w:val="single" w:color="auto"/>
          <w:color w:val="auto"/>
        </w:rPr>
        <w:t>EXHIBIT INDEX</w:t>
      </w:r>
    </w:p>
    <w:p>
      <w:pPr>
        <w:spacing w:after="0" w:line="294"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2"/>
          <w:szCs w:val="12"/>
          <w:u w:val="single" w:color="auto"/>
          <w:color w:val="auto"/>
        </w:rPr>
        <w:t>Exhibit No.</w:t>
      </w:r>
      <w:r>
        <w:rPr>
          <w:sz w:val="20"/>
          <w:szCs w:val="20"/>
          <w:color w:val="auto"/>
        </w:rPr>
        <w:tab/>
      </w:r>
      <w:r>
        <w:rPr>
          <w:rFonts w:ascii="Arial" w:cs="Arial" w:eastAsia="Arial" w:hAnsi="Arial"/>
          <w:sz w:val="11"/>
          <w:szCs w:val="11"/>
          <w:u w:val="single" w:color="auto"/>
          <w:color w:val="auto"/>
        </w:rPr>
        <w:t>Description</w:t>
      </w:r>
    </w:p>
    <w:p>
      <w:pPr>
        <w:spacing w:after="0" w:line="150" w:lineRule="exact"/>
        <w:rPr>
          <w:sz w:val="20"/>
          <w:szCs w:val="20"/>
          <w:color w:val="auto"/>
        </w:rPr>
      </w:pPr>
    </w:p>
    <w:p>
      <w:pPr>
        <w:ind w:left="868" w:hanging="868"/>
        <w:spacing w:after="0"/>
        <w:tabs>
          <w:tab w:leader="none" w:pos="868" w:val="left"/>
        </w:tabs>
        <w:numPr>
          <w:ilvl w:val="0"/>
          <w:numId w:val="27"/>
        </w:numPr>
        <w:rPr>
          <w:rFonts w:ascii="Arial" w:cs="Arial" w:eastAsia="Arial" w:hAnsi="Arial"/>
          <w:sz w:val="12"/>
          <w:szCs w:val="12"/>
          <w:color w:val="auto"/>
        </w:rPr>
      </w:pPr>
      <w:r>
        <w:rPr>
          <w:rFonts w:ascii="Arial" w:cs="Arial" w:eastAsia="Arial" w:hAnsi="Arial"/>
          <w:sz w:val="12"/>
          <w:szCs w:val="12"/>
          <w:color w:val="auto"/>
        </w:rPr>
        <w:t>Certifications.</w:t>
      </w:r>
    </w:p>
    <w:p>
      <w:pPr>
        <w:spacing w:after="0" w:line="150" w:lineRule="exact"/>
        <w:rPr>
          <w:rFonts w:ascii="Arial" w:cs="Arial" w:eastAsia="Arial" w:hAnsi="Arial"/>
          <w:sz w:val="12"/>
          <w:szCs w:val="12"/>
          <w:color w:val="auto"/>
        </w:rPr>
      </w:pPr>
    </w:p>
    <w:p>
      <w:pPr>
        <w:ind w:left="1288" w:hanging="423"/>
        <w:spacing w:after="0"/>
        <w:tabs>
          <w:tab w:leader="none" w:pos="1288" w:val="left"/>
        </w:tabs>
        <w:numPr>
          <w:ilvl w:val="1"/>
          <w:numId w:val="27"/>
        </w:numPr>
        <w:rPr>
          <w:rFonts w:ascii="Arial" w:cs="Arial" w:eastAsia="Arial" w:hAnsi="Arial"/>
          <w:sz w:val="11"/>
          <w:szCs w:val="11"/>
          <w:u w:val="single" w:color="auto"/>
          <w:color w:val="0000EE"/>
        </w:rPr>
      </w:pPr>
      <w:r>
        <w:rPr>
          <w:rFonts w:ascii="Arial" w:cs="Arial" w:eastAsia="Arial" w:hAnsi="Arial"/>
          <w:sz w:val="11"/>
          <w:szCs w:val="11"/>
          <w:color w:val="auto"/>
        </w:rPr>
        <w:t>Certificate of the Chief Executive Officer of Universal Forest Products, Inc., pursuant to Section 302 of the Sarbanes-Oxley Act of 2002 (18 U.S.C. 1350).</w:t>
      </w:r>
    </w:p>
    <w:p>
      <w:pPr>
        <w:spacing w:after="0" w:line="161" w:lineRule="exact"/>
        <w:rPr>
          <w:rFonts w:ascii="Arial" w:cs="Arial" w:eastAsia="Arial" w:hAnsi="Arial"/>
          <w:sz w:val="11"/>
          <w:szCs w:val="11"/>
          <w:u w:val="single" w:color="auto"/>
          <w:color w:val="0000EE"/>
        </w:rPr>
      </w:pPr>
    </w:p>
    <w:p>
      <w:pPr>
        <w:ind w:left="1288" w:hanging="423"/>
        <w:spacing w:after="0"/>
        <w:tabs>
          <w:tab w:leader="none" w:pos="1288" w:val="left"/>
        </w:tabs>
        <w:numPr>
          <w:ilvl w:val="1"/>
          <w:numId w:val="27"/>
        </w:numPr>
        <w:rPr>
          <w:rFonts w:ascii="Arial" w:cs="Arial" w:eastAsia="Arial" w:hAnsi="Arial"/>
          <w:sz w:val="11"/>
          <w:szCs w:val="11"/>
          <w:u w:val="single" w:color="auto"/>
          <w:color w:val="0000EE"/>
        </w:rPr>
      </w:pPr>
      <w:r>
        <w:rPr>
          <w:rFonts w:ascii="Arial" w:cs="Arial" w:eastAsia="Arial" w:hAnsi="Arial"/>
          <w:sz w:val="11"/>
          <w:szCs w:val="11"/>
          <w:color w:val="auto"/>
        </w:rPr>
        <w:t>Certificate of the Chief Financial Officer of Universal Forest Products, Inc., pursuant to Section 302 of the Sarbanes-Oxley Act of 2002 (18 U.S.C. 1350).</w:t>
      </w:r>
    </w:p>
    <w:p>
      <w:pPr>
        <w:spacing w:after="0" w:line="161" w:lineRule="exact"/>
        <w:rPr>
          <w:rFonts w:ascii="Arial" w:cs="Arial" w:eastAsia="Arial" w:hAnsi="Arial"/>
          <w:sz w:val="11"/>
          <w:szCs w:val="11"/>
          <w:u w:val="single" w:color="auto"/>
          <w:color w:val="0000EE"/>
        </w:rPr>
      </w:pPr>
    </w:p>
    <w:p>
      <w:pPr>
        <w:ind w:left="868" w:hanging="868"/>
        <w:spacing w:after="0"/>
        <w:tabs>
          <w:tab w:leader="none" w:pos="868" w:val="left"/>
        </w:tabs>
        <w:numPr>
          <w:ilvl w:val="0"/>
          <w:numId w:val="27"/>
        </w:numPr>
        <w:rPr>
          <w:rFonts w:ascii="Arial" w:cs="Arial" w:eastAsia="Arial" w:hAnsi="Arial"/>
          <w:sz w:val="12"/>
          <w:szCs w:val="12"/>
          <w:color w:val="auto"/>
        </w:rPr>
      </w:pPr>
      <w:r>
        <w:rPr>
          <w:rFonts w:ascii="Arial" w:cs="Arial" w:eastAsia="Arial" w:hAnsi="Arial"/>
          <w:sz w:val="12"/>
          <w:szCs w:val="12"/>
          <w:color w:val="auto"/>
        </w:rPr>
        <w:t>Certifications.</w:t>
      </w:r>
    </w:p>
    <w:p>
      <w:pPr>
        <w:spacing w:after="0" w:line="150" w:lineRule="exact"/>
        <w:rPr>
          <w:rFonts w:ascii="Arial" w:cs="Arial" w:eastAsia="Arial" w:hAnsi="Arial"/>
          <w:sz w:val="12"/>
          <w:szCs w:val="12"/>
          <w:color w:val="auto"/>
        </w:rPr>
      </w:pPr>
    </w:p>
    <w:p>
      <w:pPr>
        <w:ind w:left="1288" w:hanging="423"/>
        <w:spacing w:after="0"/>
        <w:tabs>
          <w:tab w:leader="none" w:pos="1288" w:val="left"/>
        </w:tabs>
        <w:numPr>
          <w:ilvl w:val="1"/>
          <w:numId w:val="27"/>
        </w:numPr>
        <w:rPr>
          <w:rFonts w:ascii="Arial" w:cs="Arial" w:eastAsia="Arial" w:hAnsi="Arial"/>
          <w:sz w:val="11"/>
          <w:szCs w:val="11"/>
          <w:u w:val="single" w:color="auto"/>
          <w:color w:val="0000EE"/>
        </w:rPr>
      </w:pPr>
      <w:r>
        <w:rPr>
          <w:rFonts w:ascii="Arial" w:cs="Arial" w:eastAsia="Arial" w:hAnsi="Arial"/>
          <w:sz w:val="11"/>
          <w:szCs w:val="11"/>
          <w:color w:val="auto"/>
        </w:rPr>
        <w:t>Certificate of the Chief Executive Officer of Universal Forest Products, Inc., pursuant to Section 906 of the Sarbanes-Oxley Act of 2002 (18 U.S.C. 1350).</w:t>
      </w:r>
    </w:p>
    <w:p>
      <w:pPr>
        <w:spacing w:after="0" w:line="161" w:lineRule="exact"/>
        <w:rPr>
          <w:rFonts w:ascii="Arial" w:cs="Arial" w:eastAsia="Arial" w:hAnsi="Arial"/>
          <w:sz w:val="11"/>
          <w:szCs w:val="11"/>
          <w:u w:val="single" w:color="auto"/>
          <w:color w:val="0000EE"/>
        </w:rPr>
      </w:pPr>
    </w:p>
    <w:p>
      <w:pPr>
        <w:ind w:left="1288" w:hanging="423"/>
        <w:spacing w:after="0"/>
        <w:tabs>
          <w:tab w:leader="none" w:pos="1288" w:val="left"/>
        </w:tabs>
        <w:numPr>
          <w:ilvl w:val="1"/>
          <w:numId w:val="27"/>
        </w:numPr>
        <w:rPr>
          <w:rFonts w:ascii="Arial" w:cs="Arial" w:eastAsia="Arial" w:hAnsi="Arial"/>
          <w:sz w:val="11"/>
          <w:szCs w:val="11"/>
          <w:u w:val="single" w:color="auto"/>
          <w:color w:val="0000EE"/>
        </w:rPr>
      </w:pPr>
      <w:r>
        <w:rPr>
          <w:rFonts w:ascii="Arial" w:cs="Arial" w:eastAsia="Arial" w:hAnsi="Arial"/>
          <w:sz w:val="11"/>
          <w:szCs w:val="11"/>
          <w:color w:val="auto"/>
        </w:rPr>
        <w:t>Certificate of the Chief Financial Officer of Universal Forest Products, Inc., pursuant to Section 906 of the Sarbanes-Oxley Act of 2002 (18 U.S.C. 1350).</w:t>
      </w:r>
    </w:p>
    <w:p>
      <w:pPr>
        <w:spacing w:after="0" w:line="162" w:lineRule="exact"/>
        <w:rPr>
          <w:sz w:val="20"/>
          <w:szCs w:val="20"/>
          <w:color w:val="auto"/>
        </w:rPr>
      </w:pPr>
    </w:p>
    <w:p>
      <w:pPr>
        <w:ind w:left="868" w:hanging="868"/>
        <w:spacing w:after="0"/>
        <w:tabs>
          <w:tab w:leader="none" w:pos="868" w:val="left"/>
        </w:tabs>
        <w:numPr>
          <w:ilvl w:val="0"/>
          <w:numId w:val="28"/>
        </w:numPr>
        <w:rPr>
          <w:rFonts w:ascii="Arial" w:cs="Arial" w:eastAsia="Arial" w:hAnsi="Arial"/>
          <w:sz w:val="12"/>
          <w:szCs w:val="12"/>
          <w:color w:val="auto"/>
        </w:rPr>
      </w:pPr>
      <w:r>
        <w:rPr>
          <w:rFonts w:ascii="Arial" w:cs="Arial" w:eastAsia="Arial" w:hAnsi="Arial"/>
          <w:sz w:val="12"/>
          <w:szCs w:val="12"/>
          <w:color w:val="auto"/>
        </w:rPr>
        <w:t>Additional Exhibits.</w:t>
      </w:r>
    </w:p>
    <w:p>
      <w:pPr>
        <w:spacing w:after="0" w:line="150" w:lineRule="exact"/>
        <w:rPr>
          <w:rFonts w:ascii="Arial" w:cs="Arial" w:eastAsia="Arial" w:hAnsi="Arial"/>
          <w:sz w:val="12"/>
          <w:szCs w:val="12"/>
          <w:color w:val="auto"/>
        </w:rPr>
      </w:pPr>
    </w:p>
    <w:p>
      <w:pPr>
        <w:ind w:left="1288" w:hanging="423"/>
        <w:spacing w:after="0"/>
        <w:tabs>
          <w:tab w:leader="none" w:pos="1288" w:val="left"/>
        </w:tabs>
        <w:numPr>
          <w:ilvl w:val="1"/>
          <w:numId w:val="28"/>
        </w:numPr>
        <w:rPr>
          <w:rFonts w:ascii="Arial" w:cs="Arial" w:eastAsia="Arial" w:hAnsi="Arial"/>
          <w:sz w:val="12"/>
          <w:szCs w:val="12"/>
          <w:u w:val="single" w:color="auto"/>
          <w:color w:val="0000EE"/>
        </w:rPr>
      </w:pPr>
      <w:r>
        <w:rPr>
          <w:rFonts w:ascii="Arial" w:cs="Arial" w:eastAsia="Arial" w:hAnsi="Arial"/>
          <w:sz w:val="12"/>
          <w:szCs w:val="12"/>
          <w:color w:val="auto"/>
        </w:rPr>
        <w:t>Summary of historical quarterly sales based on our new market classifications.</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520" w:type="dxa"/>
            <w:vAlign w:val="bottom"/>
          </w:tcPr>
          <w:p>
            <w:pPr>
              <w:jc w:val="right"/>
              <w:ind w:right="280"/>
              <w:spacing w:after="0"/>
              <w:rPr>
                <w:sz w:val="20"/>
                <w:szCs w:val="20"/>
                <w:color w:val="auto"/>
              </w:rPr>
            </w:pPr>
            <w:r>
              <w:rPr>
                <w:rFonts w:ascii="Arial" w:cs="Arial" w:eastAsia="Arial" w:hAnsi="Arial"/>
                <w:sz w:val="12"/>
                <w:szCs w:val="12"/>
                <w:color w:val="auto"/>
                <w:w w:val="79"/>
              </w:rPr>
              <w:t>101</w:t>
            </w:r>
          </w:p>
        </w:tc>
        <w:tc>
          <w:tcPr>
            <w:tcW w:w="3800" w:type="dxa"/>
            <w:vAlign w:val="bottom"/>
            <w:gridSpan w:val="2"/>
          </w:tcPr>
          <w:p>
            <w:pPr>
              <w:ind w:left="340"/>
              <w:spacing w:after="0"/>
              <w:rPr>
                <w:sz w:val="20"/>
                <w:szCs w:val="20"/>
                <w:color w:val="auto"/>
              </w:rPr>
            </w:pPr>
            <w:r>
              <w:rPr>
                <w:rFonts w:ascii="Arial" w:cs="Arial" w:eastAsia="Arial" w:hAnsi="Arial"/>
                <w:sz w:val="12"/>
                <w:szCs w:val="12"/>
                <w:color w:val="auto"/>
              </w:rPr>
              <w:t>Interactive Data File.</w:t>
            </w:r>
          </w:p>
        </w:tc>
      </w:tr>
      <w:tr>
        <w:trPr>
          <w:trHeight w:val="288"/>
        </w:trPr>
        <w:tc>
          <w:tcPr>
            <w:tcW w:w="52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2"/>
                <w:szCs w:val="12"/>
                <w:color w:val="auto"/>
              </w:rPr>
              <w:t>(INS)</w:t>
            </w:r>
          </w:p>
        </w:tc>
        <w:tc>
          <w:tcPr>
            <w:tcW w:w="3080" w:type="dxa"/>
            <w:vAlign w:val="bottom"/>
          </w:tcPr>
          <w:p>
            <w:pPr>
              <w:ind w:left="40"/>
              <w:spacing w:after="0"/>
              <w:rPr>
                <w:sz w:val="20"/>
                <w:szCs w:val="20"/>
                <w:color w:val="auto"/>
              </w:rPr>
            </w:pPr>
            <w:r>
              <w:rPr>
                <w:rFonts w:ascii="Arial" w:cs="Arial" w:eastAsia="Arial" w:hAnsi="Arial"/>
                <w:sz w:val="12"/>
                <w:szCs w:val="12"/>
                <w:color w:val="auto"/>
              </w:rPr>
              <w:t>XBRL Instance Document.</w:t>
            </w:r>
          </w:p>
        </w:tc>
      </w:tr>
      <w:tr>
        <w:trPr>
          <w:trHeight w:val="288"/>
        </w:trPr>
        <w:tc>
          <w:tcPr>
            <w:tcW w:w="52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2"/>
                <w:szCs w:val="12"/>
                <w:color w:val="auto"/>
              </w:rPr>
              <w:t>(SCH)</w:t>
            </w:r>
          </w:p>
        </w:tc>
        <w:tc>
          <w:tcPr>
            <w:tcW w:w="3080" w:type="dxa"/>
            <w:vAlign w:val="bottom"/>
          </w:tcPr>
          <w:p>
            <w:pPr>
              <w:ind w:left="40"/>
              <w:spacing w:after="0"/>
              <w:rPr>
                <w:sz w:val="20"/>
                <w:szCs w:val="20"/>
                <w:color w:val="auto"/>
              </w:rPr>
            </w:pPr>
            <w:r>
              <w:rPr>
                <w:rFonts w:ascii="Arial" w:cs="Arial" w:eastAsia="Arial" w:hAnsi="Arial"/>
                <w:sz w:val="12"/>
                <w:szCs w:val="12"/>
                <w:color w:val="auto"/>
              </w:rPr>
              <w:t>XBRL Schema Document.</w:t>
            </w:r>
          </w:p>
        </w:tc>
      </w:tr>
      <w:tr>
        <w:trPr>
          <w:trHeight w:val="288"/>
        </w:trPr>
        <w:tc>
          <w:tcPr>
            <w:tcW w:w="52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2"/>
                <w:szCs w:val="12"/>
                <w:color w:val="auto"/>
              </w:rPr>
              <w:t>(CAL)</w:t>
            </w:r>
          </w:p>
        </w:tc>
        <w:tc>
          <w:tcPr>
            <w:tcW w:w="3080" w:type="dxa"/>
            <w:vAlign w:val="bottom"/>
          </w:tcPr>
          <w:p>
            <w:pPr>
              <w:ind w:left="40"/>
              <w:spacing w:after="0"/>
              <w:rPr>
                <w:sz w:val="20"/>
                <w:szCs w:val="20"/>
                <w:color w:val="auto"/>
              </w:rPr>
            </w:pPr>
            <w:r>
              <w:rPr>
                <w:rFonts w:ascii="Arial" w:cs="Arial" w:eastAsia="Arial" w:hAnsi="Arial"/>
                <w:sz w:val="12"/>
                <w:szCs w:val="12"/>
                <w:color w:val="auto"/>
                <w:w w:val="93"/>
              </w:rPr>
              <w:t>XBRL Taxonomy Extension Calculation Linkbase Document.</w:t>
            </w:r>
          </w:p>
        </w:tc>
      </w:tr>
      <w:tr>
        <w:trPr>
          <w:trHeight w:val="288"/>
        </w:trPr>
        <w:tc>
          <w:tcPr>
            <w:tcW w:w="52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2"/>
                <w:szCs w:val="12"/>
                <w:color w:val="auto"/>
              </w:rPr>
              <w:t>(LAB)</w:t>
            </w:r>
          </w:p>
        </w:tc>
        <w:tc>
          <w:tcPr>
            <w:tcW w:w="3080" w:type="dxa"/>
            <w:vAlign w:val="bottom"/>
          </w:tcPr>
          <w:p>
            <w:pPr>
              <w:ind w:left="40"/>
              <w:spacing w:after="0"/>
              <w:rPr>
                <w:sz w:val="20"/>
                <w:szCs w:val="20"/>
                <w:color w:val="auto"/>
              </w:rPr>
            </w:pPr>
            <w:r>
              <w:rPr>
                <w:rFonts w:ascii="Arial" w:cs="Arial" w:eastAsia="Arial" w:hAnsi="Arial"/>
                <w:sz w:val="12"/>
                <w:szCs w:val="12"/>
                <w:color w:val="auto"/>
              </w:rPr>
              <w:t>XBRL Taxonomy Extension Label Linkbase Document.</w:t>
            </w:r>
          </w:p>
        </w:tc>
      </w:tr>
      <w:tr>
        <w:trPr>
          <w:trHeight w:val="288"/>
        </w:trPr>
        <w:tc>
          <w:tcPr>
            <w:tcW w:w="52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2"/>
                <w:szCs w:val="12"/>
                <w:color w:val="auto"/>
              </w:rPr>
              <w:t>(PRE)</w:t>
            </w:r>
          </w:p>
        </w:tc>
        <w:tc>
          <w:tcPr>
            <w:tcW w:w="3080" w:type="dxa"/>
            <w:vAlign w:val="bottom"/>
          </w:tcPr>
          <w:p>
            <w:pPr>
              <w:ind w:left="40"/>
              <w:spacing w:after="0"/>
              <w:rPr>
                <w:sz w:val="20"/>
                <w:szCs w:val="20"/>
                <w:color w:val="auto"/>
              </w:rPr>
            </w:pPr>
            <w:r>
              <w:rPr>
                <w:rFonts w:ascii="Arial" w:cs="Arial" w:eastAsia="Arial" w:hAnsi="Arial"/>
                <w:sz w:val="12"/>
                <w:szCs w:val="12"/>
                <w:color w:val="auto"/>
                <w:w w:val="91"/>
              </w:rPr>
              <w:t>XBRL Taxonomy Extension Presentation Linkbase Document.</w:t>
            </w:r>
          </w:p>
        </w:tc>
      </w:tr>
      <w:tr>
        <w:trPr>
          <w:trHeight w:val="288"/>
        </w:trPr>
        <w:tc>
          <w:tcPr>
            <w:tcW w:w="52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2"/>
                <w:szCs w:val="12"/>
                <w:color w:val="auto"/>
              </w:rPr>
              <w:t>(DEF)</w:t>
            </w:r>
          </w:p>
        </w:tc>
        <w:tc>
          <w:tcPr>
            <w:tcW w:w="3080" w:type="dxa"/>
            <w:vAlign w:val="bottom"/>
          </w:tcPr>
          <w:p>
            <w:pPr>
              <w:ind w:left="40"/>
              <w:spacing w:after="0"/>
              <w:rPr>
                <w:sz w:val="20"/>
                <w:szCs w:val="20"/>
                <w:color w:val="auto"/>
              </w:rPr>
            </w:pPr>
            <w:r>
              <w:rPr>
                <w:rFonts w:ascii="Arial" w:cs="Arial" w:eastAsia="Arial" w:hAnsi="Arial"/>
                <w:sz w:val="12"/>
                <w:szCs w:val="12"/>
                <w:color w:val="auto"/>
                <w:w w:val="96"/>
              </w:rPr>
              <w:t>XBRL Taxonomy Extension Definition Linkbase Document.</w:t>
            </w: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______________________________________</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 Indicates a compensatory arrangement.</w:t>
      </w:r>
    </w:p>
    <w:p>
      <w:pPr>
        <w:spacing w:after="0" w:line="300" w:lineRule="exact"/>
        <w:rPr>
          <w:sz w:val="20"/>
          <w:szCs w:val="20"/>
          <w:color w:val="auto"/>
        </w:rPr>
      </w:pPr>
    </w:p>
    <w:p>
      <w:pPr>
        <w:ind w:left="5688"/>
        <w:spacing w:after="0"/>
        <w:rPr>
          <w:sz w:val="20"/>
          <w:szCs w:val="20"/>
          <w:color w:val="auto"/>
        </w:rPr>
      </w:pPr>
      <w:r>
        <w:rPr>
          <w:rFonts w:ascii="Arial" w:cs="Arial" w:eastAsia="Arial" w:hAnsi="Arial"/>
          <w:sz w:val="10"/>
          <w:szCs w:val="1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731075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0247"/>
          </w:cols>
          <w:pgMar w:left="212" w:top="128" w:right="1440" w:bottom="1440" w:gutter="0" w:footer="0" w:header="0"/>
        </w:sectPr>
      </w:pPr>
    </w:p>
    <w:bookmarkStart w:id="33" w:name="page34"/>
    <w:bookmarkEnd w:id="33"/>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0755" cy="26035"/>
                    </a:xfrm>
                    <a:prstGeom prst="rect">
                      <a:avLst/>
                    </a:prstGeom>
                    <a:noFill/>
                  </pic:spPr>
                </pic:pic>
              </a:graphicData>
            </a:graphic>
          </wp:anchor>
        </w:drawing>
        <w:t>Exhibit 31(a)</w:t>
      </w:r>
    </w:p>
    <w:p>
      <w:pPr>
        <w:spacing w:after="0" w:line="16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Universal Forest Products, Inc.</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Matthew J. Missad, certify that:</w:t>
      </w:r>
    </w:p>
    <w:p>
      <w:pPr>
        <w:spacing w:after="0" w:line="159" w:lineRule="exact"/>
        <w:rPr>
          <w:sz w:val="20"/>
          <w:szCs w:val="20"/>
          <w:color w:val="auto"/>
        </w:rPr>
      </w:pPr>
    </w:p>
    <w:p>
      <w:pPr>
        <w:ind w:left="428" w:hanging="428"/>
        <w:spacing w:after="0"/>
        <w:tabs>
          <w:tab w:leader="none" w:pos="428" w:val="left"/>
        </w:tabs>
        <w:numPr>
          <w:ilvl w:val="0"/>
          <w:numId w:val="29"/>
        </w:numPr>
        <w:rPr>
          <w:rFonts w:ascii="Arial" w:cs="Arial" w:eastAsia="Arial" w:hAnsi="Arial"/>
          <w:sz w:val="12"/>
          <w:szCs w:val="12"/>
          <w:color w:val="auto"/>
        </w:rPr>
      </w:pPr>
      <w:r>
        <w:rPr>
          <w:rFonts w:ascii="Arial" w:cs="Arial" w:eastAsia="Arial" w:hAnsi="Arial"/>
          <w:sz w:val="12"/>
          <w:szCs w:val="12"/>
          <w:color w:val="auto"/>
        </w:rPr>
        <w:t>I have reviewed this report on Form 10-Q of Universal Forest Products, Inc.;</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2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2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2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2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32"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2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868" w:hanging="436"/>
        <w:spacing w:after="0"/>
        <w:tabs>
          <w:tab w:leader="none" w:pos="868" w:val="left"/>
        </w:tabs>
        <w:numPr>
          <w:ilvl w:val="1"/>
          <w:numId w:val="2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p>
      <w:pPr>
        <w:ind w:left="8"/>
        <w:spacing w:after="0"/>
        <w:tabs>
          <w:tab w:leader="none" w:pos="548" w:val="left"/>
          <w:tab w:leader="none" w:pos="6068"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August 1, 2011</w:t>
      </w:r>
      <w:r>
        <w:rPr>
          <w:sz w:val="20"/>
          <w:szCs w:val="20"/>
          <w:color w:val="auto"/>
        </w:rPr>
        <w:tab/>
      </w:r>
      <w:r>
        <w:rPr>
          <w:rFonts w:ascii="Arial" w:cs="Arial" w:eastAsia="Arial" w:hAnsi="Arial"/>
          <w:sz w:val="11"/>
          <w:szCs w:val="11"/>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15240</wp:posOffset>
            </wp:positionV>
            <wp:extent cx="1097915"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97915" cy="11430"/>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15240</wp:posOffset>
            </wp:positionV>
            <wp:extent cx="2550795"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50795" cy="11430"/>
                    </a:xfrm>
                    <a:prstGeom prst="rect">
                      <a:avLst/>
                    </a:prstGeom>
                    <a:noFill/>
                  </pic:spPr>
                </pic:pic>
              </a:graphicData>
            </a:graphic>
          </wp:anchor>
        </w:drawing>
      </w:r>
    </w:p>
    <w:p>
      <w:pPr>
        <w:spacing w:after="0" w:line="13" w:lineRule="exact"/>
        <w:rPr>
          <w:sz w:val="20"/>
          <w:szCs w:val="20"/>
          <w:color w:val="auto"/>
        </w:rPr>
      </w:pPr>
    </w:p>
    <w:p>
      <w:pPr>
        <w:ind w:left="6088"/>
        <w:spacing w:after="0"/>
        <w:rPr>
          <w:sz w:val="20"/>
          <w:szCs w:val="20"/>
          <w:color w:val="auto"/>
        </w:rPr>
      </w:pPr>
      <w:r>
        <w:rPr>
          <w:rFonts w:ascii="Arial" w:cs="Arial" w:eastAsia="Arial" w:hAnsi="Arial"/>
          <w:sz w:val="12"/>
          <w:szCs w:val="12"/>
          <w:color w:val="auto"/>
        </w:rPr>
        <w:t>Matthew J. Missad,</w:t>
      </w:r>
    </w:p>
    <w:p>
      <w:pPr>
        <w:spacing w:after="0" w:line="15" w:lineRule="exact"/>
        <w:rPr>
          <w:sz w:val="20"/>
          <w:szCs w:val="20"/>
          <w:color w:val="auto"/>
        </w:rPr>
      </w:pPr>
    </w:p>
    <w:p>
      <w:pPr>
        <w:ind w:left="6088"/>
        <w:spacing w:after="0"/>
        <w:rPr>
          <w:sz w:val="20"/>
          <w:szCs w:val="20"/>
          <w:color w:val="auto"/>
        </w:rPr>
      </w:pPr>
      <w:r>
        <w:rPr>
          <w:rFonts w:ascii="Arial" w:cs="Arial" w:eastAsia="Arial" w:hAnsi="Arial"/>
          <w:sz w:val="12"/>
          <w:szCs w:val="12"/>
          <w:color w:val="auto"/>
        </w:rPr>
        <w:t>Chief Executive Officer and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240665</wp:posOffset>
            </wp:positionV>
            <wp:extent cx="731075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239" w:right="199" w:bottom="1440" w:gutter="0" w:footer="0" w:header="0"/>
        </w:sectPr>
      </w:pPr>
    </w:p>
    <w:bookmarkStart w:id="34" w:name="page35"/>
    <w:bookmarkEnd w:id="34"/>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0755" cy="26035"/>
                    </a:xfrm>
                    <a:prstGeom prst="rect">
                      <a:avLst/>
                    </a:prstGeom>
                    <a:noFill/>
                  </pic:spPr>
                </pic:pic>
              </a:graphicData>
            </a:graphic>
          </wp:anchor>
        </w:drawing>
        <w:t>Exhibit 31(b)</w:t>
      </w:r>
    </w:p>
    <w:p>
      <w:pPr>
        <w:spacing w:after="0" w:line="16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Universal Forest Products, Inc.</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Michael R. Cole, certify that:</w:t>
      </w:r>
    </w:p>
    <w:p>
      <w:pPr>
        <w:spacing w:after="0" w:line="168" w:lineRule="exact"/>
        <w:rPr>
          <w:sz w:val="20"/>
          <w:szCs w:val="20"/>
          <w:color w:val="auto"/>
        </w:rPr>
      </w:pPr>
    </w:p>
    <w:p>
      <w:pPr>
        <w:ind w:left="428" w:hanging="428"/>
        <w:spacing w:after="0"/>
        <w:tabs>
          <w:tab w:leader="none" w:pos="428" w:val="left"/>
        </w:tabs>
        <w:numPr>
          <w:ilvl w:val="0"/>
          <w:numId w:val="30"/>
        </w:numPr>
        <w:rPr>
          <w:rFonts w:ascii="Arial" w:cs="Arial" w:eastAsia="Arial" w:hAnsi="Arial"/>
          <w:sz w:val="12"/>
          <w:szCs w:val="12"/>
          <w:color w:val="auto"/>
        </w:rPr>
      </w:pPr>
      <w:r>
        <w:rPr>
          <w:rFonts w:ascii="Arial" w:cs="Arial" w:eastAsia="Arial" w:hAnsi="Arial"/>
          <w:sz w:val="12"/>
          <w:szCs w:val="12"/>
          <w:color w:val="auto"/>
        </w:rPr>
        <w:t>I have reviewed this report on Form 10-Q of Universal Forest Products, Inc.;</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3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3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3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3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32"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3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868" w:hanging="436"/>
        <w:spacing w:after="0"/>
        <w:tabs>
          <w:tab w:leader="none" w:pos="868" w:val="left"/>
        </w:tabs>
        <w:numPr>
          <w:ilvl w:val="1"/>
          <w:numId w:val="3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p>
      <w:pPr>
        <w:ind w:left="28"/>
        <w:spacing w:after="0"/>
        <w:tabs>
          <w:tab w:leader="none" w:pos="588" w:val="left"/>
          <w:tab w:leader="none" w:pos="6068" w:val="left"/>
        </w:tabs>
        <w:rPr>
          <w:sz w:val="20"/>
          <w:szCs w:val="20"/>
          <w:color w:val="auto"/>
        </w:rPr>
      </w:pPr>
      <w:r>
        <w:rPr>
          <w:rFonts w:ascii="Arial" w:cs="Arial" w:eastAsia="Arial" w:hAnsi="Arial"/>
          <w:sz w:val="12"/>
          <w:szCs w:val="12"/>
          <w:color w:val="auto"/>
        </w:rPr>
        <w:t>Date :</w:t>
      </w:r>
      <w:r>
        <w:rPr>
          <w:sz w:val="20"/>
          <w:szCs w:val="20"/>
          <w:color w:val="auto"/>
        </w:rPr>
        <w:tab/>
      </w:r>
      <w:r>
        <w:rPr>
          <w:rFonts w:ascii="Arial" w:cs="Arial" w:eastAsia="Arial" w:hAnsi="Arial"/>
          <w:sz w:val="12"/>
          <w:szCs w:val="12"/>
          <w:color w:val="auto"/>
        </w:rPr>
        <w:t>August 1, 2011</w:t>
      </w:r>
      <w:r>
        <w:rPr>
          <w:sz w:val="20"/>
          <w:szCs w:val="20"/>
          <w:color w:val="auto"/>
        </w:rPr>
        <w:tab/>
      </w:r>
      <w:r>
        <w:rPr>
          <w:rFonts w:ascii="Arial" w:cs="Arial" w:eastAsia="Arial" w:hAnsi="Arial"/>
          <w:sz w:val="11"/>
          <w:szCs w:val="11"/>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15240</wp:posOffset>
            </wp:positionV>
            <wp:extent cx="102362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3620" cy="11430"/>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15240</wp:posOffset>
            </wp:positionV>
            <wp:extent cx="2550795"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50795" cy="11430"/>
                    </a:xfrm>
                    <a:prstGeom prst="rect">
                      <a:avLst/>
                    </a:prstGeom>
                    <a:noFill/>
                  </pic:spPr>
                </pic:pic>
              </a:graphicData>
            </a:graphic>
          </wp:anchor>
        </w:drawing>
      </w:r>
    </w:p>
    <w:p>
      <w:pPr>
        <w:spacing w:after="0" w:line="13" w:lineRule="exact"/>
        <w:rPr>
          <w:sz w:val="20"/>
          <w:szCs w:val="20"/>
          <w:color w:val="auto"/>
        </w:rPr>
      </w:pPr>
    </w:p>
    <w:p>
      <w:pPr>
        <w:ind w:left="6088"/>
        <w:spacing w:after="0"/>
        <w:rPr>
          <w:sz w:val="20"/>
          <w:szCs w:val="20"/>
          <w:color w:val="auto"/>
        </w:rPr>
      </w:pPr>
      <w:r>
        <w:rPr>
          <w:rFonts w:ascii="Arial" w:cs="Arial" w:eastAsia="Arial" w:hAnsi="Arial"/>
          <w:sz w:val="12"/>
          <w:szCs w:val="12"/>
          <w:color w:val="auto"/>
        </w:rPr>
        <w:t>Michael R. Cole,</w:t>
      </w:r>
    </w:p>
    <w:p>
      <w:pPr>
        <w:spacing w:after="0" w:line="15" w:lineRule="exact"/>
        <w:rPr>
          <w:sz w:val="20"/>
          <w:szCs w:val="20"/>
          <w:color w:val="auto"/>
        </w:rPr>
      </w:pPr>
    </w:p>
    <w:p>
      <w:pPr>
        <w:ind w:left="6088"/>
        <w:spacing w:after="0"/>
        <w:rPr>
          <w:sz w:val="20"/>
          <w:szCs w:val="20"/>
          <w:color w:val="auto"/>
        </w:rPr>
      </w:pPr>
      <w:r>
        <w:rPr>
          <w:rFonts w:ascii="Arial" w:cs="Arial" w:eastAsia="Arial" w:hAnsi="Arial"/>
          <w:sz w:val="12"/>
          <w:szCs w:val="12"/>
          <w:color w:val="auto"/>
        </w:rPr>
        <w:t>Chief Financial Officer, 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240665</wp:posOffset>
            </wp:positionV>
            <wp:extent cx="731075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239" w:right="199" w:bottom="1440" w:gutter="0" w:footer="0" w:header="0"/>
        </w:sectPr>
      </w:pPr>
    </w:p>
    <w:bookmarkStart w:id="35" w:name="page36"/>
    <w:bookmarkEnd w:id="35"/>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10755" cy="26035"/>
                    </a:xfrm>
                    <a:prstGeom prst="rect">
                      <a:avLst/>
                    </a:prstGeom>
                    <a:noFill/>
                  </pic:spPr>
                </pic:pic>
              </a:graphicData>
            </a:graphic>
          </wp:anchor>
        </w:drawing>
        <w:t>Exhibit 32(a)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CERTIFICATE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CHIEF EXECUTIVE OFFICER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UNIVERSAL FOREST PRODUCTS, INC.</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Section 906 of the Sarbanes-Oxley Act of 2002 (18 U.S.C. 1350):</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 Matthew J. Missad, Chief Executive Officer of Universal Forest Products, Inc., certify, to the best of my knowledge and belief, pursuant to Section 906 of the Sarbanes-Oxley Act of 2002 (18 U.S.C. 1350) that:</w:t>
      </w:r>
    </w:p>
    <w:p>
      <w:pPr>
        <w:spacing w:after="0" w:line="180" w:lineRule="exact"/>
        <w:rPr>
          <w:sz w:val="20"/>
          <w:szCs w:val="20"/>
          <w:color w:val="auto"/>
        </w:rPr>
      </w:pPr>
    </w:p>
    <w:p>
      <w:pPr>
        <w:ind w:left="680" w:hanging="256"/>
        <w:spacing w:after="0"/>
        <w:tabs>
          <w:tab w:leader="none" w:pos="680" w:val="left"/>
        </w:tabs>
        <w:numPr>
          <w:ilvl w:val="0"/>
          <w:numId w:val="31"/>
        </w:numPr>
        <w:rPr>
          <w:rFonts w:ascii="Arial" w:cs="Arial" w:eastAsia="Arial" w:hAnsi="Arial"/>
          <w:sz w:val="11"/>
          <w:szCs w:val="11"/>
          <w:color w:val="auto"/>
        </w:rPr>
      </w:pPr>
      <w:r>
        <w:rPr>
          <w:rFonts w:ascii="Arial" w:cs="Arial" w:eastAsia="Arial" w:hAnsi="Arial"/>
          <w:sz w:val="11"/>
          <w:szCs w:val="11"/>
          <w:color w:val="auto"/>
        </w:rPr>
        <w:t>The quarterly report on Form 10-Q for the quarterly period ended June 25, 2011, which this statement accompanies, fully complies with requirements of Section 13(a) or 15(d) of the Securities Exchange Act of 1934; and</w:t>
      </w:r>
    </w:p>
    <w:p>
      <w:pPr>
        <w:spacing w:after="0" w:line="179" w:lineRule="exact"/>
        <w:rPr>
          <w:rFonts w:ascii="Arial" w:cs="Arial" w:eastAsia="Arial" w:hAnsi="Arial"/>
          <w:sz w:val="11"/>
          <w:szCs w:val="11"/>
          <w:color w:val="auto"/>
        </w:rPr>
      </w:pPr>
    </w:p>
    <w:p>
      <w:pPr>
        <w:ind w:left="720" w:hanging="296"/>
        <w:spacing w:after="0"/>
        <w:tabs>
          <w:tab w:leader="none" w:pos="720" w:val="left"/>
        </w:tabs>
        <w:numPr>
          <w:ilvl w:val="0"/>
          <w:numId w:val="31"/>
        </w:numPr>
        <w:rPr>
          <w:rFonts w:ascii="Arial" w:cs="Arial" w:eastAsia="Arial" w:hAnsi="Arial"/>
          <w:sz w:val="11"/>
          <w:szCs w:val="11"/>
          <w:color w:val="auto"/>
        </w:rPr>
      </w:pPr>
      <w:r>
        <w:rPr>
          <w:rFonts w:ascii="Arial" w:cs="Arial" w:eastAsia="Arial" w:hAnsi="Arial"/>
          <w:sz w:val="11"/>
          <w:szCs w:val="11"/>
          <w:color w:val="auto"/>
        </w:rPr>
        <w:t>The information contained in this quarterly report on Form 10-Q for the quarterly period ended June 25, 2011 fairly presents, in all material respects, the financial condition and results of operations of Universal Forest</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Products, Inc.</w:t>
      </w:r>
    </w:p>
    <w:p>
      <w:pPr>
        <w:spacing w:after="0" w:line="159"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UNIVERSAL FOREST PRODUCTS, INC.</w:t>
      </w:r>
    </w:p>
    <w:p>
      <w:pPr>
        <w:spacing w:after="0" w:line="150" w:lineRule="exact"/>
        <w:rPr>
          <w:sz w:val="20"/>
          <w:szCs w:val="20"/>
          <w:color w:val="auto"/>
        </w:rPr>
      </w:pPr>
    </w:p>
    <w:p>
      <w:pPr>
        <w:spacing w:after="0"/>
        <w:tabs>
          <w:tab w:leader="none" w:pos="440" w:val="left"/>
          <w:tab w:leader="none" w:pos="5720" w:val="left"/>
          <w:tab w:leader="none" w:pos="606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August 1, 2011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15240</wp:posOffset>
            </wp:positionV>
            <wp:extent cx="1892935"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92935" cy="11430"/>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15240</wp:posOffset>
            </wp:positionV>
            <wp:extent cx="2550795"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50795" cy="11430"/>
                    </a:xfrm>
                    <a:prstGeom prst="rect">
                      <a:avLst/>
                    </a:prstGeom>
                    <a:noFill/>
                  </pic:spPr>
                </pic:pic>
              </a:graphicData>
            </a:graphic>
          </wp:anchor>
        </w:drawing>
      </w:r>
    </w:p>
    <w:p>
      <w:pPr>
        <w:spacing w:after="0" w:line="13"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Matthew J. Missad,</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Chief Executive Officer and Principal Executive Officer</w:t>
      </w:r>
    </w:p>
    <w:p>
      <w:pPr>
        <w:spacing w:after="0" w:line="159"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208915</wp:posOffset>
            </wp:positionV>
            <wp:extent cx="731075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239" w:right="199" w:bottom="1440" w:gutter="0" w:footer="0" w:header="0"/>
        </w:sectPr>
      </w:pPr>
    </w:p>
    <w:bookmarkStart w:id="36" w:name="page37"/>
    <w:bookmarkEnd w:id="36"/>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10755" cy="26035"/>
                    </a:xfrm>
                    <a:prstGeom prst="rect">
                      <a:avLst/>
                    </a:prstGeom>
                    <a:noFill/>
                  </pic:spPr>
                </pic:pic>
              </a:graphicData>
            </a:graphic>
          </wp:anchor>
        </w:drawing>
        <w:t>Exhibit 32(b)</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CERTIFICATE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CHIEF FINANCIAL OFFICER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UNIVERSAL FOREST PRODUCTS, INC.</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Section 906 of the Sarbanes-Oxley Act of 2002 (18 U.S.C. 1350):</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 Michael R. Cole, Chief Financial Officer of Universal Forest Products, Inc., certify, to the best of my knowledge and belief, pursuant to Section 906 of the Sarbanes-Oxley Act of 2002 (18 U.S.C. 1350) that:</w:t>
      </w:r>
    </w:p>
    <w:p>
      <w:pPr>
        <w:spacing w:after="0" w:line="168" w:lineRule="exact"/>
        <w:rPr>
          <w:sz w:val="20"/>
          <w:szCs w:val="20"/>
          <w:color w:val="auto"/>
        </w:rPr>
      </w:pPr>
    </w:p>
    <w:p>
      <w:pPr>
        <w:ind w:left="680" w:hanging="256"/>
        <w:spacing w:after="0"/>
        <w:tabs>
          <w:tab w:leader="none" w:pos="680"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 quarterly report on Form 10-Q for the quarterly period ended June 25, 2011, which this statement accompanies, fully complies with requirements of Section 13(a) or 15(d) of the Securities Exchange Act of 1934; and</w:t>
      </w:r>
    </w:p>
    <w:p>
      <w:pPr>
        <w:spacing w:after="0" w:line="179" w:lineRule="exact"/>
        <w:rPr>
          <w:rFonts w:ascii="Arial" w:cs="Arial" w:eastAsia="Arial" w:hAnsi="Arial"/>
          <w:sz w:val="11"/>
          <w:szCs w:val="11"/>
          <w:color w:val="auto"/>
        </w:rPr>
      </w:pPr>
    </w:p>
    <w:p>
      <w:pPr>
        <w:ind w:left="720" w:hanging="296"/>
        <w:spacing w:after="0"/>
        <w:tabs>
          <w:tab w:leader="none" w:pos="720"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 information contained in this quarterly report on Form 10-Q for the quarterly period ended June 25, 2011 fairly presents, in all material respects, the financial condition and results of operations of Universal Forest</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Products, Inc.</w:t>
      </w:r>
    </w:p>
    <w:p>
      <w:pPr>
        <w:spacing w:after="0" w:line="159"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UNIVERSAL FOREST PRODUCTS, INC.</w:t>
      </w:r>
    </w:p>
    <w:p>
      <w:pPr>
        <w:spacing w:after="0" w:line="150" w:lineRule="exact"/>
        <w:rPr>
          <w:sz w:val="20"/>
          <w:szCs w:val="20"/>
          <w:color w:val="auto"/>
        </w:rPr>
      </w:pPr>
    </w:p>
    <w:p>
      <w:pPr>
        <w:spacing w:after="0"/>
        <w:tabs>
          <w:tab w:leader="none" w:pos="440" w:val="left"/>
          <w:tab w:leader="none" w:pos="5640" w:val="left"/>
          <w:tab w:leader="none" w:pos="598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August 1, 2011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1835785"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35785" cy="11430"/>
                    </a:xfrm>
                    <a:prstGeom prst="rect">
                      <a:avLst/>
                    </a:prstGeom>
                    <a:noFill/>
                  </pic:spPr>
                </pic:pic>
              </a:graphicData>
            </a:graphic>
          </wp:anchor>
        </w:drawing>
        <w:drawing>
          <wp:anchor simplePos="0" relativeHeight="251657728" behindDoc="1" locked="0" layoutInCell="0" allowOverlap="1">
            <wp:simplePos x="0" y="0"/>
            <wp:positionH relativeFrom="column">
              <wp:posOffset>3815715</wp:posOffset>
            </wp:positionH>
            <wp:positionV relativeFrom="paragraph">
              <wp:posOffset>15240</wp:posOffset>
            </wp:positionV>
            <wp:extent cx="257937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79370" cy="11430"/>
                    </a:xfrm>
                    <a:prstGeom prst="rect">
                      <a:avLst/>
                    </a:prstGeom>
                    <a:noFill/>
                  </pic:spPr>
                </pic:pic>
              </a:graphicData>
            </a:graphic>
          </wp:anchor>
        </w:drawing>
      </w:r>
    </w:p>
    <w:p>
      <w:pPr>
        <w:spacing w:after="0" w:line="13"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Michael R. Cole,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Chief Financial Officer, Principal Financial Officer and Principal Accounting Officer</w:t>
      </w:r>
    </w:p>
    <w:p>
      <w:pPr>
        <w:spacing w:after="0" w:line="159"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208915</wp:posOffset>
            </wp:positionV>
            <wp:extent cx="731075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239" w:right="1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ind w:left="420"/>
              <w:spacing w:after="0"/>
              <w:rPr>
                <w:sz w:val="20"/>
                <w:szCs w:val="20"/>
                <w:color w:val="auto"/>
              </w:rPr>
            </w:pPr>
            <w:r>
              <w:rPr>
                <w:rFonts w:ascii="Arial" w:cs="Arial" w:eastAsia="Arial" w:hAnsi="Arial"/>
                <w:sz w:val="12"/>
                <w:szCs w:val="12"/>
                <w:color w:val="auto"/>
                <w:w w:val="94"/>
              </w:rPr>
              <w:t>Exhibit 99(a)</w:t>
            </w:r>
          </w:p>
        </w:tc>
      </w:tr>
      <w:tr>
        <w:trPr>
          <w:trHeight w:val="306"/>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200" w:type="dxa"/>
            <w:vAlign w:val="bottom"/>
            <w:gridSpan w:val="6"/>
          </w:tcPr>
          <w:p>
            <w:pPr>
              <w:jc w:val="right"/>
              <w:ind w:right="20"/>
              <w:spacing w:after="0"/>
              <w:rPr>
                <w:sz w:val="20"/>
                <w:szCs w:val="20"/>
                <w:color w:val="auto"/>
              </w:rPr>
            </w:pPr>
            <w:r>
              <w:rPr>
                <w:rFonts w:ascii="Arial" w:cs="Arial" w:eastAsia="Arial" w:hAnsi="Arial"/>
                <w:sz w:val="12"/>
                <w:szCs w:val="12"/>
                <w:color w:val="auto"/>
              </w:rPr>
              <w:t>HISTORICAL QUARTERLY SALES BASED ON OUR NEW MARKET CLASSIFICATIONS</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920" w:type="dxa"/>
            <w:vAlign w:val="bottom"/>
            <w:tcBorders>
              <w:top w:val="single" w:sz="8" w:color="auto"/>
              <w:bottom w:val="single" w:sz="8" w:color="auto"/>
            </w:tcBorders>
          </w:tcPr>
          <w:p>
            <w:pPr>
              <w:ind w:left="2100"/>
              <w:spacing w:after="0"/>
              <w:rPr>
                <w:sz w:val="20"/>
                <w:szCs w:val="20"/>
                <w:color w:val="auto"/>
              </w:rPr>
            </w:pPr>
            <w:r>
              <w:rPr>
                <w:rFonts w:ascii="Arial" w:cs="Arial" w:eastAsia="Arial" w:hAnsi="Arial"/>
                <w:sz w:val="12"/>
                <w:szCs w:val="12"/>
                <w:color w:val="auto"/>
              </w:rPr>
              <w:t>Market</w:t>
            </w:r>
          </w:p>
        </w:tc>
        <w:tc>
          <w:tcPr>
            <w:tcW w:w="1660" w:type="dxa"/>
            <w:vAlign w:val="bottom"/>
            <w:tcBorders>
              <w:top w:val="single" w:sz="8" w:color="auto"/>
              <w:bottom w:val="single" w:sz="8" w:color="auto"/>
              <w:right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Q1 2010</w:t>
            </w:r>
          </w:p>
        </w:tc>
        <w:tc>
          <w:tcPr>
            <w:tcW w:w="5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Q2 2010</w:t>
            </w:r>
          </w:p>
        </w:tc>
        <w:tc>
          <w:tcPr>
            <w:tcW w:w="7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Q3 2010</w:t>
            </w:r>
          </w:p>
        </w:tc>
        <w:tc>
          <w:tcPr>
            <w:tcW w:w="4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Q4 2010</w:t>
            </w:r>
          </w:p>
        </w:tc>
        <w:tc>
          <w:tcPr>
            <w:tcW w:w="2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2"/>
                <w:szCs w:val="12"/>
                <w:color w:val="auto"/>
              </w:rPr>
              <w:t>Total 2010</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Retail Building Materials</w:t>
            </w:r>
          </w:p>
        </w:tc>
        <w:tc>
          <w:tcPr>
            <w:tcW w:w="166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187,026</w:t>
            </w:r>
          </w:p>
        </w:tc>
        <w:tc>
          <w:tcPr>
            <w:tcW w:w="50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353,059</w:t>
            </w:r>
          </w:p>
        </w:tc>
        <w:tc>
          <w:tcPr>
            <w:tcW w:w="76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222,842</w:t>
            </w:r>
          </w:p>
        </w:tc>
        <w:tc>
          <w:tcPr>
            <w:tcW w:w="48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153,540</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916,467</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920" w:type="dxa"/>
            <w:vAlign w:val="bottom"/>
          </w:tcPr>
          <w:p>
            <w:pPr>
              <w:spacing w:after="0"/>
              <w:rPr>
                <w:sz w:val="20"/>
                <w:szCs w:val="20"/>
                <w:color w:val="auto"/>
              </w:rPr>
            </w:pPr>
            <w:r>
              <w:rPr>
                <w:rFonts w:ascii="Arial" w:cs="Arial" w:eastAsia="Arial" w:hAnsi="Arial"/>
                <w:sz w:val="12"/>
                <w:szCs w:val="12"/>
                <w:color w:val="auto"/>
              </w:rPr>
              <w:t>Industrial</w:t>
            </w:r>
          </w:p>
        </w:tc>
        <w:tc>
          <w:tcPr>
            <w:tcW w:w="16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95,591</w:t>
            </w:r>
          </w:p>
        </w:tc>
        <w:tc>
          <w:tcPr>
            <w:tcW w:w="50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129,073</w:t>
            </w:r>
          </w:p>
        </w:tc>
        <w:tc>
          <w:tcPr>
            <w:tcW w:w="760" w:type="dxa"/>
            <w:vAlign w:val="bottom"/>
          </w:tcPr>
          <w:p>
            <w:pPr>
              <w:spacing w:after="0"/>
              <w:rPr>
                <w:sz w:val="12"/>
                <w:szCs w:val="12"/>
                <w:color w:val="auto"/>
              </w:rPr>
            </w:pPr>
          </w:p>
        </w:tc>
        <w:tc>
          <w:tcPr>
            <w:tcW w:w="640" w:type="dxa"/>
            <w:vAlign w:val="bottom"/>
          </w:tcPr>
          <w:p>
            <w:pPr>
              <w:jc w:val="right"/>
              <w:ind w:right="80"/>
              <w:spacing w:after="0"/>
              <w:rPr>
                <w:sz w:val="20"/>
                <w:szCs w:val="20"/>
                <w:color w:val="auto"/>
              </w:rPr>
            </w:pPr>
            <w:r>
              <w:rPr>
                <w:rFonts w:ascii="Arial" w:cs="Arial" w:eastAsia="Arial" w:hAnsi="Arial"/>
                <w:sz w:val="12"/>
                <w:szCs w:val="12"/>
                <w:color w:val="auto"/>
              </w:rPr>
              <w:t>120,613</w:t>
            </w:r>
          </w:p>
        </w:tc>
        <w:tc>
          <w:tcPr>
            <w:tcW w:w="48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105,130</w:t>
            </w:r>
          </w:p>
        </w:tc>
        <w:tc>
          <w:tcPr>
            <w:tcW w:w="280" w:type="dxa"/>
            <w:vAlign w:val="bottom"/>
          </w:tcPr>
          <w:p>
            <w:pPr>
              <w:spacing w:after="0"/>
              <w:rPr>
                <w:sz w:val="12"/>
                <w:szCs w:val="12"/>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450,407</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Commercial Construction and Concrete Forming</w:t>
            </w:r>
          </w:p>
        </w:tc>
        <w:tc>
          <w:tcPr>
            <w:tcW w:w="166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14,389</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16,914</w:t>
            </w: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19,003</w:t>
            </w: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17,878</w:t>
            </w: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68,184</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920" w:type="dxa"/>
            <w:vAlign w:val="bottom"/>
          </w:tcPr>
          <w:p>
            <w:pPr>
              <w:spacing w:after="0"/>
              <w:rPr>
                <w:sz w:val="20"/>
                <w:szCs w:val="20"/>
                <w:color w:val="auto"/>
              </w:rPr>
            </w:pPr>
            <w:r>
              <w:rPr>
                <w:rFonts w:ascii="Arial" w:cs="Arial" w:eastAsia="Arial" w:hAnsi="Arial"/>
                <w:sz w:val="12"/>
                <w:szCs w:val="12"/>
                <w:color w:val="auto"/>
              </w:rPr>
              <w:t>Residential Construction</w:t>
            </w:r>
          </w:p>
        </w:tc>
        <w:tc>
          <w:tcPr>
            <w:tcW w:w="16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53,704</w:t>
            </w:r>
          </w:p>
        </w:tc>
        <w:tc>
          <w:tcPr>
            <w:tcW w:w="50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67,035</w:t>
            </w:r>
          </w:p>
        </w:tc>
        <w:tc>
          <w:tcPr>
            <w:tcW w:w="760" w:type="dxa"/>
            <w:vAlign w:val="bottom"/>
          </w:tcPr>
          <w:p>
            <w:pPr>
              <w:spacing w:after="0"/>
              <w:rPr>
                <w:sz w:val="12"/>
                <w:szCs w:val="12"/>
                <w:color w:val="auto"/>
              </w:rPr>
            </w:pPr>
          </w:p>
        </w:tc>
        <w:tc>
          <w:tcPr>
            <w:tcW w:w="640" w:type="dxa"/>
            <w:vAlign w:val="bottom"/>
          </w:tcPr>
          <w:p>
            <w:pPr>
              <w:jc w:val="right"/>
              <w:ind w:right="80"/>
              <w:spacing w:after="0"/>
              <w:rPr>
                <w:sz w:val="20"/>
                <w:szCs w:val="20"/>
                <w:color w:val="auto"/>
              </w:rPr>
            </w:pPr>
            <w:r>
              <w:rPr>
                <w:rFonts w:ascii="Arial" w:cs="Arial" w:eastAsia="Arial" w:hAnsi="Arial"/>
                <w:sz w:val="12"/>
                <w:szCs w:val="12"/>
                <w:color w:val="auto"/>
              </w:rPr>
              <w:t>62,857</w:t>
            </w:r>
          </w:p>
        </w:tc>
        <w:tc>
          <w:tcPr>
            <w:tcW w:w="48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57,718</w:t>
            </w:r>
          </w:p>
        </w:tc>
        <w:tc>
          <w:tcPr>
            <w:tcW w:w="280" w:type="dxa"/>
            <w:vAlign w:val="bottom"/>
          </w:tcPr>
          <w:p>
            <w:pPr>
              <w:spacing w:after="0"/>
              <w:rPr>
                <w:sz w:val="12"/>
                <w:szCs w:val="12"/>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241,314</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Manufactured Housing and Recreational Vehicles</w:t>
            </w:r>
          </w:p>
        </w:tc>
        <w:tc>
          <w:tcPr>
            <w:tcW w:w="1660" w:type="dxa"/>
            <w:vAlign w:val="bottom"/>
            <w:tcBorders>
              <w:bottom w:val="single" w:sz="8" w:color="CCEEFF"/>
              <w:right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48,936</w:t>
            </w:r>
          </w:p>
        </w:tc>
        <w:tc>
          <w:tcPr>
            <w:tcW w:w="5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82,831</w:t>
            </w:r>
          </w:p>
        </w:tc>
        <w:tc>
          <w:tcPr>
            <w:tcW w:w="7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64,175</w:t>
            </w:r>
          </w:p>
        </w:tc>
        <w:tc>
          <w:tcPr>
            <w:tcW w:w="4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49,828</w:t>
            </w:r>
          </w:p>
        </w:tc>
        <w:tc>
          <w:tcPr>
            <w:tcW w:w="2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245,770</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20"/>
                <w:szCs w:val="20"/>
                <w:color w:val="auto"/>
              </w:rPr>
            </w:pPr>
            <w:r>
              <w:rPr>
                <w:rFonts w:ascii="Arial" w:cs="Arial" w:eastAsia="Arial" w:hAnsi="Arial"/>
                <w:sz w:val="12"/>
                <w:szCs w:val="12"/>
                <w:color w:val="auto"/>
              </w:rPr>
              <w:t>Total Gross Sales</w:t>
            </w:r>
          </w:p>
        </w:tc>
        <w:tc>
          <w:tcPr>
            <w:tcW w:w="16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399,646</w:t>
            </w:r>
          </w:p>
        </w:tc>
        <w:tc>
          <w:tcPr>
            <w:tcW w:w="50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648,912</w:t>
            </w:r>
          </w:p>
        </w:tc>
        <w:tc>
          <w:tcPr>
            <w:tcW w:w="760" w:type="dxa"/>
            <w:vAlign w:val="bottom"/>
          </w:tcPr>
          <w:p>
            <w:pPr>
              <w:spacing w:after="0"/>
              <w:rPr>
                <w:sz w:val="12"/>
                <w:szCs w:val="12"/>
                <w:color w:val="auto"/>
              </w:rPr>
            </w:pPr>
          </w:p>
        </w:tc>
        <w:tc>
          <w:tcPr>
            <w:tcW w:w="640" w:type="dxa"/>
            <w:vAlign w:val="bottom"/>
          </w:tcPr>
          <w:p>
            <w:pPr>
              <w:jc w:val="right"/>
              <w:ind w:right="80"/>
              <w:spacing w:after="0"/>
              <w:rPr>
                <w:sz w:val="20"/>
                <w:szCs w:val="20"/>
                <w:color w:val="auto"/>
              </w:rPr>
            </w:pPr>
            <w:r>
              <w:rPr>
                <w:rFonts w:ascii="Arial" w:cs="Arial" w:eastAsia="Arial" w:hAnsi="Arial"/>
                <w:sz w:val="12"/>
                <w:szCs w:val="12"/>
                <w:color w:val="auto"/>
              </w:rPr>
              <w:t>489,490</w:t>
            </w:r>
          </w:p>
        </w:tc>
        <w:tc>
          <w:tcPr>
            <w:tcW w:w="48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384,094</w:t>
            </w:r>
          </w:p>
        </w:tc>
        <w:tc>
          <w:tcPr>
            <w:tcW w:w="280" w:type="dxa"/>
            <w:vAlign w:val="bottom"/>
          </w:tcPr>
          <w:p>
            <w:pPr>
              <w:spacing w:after="0"/>
              <w:rPr>
                <w:sz w:val="12"/>
                <w:szCs w:val="12"/>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1,922,142</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Sales Allowances</w:t>
            </w:r>
          </w:p>
        </w:tc>
        <w:tc>
          <w:tcPr>
            <w:tcW w:w="1660" w:type="dxa"/>
            <w:vAlign w:val="bottom"/>
            <w:tcBorders>
              <w:bottom w:val="single" w:sz="8" w:color="CCEEFF"/>
              <w:right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(6,688)</w:t>
            </w:r>
          </w:p>
        </w:tc>
        <w:tc>
          <w:tcPr>
            <w:tcW w:w="5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(10,277)</w:t>
            </w:r>
          </w:p>
        </w:tc>
        <w:tc>
          <w:tcPr>
            <w:tcW w:w="7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(8,916)</w:t>
            </w:r>
          </w:p>
        </w:tc>
        <w:tc>
          <w:tcPr>
            <w:tcW w:w="4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(5,409)</w:t>
            </w:r>
          </w:p>
        </w:tc>
        <w:tc>
          <w:tcPr>
            <w:tcW w:w="2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(31,291)</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Net Sales</w:t>
            </w:r>
          </w:p>
        </w:tc>
        <w:tc>
          <w:tcPr>
            <w:tcW w:w="166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392,958</w:t>
            </w:r>
          </w:p>
        </w:tc>
        <w:tc>
          <w:tcPr>
            <w:tcW w:w="50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638,635</w:t>
            </w:r>
          </w:p>
        </w:tc>
        <w:tc>
          <w:tcPr>
            <w:tcW w:w="76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480,574</w:t>
            </w:r>
          </w:p>
        </w:tc>
        <w:tc>
          <w:tcPr>
            <w:tcW w:w="4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378,685</w:t>
            </w:r>
          </w:p>
        </w:tc>
        <w:tc>
          <w:tcPr>
            <w:tcW w:w="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1,890,851</w:t>
            </w:r>
          </w:p>
        </w:tc>
        <w:tc>
          <w:tcPr>
            <w:tcW w:w="20" w:type="dxa"/>
            <w:vAlign w:val="bottom"/>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920" w:type="dxa"/>
            <w:vAlign w:val="bottom"/>
            <w:tcBorders>
              <w:top w:val="single" w:sz="8" w:color="auto"/>
              <w:bottom w:val="single" w:sz="8" w:color="auto"/>
            </w:tcBorders>
          </w:tcPr>
          <w:p>
            <w:pPr>
              <w:ind w:left="2100"/>
              <w:spacing w:after="0"/>
              <w:rPr>
                <w:sz w:val="20"/>
                <w:szCs w:val="20"/>
                <w:color w:val="auto"/>
              </w:rPr>
            </w:pPr>
            <w:r>
              <w:rPr>
                <w:rFonts w:ascii="Arial" w:cs="Arial" w:eastAsia="Arial" w:hAnsi="Arial"/>
                <w:sz w:val="12"/>
                <w:szCs w:val="12"/>
                <w:color w:val="auto"/>
              </w:rPr>
              <w:t>Market</w:t>
            </w:r>
          </w:p>
        </w:tc>
        <w:tc>
          <w:tcPr>
            <w:tcW w:w="1660" w:type="dxa"/>
            <w:vAlign w:val="bottom"/>
            <w:tcBorders>
              <w:top w:val="single" w:sz="8" w:color="auto"/>
              <w:bottom w:val="single" w:sz="8" w:color="auto"/>
              <w:right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Q1 2009</w:t>
            </w:r>
          </w:p>
        </w:tc>
        <w:tc>
          <w:tcPr>
            <w:tcW w:w="5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Q2 2009</w:t>
            </w:r>
          </w:p>
        </w:tc>
        <w:tc>
          <w:tcPr>
            <w:tcW w:w="7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Q3 2009</w:t>
            </w:r>
          </w:p>
        </w:tc>
        <w:tc>
          <w:tcPr>
            <w:tcW w:w="4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Q4 2009</w:t>
            </w:r>
          </w:p>
        </w:tc>
        <w:tc>
          <w:tcPr>
            <w:tcW w:w="2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2"/>
                <w:szCs w:val="12"/>
                <w:color w:val="auto"/>
              </w:rPr>
              <w:t>Total 2009</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Retail Building Materials</w:t>
            </w:r>
          </w:p>
        </w:tc>
        <w:tc>
          <w:tcPr>
            <w:tcW w:w="166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186,475</w:t>
            </w:r>
          </w:p>
        </w:tc>
        <w:tc>
          <w:tcPr>
            <w:tcW w:w="50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320,527</w:t>
            </w:r>
          </w:p>
        </w:tc>
        <w:tc>
          <w:tcPr>
            <w:tcW w:w="76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236,861</w:t>
            </w:r>
          </w:p>
        </w:tc>
        <w:tc>
          <w:tcPr>
            <w:tcW w:w="48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146,827</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890,691</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920" w:type="dxa"/>
            <w:vAlign w:val="bottom"/>
          </w:tcPr>
          <w:p>
            <w:pPr>
              <w:spacing w:after="0"/>
              <w:rPr>
                <w:sz w:val="20"/>
                <w:szCs w:val="20"/>
                <w:color w:val="auto"/>
              </w:rPr>
            </w:pPr>
            <w:r>
              <w:rPr>
                <w:rFonts w:ascii="Arial" w:cs="Arial" w:eastAsia="Arial" w:hAnsi="Arial"/>
                <w:sz w:val="12"/>
                <w:szCs w:val="12"/>
                <w:color w:val="auto"/>
              </w:rPr>
              <w:t>Industrial</w:t>
            </w:r>
          </w:p>
        </w:tc>
        <w:tc>
          <w:tcPr>
            <w:tcW w:w="16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76,837</w:t>
            </w:r>
          </w:p>
        </w:tc>
        <w:tc>
          <w:tcPr>
            <w:tcW w:w="50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93,157</w:t>
            </w:r>
          </w:p>
        </w:tc>
        <w:tc>
          <w:tcPr>
            <w:tcW w:w="760" w:type="dxa"/>
            <w:vAlign w:val="bottom"/>
          </w:tcPr>
          <w:p>
            <w:pPr>
              <w:spacing w:after="0"/>
              <w:rPr>
                <w:sz w:val="12"/>
                <w:szCs w:val="12"/>
                <w:color w:val="auto"/>
              </w:rPr>
            </w:pPr>
          </w:p>
        </w:tc>
        <w:tc>
          <w:tcPr>
            <w:tcW w:w="640" w:type="dxa"/>
            <w:vAlign w:val="bottom"/>
          </w:tcPr>
          <w:p>
            <w:pPr>
              <w:jc w:val="right"/>
              <w:ind w:right="80"/>
              <w:spacing w:after="0"/>
              <w:rPr>
                <w:sz w:val="20"/>
                <w:szCs w:val="20"/>
                <w:color w:val="auto"/>
              </w:rPr>
            </w:pPr>
            <w:r>
              <w:rPr>
                <w:rFonts w:ascii="Arial" w:cs="Arial" w:eastAsia="Arial" w:hAnsi="Arial"/>
                <w:sz w:val="12"/>
                <w:szCs w:val="12"/>
                <w:color w:val="auto"/>
              </w:rPr>
              <w:t>99,476</w:t>
            </w:r>
          </w:p>
        </w:tc>
        <w:tc>
          <w:tcPr>
            <w:tcW w:w="48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84,534</w:t>
            </w:r>
          </w:p>
        </w:tc>
        <w:tc>
          <w:tcPr>
            <w:tcW w:w="280" w:type="dxa"/>
            <w:vAlign w:val="bottom"/>
          </w:tcPr>
          <w:p>
            <w:pPr>
              <w:spacing w:after="0"/>
              <w:rPr>
                <w:sz w:val="12"/>
                <w:szCs w:val="12"/>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354,004</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Commercial Construction and Concrete Forming</w:t>
            </w:r>
          </w:p>
        </w:tc>
        <w:tc>
          <w:tcPr>
            <w:tcW w:w="166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16,969</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16,372</w:t>
            </w: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18,828</w:t>
            </w: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19,404</w:t>
            </w: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71,573</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920" w:type="dxa"/>
            <w:vAlign w:val="bottom"/>
          </w:tcPr>
          <w:p>
            <w:pPr>
              <w:spacing w:after="0"/>
              <w:rPr>
                <w:sz w:val="20"/>
                <w:szCs w:val="20"/>
                <w:color w:val="auto"/>
              </w:rPr>
            </w:pPr>
            <w:r>
              <w:rPr>
                <w:rFonts w:ascii="Arial" w:cs="Arial" w:eastAsia="Arial" w:hAnsi="Arial"/>
                <w:sz w:val="12"/>
                <w:szCs w:val="12"/>
                <w:color w:val="auto"/>
              </w:rPr>
              <w:t>Residential Construction</w:t>
            </w:r>
          </w:p>
        </w:tc>
        <w:tc>
          <w:tcPr>
            <w:tcW w:w="16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51,571</w:t>
            </w:r>
          </w:p>
        </w:tc>
        <w:tc>
          <w:tcPr>
            <w:tcW w:w="50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52,778</w:t>
            </w:r>
          </w:p>
        </w:tc>
        <w:tc>
          <w:tcPr>
            <w:tcW w:w="760" w:type="dxa"/>
            <w:vAlign w:val="bottom"/>
          </w:tcPr>
          <w:p>
            <w:pPr>
              <w:spacing w:after="0"/>
              <w:rPr>
                <w:sz w:val="12"/>
                <w:szCs w:val="12"/>
                <w:color w:val="auto"/>
              </w:rPr>
            </w:pPr>
          </w:p>
        </w:tc>
        <w:tc>
          <w:tcPr>
            <w:tcW w:w="640" w:type="dxa"/>
            <w:vAlign w:val="bottom"/>
          </w:tcPr>
          <w:p>
            <w:pPr>
              <w:jc w:val="right"/>
              <w:ind w:right="80"/>
              <w:spacing w:after="0"/>
              <w:rPr>
                <w:sz w:val="20"/>
                <w:szCs w:val="20"/>
                <w:color w:val="auto"/>
              </w:rPr>
            </w:pPr>
            <w:r>
              <w:rPr>
                <w:rFonts w:ascii="Arial" w:cs="Arial" w:eastAsia="Arial" w:hAnsi="Arial"/>
                <w:sz w:val="12"/>
                <w:szCs w:val="12"/>
                <w:color w:val="auto"/>
              </w:rPr>
              <w:t>60,074</w:t>
            </w:r>
          </w:p>
        </w:tc>
        <w:tc>
          <w:tcPr>
            <w:tcW w:w="48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45,496</w:t>
            </w:r>
          </w:p>
        </w:tc>
        <w:tc>
          <w:tcPr>
            <w:tcW w:w="280" w:type="dxa"/>
            <w:vAlign w:val="bottom"/>
          </w:tcPr>
          <w:p>
            <w:pPr>
              <w:spacing w:after="0"/>
              <w:rPr>
                <w:sz w:val="12"/>
                <w:szCs w:val="12"/>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209,919</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Manufactured Housing and Recreational Vehicles</w:t>
            </w:r>
          </w:p>
        </w:tc>
        <w:tc>
          <w:tcPr>
            <w:tcW w:w="1660" w:type="dxa"/>
            <w:vAlign w:val="bottom"/>
            <w:tcBorders>
              <w:bottom w:val="single" w:sz="8" w:color="CCEEFF"/>
              <w:right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37,255</w:t>
            </w:r>
          </w:p>
        </w:tc>
        <w:tc>
          <w:tcPr>
            <w:tcW w:w="5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45,485</w:t>
            </w:r>
          </w:p>
        </w:tc>
        <w:tc>
          <w:tcPr>
            <w:tcW w:w="7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54,252</w:t>
            </w:r>
          </w:p>
        </w:tc>
        <w:tc>
          <w:tcPr>
            <w:tcW w:w="4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49,186</w:t>
            </w:r>
          </w:p>
        </w:tc>
        <w:tc>
          <w:tcPr>
            <w:tcW w:w="2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186,178</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20"/>
                <w:szCs w:val="20"/>
                <w:color w:val="auto"/>
              </w:rPr>
            </w:pPr>
            <w:r>
              <w:rPr>
                <w:rFonts w:ascii="Arial" w:cs="Arial" w:eastAsia="Arial" w:hAnsi="Arial"/>
                <w:sz w:val="12"/>
                <w:szCs w:val="12"/>
                <w:color w:val="auto"/>
              </w:rPr>
              <w:t>Total Gross Sales</w:t>
            </w:r>
          </w:p>
        </w:tc>
        <w:tc>
          <w:tcPr>
            <w:tcW w:w="16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369,107</w:t>
            </w:r>
          </w:p>
        </w:tc>
        <w:tc>
          <w:tcPr>
            <w:tcW w:w="50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528,319</w:t>
            </w:r>
          </w:p>
        </w:tc>
        <w:tc>
          <w:tcPr>
            <w:tcW w:w="760" w:type="dxa"/>
            <w:vAlign w:val="bottom"/>
          </w:tcPr>
          <w:p>
            <w:pPr>
              <w:spacing w:after="0"/>
              <w:rPr>
                <w:sz w:val="12"/>
                <w:szCs w:val="12"/>
                <w:color w:val="auto"/>
              </w:rPr>
            </w:pPr>
          </w:p>
        </w:tc>
        <w:tc>
          <w:tcPr>
            <w:tcW w:w="640" w:type="dxa"/>
            <w:vAlign w:val="bottom"/>
          </w:tcPr>
          <w:p>
            <w:pPr>
              <w:jc w:val="right"/>
              <w:ind w:right="80"/>
              <w:spacing w:after="0"/>
              <w:rPr>
                <w:sz w:val="20"/>
                <w:szCs w:val="20"/>
                <w:color w:val="auto"/>
              </w:rPr>
            </w:pPr>
            <w:r>
              <w:rPr>
                <w:rFonts w:ascii="Arial" w:cs="Arial" w:eastAsia="Arial" w:hAnsi="Arial"/>
                <w:sz w:val="12"/>
                <w:szCs w:val="12"/>
                <w:color w:val="auto"/>
              </w:rPr>
              <w:t>469,491</w:t>
            </w:r>
          </w:p>
        </w:tc>
        <w:tc>
          <w:tcPr>
            <w:tcW w:w="48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345,447</w:t>
            </w:r>
          </w:p>
        </w:tc>
        <w:tc>
          <w:tcPr>
            <w:tcW w:w="280" w:type="dxa"/>
            <w:vAlign w:val="bottom"/>
          </w:tcPr>
          <w:p>
            <w:pPr>
              <w:spacing w:after="0"/>
              <w:rPr>
                <w:sz w:val="12"/>
                <w:szCs w:val="12"/>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1,712,365</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Sales Allowances</w:t>
            </w:r>
          </w:p>
        </w:tc>
        <w:tc>
          <w:tcPr>
            <w:tcW w:w="1660" w:type="dxa"/>
            <w:vAlign w:val="bottom"/>
            <w:tcBorders>
              <w:bottom w:val="single" w:sz="8" w:color="CCEEFF"/>
              <w:right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(7,385)</w:t>
            </w:r>
          </w:p>
        </w:tc>
        <w:tc>
          <w:tcPr>
            <w:tcW w:w="5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(13,374)</w:t>
            </w:r>
          </w:p>
        </w:tc>
        <w:tc>
          <w:tcPr>
            <w:tcW w:w="7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(11,723)</w:t>
            </w:r>
          </w:p>
        </w:tc>
        <w:tc>
          <w:tcPr>
            <w:tcW w:w="4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(6,882)</w:t>
            </w:r>
          </w:p>
        </w:tc>
        <w:tc>
          <w:tcPr>
            <w:tcW w:w="2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(39,365)</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Net Sales</w:t>
            </w:r>
          </w:p>
        </w:tc>
        <w:tc>
          <w:tcPr>
            <w:tcW w:w="166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361,722</w:t>
            </w:r>
          </w:p>
        </w:tc>
        <w:tc>
          <w:tcPr>
            <w:tcW w:w="50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514,945</w:t>
            </w:r>
          </w:p>
        </w:tc>
        <w:tc>
          <w:tcPr>
            <w:tcW w:w="76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457,768</w:t>
            </w:r>
          </w:p>
        </w:tc>
        <w:tc>
          <w:tcPr>
            <w:tcW w:w="4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338,565</w:t>
            </w:r>
          </w:p>
        </w:tc>
        <w:tc>
          <w:tcPr>
            <w:tcW w:w="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1,673,000</w:t>
            </w:r>
          </w:p>
        </w:tc>
        <w:tc>
          <w:tcPr>
            <w:tcW w:w="20" w:type="dxa"/>
            <w:vAlign w:val="bottom"/>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920" w:type="dxa"/>
            <w:vAlign w:val="bottom"/>
            <w:tcBorders>
              <w:top w:val="single" w:sz="8" w:color="auto"/>
              <w:bottom w:val="single" w:sz="8" w:color="auto"/>
            </w:tcBorders>
          </w:tcPr>
          <w:p>
            <w:pPr>
              <w:ind w:left="2100"/>
              <w:spacing w:after="0"/>
              <w:rPr>
                <w:sz w:val="20"/>
                <w:szCs w:val="20"/>
                <w:color w:val="auto"/>
              </w:rPr>
            </w:pPr>
            <w:r>
              <w:rPr>
                <w:rFonts w:ascii="Arial" w:cs="Arial" w:eastAsia="Arial" w:hAnsi="Arial"/>
                <w:sz w:val="12"/>
                <w:szCs w:val="12"/>
                <w:color w:val="auto"/>
              </w:rPr>
              <w:t>Market</w:t>
            </w:r>
          </w:p>
        </w:tc>
        <w:tc>
          <w:tcPr>
            <w:tcW w:w="1660" w:type="dxa"/>
            <w:vAlign w:val="bottom"/>
            <w:tcBorders>
              <w:top w:val="single" w:sz="8" w:color="auto"/>
              <w:bottom w:val="single" w:sz="8" w:color="auto"/>
              <w:right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Q1 2008</w:t>
            </w:r>
          </w:p>
        </w:tc>
        <w:tc>
          <w:tcPr>
            <w:tcW w:w="5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Q2 2008</w:t>
            </w:r>
          </w:p>
        </w:tc>
        <w:tc>
          <w:tcPr>
            <w:tcW w:w="7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Q3 2008</w:t>
            </w:r>
          </w:p>
        </w:tc>
        <w:tc>
          <w:tcPr>
            <w:tcW w:w="4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Q4 2008</w:t>
            </w:r>
          </w:p>
        </w:tc>
        <w:tc>
          <w:tcPr>
            <w:tcW w:w="2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2"/>
                <w:szCs w:val="12"/>
                <w:color w:val="auto"/>
              </w:rPr>
              <w:t>Total 2008</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Retail Building Materials</w:t>
            </w:r>
          </w:p>
        </w:tc>
        <w:tc>
          <w:tcPr>
            <w:tcW w:w="166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201,800</w:t>
            </w:r>
          </w:p>
        </w:tc>
        <w:tc>
          <w:tcPr>
            <w:tcW w:w="50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374,326</w:t>
            </w:r>
          </w:p>
        </w:tc>
        <w:tc>
          <w:tcPr>
            <w:tcW w:w="76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285,595</w:t>
            </w:r>
          </w:p>
        </w:tc>
        <w:tc>
          <w:tcPr>
            <w:tcW w:w="48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174,006</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1,035,727</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920" w:type="dxa"/>
            <w:vAlign w:val="bottom"/>
          </w:tcPr>
          <w:p>
            <w:pPr>
              <w:spacing w:after="0"/>
              <w:rPr>
                <w:sz w:val="20"/>
                <w:szCs w:val="20"/>
                <w:color w:val="auto"/>
              </w:rPr>
            </w:pPr>
            <w:r>
              <w:rPr>
                <w:rFonts w:ascii="Arial" w:cs="Arial" w:eastAsia="Arial" w:hAnsi="Arial"/>
                <w:sz w:val="12"/>
                <w:szCs w:val="12"/>
                <w:color w:val="auto"/>
              </w:rPr>
              <w:t>Industrial</w:t>
            </w:r>
          </w:p>
        </w:tc>
        <w:tc>
          <w:tcPr>
            <w:tcW w:w="16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102,570</w:t>
            </w:r>
          </w:p>
        </w:tc>
        <w:tc>
          <w:tcPr>
            <w:tcW w:w="50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123,048</w:t>
            </w:r>
          </w:p>
        </w:tc>
        <w:tc>
          <w:tcPr>
            <w:tcW w:w="760" w:type="dxa"/>
            <w:vAlign w:val="bottom"/>
          </w:tcPr>
          <w:p>
            <w:pPr>
              <w:spacing w:after="0"/>
              <w:rPr>
                <w:sz w:val="12"/>
                <w:szCs w:val="12"/>
                <w:color w:val="auto"/>
              </w:rPr>
            </w:pPr>
          </w:p>
        </w:tc>
        <w:tc>
          <w:tcPr>
            <w:tcW w:w="640" w:type="dxa"/>
            <w:vAlign w:val="bottom"/>
          </w:tcPr>
          <w:p>
            <w:pPr>
              <w:jc w:val="right"/>
              <w:ind w:right="80"/>
              <w:spacing w:after="0"/>
              <w:rPr>
                <w:sz w:val="20"/>
                <w:szCs w:val="20"/>
                <w:color w:val="auto"/>
              </w:rPr>
            </w:pPr>
            <w:r>
              <w:rPr>
                <w:rFonts w:ascii="Arial" w:cs="Arial" w:eastAsia="Arial" w:hAnsi="Arial"/>
                <w:sz w:val="12"/>
                <w:szCs w:val="12"/>
                <w:color w:val="auto"/>
              </w:rPr>
              <w:t>119,869</w:t>
            </w:r>
          </w:p>
        </w:tc>
        <w:tc>
          <w:tcPr>
            <w:tcW w:w="48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91,477</w:t>
            </w:r>
          </w:p>
        </w:tc>
        <w:tc>
          <w:tcPr>
            <w:tcW w:w="280" w:type="dxa"/>
            <w:vAlign w:val="bottom"/>
          </w:tcPr>
          <w:p>
            <w:pPr>
              <w:spacing w:after="0"/>
              <w:rPr>
                <w:sz w:val="12"/>
                <w:szCs w:val="12"/>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436,964</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Commercial Construction and Concrete Forming</w:t>
            </w:r>
          </w:p>
        </w:tc>
        <w:tc>
          <w:tcPr>
            <w:tcW w:w="166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25,696</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29,793</w:t>
            </w: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30,565</w:t>
            </w: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30,157</w:t>
            </w: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116,211</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920" w:type="dxa"/>
            <w:vAlign w:val="bottom"/>
          </w:tcPr>
          <w:p>
            <w:pPr>
              <w:spacing w:after="0"/>
              <w:rPr>
                <w:sz w:val="20"/>
                <w:szCs w:val="20"/>
                <w:color w:val="auto"/>
              </w:rPr>
            </w:pPr>
            <w:r>
              <w:rPr>
                <w:rFonts w:ascii="Arial" w:cs="Arial" w:eastAsia="Arial" w:hAnsi="Arial"/>
                <w:sz w:val="12"/>
                <w:szCs w:val="12"/>
                <w:color w:val="auto"/>
              </w:rPr>
              <w:t>Residential Construction</w:t>
            </w:r>
          </w:p>
        </w:tc>
        <w:tc>
          <w:tcPr>
            <w:tcW w:w="16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90,858</w:t>
            </w:r>
          </w:p>
        </w:tc>
        <w:tc>
          <w:tcPr>
            <w:tcW w:w="50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112,987</w:t>
            </w:r>
          </w:p>
        </w:tc>
        <w:tc>
          <w:tcPr>
            <w:tcW w:w="760" w:type="dxa"/>
            <w:vAlign w:val="bottom"/>
          </w:tcPr>
          <w:p>
            <w:pPr>
              <w:spacing w:after="0"/>
              <w:rPr>
                <w:sz w:val="12"/>
                <w:szCs w:val="12"/>
                <w:color w:val="auto"/>
              </w:rPr>
            </w:pPr>
          </w:p>
        </w:tc>
        <w:tc>
          <w:tcPr>
            <w:tcW w:w="640" w:type="dxa"/>
            <w:vAlign w:val="bottom"/>
          </w:tcPr>
          <w:p>
            <w:pPr>
              <w:jc w:val="right"/>
              <w:ind w:right="80"/>
              <w:spacing w:after="0"/>
              <w:rPr>
                <w:sz w:val="20"/>
                <w:szCs w:val="20"/>
                <w:color w:val="auto"/>
              </w:rPr>
            </w:pPr>
            <w:r>
              <w:rPr>
                <w:rFonts w:ascii="Arial" w:cs="Arial" w:eastAsia="Arial" w:hAnsi="Arial"/>
                <w:sz w:val="12"/>
                <w:szCs w:val="12"/>
                <w:color w:val="auto"/>
              </w:rPr>
              <w:t>100,264</w:t>
            </w:r>
          </w:p>
        </w:tc>
        <w:tc>
          <w:tcPr>
            <w:tcW w:w="48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72,661</w:t>
            </w:r>
          </w:p>
        </w:tc>
        <w:tc>
          <w:tcPr>
            <w:tcW w:w="280" w:type="dxa"/>
            <w:vAlign w:val="bottom"/>
          </w:tcPr>
          <w:p>
            <w:pPr>
              <w:spacing w:after="0"/>
              <w:rPr>
                <w:sz w:val="12"/>
                <w:szCs w:val="12"/>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376,770</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Manufactured Housing and Recreational Vehicles</w:t>
            </w:r>
          </w:p>
        </w:tc>
        <w:tc>
          <w:tcPr>
            <w:tcW w:w="1660" w:type="dxa"/>
            <w:vAlign w:val="bottom"/>
            <w:tcBorders>
              <w:bottom w:val="single" w:sz="8" w:color="CCEEFF"/>
              <w:right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77,593</w:t>
            </w:r>
          </w:p>
        </w:tc>
        <w:tc>
          <w:tcPr>
            <w:tcW w:w="5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85,444</w:t>
            </w:r>
          </w:p>
        </w:tc>
        <w:tc>
          <w:tcPr>
            <w:tcW w:w="7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86,580</w:t>
            </w:r>
          </w:p>
        </w:tc>
        <w:tc>
          <w:tcPr>
            <w:tcW w:w="4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58,902</w:t>
            </w:r>
          </w:p>
        </w:tc>
        <w:tc>
          <w:tcPr>
            <w:tcW w:w="2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308,519</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20"/>
                <w:szCs w:val="20"/>
                <w:color w:val="auto"/>
              </w:rPr>
            </w:pPr>
            <w:r>
              <w:rPr>
                <w:rFonts w:ascii="Arial" w:cs="Arial" w:eastAsia="Arial" w:hAnsi="Arial"/>
                <w:sz w:val="12"/>
                <w:szCs w:val="12"/>
                <w:color w:val="auto"/>
              </w:rPr>
              <w:t>Total Gross Sales</w:t>
            </w:r>
          </w:p>
        </w:tc>
        <w:tc>
          <w:tcPr>
            <w:tcW w:w="16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498,517</w:t>
            </w:r>
          </w:p>
        </w:tc>
        <w:tc>
          <w:tcPr>
            <w:tcW w:w="50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725,598</w:t>
            </w:r>
          </w:p>
        </w:tc>
        <w:tc>
          <w:tcPr>
            <w:tcW w:w="760" w:type="dxa"/>
            <w:vAlign w:val="bottom"/>
          </w:tcPr>
          <w:p>
            <w:pPr>
              <w:spacing w:after="0"/>
              <w:rPr>
                <w:sz w:val="12"/>
                <w:szCs w:val="12"/>
                <w:color w:val="auto"/>
              </w:rPr>
            </w:pPr>
          </w:p>
        </w:tc>
        <w:tc>
          <w:tcPr>
            <w:tcW w:w="640" w:type="dxa"/>
            <w:vAlign w:val="bottom"/>
          </w:tcPr>
          <w:p>
            <w:pPr>
              <w:jc w:val="right"/>
              <w:ind w:right="80"/>
              <w:spacing w:after="0"/>
              <w:rPr>
                <w:sz w:val="20"/>
                <w:szCs w:val="20"/>
                <w:color w:val="auto"/>
              </w:rPr>
            </w:pPr>
            <w:r>
              <w:rPr>
                <w:rFonts w:ascii="Arial" w:cs="Arial" w:eastAsia="Arial" w:hAnsi="Arial"/>
                <w:sz w:val="12"/>
                <w:szCs w:val="12"/>
                <w:color w:val="auto"/>
              </w:rPr>
              <w:t>622,873</w:t>
            </w:r>
          </w:p>
        </w:tc>
        <w:tc>
          <w:tcPr>
            <w:tcW w:w="48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427,203</w:t>
            </w:r>
          </w:p>
        </w:tc>
        <w:tc>
          <w:tcPr>
            <w:tcW w:w="280" w:type="dxa"/>
            <w:vAlign w:val="bottom"/>
          </w:tcPr>
          <w:p>
            <w:pPr>
              <w:spacing w:after="0"/>
              <w:rPr>
                <w:sz w:val="12"/>
                <w:szCs w:val="12"/>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2,274,191</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Sales Allowances</w:t>
            </w:r>
          </w:p>
        </w:tc>
        <w:tc>
          <w:tcPr>
            <w:tcW w:w="1660" w:type="dxa"/>
            <w:vAlign w:val="bottom"/>
            <w:tcBorders>
              <w:bottom w:val="single" w:sz="8" w:color="CCEEFF"/>
              <w:right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(9,005)</w:t>
            </w:r>
          </w:p>
        </w:tc>
        <w:tc>
          <w:tcPr>
            <w:tcW w:w="5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(17,113)</w:t>
            </w:r>
          </w:p>
        </w:tc>
        <w:tc>
          <w:tcPr>
            <w:tcW w:w="7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(12,129)</w:t>
            </w:r>
          </w:p>
        </w:tc>
        <w:tc>
          <w:tcPr>
            <w:tcW w:w="4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(3,550)</w:t>
            </w:r>
          </w:p>
        </w:tc>
        <w:tc>
          <w:tcPr>
            <w:tcW w:w="2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(41,797)</w:t>
            </w:r>
          </w:p>
        </w:tc>
        <w:tc>
          <w:tcPr>
            <w:tcW w:w="20" w:type="dxa"/>
            <w:vAlign w:val="bottom"/>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Net Sales</w:t>
            </w:r>
          </w:p>
        </w:tc>
        <w:tc>
          <w:tcPr>
            <w:tcW w:w="166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489,512</w:t>
            </w:r>
          </w:p>
        </w:tc>
        <w:tc>
          <w:tcPr>
            <w:tcW w:w="50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708,485</w:t>
            </w:r>
          </w:p>
        </w:tc>
        <w:tc>
          <w:tcPr>
            <w:tcW w:w="76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610,744</w:t>
            </w:r>
          </w:p>
        </w:tc>
        <w:tc>
          <w:tcPr>
            <w:tcW w:w="4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423,653</w:t>
            </w:r>
          </w:p>
        </w:tc>
        <w:tc>
          <w:tcPr>
            <w:tcW w:w="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2,232,394</w:t>
            </w:r>
          </w:p>
        </w:tc>
        <w:tc>
          <w:tcPr>
            <w:tcW w:w="20" w:type="dxa"/>
            <w:vAlign w:val="bottom"/>
          </w:tcPr>
          <w:p>
            <w:pPr>
              <w:spacing w:after="0"/>
              <w:rPr>
                <w:sz w:val="12"/>
                <w:szCs w:val="12"/>
                <w:color w:val="auto"/>
              </w:rPr>
            </w:pPr>
          </w:p>
        </w:tc>
      </w:tr>
      <w:tr>
        <w:trPr>
          <w:trHeight w:val="398"/>
        </w:trPr>
        <w:tc>
          <w:tcPr>
            <w:tcW w:w="20" w:type="dxa"/>
            <w:vAlign w:val="bottom"/>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266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10755" cy="26670"/>
                    </a:xfrm>
                    <a:prstGeom prst="rect">
                      <a:avLst/>
                    </a:prstGeom>
                    <a:noFill/>
                  </pic:spPr>
                </pic:pic>
              </a:graphicData>
            </a:graphic>
          </wp:anchor>
        </w:drawing>
        <w:drawing>
          <wp:anchor simplePos="0" relativeHeight="251657728" behindDoc="1" locked="0" layoutInCell="0" allowOverlap="1">
            <wp:simplePos x="0" y="0"/>
            <wp:positionH relativeFrom="column">
              <wp:posOffset>7289165</wp:posOffset>
            </wp:positionH>
            <wp:positionV relativeFrom="paragraph">
              <wp:posOffset>-11430</wp:posOffset>
            </wp:positionV>
            <wp:extent cx="1270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sectPr>
      <w:pgSz w:w="11900" w:h="16838" w:orient="portrait"/>
      <w:cols w:equalWidth="0" w:num="1">
        <w:col w:w="11500"/>
      </w:cols>
      <w:pgMar w:left="220" w:top="239"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1."/>
      <w:numFmt w:val="upperLetter"/>
      <w:start w:val="1"/>
    </w:lvl>
  </w:abstractNum>
  <w:abstractNum w:abstractNumId="3">
    <w:nsid w:val="431BD7B7"/>
    <w:multiLevelType w:val="hybridMultilevel"/>
    <w:lvl w:ilvl="0">
      <w:lvlJc w:val="left"/>
      <w:lvlText w:val="%1."/>
      <w:numFmt w:val="upperLetter"/>
      <w:start w:val="2"/>
    </w:lvl>
  </w:abstractNum>
  <w:abstractNum w:abstractNumId="4">
    <w:nsid w:val="3F2DBA31"/>
    <w:multiLevelType w:val="hybridMultilevel"/>
    <w:lvl w:ilvl="0">
      <w:lvlJc w:val="left"/>
      <w:lvlText w:val="%1."/>
      <w:numFmt w:val="upperLetter"/>
      <w:start w:val="3"/>
    </w:lvl>
  </w:abstractNum>
  <w:abstractNum w:abstractNumId="5">
    <w:nsid w:val="7C83E458"/>
    <w:multiLevelType w:val="hybridMultilevel"/>
    <w:lvl w:ilvl="0">
      <w:lvlJc w:val="left"/>
      <w:lvlText w:val="%1."/>
      <w:numFmt w:val="upperLetter"/>
      <w:start w:val="4"/>
    </w:lvl>
  </w:abstractNum>
  <w:abstractNum w:abstractNumId="6">
    <w:nsid w:val="257130A3"/>
    <w:multiLevelType w:val="hybridMultilevel"/>
    <w:lvl w:ilvl="0">
      <w:lvlJc w:val="left"/>
      <w:lvlText w:val="%1."/>
      <w:numFmt w:val="upperLetter"/>
      <w:start w:val="5"/>
    </w:lvl>
  </w:abstractNum>
  <w:abstractNum w:abstractNumId="7">
    <w:nsid w:val="62BBD95A"/>
    <w:multiLevelType w:val="hybridMultilevel"/>
    <w:lvl w:ilvl="0">
      <w:lvlJc w:val="left"/>
      <w:lvlText w:val="%1."/>
      <w:numFmt w:val="upperLetter"/>
      <w:start w:val="6"/>
    </w:lvl>
  </w:abstractNum>
  <w:abstractNum w:abstractNumId="8">
    <w:nsid w:val="436C6125"/>
    <w:multiLevelType w:val="hybridMultilevel"/>
    <w:lvl w:ilvl="0">
      <w:lvlJc w:val="left"/>
      <w:lvlText w:val="%1."/>
      <w:numFmt w:val="upperLetter"/>
      <w:start w:val="7"/>
    </w:lvl>
  </w:abstractNum>
  <w:abstractNum w:abstractNumId="9">
    <w:nsid w:val="628C895D"/>
    <w:multiLevelType w:val="hybridMultilevel"/>
    <w:lvl w:ilvl="0">
      <w:lvlJc w:val="left"/>
      <w:lvlText w:val="%1."/>
      <w:numFmt w:val="upperLetter"/>
      <w:start w:val="8"/>
    </w:lvl>
  </w:abstractNum>
  <w:abstractNum w:abstractNumId="10">
    <w:nsid w:val="333AB105"/>
    <w:multiLevelType w:val="hybridMultilevel"/>
    <w:lvl w:ilvl="0">
      <w:lvlJc w:val="left"/>
      <w:lvlText w:val="%1."/>
      <w:numFmt w:val="upperLetter"/>
      <w:start w:val="9"/>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lvl w:ilvl="1">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1"/>
      <w:numFmt w:val="lowerLetter"/>
      <w:start w:val="1"/>
    </w:lvl>
    <w:lvl w:ilvl="1">
      <w:lvlJc w:val="left"/>
      <w:lvlText w:val="(%2)"/>
      <w:numFmt w:val="lowerLetter"/>
      <w:start w:val="1"/>
    </w:lvl>
  </w:abstractNum>
  <w:abstractNum w:abstractNumId="21">
    <w:nsid w:val="54E49EB4"/>
    <w:multiLevelType w:val="hybridMultilevel"/>
    <w:lvl w:ilvl="0">
      <w:lvlJc w:val="left"/>
      <w:lvlText w:val="(%1)"/>
      <w:numFmt w:val="lowerLetter"/>
      <w:start w:val="2"/>
    </w:lvl>
    <w:lvl w:ilvl="1">
      <w:lvlJc w:val="left"/>
      <w:lvlText w:val="%2"/>
      <w:numFmt w:val="lowerLetter"/>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31"/>
    </w:lvl>
    <w:lvl w:ilvl="1">
      <w:lvlJc w:val="left"/>
      <w:lvlText w:val="(%2)"/>
      <w:numFmt w:val="lowerLetter"/>
      <w:start w:val="1"/>
    </w:lvl>
  </w:abstractNum>
  <w:abstractNum w:abstractNumId="24">
    <w:nsid w:val="836C40E"/>
    <w:multiLevelType w:val="hybridMultilevel"/>
    <w:lvl w:ilvl="0">
      <w:lvlJc w:val="left"/>
      <w:lvlText w:val="%1"/>
      <w:numFmt w:val="decimal"/>
      <w:start w:val="99"/>
    </w:lvl>
    <w:lvl w:ilvl="1">
      <w:lvlJc w:val="left"/>
      <w:lvlText w:val="%2"/>
      <w:numFmt w:val="lowerLetter"/>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31"/>
    </w:lvl>
    <w:lvl w:ilvl="1">
      <w:lvlJc w:val="left"/>
      <w:lvlText w:val="(%2)"/>
      <w:numFmt w:val="lowerLetter"/>
      <w:start w:val="1"/>
    </w:lvl>
  </w:abstractNum>
  <w:abstractNum w:abstractNumId="27">
    <w:nsid w:val="8138641"/>
    <w:multiLevelType w:val="hybridMultilevel"/>
    <w:lvl w:ilvl="0">
      <w:lvlJc w:val="left"/>
      <w:lvlText w:val="%1"/>
      <w:numFmt w:val="decimal"/>
      <w:start w:val="99"/>
    </w:lvl>
    <w:lvl w:ilvl="1">
      <w:lvlJc w:val="left"/>
      <w:lvlText w:val="(%2)"/>
      <w:numFmt w:val="lowerLetter"/>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2019-12-10T12:59:41Z</dcterms:created>
  <dcterms:modified xsi:type="dcterms:W3CDTF">2019-12-10T12:59:41Z</dcterms:modified>
</cp:coreProperties>
</file>