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Proxy Statement Pursuant to Section 14(a) of the Securities</w:t>
      </w:r>
    </w:p>
    <w:p>
      <w:pPr>
        <w:jc w:val="center"/>
        <w:ind w:right="-19"/>
        <w:spacing w:after="0"/>
        <w:tabs>
          <w:tab w:leader="none" w:pos="220" w:val="left"/>
        </w:tabs>
        <w:rPr>
          <w:sz w:val="20"/>
          <w:szCs w:val="20"/>
          <w:color w:val="auto"/>
        </w:rPr>
      </w:pPr>
      <w:r>
        <w:rPr>
          <w:rFonts w:ascii="Arial" w:cs="Arial" w:eastAsia="Arial" w:hAnsi="Arial"/>
          <w:sz w:val="17"/>
          <w:szCs w:val="17"/>
          <w:color w:val="auto"/>
        </w:rPr>
        <w:t>Exchange Act of 1934 (Amendment No.</w:t>
        <w:tab/>
        <w:t>)</w:t>
      </w:r>
    </w:p>
    <w:p>
      <w:pPr>
        <w:spacing w:after="0" w:line="164" w:lineRule="exact"/>
        <w:rPr>
          <w:sz w:val="20"/>
          <w:szCs w:val="20"/>
          <w:color w:val="auto"/>
        </w:rPr>
      </w:pPr>
    </w:p>
    <w:p>
      <w:pPr>
        <w:ind w:left="360"/>
        <w:spacing w:after="0" w:line="196" w:lineRule="exact"/>
        <w:tabs>
          <w:tab w:leader="none" w:pos="218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72" w:lineRule="exact"/>
        <w:rPr>
          <w:sz w:val="20"/>
          <w:szCs w:val="20"/>
          <w:color w:val="auto"/>
        </w:rPr>
      </w:pPr>
    </w:p>
    <w:p>
      <w:pPr>
        <w:ind w:left="360"/>
        <w:spacing w:after="0"/>
        <w:tabs>
          <w:tab w:leader="none" w:pos="356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Arial" w:cs="Arial" w:eastAsia="Arial" w:hAnsi="Arial"/>
          <w:sz w:val="14"/>
          <w:szCs w:val="14"/>
          <w:color w:val="auto"/>
        </w:rPr>
        <w:t>o</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Check the appropriate box:</w:t>
      </w:r>
    </w:p>
    <w:p>
      <w:pPr>
        <w:spacing w:after="0" w:line="247" w:lineRule="exact"/>
        <w:rPr>
          <w:sz w:val="20"/>
          <w:szCs w:val="20"/>
          <w:color w:val="auto"/>
        </w:rPr>
      </w:pPr>
    </w:p>
    <w:p>
      <w:pPr>
        <w:ind w:left="580" w:hanging="224"/>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18" w:lineRule="exact"/>
        <w:rPr>
          <w:rFonts w:ascii="Arial" w:cs="Arial" w:eastAsia="Arial" w:hAnsi="Arial"/>
          <w:sz w:val="17"/>
          <w:szCs w:val="17"/>
          <w:color w:val="auto"/>
        </w:rPr>
      </w:pPr>
    </w:p>
    <w:p>
      <w:pPr>
        <w:ind w:left="580" w:hanging="224"/>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7" w:lineRule="exact"/>
        <w:rPr>
          <w:rFonts w:ascii="Arial" w:cs="Arial" w:eastAsia="Arial" w:hAnsi="Arial"/>
          <w:sz w:val="17"/>
          <w:szCs w:val="17"/>
          <w:color w:val="auto"/>
        </w:rPr>
      </w:pPr>
    </w:p>
    <w:p>
      <w:pPr>
        <w:ind w:left="360"/>
        <w:spacing w:after="0" w:line="196"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70" w:lineRule="exact"/>
        <w:rPr>
          <w:rFonts w:ascii="Arial" w:cs="Arial" w:eastAsia="Arial" w:hAnsi="Arial"/>
          <w:sz w:val="17"/>
          <w:szCs w:val="17"/>
          <w:color w:val="auto"/>
        </w:rPr>
      </w:pPr>
    </w:p>
    <w:p>
      <w:pPr>
        <w:ind w:left="580" w:hanging="224"/>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38" w:lineRule="exact"/>
        <w:rPr>
          <w:rFonts w:ascii="Arial" w:cs="Arial" w:eastAsia="Arial" w:hAnsi="Arial"/>
          <w:sz w:val="17"/>
          <w:szCs w:val="17"/>
          <w:color w:val="auto"/>
        </w:rPr>
      </w:pPr>
    </w:p>
    <w:p>
      <w:pPr>
        <w:ind w:left="580" w:hanging="224"/>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31"/>
          <w:szCs w:val="31"/>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6440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200025</wp:posOffset>
            </wp:positionV>
            <wp:extent cx="726440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Payment of Filing Fee (Check the appropriate box):</w:t>
      </w:r>
    </w:p>
    <w:p>
      <w:pPr>
        <w:spacing w:after="0" w:line="208" w:lineRule="exact"/>
        <w:rPr>
          <w:sz w:val="20"/>
          <w:szCs w:val="20"/>
          <w:color w:val="auto"/>
        </w:rPr>
      </w:pPr>
    </w:p>
    <w:p>
      <w:pPr>
        <w:ind w:left="660" w:hanging="304"/>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39" w:lineRule="exact"/>
        <w:rPr>
          <w:sz w:val="20"/>
          <w:szCs w:val="20"/>
          <w:color w:val="auto"/>
        </w:rPr>
      </w:pPr>
    </w:p>
    <w:p>
      <w:pPr>
        <w:ind w:left="580" w:hanging="224"/>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7" w:lineRule="exact"/>
        <w:rPr>
          <w:rFonts w:ascii="Arial" w:cs="Arial" w:eastAsia="Arial" w:hAnsi="Arial"/>
          <w:sz w:val="17"/>
          <w:szCs w:val="17"/>
          <w:color w:val="auto"/>
        </w:rPr>
      </w:pPr>
    </w:p>
    <w:p>
      <w:pPr>
        <w:ind w:left="840" w:hanging="20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820" w:hanging="182"/>
        <w:spacing w:after="0"/>
        <w:tabs>
          <w:tab w:leader="none" w:pos="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360" w:right="60" w:firstLine="278"/>
        <w:spacing w:after="0" w:line="249" w:lineRule="auto"/>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840" w:hanging="20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840" w:hanging="20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-1642745</wp:posOffset>
            </wp:positionV>
            <wp:extent cx="726440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-1221105</wp:posOffset>
            </wp:positionV>
            <wp:extent cx="726440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-700405</wp:posOffset>
            </wp:positionV>
            <wp:extent cx="726440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-278765</wp:posOffset>
            </wp:positionV>
            <wp:extent cx="726440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142240</wp:posOffset>
            </wp:positionV>
            <wp:extent cx="726440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60" w:hanging="222"/>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360" w:right="200" w:firstLine="278"/>
        <w:spacing w:after="0" w:line="265" w:lineRule="auto"/>
        <w:tabs>
          <w:tab w:leader="none" w:pos="868"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0" w:lineRule="exact"/>
        <w:rPr>
          <w:rFonts w:ascii="Arial" w:cs="Arial" w:eastAsia="Arial" w:hAnsi="Arial"/>
          <w:sz w:val="17"/>
          <w:szCs w:val="17"/>
          <w:color w:val="auto"/>
        </w:rPr>
      </w:pPr>
    </w:p>
    <w:p>
      <w:pPr>
        <w:ind w:left="820" w:hanging="182"/>
        <w:spacing w:after="0"/>
        <w:tabs>
          <w:tab w:leader="none" w:pos="8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840" w:hanging="202"/>
        <w:spacing w:after="0"/>
        <w:tabs>
          <w:tab w:leader="none" w:pos="8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840" w:hanging="202"/>
        <w:spacing w:after="0"/>
        <w:tabs>
          <w:tab w:leader="none" w:pos="8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840" w:hanging="202"/>
        <w:spacing w:after="0"/>
        <w:tabs>
          <w:tab w:leader="none" w:pos="84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-1932305</wp:posOffset>
            </wp:positionV>
            <wp:extent cx="726440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-1122045</wp:posOffset>
            </wp:positionV>
            <wp:extent cx="726440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-700405</wp:posOffset>
            </wp:positionV>
            <wp:extent cx="726440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-278765</wp:posOffset>
            </wp:positionV>
            <wp:extent cx="726440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142240</wp:posOffset>
            </wp:positionV>
            <wp:extent cx="726440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7"/>
                <w:szCs w:val="17"/>
                <w:b w:val="1"/>
                <w:bCs w:val="1"/>
                <w:color w:val="auto"/>
              </w:rPr>
              <w:t>Persons who are to respond to the collection of information contained in this form are not required to respond</w:t>
            </w:r>
          </w:p>
        </w:tc>
      </w:tr>
      <w:tr>
        <w:trPr>
          <w:trHeight w:val="223"/>
        </w:trPr>
        <w:tc>
          <w:tcPr>
            <w:tcW w:w="1840" w:type="dxa"/>
            <w:vAlign w:val="bottom"/>
          </w:tcPr>
          <w:p>
            <w:pPr>
              <w:spacing w:after="0"/>
              <w:rPr>
                <w:sz w:val="20"/>
                <w:szCs w:val="20"/>
                <w:color w:val="auto"/>
              </w:rPr>
            </w:pPr>
            <w:r>
              <w:rPr>
                <w:rFonts w:ascii="Arial" w:cs="Arial" w:eastAsia="Arial" w:hAnsi="Arial"/>
                <w:sz w:val="17"/>
                <w:szCs w:val="17"/>
                <w:color w:val="auto"/>
              </w:rPr>
              <w:t>SEC 1913 (11-01)</w:t>
            </w:r>
          </w:p>
        </w:tc>
        <w:tc>
          <w:tcPr>
            <w:tcW w:w="9580" w:type="dxa"/>
            <w:vAlign w:val="bottom"/>
          </w:tcPr>
          <w:p>
            <w:pPr>
              <w:ind w:left="460"/>
              <w:spacing w:after="0"/>
              <w:rPr>
                <w:sz w:val="20"/>
                <w:szCs w:val="20"/>
                <w:color w:val="auto"/>
              </w:rPr>
            </w:pPr>
            <w:r>
              <w:rPr>
                <w:rFonts w:ascii="Arial" w:cs="Arial" w:eastAsia="Arial" w:hAnsi="Arial"/>
                <w:sz w:val="17"/>
                <w:szCs w:val="17"/>
                <w:b w:val="1"/>
                <w:bCs w:val="1"/>
                <w:color w:val="auto"/>
              </w:rPr>
              <w:t>unless the form displays a currently valid OMB control number.</w:t>
            </w:r>
          </w:p>
        </w:tc>
      </w:tr>
      <w:tr>
        <w:trPr>
          <w:trHeight w:val="207"/>
        </w:trPr>
        <w:tc>
          <w:tcPr>
            <w:tcW w:w="1840" w:type="dxa"/>
            <w:vAlign w:val="bottom"/>
            <w:tcBorders>
              <w:bottom w:val="single" w:sz="8" w:color="808080"/>
            </w:tcBorders>
          </w:tcPr>
          <w:p>
            <w:pPr>
              <w:spacing w:after="0"/>
              <w:rPr>
                <w:sz w:val="17"/>
                <w:szCs w:val="17"/>
                <w:color w:val="auto"/>
              </w:rPr>
            </w:pPr>
          </w:p>
        </w:tc>
        <w:tc>
          <w:tcPr>
            <w:tcW w:w="95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453" w:gutter="0" w:footer="0" w:header="0"/>
        </w:sectPr>
      </w:pPr>
    </w:p>
    <w:bookmarkStart w:id="2" w:name="page3"/>
    <w:bookmarkEnd w:id="2"/>
    <w:p>
      <w:pPr>
        <w:jc w:val="center"/>
        <w:ind w:right="-25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0"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SOLICITATION OF PROXIES</w:t>
        </w:r>
      </w:hyperlink>
    </w:p>
    <w:p>
      <w:pPr>
        <w:spacing w:after="0" w:line="232"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VOTING AT THE MEETING</w:t>
        </w:r>
      </w:hyperlink>
    </w:p>
    <w:p>
      <w:pPr>
        <w:spacing w:after="0" w:line="233" w:lineRule="auto"/>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VOTING SECURITIES</w:t>
        </w:r>
      </w:hyperlink>
    </w:p>
    <w:p>
      <w:pPr>
        <w:spacing w:after="0" w:line="233" w:lineRule="auto"/>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ELECTION OF DIRECTORS</w:t>
        </w:r>
      </w:hyperlink>
    </w:p>
    <w:p>
      <w:pPr>
        <w:spacing w:after="0" w:line="1" w:lineRule="exact"/>
        <w:rPr>
          <w:sz w:val="20"/>
          <w:szCs w:val="20"/>
          <w:color w:val="auto"/>
        </w:rPr>
      </w:pPr>
    </w:p>
    <w:p>
      <w:pPr>
        <w:ind w:right="4000"/>
        <w:spacing w:after="0" w:line="244" w:lineRule="auto"/>
        <w:rPr>
          <w:rFonts w:ascii="Arial" w:cs="Arial" w:eastAsia="Arial" w:hAnsi="Arial"/>
          <w:sz w:val="20"/>
          <w:szCs w:val="20"/>
          <w:u w:val="single" w:color="auto"/>
          <w:color w:val="0000EE"/>
        </w:rPr>
      </w:pPr>
      <w:hyperlink w:anchor="page10">
        <w:r>
          <w:rPr>
            <w:rFonts w:ascii="Arial" w:cs="Arial" w:eastAsia="Arial" w:hAnsi="Arial"/>
            <w:sz w:val="20"/>
            <w:szCs w:val="20"/>
            <w:u w:val="single" w:color="auto"/>
            <w:color w:val="0000EE"/>
          </w:rPr>
          <w:t>CORPORATE GOVERNANCE AND BOARD MATTERS</w:t>
        </w:r>
      </w:hyperlink>
      <w:r>
        <w:rPr>
          <w:rFonts w:ascii="Arial" w:cs="Arial" w:eastAsia="Arial" w:hAnsi="Arial"/>
          <w:sz w:val="20"/>
          <w:szCs w:val="20"/>
          <w:u w:val="single" w:color="auto"/>
          <w:color w:val="0000EE"/>
        </w:rPr>
        <w:t xml:space="preserve"> </w:t>
      </w:r>
      <w:hyperlink w:anchor="page14">
        <w:r>
          <w:rPr>
            <w:rFonts w:ascii="Arial" w:cs="Arial" w:eastAsia="Arial" w:hAnsi="Arial"/>
            <w:sz w:val="20"/>
            <w:szCs w:val="20"/>
            <w:u w:val="single" w:color="auto"/>
            <w:color w:val="0000EE"/>
          </w:rPr>
          <w:t>RATIFICATION OF ERNST &amp; YOUNG LLP AS INDEPENDENT</w:t>
        </w:r>
      </w:hyperlink>
      <w:r>
        <w:rPr>
          <w:rFonts w:ascii="Arial" w:cs="Arial" w:eastAsia="Arial" w:hAnsi="Arial"/>
          <w:sz w:val="20"/>
          <w:szCs w:val="20"/>
          <w:u w:val="single" w:color="auto"/>
          <w:color w:val="0000EE"/>
        </w:rPr>
        <w:t xml:space="preserve"> </w:t>
      </w:r>
      <w:hyperlink w:anchor="page14">
        <w:r>
          <w:rPr>
            <w:rFonts w:ascii="Arial" w:cs="Arial" w:eastAsia="Arial" w:hAnsi="Arial"/>
            <w:sz w:val="20"/>
            <w:szCs w:val="20"/>
            <w:u w:val="single" w:color="auto"/>
            <w:color w:val="0000EE"/>
          </w:rPr>
          <w:t>REGISTERED PUBLIC ACCOUNTING FIRM FOR FISCAL 2011</w:t>
        </w:r>
      </w:hyperlink>
    </w:p>
    <w:p>
      <w:pPr>
        <w:spacing w:after="0" w:line="2" w:lineRule="exact"/>
        <w:rPr>
          <w:rFonts w:ascii="Arial" w:cs="Arial" w:eastAsia="Arial" w:hAnsi="Arial"/>
          <w:sz w:val="20"/>
          <w:szCs w:val="20"/>
          <w:u w:val="single" w:color="auto"/>
          <w:color w:val="0000EE"/>
        </w:rPr>
      </w:pPr>
    </w:p>
    <w:p>
      <w:pPr>
        <w:ind w:right="1640"/>
        <w:spacing w:after="0" w:line="232" w:lineRule="auto"/>
        <w:rPr>
          <w:rFonts w:ascii="Arial" w:cs="Arial" w:eastAsia="Arial" w:hAnsi="Arial"/>
          <w:sz w:val="21"/>
          <w:szCs w:val="21"/>
          <w:u w:val="single" w:color="auto"/>
          <w:color w:val="0000EE"/>
        </w:rPr>
      </w:pPr>
      <w:hyperlink w:anchor="page15">
        <w:r>
          <w:rPr>
            <w:rFonts w:ascii="Arial" w:cs="Arial" w:eastAsia="Arial" w:hAnsi="Arial"/>
            <w:sz w:val="21"/>
            <w:szCs w:val="21"/>
            <w:u w:val="single" w:color="auto"/>
            <w:color w:val="0000EE"/>
          </w:rPr>
          <w:t>INDEPENDENT REGISTERED PUBLIC ACCOUNTING FIRM — DISCLOSURE OF FEES</w:t>
        </w:r>
      </w:hyperlink>
      <w:r>
        <w:rPr>
          <w:rFonts w:ascii="Arial" w:cs="Arial" w:eastAsia="Arial" w:hAnsi="Arial"/>
          <w:sz w:val="21"/>
          <w:szCs w:val="21"/>
          <w:u w:val="single" w:color="auto"/>
          <w:color w:val="0000EE"/>
        </w:rPr>
        <w:t xml:space="preserve"> </w:t>
      </w:r>
      <w:hyperlink w:anchor="page16">
        <w:r>
          <w:rPr>
            <w:rFonts w:ascii="Arial" w:cs="Arial" w:eastAsia="Arial" w:hAnsi="Arial"/>
            <w:sz w:val="21"/>
            <w:szCs w:val="21"/>
            <w:u w:val="single" w:color="auto"/>
            <w:color w:val="0000EE"/>
          </w:rPr>
          <w:t>ADVISORY VOTE ON EXECUTIVE COMPENSATION</w:t>
        </w:r>
      </w:hyperlink>
    </w:p>
    <w:p>
      <w:pPr>
        <w:spacing w:after="0" w:line="2" w:lineRule="exact"/>
        <w:rPr>
          <w:sz w:val="20"/>
          <w:szCs w:val="20"/>
          <w:color w:val="auto"/>
        </w:rPr>
      </w:pPr>
    </w:p>
    <w:p>
      <w:pPr>
        <w:spacing w:after="0" w:line="232"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ADVISORY VOTE ON THE FREQUENCY OF SHAREHOLDER VOTES ON EXECUTIVE COMPENSATION</w:t>
        </w:r>
      </w:hyperlink>
      <w:r>
        <w:rPr>
          <w:rFonts w:ascii="Arial" w:cs="Arial" w:eastAsia="Arial" w:hAnsi="Arial"/>
          <w:sz w:val="21"/>
          <w:szCs w:val="21"/>
          <w:u w:val="single" w:color="auto"/>
          <w:color w:val="0000EE"/>
        </w:rPr>
        <w:t xml:space="preserve"> </w:t>
      </w:r>
      <w:hyperlink w:anchor="page18">
        <w:r>
          <w:rPr>
            <w:rFonts w:ascii="Arial" w:cs="Arial" w:eastAsia="Arial" w:hAnsi="Arial"/>
            <w:sz w:val="21"/>
            <w:szCs w:val="21"/>
            <w:u w:val="single" w:color="auto"/>
            <w:color w:val="0000EE"/>
          </w:rPr>
          <w:t>OWNERSHIP OF COMMON STOCK</w:t>
        </w:r>
      </w:hyperlink>
    </w:p>
    <w:p>
      <w:pPr>
        <w:spacing w:after="0" w:line="2" w:lineRule="exact"/>
        <w:rPr>
          <w:sz w:val="20"/>
          <w:szCs w:val="20"/>
          <w:color w:val="auto"/>
        </w:rPr>
      </w:pPr>
    </w:p>
    <w:p>
      <w:pPr>
        <w:ind w:right="4260"/>
        <w:spacing w:after="0" w:line="232" w:lineRule="auto"/>
        <w:rPr>
          <w:rFonts w:ascii="Arial" w:cs="Arial" w:eastAsia="Arial" w:hAnsi="Arial"/>
          <w:sz w:val="21"/>
          <w:szCs w:val="21"/>
          <w:u w:val="single" w:color="auto"/>
          <w:color w:val="0000EE"/>
        </w:rPr>
      </w:pPr>
      <w:hyperlink w:anchor="page19">
        <w:r>
          <w:rPr>
            <w:rFonts w:ascii="Arial" w:cs="Arial" w:eastAsia="Arial" w:hAnsi="Arial"/>
            <w:sz w:val="21"/>
            <w:szCs w:val="21"/>
            <w:u w:val="single" w:color="auto"/>
            <w:color w:val="0000EE"/>
          </w:rPr>
          <w:t>SECURITIES OWNERSHIP OF MANAGEMENT</w:t>
        </w:r>
      </w:hyperlink>
      <w:r>
        <w:rPr>
          <w:rFonts w:ascii="Arial" w:cs="Arial" w:eastAsia="Arial" w:hAnsi="Arial"/>
          <w:sz w:val="21"/>
          <w:szCs w:val="21"/>
          <w:u w:val="single" w:color="auto"/>
          <w:color w:val="0000EE"/>
        </w:rPr>
        <w:t xml:space="preserve"> </w:t>
      </w:r>
      <w:hyperlink w:anchor="page35">
        <w:r>
          <w:rPr>
            <w:rFonts w:ascii="Arial" w:cs="Arial" w:eastAsia="Arial" w:hAnsi="Arial"/>
            <w:sz w:val="21"/>
            <w:szCs w:val="21"/>
            <w:u w:val="single" w:color="auto"/>
            <w:color w:val="0000EE"/>
          </w:rPr>
          <w:t>PERSONNEL AND COMPENSATION COMMITTEE REPORT</w:t>
        </w:r>
      </w:hyperlink>
      <w:r>
        <w:rPr>
          <w:rFonts w:ascii="Arial" w:cs="Arial" w:eastAsia="Arial" w:hAnsi="Arial"/>
          <w:sz w:val="21"/>
          <w:szCs w:val="21"/>
          <w:u w:val="single" w:color="auto"/>
          <w:color w:val="0000EE"/>
        </w:rPr>
        <w:t xml:space="preserve"> </w:t>
      </w:r>
      <w:hyperlink w:anchor="page35">
        <w:r>
          <w:rPr>
            <w:rFonts w:ascii="Arial" w:cs="Arial" w:eastAsia="Arial" w:hAnsi="Arial"/>
            <w:sz w:val="21"/>
            <w:szCs w:val="21"/>
            <w:u w:val="single" w:color="auto"/>
            <w:color w:val="0000EE"/>
          </w:rPr>
          <w:t>AUDIT COMMITTEE REPORT</w:t>
        </w:r>
      </w:hyperlink>
    </w:p>
    <w:p>
      <w:pPr>
        <w:spacing w:after="0" w:line="235" w:lineRule="auto"/>
        <w:rPr>
          <w:rFonts w:ascii="Arial" w:cs="Arial" w:eastAsia="Arial" w:hAnsi="Arial"/>
          <w:sz w:val="21"/>
          <w:szCs w:val="21"/>
          <w:u w:val="single" w:color="auto"/>
          <w:color w:val="0000EE"/>
        </w:rPr>
      </w:pPr>
      <w:hyperlink w:anchor="page36">
        <w:r>
          <w:rPr>
            <w:rFonts w:ascii="Arial" w:cs="Arial" w:eastAsia="Arial" w:hAnsi="Arial"/>
            <w:sz w:val="21"/>
            <w:szCs w:val="21"/>
            <w:u w:val="single" w:color="auto"/>
            <w:color w:val="0000EE"/>
          </w:rPr>
          <w:t>SECTION 16(A) BENEFICIAL OWNERSHIP REPORTING COMPLIANCE</w:t>
        </w:r>
      </w:hyperlink>
    </w:p>
    <w:p>
      <w:pPr>
        <w:spacing w:after="0" w:line="233" w:lineRule="auto"/>
        <w:rPr>
          <w:rFonts w:ascii="Arial" w:cs="Arial" w:eastAsia="Arial" w:hAnsi="Arial"/>
          <w:sz w:val="21"/>
          <w:szCs w:val="21"/>
          <w:u w:val="single" w:color="auto"/>
          <w:color w:val="0000EE"/>
        </w:rPr>
      </w:pPr>
      <w:hyperlink w:anchor="page36">
        <w:r>
          <w:rPr>
            <w:rFonts w:ascii="Arial" w:cs="Arial" w:eastAsia="Arial" w:hAnsi="Arial"/>
            <w:sz w:val="21"/>
            <w:szCs w:val="21"/>
            <w:u w:val="single" w:color="auto"/>
            <w:color w:val="0000EE"/>
          </w:rPr>
          <w:t>RELATED PARTY TRANSACTIONS</w:t>
        </w:r>
      </w:hyperlink>
    </w:p>
    <w:p>
      <w:pPr>
        <w:spacing w:after="0" w:line="233" w:lineRule="auto"/>
        <w:rPr>
          <w:rFonts w:ascii="Arial" w:cs="Arial" w:eastAsia="Arial" w:hAnsi="Arial"/>
          <w:sz w:val="21"/>
          <w:szCs w:val="21"/>
          <w:u w:val="single" w:color="auto"/>
          <w:color w:val="0000EE"/>
        </w:rPr>
      </w:pPr>
      <w:hyperlink w:anchor="page36">
        <w:r>
          <w:rPr>
            <w:rFonts w:ascii="Arial" w:cs="Arial" w:eastAsia="Arial" w:hAnsi="Arial"/>
            <w:sz w:val="21"/>
            <w:szCs w:val="21"/>
            <w:u w:val="single" w:color="auto"/>
            <w:color w:val="0000EE"/>
          </w:rPr>
          <w:t>AVAILABILITY OF FORM 10-K</w:t>
        </w:r>
      </w:hyperlink>
    </w:p>
    <w:p>
      <w:pPr>
        <w:spacing w:after="0" w:line="233" w:lineRule="auto"/>
        <w:rPr>
          <w:rFonts w:ascii="Arial" w:cs="Arial" w:eastAsia="Arial" w:hAnsi="Arial"/>
          <w:sz w:val="21"/>
          <w:szCs w:val="21"/>
          <w:u w:val="single" w:color="auto"/>
          <w:color w:val="0000EE"/>
        </w:rPr>
      </w:pPr>
      <w:hyperlink w:anchor="page36">
        <w:r>
          <w:rPr>
            <w:rFonts w:ascii="Arial" w:cs="Arial" w:eastAsia="Arial" w:hAnsi="Arial"/>
            <w:sz w:val="21"/>
            <w:szCs w:val="21"/>
            <w:u w:val="single" w:color="auto"/>
            <w:color w:val="0000EE"/>
          </w:rPr>
          <w:t>SHAREHOLDER PROPOSALS</w:t>
        </w:r>
      </w:hyperlink>
    </w:p>
    <w:p>
      <w:pPr>
        <w:spacing w:after="0" w:line="1" w:lineRule="exact"/>
        <w:rPr>
          <w:rFonts w:ascii="Arial" w:cs="Arial" w:eastAsia="Arial" w:hAnsi="Arial"/>
          <w:sz w:val="21"/>
          <w:szCs w:val="21"/>
          <w:u w:val="single" w:color="auto"/>
          <w:color w:val="0000EE"/>
        </w:rPr>
      </w:pPr>
    </w:p>
    <w:p>
      <w:pPr>
        <w:spacing w:after="0"/>
        <w:rPr>
          <w:rFonts w:ascii="Arial" w:cs="Arial" w:eastAsia="Arial" w:hAnsi="Arial"/>
          <w:sz w:val="21"/>
          <w:szCs w:val="21"/>
          <w:u w:val="single" w:color="auto"/>
          <w:color w:val="0000EE"/>
        </w:rPr>
      </w:pPr>
      <w:hyperlink w:anchor="page37">
        <w:r>
          <w:rPr>
            <w:rFonts w:ascii="Arial" w:cs="Arial" w:eastAsia="Arial" w:hAnsi="Arial"/>
            <w:sz w:val="21"/>
            <w:szCs w:val="21"/>
            <w:u w:val="single" w:color="auto"/>
            <w:color w:val="0000EE"/>
          </w:rPr>
          <w:t>HOUSEHOLDING OF PROXY MATERIALS</w:t>
        </w:r>
      </w:hyperlink>
    </w:p>
    <w:p>
      <w:pPr>
        <w:spacing w:after="0" w:line="20" w:lineRule="exact"/>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column">
              <wp:posOffset>-367030</wp:posOffset>
            </wp:positionH>
            <wp:positionV relativeFrom="paragraph">
              <wp:posOffset>129540</wp:posOffset>
            </wp:positionV>
            <wp:extent cx="725614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000"/>
          </w:cols>
          <w:pgMar w:left="820" w:top="108" w:right="10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Universal Forest Products, Inc.</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2801 East Beltline NE</w:t>
      </w:r>
    </w:p>
    <w:p>
      <w:pPr>
        <w:jc w:val="center"/>
        <w:ind w:right="-59"/>
        <w:spacing w:after="0"/>
        <w:rPr>
          <w:sz w:val="20"/>
          <w:szCs w:val="20"/>
          <w:color w:val="auto"/>
        </w:rPr>
      </w:pPr>
      <w:r>
        <w:rPr>
          <w:rFonts w:ascii="Arial" w:cs="Arial" w:eastAsia="Arial" w:hAnsi="Arial"/>
          <w:sz w:val="17"/>
          <w:szCs w:val="17"/>
          <w:b w:val="1"/>
          <w:bCs w:val="1"/>
          <w:color w:val="auto"/>
        </w:rPr>
        <w:t>Grand Rapids, MI 49525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Annual Meeting</w:t>
      </w:r>
    </w:p>
    <w:p>
      <w:pPr>
        <w:spacing w:after="0" w:line="126" w:lineRule="exact"/>
        <w:rPr>
          <w:sz w:val="20"/>
          <w:szCs w:val="20"/>
          <w:color w:val="auto"/>
        </w:rPr>
      </w:pPr>
    </w:p>
    <w:p>
      <w:pPr>
        <w:ind w:right="300" w:firstLine="238"/>
        <w:spacing w:after="0" w:line="248" w:lineRule="auto"/>
        <w:rPr>
          <w:sz w:val="20"/>
          <w:szCs w:val="20"/>
          <w:color w:val="auto"/>
        </w:rPr>
      </w:pPr>
      <w:r>
        <w:rPr>
          <w:rFonts w:ascii="Arial" w:cs="Arial" w:eastAsia="Arial" w:hAnsi="Arial"/>
          <w:sz w:val="17"/>
          <w:szCs w:val="17"/>
          <w:color w:val="auto"/>
        </w:rPr>
        <w:t>The Annual Meeting of Shareholders of Universal Forest Products, Inc. will be held at the Company’s Technology and Training Building, 2880 East Beltline Lane NE, Grand Rapids, MI 49525, on Wednesday, April 13, 2011, at 8:30 a.m. local time (registration begins at 8:00 a.m.) for the following purposes:</w:t>
      </w:r>
    </w:p>
    <w:p>
      <w:pPr>
        <w:spacing w:after="0" w:line="84" w:lineRule="exact"/>
        <w:rPr>
          <w:sz w:val="20"/>
          <w:szCs w:val="20"/>
          <w:color w:val="auto"/>
        </w:rPr>
      </w:pPr>
    </w:p>
    <w:p>
      <w:pPr>
        <w:ind w:left="660" w:hanging="434"/>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Election of three directors for three year terms expiring in 2014.</w:t>
      </w:r>
    </w:p>
    <w:p>
      <w:pPr>
        <w:spacing w:after="0" w:line="117" w:lineRule="exact"/>
        <w:rPr>
          <w:rFonts w:ascii="Arial" w:cs="Arial" w:eastAsia="Arial" w:hAnsi="Arial"/>
          <w:sz w:val="17"/>
          <w:szCs w:val="17"/>
          <w:color w:val="auto"/>
        </w:rPr>
      </w:pPr>
    </w:p>
    <w:p>
      <w:pPr>
        <w:ind w:left="660" w:hanging="434"/>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Ratification of the appointment of Ernst &amp; Young LLP as our independent registered public accounting firm for fiscal 2011.</w:t>
      </w:r>
    </w:p>
    <w:p>
      <w:pPr>
        <w:spacing w:after="0" w:line="117" w:lineRule="exact"/>
        <w:rPr>
          <w:rFonts w:ascii="Arial" w:cs="Arial" w:eastAsia="Arial" w:hAnsi="Arial"/>
          <w:sz w:val="17"/>
          <w:szCs w:val="17"/>
          <w:color w:val="auto"/>
        </w:rPr>
      </w:pPr>
    </w:p>
    <w:p>
      <w:pPr>
        <w:ind w:left="660" w:hanging="434"/>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consider an advisory vote on executive compensation.</w:t>
      </w:r>
    </w:p>
    <w:p>
      <w:pPr>
        <w:spacing w:after="0" w:line="117" w:lineRule="exact"/>
        <w:rPr>
          <w:rFonts w:ascii="Arial" w:cs="Arial" w:eastAsia="Arial" w:hAnsi="Arial"/>
          <w:sz w:val="17"/>
          <w:szCs w:val="17"/>
          <w:color w:val="auto"/>
        </w:rPr>
      </w:pPr>
    </w:p>
    <w:p>
      <w:pPr>
        <w:ind w:left="660" w:hanging="434"/>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consider an advisory vote on the frequency of shareholder advice on executive compensation.</w:t>
      </w:r>
    </w:p>
    <w:p>
      <w:pPr>
        <w:spacing w:after="0" w:line="117" w:lineRule="exact"/>
        <w:rPr>
          <w:rFonts w:ascii="Arial" w:cs="Arial" w:eastAsia="Arial" w:hAnsi="Arial"/>
          <w:sz w:val="17"/>
          <w:szCs w:val="17"/>
          <w:color w:val="auto"/>
        </w:rPr>
      </w:pPr>
    </w:p>
    <w:p>
      <w:pPr>
        <w:ind w:left="660" w:hanging="434"/>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transaction of such other business as may properly come before the meeting or any adjournment thereof.</w:t>
      </w:r>
    </w:p>
    <w:p>
      <w:pPr>
        <w:spacing w:after="0" w:line="104" w:lineRule="exact"/>
        <w:rPr>
          <w:sz w:val="20"/>
          <w:szCs w:val="20"/>
          <w:color w:val="auto"/>
        </w:rPr>
      </w:pPr>
    </w:p>
    <w:p>
      <w:pPr>
        <w:ind w:firstLine="241"/>
        <w:spacing w:after="0" w:line="245" w:lineRule="auto"/>
        <w:rPr>
          <w:sz w:val="20"/>
          <w:szCs w:val="20"/>
          <w:color w:val="auto"/>
        </w:rPr>
      </w:pPr>
      <w:r>
        <w:rPr>
          <w:rFonts w:ascii="Arial" w:cs="Arial" w:eastAsia="Arial" w:hAnsi="Arial"/>
          <w:sz w:val="17"/>
          <w:szCs w:val="17"/>
          <w:color w:val="auto"/>
        </w:rPr>
        <w:t>Shareholders of record at the close of business on February 15, 2011, are entitled to notice of and to vote at the meeting. To vote by telephone, shareholders of record may call toll free on a touch-tone telephone, 1-800-690-6903, enter the control number located on their Notice, and follow the recorded instructions. To vote on the Internet, shareholders of record may go to the Internet address http://www.proxyvote.com, enter the control number located on their Notice, and follow the instructions provided.</w:t>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1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Matthew J. Missad, Secretary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March 2, 2011</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Your vote is important. Even if you plan to attend the meeting,</w:t>
      </w:r>
    </w:p>
    <w:p>
      <w:pPr>
        <w:jc w:val="center"/>
        <w:ind w:right="-59"/>
        <w:spacing w:after="0"/>
        <w:rPr>
          <w:sz w:val="20"/>
          <w:szCs w:val="20"/>
          <w:color w:val="auto"/>
        </w:rPr>
      </w:pPr>
      <w:r>
        <w:rPr>
          <w:rFonts w:ascii="Arial" w:cs="Arial" w:eastAsia="Arial" w:hAnsi="Arial"/>
          <w:sz w:val="17"/>
          <w:szCs w:val="17"/>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370205</wp:posOffset>
            </wp:positionV>
            <wp:extent cx="725614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04" w:right="2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Universal Forest Products,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2801 East Beltline NE</w:t>
      </w:r>
    </w:p>
    <w:p>
      <w:pPr>
        <w:jc w:val="center"/>
        <w:ind w:right="-19"/>
        <w:spacing w:after="0"/>
        <w:rPr>
          <w:sz w:val="20"/>
          <w:szCs w:val="20"/>
          <w:color w:val="auto"/>
        </w:rPr>
      </w:pPr>
      <w:r>
        <w:rPr>
          <w:rFonts w:ascii="Arial" w:cs="Arial" w:eastAsia="Arial" w:hAnsi="Arial"/>
          <w:sz w:val="21"/>
          <w:szCs w:val="21"/>
          <w:color w:val="auto"/>
        </w:rPr>
        <w:t>Grand Rapids, MI 49525</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Meeting of Shareholders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April 13, 2011</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SOLICITATION OF PROXIES</w:t>
      </w:r>
    </w:p>
    <w:p>
      <w:pPr>
        <w:spacing w:after="0" w:line="12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This Proxy Statement and the enclosed proxy are being furnished to holders of common stock, no par value, of Universal Forest Products, Inc. (the “Company”). Our Board of Directors (the “Board”) is soliciting proxies for use at our Annual Meeting of Shareholders to be held on April 13, 2011, and at any adjournment of that meeting, at our Technology and Training Building, 2880 East Beltline Lane NE, Grand Rapids, MI 49525, at 8:30 a.m. local time. Registration for the meeting begins at 8:00 a.m.</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VOTING AT THE MEETING</w:t>
      </w:r>
    </w:p>
    <w:p>
      <w:pPr>
        <w:spacing w:after="0" w:line="12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If the enclosed Proxy is properly signed and returned, the shares represented by the proxy will be voted at our Annual Meeting of Shareholders and at any adjournment of the meeting. If a shareholder specifies a choice, the proxy will be voted as specified. If no choice is specified, the shares represented by the proxy will be voted for the election of all nominees named in the Proxy Statement, for the ratification of the appointment of our independent registered public accounting firm, for approval of our executive compensation, for the approval of an advisory vote every three years on executive compensation, and in accordance with the judgment of the persons named as proxies with respect to any other matter which may come before the meeting.</w:t>
      </w:r>
    </w:p>
    <w:p>
      <w:pPr>
        <w:spacing w:after="0" w:line="8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This year, in accordance with the rules promulgated by the Securities and Exchange Commission, we have elected to use the Internet as our primary means of providing our proxy materials to our shareholders. Unless requested, shareholders will not receive paper copies of our proxy materials. Instead, we will mail to our shareholders a Notice of Internet Availability of Proxy Materials with instructions for accessing our proxy materials and for voting via the Internet or telephone. The Notice of Internet Availability of Proxy Materials will also provide information on how shareholders may obtain paper copies of proxy materials free of charge, if they so choose.</w:t>
      </w:r>
    </w:p>
    <w:p>
      <w:pPr>
        <w:spacing w:after="0" w:line="91"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Returning your completed proxy will not prevent you from voting in person at our Annual Meeting of Shareholders, if you wish to do so. In addition, you may revoke your proxy at any time before it is voted, by written notice to our secretary prior to our Annual Meeting of Shareholders, by submission of a later-dated proxy, or by the withdrawal of your proxy and voting in person at our Annual Meeting of Shareholders.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soliciting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VOTING SECURITIES</w:t>
      </w:r>
    </w:p>
    <w:p>
      <w:pPr>
        <w:spacing w:after="0" w:line="12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Holders of record of common stock at the close of business on February 15, 2011, will be entitled to vote at our Annual Meeting of Shareholders. As of February 15, 2011, there were 19,516,826 shares of common stock outstanding. The presence in person or by proxy of at least 51% of such shares constitutes a quorum. A shareholder is entitled to one vote for each share of common stock registered in the shareholder’s name at the close of business on February 15, 2011. Under Michigan law, abstentions are treated as present and entitled to vote and therefore have the effect of a vote against the matter. A broker non-vote on a matter is considered not entitled to vote on that matter and, therefore, is not counted in determining whether a matter requiring approval of a majority of the shares present and entitled to vote has been approved. A broker non-vote occurs when a shareholder holds his or her stock through a broker and the broker does not vote those shares. This usually occurs because the broker has not received timely voting instructions from that shareholder and the broker does not have the discretionary voting power for the particular item upon which the vote is taken. Votes cast at the meeting or submitted by proxy will be counted by inspectors of the meeting appointed by our Company. There is no right to cumulative voting on any matter.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126" w:lineRule="exact"/>
        <w:rPr>
          <w:sz w:val="20"/>
          <w:szCs w:val="20"/>
          <w:color w:val="auto"/>
        </w:rPr>
      </w:pPr>
    </w:p>
    <w:p>
      <w:pPr>
        <w:jc w:val="both"/>
        <w:ind w:right="280"/>
        <w:spacing w:after="0" w:line="248" w:lineRule="auto"/>
        <w:rPr>
          <w:sz w:val="20"/>
          <w:szCs w:val="20"/>
          <w:color w:val="auto"/>
        </w:rPr>
      </w:pPr>
      <w:r>
        <w:rPr>
          <w:rFonts w:ascii="Arial" w:cs="Arial" w:eastAsia="Arial" w:hAnsi="Arial"/>
          <w:sz w:val="17"/>
          <w:szCs w:val="17"/>
          <w:color w:val="auto"/>
        </w:rPr>
        <w:t>Our Board presently consists of ten members. These members are divided into three classes, as equal in number as possible, with the classes to hold office for staggered terms of three years each. Our Board has nominated incumbent directors John W. Garside, Gary F. Goode, and Mark A. Murray to three-year terms expiring at our 2014 Annual Meeting of Shareholders.</w:t>
      </w:r>
    </w:p>
    <w:p>
      <w:pPr>
        <w:spacing w:after="0" w:line="84"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persons named as proxy holders in the accompanying proxy will vote for the above-named nominees, unless a shareholder directs them differently on a proxy card. If a nominee is not available for election as a director at the time of the Annual Meeting of Shareholders (a situation which is not now anticipated), the Board may designate a substitute nominee, and the accompanying proxy will be voted for the substituted nominee.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A vote of the shareholders holding a plurality of the shares present in person or represented by proxy is required to elect directors. Accordingly, the three individuals who receive the greatest number of votes cast at the meeting will be elected as directors.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a vote FOR the election of each person nominated by the Board.</w:t>
      </w:r>
    </w:p>
    <w:p>
      <w:pPr>
        <w:spacing w:after="0" w:line="126"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The following table provides certain biographical information for each person who is nominated for election as a director at our Annual Meeting of Shareholders and for each person who is continuing as an incumbent director.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Names, (Ages), Positions, and Backgrounds</w:t>
      </w:r>
    </w:p>
    <w:p>
      <w:pPr>
        <w:spacing w:after="0" w:line="11" w:lineRule="exact"/>
        <w:rPr>
          <w:sz w:val="20"/>
          <w:szCs w:val="20"/>
          <w:color w:val="auto"/>
        </w:rPr>
      </w:pPr>
    </w:p>
    <w:p>
      <w:pPr>
        <w:spacing w:after="0"/>
        <w:tabs>
          <w:tab w:leader="none" w:pos="9240" w:val="left"/>
        </w:tabs>
        <w:rPr>
          <w:sz w:val="20"/>
          <w:szCs w:val="20"/>
          <w:color w:val="auto"/>
        </w:rPr>
      </w:pPr>
      <w:r>
        <w:rPr>
          <w:rFonts w:ascii="Arial" w:cs="Arial" w:eastAsia="Arial" w:hAnsi="Arial"/>
          <w:sz w:val="14"/>
          <w:szCs w:val="14"/>
          <w:b w:val="1"/>
          <w:bCs w:val="1"/>
          <w:color w:val="auto"/>
        </w:rPr>
        <w:t>of Directors and Nominees</w:t>
      </w:r>
      <w:r>
        <w:rPr>
          <w:sz w:val="20"/>
          <w:szCs w:val="20"/>
          <w:color w:val="auto"/>
        </w:rPr>
        <w:tab/>
      </w:r>
      <w:r>
        <w:rPr>
          <w:rFonts w:ascii="Arial" w:cs="Arial" w:eastAsia="Arial" w:hAnsi="Arial"/>
          <w:sz w:val="13"/>
          <w:szCs w:val="13"/>
          <w:b w:val="1"/>
          <w:bCs w:val="1"/>
          <w:color w:val="auto"/>
        </w:rPr>
        <w:t>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251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408" w:right="299" w:bottom="1440" w:gutter="0" w:footer="0" w:header="0"/>
        </w:sectPr>
      </w:pPr>
    </w:p>
    <w:p>
      <w:pPr>
        <w:spacing w:after="0" w:line="189"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Nominees for Terms Expiring in 2014</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John W. Garside </w:t>
      </w:r>
      <w:r>
        <w:rPr>
          <w:rFonts w:ascii="Arial" w:cs="Arial" w:eastAsia="Arial" w:hAnsi="Arial"/>
          <w:sz w:val="17"/>
          <w:szCs w:val="17"/>
          <w:color w:val="auto"/>
        </w:rPr>
        <w:t>(71) is President and Treasurer of Woodruff Coal Company of Kalamazoo, Michigan.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Mr. Garside is a former commissioner for the Michigan Department of Transportation.</w:t>
      </w:r>
    </w:p>
    <w:p>
      <w:pPr>
        <w:spacing w:after="0" w:line="195"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Mr. Garside has nearly 50 years of business and management experience with full bottom-line responsibilities. He has dealt extensively with transportation issues in both the private and public sector. He has a unique understanding and perception on energy costs, energy policy, and resource management. Mr. Garside’s institutional knowledge and experience, based on his 17 years as a member of our Company’s Board, is a valuable asset to our Company.</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b w:val="1"/>
          <w:bCs w:val="1"/>
          <w:color w:val="auto"/>
        </w:rPr>
        <w:t xml:space="preserve">Gary F. Goode </w:t>
      </w:r>
      <w:r>
        <w:rPr>
          <w:rFonts w:ascii="Arial" w:cs="Arial" w:eastAsia="Arial" w:hAnsi="Arial"/>
          <w:sz w:val="17"/>
          <w:szCs w:val="17"/>
          <w:color w:val="auto"/>
        </w:rPr>
        <w:t>(66) retired from Arthur Andersen LLP in March 2001 after 29 years. Since his</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Mr. Goode has worked as an independent consultant, and has served as Chairman of Titan Sales and Consulting LLC since January 2004. Mr. Goode has been on the Board of Directors of Gentex Corporation since 2003 and serves on its Audit, Compensation, and Nominating Committees. Mr. Goode is also on the Advisory Board of the Business School at Western Michigan University.</w:t>
      </w:r>
    </w:p>
    <w:p>
      <w:pPr>
        <w:spacing w:after="0" w:line="17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Mr. Goode is a financial expert, as defined by the SEC. Through 29 years as a Certified Public Accountant, he gained valuable insight into a wide variety of businesses including manufacturing, retail, and distribution. His financial acumen, coupled with these varied business experiences, provides a great frame of reference for successful business practices at other companies. His working career also gives him extensive experience working with companies whose securities are registered with the SEC.</w:t>
      </w:r>
    </w:p>
    <w:p>
      <w:pPr>
        <w:spacing w:after="0" w:line="356"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b w:val="1"/>
          <w:bCs w:val="1"/>
          <w:color w:val="auto"/>
        </w:rPr>
        <w:t xml:space="preserve">Mark A. Murray </w:t>
      </w:r>
      <w:r>
        <w:rPr>
          <w:rFonts w:ascii="Arial" w:cs="Arial" w:eastAsia="Arial" w:hAnsi="Arial"/>
          <w:sz w:val="17"/>
          <w:szCs w:val="17"/>
          <w:color w:val="auto"/>
        </w:rPr>
        <w:t>(56) has served as President of Meijer, Inc., a regional retail chain, since 2006. From</w:t>
      </w:r>
      <w:r>
        <w:rPr>
          <w:rFonts w:ascii="Arial" w:cs="Arial" w:eastAsia="Arial" w:hAnsi="Arial"/>
          <w:sz w:val="17"/>
          <w:szCs w:val="17"/>
          <w:b w:val="1"/>
          <w:bCs w:val="1"/>
          <w:color w:val="auto"/>
        </w:rPr>
        <w:t xml:space="preserve"> </w:t>
      </w:r>
      <w:r>
        <w:rPr>
          <w:rFonts w:ascii="Arial" w:cs="Arial" w:eastAsia="Arial" w:hAnsi="Arial"/>
          <w:sz w:val="17"/>
          <w:szCs w:val="17"/>
          <w:color w:val="auto"/>
        </w:rPr>
        <w:t>2001 to 2006, he was the President of Grand Valley State University. He also served as Treasurer for the State of Michigan from 1999 to 2001 and Vice President of Finance and Administration for Michigan State University from 1998 to 1999. Mr. Murray received his B.S. in economics and his M.S. in labor and industrial relations from Michigan State University.</w:t>
      </w:r>
    </w:p>
    <w:p>
      <w:pPr>
        <w:spacing w:after="0" w:line="1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right="480"/>
        <w:spacing w:after="0" w:line="239" w:lineRule="auto"/>
        <w:rPr>
          <w:sz w:val="20"/>
          <w:szCs w:val="20"/>
          <w:color w:val="auto"/>
        </w:rPr>
      </w:pPr>
      <w:r>
        <w:rPr>
          <w:rFonts w:ascii="Arial" w:cs="Arial" w:eastAsia="Arial" w:hAnsi="Arial"/>
          <w:sz w:val="17"/>
          <w:szCs w:val="17"/>
          <w:color w:val="auto"/>
        </w:rPr>
        <w:t>Director since 1993. Member of Personnel and Compensation Committee.</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Member of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color w:val="auto"/>
        </w:rPr>
        <w:t>Director since 2003. Chairman of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Director since 2004. Chairman of Nominating and Corporate Governance Committee. Member of Audit Committee.</w:t>
      </w:r>
    </w:p>
    <w:p>
      <w:pPr>
        <w:sectPr>
          <w:pgSz w:w="11900" w:h="16838" w:orient="portrait"/>
          <w:cols w:equalWidth="0" w:num="2">
            <w:col w:w="7900" w:space="560"/>
            <w:col w:w="2900"/>
          </w:cols>
          <w:pgMar w:left="240" w:top="408" w:right="299" w:bottom="1440" w:gutter="0" w:footer="0" w:header="0"/>
          <w:type w:val="continuous"/>
        </w:sectPr>
      </w:pPr>
    </w:p>
    <w:bookmarkStart w:id="7" w:name="page8"/>
    <w:bookmarkEnd w:id="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Names, (Ages), Positions, and Backgrounds</w:t>
      </w:r>
    </w:p>
    <w:p>
      <w:pPr>
        <w:spacing w:after="0" w:line="11" w:lineRule="exact"/>
        <w:rPr>
          <w:sz w:val="20"/>
          <w:szCs w:val="20"/>
          <w:color w:val="auto"/>
        </w:rPr>
      </w:pPr>
    </w:p>
    <w:p>
      <w:pPr>
        <w:spacing w:after="0"/>
        <w:tabs>
          <w:tab w:leader="none" w:pos="9240" w:val="left"/>
        </w:tabs>
        <w:rPr>
          <w:sz w:val="20"/>
          <w:szCs w:val="20"/>
          <w:color w:val="auto"/>
        </w:rPr>
      </w:pPr>
      <w:r>
        <w:rPr>
          <w:rFonts w:ascii="Arial" w:cs="Arial" w:eastAsia="Arial" w:hAnsi="Arial"/>
          <w:sz w:val="14"/>
          <w:szCs w:val="14"/>
          <w:b w:val="1"/>
          <w:bCs w:val="1"/>
          <w:color w:val="auto"/>
        </w:rPr>
        <w:t>of Directors and Nominees</w:t>
      </w:r>
      <w:r>
        <w:rPr>
          <w:sz w:val="20"/>
          <w:szCs w:val="20"/>
          <w:color w:val="auto"/>
        </w:rPr>
        <w:tab/>
      </w:r>
      <w:r>
        <w:rPr>
          <w:rFonts w:ascii="Arial" w:cs="Arial" w:eastAsia="Arial" w:hAnsi="Arial"/>
          <w:sz w:val="13"/>
          <w:szCs w:val="13"/>
          <w:b w:val="1"/>
          <w:bCs w:val="1"/>
          <w:color w:val="auto"/>
        </w:rPr>
        <w:t>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251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191" w:lineRule="exact"/>
        <w:rPr>
          <w:sz w:val="20"/>
          <w:szCs w:val="20"/>
          <w:color w:val="auto"/>
        </w:rPr>
      </w:pPr>
    </w:p>
    <w:p>
      <w:pPr>
        <w:ind w:right="3940"/>
        <w:spacing w:after="0" w:line="248" w:lineRule="auto"/>
        <w:rPr>
          <w:sz w:val="20"/>
          <w:szCs w:val="20"/>
          <w:color w:val="auto"/>
        </w:rPr>
      </w:pPr>
      <w:r>
        <w:rPr>
          <w:rFonts w:ascii="Arial" w:cs="Arial" w:eastAsia="Arial" w:hAnsi="Arial"/>
          <w:sz w:val="17"/>
          <w:szCs w:val="17"/>
          <w:color w:val="auto"/>
        </w:rPr>
        <w:t>In addition to his service on our Board, he is a director for DTE Energy and serves on its Finance Committee and Public Relations Committee, and a director or trustee of many community and professional organizations.</w:t>
      </w:r>
    </w:p>
    <w:p>
      <w:pPr>
        <w:spacing w:after="0" w:line="175" w:lineRule="exact"/>
        <w:rPr>
          <w:sz w:val="20"/>
          <w:szCs w:val="20"/>
          <w:color w:val="auto"/>
        </w:rPr>
      </w:pPr>
    </w:p>
    <w:p>
      <w:pPr>
        <w:ind w:right="3580"/>
        <w:spacing w:after="0" w:line="243" w:lineRule="auto"/>
        <w:rPr>
          <w:sz w:val="20"/>
          <w:szCs w:val="20"/>
          <w:color w:val="auto"/>
        </w:rPr>
      </w:pPr>
      <w:r>
        <w:rPr>
          <w:rFonts w:ascii="Arial" w:cs="Arial" w:eastAsia="Arial" w:hAnsi="Arial"/>
          <w:sz w:val="17"/>
          <w:szCs w:val="17"/>
          <w:color w:val="auto"/>
        </w:rPr>
        <w:t>Mr. Murray is a financial expert, as defined by the SEC. His qualifications to sit on our Board include his experience as president of a major Michigan-based corporation and his experience as a university president and a State of Michigan government official. He also has extensive experience in financial accounting matters for complex organizations, strategic planning and corporate development, combined with strong skills in corporate finance, sales and marketing, and government relations and public policy. He also has experience serving as a director of another publicly-traded 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Incumbent Directors — Terms Expiring in 2012</w:t>
      </w:r>
    </w:p>
    <w:p>
      <w:pPr>
        <w:sectPr>
          <w:pgSz w:w="11900" w:h="16838" w:orient="portrait"/>
          <w:cols w:equalWidth="0" w:num="1">
            <w:col w:w="11360"/>
          </w:cols>
          <w:pgMar w:left="240" w:top="408" w:right="299" w:bottom="1440" w:gutter="0" w:footer="0" w:header="0"/>
        </w:sectPr>
      </w:pPr>
    </w:p>
    <w:p>
      <w:pPr>
        <w:spacing w:after="0" w:line="195"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b w:val="1"/>
          <w:bCs w:val="1"/>
          <w:color w:val="auto"/>
        </w:rPr>
        <w:t xml:space="preserve">Dan M. Dutton </w:t>
      </w:r>
      <w:r>
        <w:rPr>
          <w:rFonts w:ascii="Arial" w:cs="Arial" w:eastAsia="Arial" w:hAnsi="Arial"/>
          <w:sz w:val="17"/>
          <w:szCs w:val="17"/>
          <w:color w:val="auto"/>
        </w:rPr>
        <w:t>(63) is Chairman of the Board of Stimson Lumber Company of Portland, Oregon with</w:t>
      </w:r>
      <w:r>
        <w:rPr>
          <w:rFonts w:ascii="Arial" w:cs="Arial" w:eastAsia="Arial" w:hAnsi="Arial"/>
          <w:sz w:val="17"/>
          <w:szCs w:val="17"/>
          <w:b w:val="1"/>
          <w:bCs w:val="1"/>
          <w:color w:val="auto"/>
        </w:rPr>
        <w:t xml:space="preserve"> </w:t>
      </w:r>
      <w:r>
        <w:rPr>
          <w:rFonts w:ascii="Arial" w:cs="Arial" w:eastAsia="Arial" w:hAnsi="Arial"/>
          <w:sz w:val="17"/>
          <w:szCs w:val="17"/>
          <w:color w:val="auto"/>
        </w:rPr>
        <w:t>whom he has been affiliated since 1988.</w:t>
      </w:r>
    </w:p>
    <w:p>
      <w:pPr>
        <w:spacing w:after="0" w:line="34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As former Chief Executive Officer and the current Chairman of a company involved in the lumber and building products industry, Mr. Dutton has a wealth of industry knowledge and understanding of the market forces which impact our Company. His extensive experience in the lumber market is an invaluable resource for our Company.</w:t>
      </w:r>
    </w:p>
    <w:p>
      <w:pPr>
        <w:spacing w:after="0" w:line="156"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b w:val="1"/>
          <w:bCs w:val="1"/>
          <w:color w:val="auto"/>
        </w:rPr>
        <w:t xml:space="preserve">William R. Payne </w:t>
      </w:r>
      <w:r>
        <w:rPr>
          <w:rFonts w:ascii="Arial" w:cs="Arial" w:eastAsia="Arial" w:hAnsi="Arial"/>
          <w:sz w:val="17"/>
          <w:szCs w:val="17"/>
          <w:color w:val="auto"/>
        </w:rPr>
        <w:t>(57) is Chief of Staff of Amway, Inc. of Ada, Michigan, a position he has held since</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1999.</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Mr. Payne’s experience in a large global enterprise, is a significant resource for management to draw from when considering sourcing and expansion possibilities. Mr. Payne’s leadership position in a large organization allows him to provide valuable guidance in connection with our growth strategy.</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b w:val="1"/>
          <w:bCs w:val="1"/>
          <w:color w:val="auto"/>
        </w:rPr>
        <w:t xml:space="preserve">Louis A. Smith </w:t>
      </w:r>
      <w:r>
        <w:rPr>
          <w:rFonts w:ascii="Arial" w:cs="Arial" w:eastAsia="Arial" w:hAnsi="Arial"/>
          <w:sz w:val="17"/>
          <w:szCs w:val="17"/>
          <w:color w:val="auto"/>
        </w:rPr>
        <w:t>(71) is President of the law firm of Smith and Johnson, Attorneys, P.C., of Traverse</w:t>
      </w:r>
      <w:r>
        <w:rPr>
          <w:rFonts w:ascii="Arial" w:cs="Arial" w:eastAsia="Arial" w:hAnsi="Arial"/>
          <w:sz w:val="17"/>
          <w:szCs w:val="17"/>
          <w:b w:val="1"/>
          <w:bCs w:val="1"/>
          <w:color w:val="auto"/>
        </w:rPr>
        <w:t xml:space="preserve"> </w:t>
      </w:r>
      <w:r>
        <w:rPr>
          <w:rFonts w:ascii="Arial" w:cs="Arial" w:eastAsia="Arial" w:hAnsi="Arial"/>
          <w:sz w:val="17"/>
          <w:szCs w:val="17"/>
          <w:color w:val="auto"/>
        </w:rPr>
        <w:t>City, Michigan and serves as a member of the Advisory Council for the University of Notre Dame Law School. Mr. Smith served on The State Board of Law Examiners, upon nomination by the Michigan Supreme Court and by gubernatorial appointment.</w:t>
      </w:r>
    </w:p>
    <w:p>
      <w:pPr>
        <w:spacing w:after="0" w:line="17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Mr. Smith utilizes his 46 years in the active practice of law to assist our Company’s evaluation of legal and strategic risks. He has significant business ownership expertise, including in-depth experience with regulated industries such as banking and oil and gas. He has tremendous institutional knowledge and experience based on his 17 years as a member of our Board.</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2003.</w:t>
      </w:r>
    </w:p>
    <w:p>
      <w:pPr>
        <w:spacing w:after="0"/>
        <w:rPr>
          <w:sz w:val="20"/>
          <w:szCs w:val="20"/>
          <w:color w:val="auto"/>
        </w:rPr>
      </w:pPr>
      <w:r>
        <w:rPr>
          <w:rFonts w:ascii="Arial" w:cs="Arial" w:eastAsia="Arial" w:hAnsi="Arial"/>
          <w:sz w:val="17"/>
          <w:szCs w:val="17"/>
          <w:color w:val="auto"/>
        </w:rPr>
        <w:t>Member of Audit Committee.</w:t>
      </w:r>
    </w:p>
    <w:p>
      <w:pPr>
        <w:spacing w:after="0"/>
        <w:rPr>
          <w:sz w:val="20"/>
          <w:szCs w:val="20"/>
          <w:color w:val="auto"/>
        </w:rPr>
      </w:pPr>
      <w:r>
        <w:rPr>
          <w:rFonts w:ascii="Arial" w:cs="Arial" w:eastAsia="Arial" w:hAnsi="Arial"/>
          <w:sz w:val="17"/>
          <w:szCs w:val="17"/>
          <w:color w:val="auto"/>
        </w:rPr>
        <w:t>Lead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2008.</w:t>
      </w:r>
    </w:p>
    <w:p>
      <w:pPr>
        <w:spacing w:after="0" w:line="239" w:lineRule="auto"/>
        <w:rPr>
          <w:sz w:val="20"/>
          <w:szCs w:val="20"/>
          <w:color w:val="auto"/>
        </w:rPr>
      </w:pPr>
      <w:r>
        <w:rPr>
          <w:rFonts w:ascii="Arial" w:cs="Arial" w:eastAsia="Arial" w:hAnsi="Arial"/>
          <w:sz w:val="17"/>
          <w:szCs w:val="17"/>
          <w:color w:val="auto"/>
        </w:rPr>
        <w:t>Member of Nominating and Corporate Governance Committee. Member of Personnel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w:t>
      </w:r>
    </w:p>
    <w:p>
      <w:pPr>
        <w:spacing w:after="0" w:line="390" w:lineRule="exact"/>
        <w:rPr>
          <w:sz w:val="20"/>
          <w:szCs w:val="20"/>
          <w:color w:val="auto"/>
        </w:rPr>
      </w:pPr>
    </w:p>
    <w:p>
      <w:pPr>
        <w:ind w:right="700"/>
        <w:spacing w:after="0" w:line="245" w:lineRule="auto"/>
        <w:rPr>
          <w:sz w:val="20"/>
          <w:szCs w:val="20"/>
          <w:color w:val="auto"/>
        </w:rPr>
      </w:pPr>
      <w:r>
        <w:rPr>
          <w:rFonts w:ascii="Arial" w:cs="Arial" w:eastAsia="Arial" w:hAnsi="Arial"/>
          <w:sz w:val="17"/>
          <w:szCs w:val="17"/>
          <w:color w:val="auto"/>
        </w:rPr>
        <w:t>Director since 1993. Member of Audit Committee. Member of Personnel and Compensation Committee.</w:t>
      </w:r>
    </w:p>
    <w:p>
      <w:pPr>
        <w:sectPr>
          <w:pgSz w:w="11900" w:h="16838" w:orient="portrait"/>
          <w:cols w:equalWidth="0" w:num="2">
            <w:col w:w="7820" w:space="640"/>
            <w:col w:w="2900"/>
          </w:cols>
          <w:pgMar w:left="240" w:top="408" w:right="299" w:bottom="1440" w:gutter="0" w:footer="0" w:header="0"/>
          <w:type w:val="continuous"/>
        </w:sectPr>
      </w:pPr>
    </w:p>
    <w:bookmarkStart w:id="8" w:name="page9"/>
    <w:bookmarkEnd w:id="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3240" w:type="dxa"/>
            <w:vAlign w:val="bottom"/>
          </w:tcPr>
          <w:p>
            <w:pPr>
              <w:spacing w:after="0"/>
              <w:rPr>
                <w:sz w:val="14"/>
                <w:szCs w:val="14"/>
                <w:color w:val="auto"/>
              </w:rPr>
            </w:pPr>
          </w:p>
        </w:tc>
      </w:tr>
      <w:tr>
        <w:trPr>
          <w:trHeight w:val="168"/>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Directors and Nominees</w:t>
            </w:r>
          </w:p>
        </w:tc>
        <w:tc>
          <w:tcPr>
            <w:tcW w:w="32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Service as a Director</w:t>
            </w:r>
          </w:p>
        </w:tc>
      </w:tr>
      <w:tr>
        <w:trPr>
          <w:trHeight w:val="410"/>
        </w:trPr>
        <w:tc>
          <w:tcPr>
            <w:tcW w:w="8180" w:type="dxa"/>
            <w:vAlign w:val="bottom"/>
          </w:tcPr>
          <w:p>
            <w:pPr>
              <w:ind w:left="3800"/>
              <w:spacing w:after="0"/>
              <w:rPr>
                <w:sz w:val="20"/>
                <w:szCs w:val="20"/>
                <w:color w:val="auto"/>
              </w:rPr>
            </w:pPr>
            <w:r>
              <w:rPr>
                <w:rFonts w:ascii="Arial" w:cs="Arial" w:eastAsia="Arial" w:hAnsi="Arial"/>
                <w:sz w:val="17"/>
                <w:szCs w:val="17"/>
                <w:b w:val="1"/>
                <w:bCs w:val="1"/>
                <w:color w:val="auto"/>
              </w:rPr>
              <w:t>Incumbent Directors — Terms Expiring in 2013</w:t>
            </w:r>
          </w:p>
        </w:tc>
        <w:tc>
          <w:tcPr>
            <w:tcW w:w="3240" w:type="dxa"/>
            <w:vAlign w:val="bottom"/>
          </w:tcPr>
          <w:p>
            <w:pPr>
              <w:spacing w:after="0"/>
              <w:rPr>
                <w:sz w:val="24"/>
                <w:szCs w:val="24"/>
                <w:color w:val="auto"/>
              </w:rPr>
            </w:pPr>
          </w:p>
        </w:tc>
      </w:tr>
      <w:tr>
        <w:trPr>
          <w:trHeight w:val="377"/>
        </w:trPr>
        <w:tc>
          <w:tcPr>
            <w:tcW w:w="8180" w:type="dxa"/>
            <w:vAlign w:val="bottom"/>
          </w:tcPr>
          <w:p>
            <w:pPr>
              <w:spacing w:after="0"/>
              <w:rPr>
                <w:sz w:val="20"/>
                <w:szCs w:val="20"/>
                <w:color w:val="auto"/>
              </w:rPr>
            </w:pPr>
            <w:r>
              <w:rPr>
                <w:rFonts w:ascii="Arial" w:cs="Arial" w:eastAsia="Arial" w:hAnsi="Arial"/>
                <w:sz w:val="17"/>
                <w:szCs w:val="17"/>
                <w:b w:val="1"/>
                <w:bCs w:val="1"/>
                <w:color w:val="auto"/>
              </w:rPr>
              <w:t xml:space="preserve">William G. Currie </w:t>
            </w:r>
            <w:r>
              <w:rPr>
                <w:rFonts w:ascii="Arial" w:cs="Arial" w:eastAsia="Arial" w:hAnsi="Arial"/>
                <w:sz w:val="17"/>
                <w:szCs w:val="17"/>
                <w:color w:val="auto"/>
              </w:rPr>
              <w:t>(63) is Chairman of the Board of our Company. He joined our Company in 1971,</w:t>
            </w:r>
          </w:p>
        </w:tc>
        <w:tc>
          <w:tcPr>
            <w:tcW w:w="3240" w:type="dxa"/>
            <w:vAlign w:val="bottom"/>
          </w:tcPr>
          <w:p>
            <w:pPr>
              <w:ind w:left="280"/>
              <w:spacing w:after="0"/>
              <w:rPr>
                <w:sz w:val="20"/>
                <w:szCs w:val="20"/>
                <w:color w:val="auto"/>
              </w:rPr>
            </w:pPr>
            <w:r>
              <w:rPr>
                <w:rFonts w:ascii="Arial" w:cs="Arial" w:eastAsia="Arial" w:hAnsi="Arial"/>
                <w:sz w:val="17"/>
                <w:szCs w:val="17"/>
                <w:color w:val="auto"/>
              </w:rPr>
              <w:t>Director since 1978.</w:t>
            </w: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serving as a salesman, general manager, vice president, and executive vice president. He was the</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Chief Executive Officer of our Company from 1989 to 2006, and on January 1, 2000, also became Vice</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Chairman of the Board. On April 19, 2006, he was named Chairman of the Board and served as an</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employee with the title of Executive Chairman until he retired from our Company on July 20, 2009.</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Mr. Currie has been on the board of Forestar Real Estate Group Inc. since 2008 and serves on its</w:t>
            </w:r>
          </w:p>
        </w:tc>
        <w:tc>
          <w:tcPr>
            <w:tcW w:w="3240" w:type="dxa"/>
            <w:vAlign w:val="bottom"/>
          </w:tcPr>
          <w:p>
            <w:pPr>
              <w:spacing w:after="0"/>
              <w:rPr>
                <w:sz w:val="16"/>
                <w:szCs w:val="16"/>
                <w:color w:val="auto"/>
              </w:rPr>
            </w:pPr>
          </w:p>
        </w:tc>
      </w:tr>
      <w:tr>
        <w:trPr>
          <w:trHeight w:val="209"/>
        </w:trPr>
        <w:tc>
          <w:tcPr>
            <w:tcW w:w="8180" w:type="dxa"/>
            <w:vAlign w:val="bottom"/>
          </w:tcPr>
          <w:p>
            <w:pPr>
              <w:spacing w:after="0"/>
              <w:rPr>
                <w:sz w:val="20"/>
                <w:szCs w:val="20"/>
                <w:color w:val="auto"/>
              </w:rPr>
            </w:pPr>
            <w:r>
              <w:rPr>
                <w:rFonts w:ascii="Arial" w:cs="Arial" w:eastAsia="Arial" w:hAnsi="Arial"/>
                <w:sz w:val="17"/>
                <w:szCs w:val="17"/>
                <w:color w:val="auto"/>
              </w:rPr>
              <w:t>Compensation Committee.</w:t>
            </w:r>
          </w:p>
        </w:tc>
        <w:tc>
          <w:tcPr>
            <w:tcW w:w="3240" w:type="dxa"/>
            <w:vAlign w:val="bottom"/>
          </w:tcPr>
          <w:p>
            <w:pPr>
              <w:spacing w:after="0"/>
              <w:rPr>
                <w:sz w:val="18"/>
                <w:szCs w:val="18"/>
                <w:color w:val="auto"/>
              </w:rPr>
            </w:pPr>
          </w:p>
        </w:tc>
      </w:tr>
      <w:tr>
        <w:trPr>
          <w:trHeight w:val="377"/>
        </w:trPr>
        <w:tc>
          <w:tcPr>
            <w:tcW w:w="8180" w:type="dxa"/>
            <w:vAlign w:val="bottom"/>
          </w:tcPr>
          <w:p>
            <w:pPr>
              <w:spacing w:after="0"/>
              <w:rPr>
                <w:sz w:val="20"/>
                <w:szCs w:val="20"/>
                <w:color w:val="auto"/>
              </w:rPr>
            </w:pPr>
            <w:r>
              <w:rPr>
                <w:rFonts w:ascii="Arial" w:cs="Arial" w:eastAsia="Arial" w:hAnsi="Arial"/>
                <w:sz w:val="17"/>
                <w:szCs w:val="17"/>
                <w:color w:val="auto"/>
              </w:rPr>
              <w:t>During his tenure with our Company, Mr. Currie created and, to this day, maintains extremely valuable</w:t>
            </w:r>
          </w:p>
        </w:tc>
        <w:tc>
          <w:tcPr>
            <w:tcW w:w="3240" w:type="dxa"/>
            <w:vAlign w:val="bottom"/>
          </w:tcPr>
          <w:p>
            <w:pPr>
              <w:spacing w:after="0"/>
              <w:rPr>
                <w:sz w:val="24"/>
                <w:szCs w:val="24"/>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relationships with many in the lumber and building materials industry. He has an in-depth under-</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standing of our Company’s supply chain and customer base, which makes him an important asset to</w:t>
            </w:r>
          </w:p>
        </w:tc>
        <w:tc>
          <w:tcPr>
            <w:tcW w:w="3240" w:type="dxa"/>
            <w:vAlign w:val="bottom"/>
          </w:tcPr>
          <w:p>
            <w:pPr>
              <w:spacing w:after="0"/>
              <w:rPr>
                <w:sz w:val="16"/>
                <w:szCs w:val="16"/>
                <w:color w:val="auto"/>
              </w:rPr>
            </w:pPr>
          </w:p>
        </w:tc>
      </w:tr>
      <w:tr>
        <w:trPr>
          <w:trHeight w:val="209"/>
        </w:trPr>
        <w:tc>
          <w:tcPr>
            <w:tcW w:w="8180" w:type="dxa"/>
            <w:vAlign w:val="bottom"/>
          </w:tcPr>
          <w:p>
            <w:pPr>
              <w:spacing w:after="0"/>
              <w:rPr>
                <w:sz w:val="20"/>
                <w:szCs w:val="20"/>
                <w:color w:val="auto"/>
              </w:rPr>
            </w:pPr>
            <w:r>
              <w:rPr>
                <w:rFonts w:ascii="Arial" w:cs="Arial" w:eastAsia="Arial" w:hAnsi="Arial"/>
                <w:sz w:val="17"/>
                <w:szCs w:val="17"/>
                <w:color w:val="auto"/>
              </w:rPr>
              <w:t>management in assessing growth and strategic objectives.</w:t>
            </w:r>
          </w:p>
        </w:tc>
        <w:tc>
          <w:tcPr>
            <w:tcW w:w="3240" w:type="dxa"/>
            <w:vAlign w:val="bottom"/>
          </w:tcPr>
          <w:p>
            <w:pPr>
              <w:spacing w:after="0"/>
              <w:rPr>
                <w:sz w:val="18"/>
                <w:szCs w:val="18"/>
                <w:color w:val="auto"/>
              </w:rPr>
            </w:pPr>
          </w:p>
        </w:tc>
      </w:tr>
      <w:tr>
        <w:trPr>
          <w:trHeight w:val="377"/>
        </w:trPr>
        <w:tc>
          <w:tcPr>
            <w:tcW w:w="8180" w:type="dxa"/>
            <w:vAlign w:val="bottom"/>
          </w:tcPr>
          <w:p>
            <w:pPr>
              <w:spacing w:after="0"/>
              <w:rPr>
                <w:sz w:val="20"/>
                <w:szCs w:val="20"/>
                <w:color w:val="auto"/>
              </w:rPr>
            </w:pPr>
            <w:r>
              <w:rPr>
                <w:rFonts w:ascii="Arial" w:cs="Arial" w:eastAsia="Arial" w:hAnsi="Arial"/>
                <w:sz w:val="17"/>
                <w:szCs w:val="17"/>
                <w:b w:val="1"/>
                <w:bCs w:val="1"/>
                <w:color w:val="auto"/>
              </w:rPr>
              <w:t xml:space="preserve">John M. Engler </w:t>
            </w:r>
            <w:r>
              <w:rPr>
                <w:rFonts w:ascii="Arial" w:cs="Arial" w:eastAsia="Arial" w:hAnsi="Arial"/>
                <w:sz w:val="17"/>
                <w:szCs w:val="17"/>
                <w:color w:val="auto"/>
              </w:rPr>
              <w:t>(62) became President of the Business Round- table on January 15, 2011. He was</w:t>
            </w:r>
          </w:p>
        </w:tc>
        <w:tc>
          <w:tcPr>
            <w:tcW w:w="3240" w:type="dxa"/>
            <w:vAlign w:val="bottom"/>
          </w:tcPr>
          <w:p>
            <w:pPr>
              <w:ind w:left="280"/>
              <w:spacing w:after="0"/>
              <w:rPr>
                <w:sz w:val="20"/>
                <w:szCs w:val="20"/>
                <w:color w:val="auto"/>
              </w:rPr>
            </w:pPr>
            <w:r>
              <w:rPr>
                <w:rFonts w:ascii="Arial" w:cs="Arial" w:eastAsia="Arial" w:hAnsi="Arial"/>
                <w:sz w:val="17"/>
                <w:szCs w:val="17"/>
                <w:color w:val="auto"/>
              </w:rPr>
              <w:t>Director since 2003.</w:t>
            </w: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President and Chief Executive Officer of the National Association of Manufacturers from October 2004</w:t>
            </w:r>
          </w:p>
        </w:tc>
        <w:tc>
          <w:tcPr>
            <w:tcW w:w="3240" w:type="dxa"/>
            <w:vAlign w:val="bottom"/>
          </w:tcPr>
          <w:p>
            <w:pPr>
              <w:ind w:left="280"/>
              <w:spacing w:after="0"/>
              <w:rPr>
                <w:sz w:val="20"/>
                <w:szCs w:val="20"/>
                <w:color w:val="auto"/>
              </w:rPr>
            </w:pPr>
            <w:r>
              <w:rPr>
                <w:rFonts w:ascii="Arial" w:cs="Arial" w:eastAsia="Arial" w:hAnsi="Arial"/>
                <w:sz w:val="17"/>
                <w:szCs w:val="17"/>
                <w:color w:val="auto"/>
              </w:rPr>
              <w:t>Member of Nominating and Corporate</w:t>
            </w: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until he took over as head of the Business Roundtable. He was President of State and Local</w:t>
            </w:r>
          </w:p>
        </w:tc>
        <w:tc>
          <w:tcPr>
            <w:tcW w:w="3240" w:type="dxa"/>
            <w:vAlign w:val="bottom"/>
          </w:tcPr>
          <w:p>
            <w:pPr>
              <w:ind w:left="280"/>
              <w:spacing w:after="0"/>
              <w:rPr>
                <w:sz w:val="20"/>
                <w:szCs w:val="20"/>
                <w:color w:val="auto"/>
              </w:rPr>
            </w:pPr>
            <w:r>
              <w:rPr>
                <w:rFonts w:ascii="Arial" w:cs="Arial" w:eastAsia="Arial" w:hAnsi="Arial"/>
                <w:sz w:val="17"/>
                <w:szCs w:val="17"/>
                <w:color w:val="auto"/>
              </w:rPr>
              <w:t>Governance Committee.</w:t>
            </w: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Government Business and Vice President of Government Solutions for North America for EDS in</w:t>
            </w:r>
          </w:p>
        </w:tc>
        <w:tc>
          <w:tcPr>
            <w:tcW w:w="3240" w:type="dxa"/>
            <w:vAlign w:val="bottom"/>
          </w:tcPr>
          <w:p>
            <w:pPr>
              <w:ind w:left="280"/>
              <w:spacing w:after="0"/>
              <w:rPr>
                <w:sz w:val="20"/>
                <w:szCs w:val="20"/>
                <w:color w:val="auto"/>
              </w:rPr>
            </w:pPr>
            <w:r>
              <w:rPr>
                <w:rFonts w:ascii="Arial" w:cs="Arial" w:eastAsia="Arial" w:hAnsi="Arial"/>
                <w:sz w:val="17"/>
                <w:szCs w:val="17"/>
                <w:color w:val="auto"/>
              </w:rPr>
              <w:t>Member of Personnel and</w:t>
            </w: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Herndon, Virginia from February 2003 to September 2004. He served as Governor of the State of</w:t>
            </w:r>
          </w:p>
        </w:tc>
        <w:tc>
          <w:tcPr>
            <w:tcW w:w="3240" w:type="dxa"/>
            <w:vAlign w:val="bottom"/>
          </w:tcPr>
          <w:p>
            <w:pPr>
              <w:ind w:left="280"/>
              <w:spacing w:after="0"/>
              <w:rPr>
                <w:sz w:val="20"/>
                <w:szCs w:val="20"/>
                <w:color w:val="auto"/>
              </w:rPr>
            </w:pPr>
            <w:r>
              <w:rPr>
                <w:rFonts w:ascii="Arial" w:cs="Arial" w:eastAsia="Arial" w:hAnsi="Arial"/>
                <w:sz w:val="17"/>
                <w:szCs w:val="17"/>
                <w:color w:val="auto"/>
              </w:rPr>
              <w:t>Compensation Committee.</w:t>
            </w: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Michigan from 1991 to 2003. Mr. Engler has served on the board of Munder Capital Management</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since 2003 and on the board of Delta Airlines since 2008. He served on the board of Northwest</w:t>
            </w:r>
          </w:p>
        </w:tc>
        <w:tc>
          <w:tcPr>
            <w:tcW w:w="3240" w:type="dxa"/>
            <w:vAlign w:val="bottom"/>
          </w:tcPr>
          <w:p>
            <w:pPr>
              <w:spacing w:after="0"/>
              <w:rPr>
                <w:sz w:val="16"/>
                <w:szCs w:val="16"/>
                <w:color w:val="auto"/>
              </w:rPr>
            </w:pPr>
          </w:p>
        </w:tc>
      </w:tr>
      <w:tr>
        <w:trPr>
          <w:trHeight w:val="209"/>
        </w:trPr>
        <w:tc>
          <w:tcPr>
            <w:tcW w:w="8180" w:type="dxa"/>
            <w:vAlign w:val="bottom"/>
          </w:tcPr>
          <w:p>
            <w:pPr>
              <w:spacing w:after="0"/>
              <w:rPr>
                <w:sz w:val="20"/>
                <w:szCs w:val="20"/>
                <w:color w:val="auto"/>
              </w:rPr>
            </w:pPr>
            <w:r>
              <w:rPr>
                <w:rFonts w:ascii="Arial" w:cs="Arial" w:eastAsia="Arial" w:hAnsi="Arial"/>
                <w:sz w:val="17"/>
                <w:szCs w:val="17"/>
                <w:color w:val="auto"/>
              </w:rPr>
              <w:t>Airlines from 2003 until 2008.</w:t>
            </w:r>
          </w:p>
        </w:tc>
        <w:tc>
          <w:tcPr>
            <w:tcW w:w="3240" w:type="dxa"/>
            <w:vAlign w:val="bottom"/>
          </w:tcPr>
          <w:p>
            <w:pPr>
              <w:spacing w:after="0"/>
              <w:rPr>
                <w:sz w:val="18"/>
                <w:szCs w:val="18"/>
                <w:color w:val="auto"/>
              </w:rPr>
            </w:pPr>
          </w:p>
        </w:tc>
      </w:tr>
      <w:tr>
        <w:trPr>
          <w:trHeight w:val="377"/>
        </w:trPr>
        <w:tc>
          <w:tcPr>
            <w:tcW w:w="8180" w:type="dxa"/>
            <w:vAlign w:val="bottom"/>
          </w:tcPr>
          <w:p>
            <w:pPr>
              <w:spacing w:after="0"/>
              <w:rPr>
                <w:sz w:val="20"/>
                <w:szCs w:val="20"/>
                <w:color w:val="auto"/>
              </w:rPr>
            </w:pPr>
            <w:r>
              <w:rPr>
                <w:rFonts w:ascii="Arial" w:cs="Arial" w:eastAsia="Arial" w:hAnsi="Arial"/>
                <w:sz w:val="17"/>
                <w:szCs w:val="17"/>
                <w:color w:val="auto"/>
              </w:rPr>
              <w:t>Mr. Engler’s law degree, coupled with his experience in successfully leading the State of Michigan for</w:t>
            </w:r>
          </w:p>
        </w:tc>
        <w:tc>
          <w:tcPr>
            <w:tcW w:w="3240" w:type="dxa"/>
            <w:vAlign w:val="bottom"/>
          </w:tcPr>
          <w:p>
            <w:pPr>
              <w:spacing w:after="0"/>
              <w:rPr>
                <w:sz w:val="24"/>
                <w:szCs w:val="24"/>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12 years, gives him a unique capacity to understand complex issues and to simplify them in an</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efficient and effective manner. As President of the Business Roundtable, Mr. Engler leads an</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association of chief executive officers of leading U.S. companies with nearly $6 trillion in annual</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revenue and more than 12 million employees. His work on issues ranging from tax and trade to</w:t>
            </w:r>
          </w:p>
        </w:tc>
        <w:tc>
          <w:tcPr>
            <w:tcW w:w="3240" w:type="dxa"/>
            <w:vAlign w:val="bottom"/>
          </w:tcPr>
          <w:p>
            <w:pPr>
              <w:spacing w:after="0"/>
              <w:rPr>
                <w:sz w:val="16"/>
                <w:szCs w:val="16"/>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corporate governance and regulatory policy allows him to continue to be a key contributor as a</w:t>
            </w:r>
          </w:p>
        </w:tc>
        <w:tc>
          <w:tcPr>
            <w:tcW w:w="3240" w:type="dxa"/>
            <w:vAlign w:val="bottom"/>
          </w:tcPr>
          <w:p>
            <w:pPr>
              <w:spacing w:after="0"/>
              <w:rPr>
                <w:sz w:val="16"/>
                <w:szCs w:val="16"/>
                <w:color w:val="auto"/>
              </w:rPr>
            </w:pPr>
          </w:p>
        </w:tc>
      </w:tr>
      <w:tr>
        <w:trPr>
          <w:trHeight w:val="209"/>
        </w:trPr>
        <w:tc>
          <w:tcPr>
            <w:tcW w:w="8180" w:type="dxa"/>
            <w:vAlign w:val="bottom"/>
          </w:tcPr>
          <w:p>
            <w:pPr>
              <w:spacing w:after="0"/>
              <w:rPr>
                <w:sz w:val="20"/>
                <w:szCs w:val="20"/>
                <w:color w:val="auto"/>
              </w:rPr>
            </w:pPr>
            <w:r>
              <w:rPr>
                <w:rFonts w:ascii="Arial" w:cs="Arial" w:eastAsia="Arial" w:hAnsi="Arial"/>
                <w:sz w:val="17"/>
                <w:szCs w:val="17"/>
                <w:color w:val="auto"/>
              </w:rPr>
              <w:t>director.</w:t>
            </w:r>
          </w:p>
        </w:tc>
        <w:tc>
          <w:tcPr>
            <w:tcW w:w="3240" w:type="dxa"/>
            <w:vAlign w:val="bottom"/>
          </w:tcPr>
          <w:p>
            <w:pPr>
              <w:spacing w:after="0"/>
              <w:rPr>
                <w:sz w:val="18"/>
                <w:szCs w:val="18"/>
                <w:color w:val="auto"/>
              </w:rPr>
            </w:pPr>
          </w:p>
        </w:tc>
      </w:tr>
      <w:tr>
        <w:trPr>
          <w:trHeight w:val="377"/>
        </w:trPr>
        <w:tc>
          <w:tcPr>
            <w:tcW w:w="8180" w:type="dxa"/>
            <w:vAlign w:val="bottom"/>
          </w:tcPr>
          <w:p>
            <w:pPr>
              <w:spacing w:after="0"/>
              <w:rPr>
                <w:sz w:val="20"/>
                <w:szCs w:val="20"/>
                <w:color w:val="auto"/>
              </w:rPr>
            </w:pPr>
            <w:r>
              <w:rPr>
                <w:rFonts w:ascii="Arial" w:cs="Arial" w:eastAsia="Arial" w:hAnsi="Arial"/>
                <w:sz w:val="17"/>
                <w:szCs w:val="17"/>
                <w:b w:val="1"/>
                <w:bCs w:val="1"/>
                <w:color w:val="auto"/>
              </w:rPr>
              <w:t xml:space="preserve">Michael B. Glenn </w:t>
            </w:r>
            <w:r>
              <w:rPr>
                <w:rFonts w:ascii="Arial" w:cs="Arial" w:eastAsia="Arial" w:hAnsi="Arial"/>
                <w:sz w:val="17"/>
                <w:szCs w:val="17"/>
                <w:color w:val="auto"/>
              </w:rPr>
              <w:t>(59) is Chief Executive Officer of our Company. He joined our Company in 1974,</w:t>
            </w:r>
          </w:p>
        </w:tc>
        <w:tc>
          <w:tcPr>
            <w:tcW w:w="3240" w:type="dxa"/>
            <w:vAlign w:val="bottom"/>
          </w:tcPr>
          <w:p>
            <w:pPr>
              <w:ind w:left="280"/>
              <w:spacing w:after="0"/>
              <w:rPr>
                <w:sz w:val="20"/>
                <w:szCs w:val="20"/>
                <w:color w:val="auto"/>
              </w:rPr>
            </w:pPr>
            <w:r>
              <w:rPr>
                <w:rFonts w:ascii="Arial" w:cs="Arial" w:eastAsia="Arial" w:hAnsi="Arial"/>
                <w:sz w:val="17"/>
                <w:szCs w:val="17"/>
                <w:color w:val="auto"/>
              </w:rPr>
              <w:t>Director since 2006.</w:t>
            </w: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serving as a salesman, vice president, senior vice president, and divisional president. He was named</w:t>
            </w:r>
          </w:p>
        </w:tc>
        <w:tc>
          <w:tcPr>
            <w:tcW w:w="3240" w:type="dxa"/>
            <w:vAlign w:val="bottom"/>
          </w:tcPr>
          <w:p>
            <w:pPr>
              <w:spacing w:after="0"/>
              <w:rPr>
                <w:sz w:val="16"/>
                <w:szCs w:val="16"/>
                <w:color w:val="auto"/>
              </w:rPr>
            </w:pPr>
          </w:p>
        </w:tc>
      </w:tr>
      <w:tr>
        <w:trPr>
          <w:trHeight w:val="209"/>
        </w:trPr>
        <w:tc>
          <w:tcPr>
            <w:tcW w:w="8180" w:type="dxa"/>
            <w:vAlign w:val="bottom"/>
          </w:tcPr>
          <w:p>
            <w:pPr>
              <w:spacing w:after="0"/>
              <w:rPr>
                <w:sz w:val="20"/>
                <w:szCs w:val="20"/>
                <w:color w:val="auto"/>
              </w:rPr>
            </w:pPr>
            <w:r>
              <w:rPr>
                <w:rFonts w:ascii="Arial" w:cs="Arial" w:eastAsia="Arial" w:hAnsi="Arial"/>
                <w:sz w:val="17"/>
                <w:szCs w:val="17"/>
                <w:color w:val="auto"/>
              </w:rPr>
              <w:t>President of our Company in 2000, and on July 1, 2006, became Chief Executive Officer.</w:t>
            </w:r>
          </w:p>
        </w:tc>
        <w:tc>
          <w:tcPr>
            <w:tcW w:w="3240" w:type="dxa"/>
            <w:vAlign w:val="bottom"/>
          </w:tcPr>
          <w:p>
            <w:pPr>
              <w:spacing w:after="0"/>
              <w:rPr>
                <w:sz w:val="18"/>
                <w:szCs w:val="18"/>
                <w:color w:val="auto"/>
              </w:rPr>
            </w:pPr>
          </w:p>
        </w:tc>
      </w:tr>
      <w:tr>
        <w:trPr>
          <w:trHeight w:val="377"/>
        </w:trPr>
        <w:tc>
          <w:tcPr>
            <w:tcW w:w="8180" w:type="dxa"/>
            <w:vAlign w:val="bottom"/>
          </w:tcPr>
          <w:p>
            <w:pPr>
              <w:spacing w:after="0"/>
              <w:rPr>
                <w:sz w:val="20"/>
                <w:szCs w:val="20"/>
                <w:color w:val="auto"/>
              </w:rPr>
            </w:pPr>
            <w:r>
              <w:rPr>
                <w:rFonts w:ascii="Arial" w:cs="Arial" w:eastAsia="Arial" w:hAnsi="Arial"/>
                <w:sz w:val="17"/>
                <w:szCs w:val="17"/>
                <w:color w:val="auto"/>
              </w:rPr>
              <w:t>Mr. Glenn has a wealth of knowledge of the lumber industry and is steeped in the successful culture of</w:t>
            </w:r>
          </w:p>
        </w:tc>
        <w:tc>
          <w:tcPr>
            <w:tcW w:w="3240" w:type="dxa"/>
            <w:vAlign w:val="bottom"/>
          </w:tcPr>
          <w:p>
            <w:pPr>
              <w:spacing w:after="0"/>
              <w:rPr>
                <w:sz w:val="24"/>
                <w:szCs w:val="24"/>
                <w:color w:val="auto"/>
              </w:rPr>
            </w:pPr>
          </w:p>
        </w:tc>
      </w:t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our Company. He has been involved in all aspects of our business and offers great insight into the</w:t>
            </w:r>
          </w:p>
        </w:tc>
        <w:tc>
          <w:tcPr>
            <w:tcW w:w="3240" w:type="dxa"/>
            <w:vAlign w:val="bottom"/>
          </w:tcPr>
          <w:p>
            <w:pPr>
              <w:spacing w:after="0"/>
              <w:rPr>
                <w:sz w:val="16"/>
                <w:szCs w:val="16"/>
                <w:color w:val="auto"/>
              </w:rPr>
            </w:pPr>
          </w:p>
        </w:tc>
      </w:tr>
      <w:tr>
        <w:trPr>
          <w:trHeight w:val="209"/>
        </w:trPr>
        <w:tc>
          <w:tcPr>
            <w:tcW w:w="8180" w:type="dxa"/>
            <w:vAlign w:val="bottom"/>
          </w:tcPr>
          <w:p>
            <w:pPr>
              <w:spacing w:after="0"/>
              <w:rPr>
                <w:sz w:val="20"/>
                <w:szCs w:val="20"/>
                <w:color w:val="auto"/>
              </w:rPr>
            </w:pPr>
            <w:r>
              <w:rPr>
                <w:rFonts w:ascii="Arial" w:cs="Arial" w:eastAsia="Arial" w:hAnsi="Arial"/>
                <w:sz w:val="17"/>
                <w:szCs w:val="17"/>
                <w:color w:val="auto"/>
              </w:rPr>
              <w:t>successful operation of our Company.</w:t>
            </w:r>
          </w:p>
        </w:tc>
        <w:tc>
          <w:tcPr>
            <w:tcW w:w="3240" w:type="dxa"/>
            <w:vAlign w:val="bottom"/>
          </w:tcPr>
          <w:p>
            <w:pPr>
              <w:spacing w:after="0"/>
              <w:rPr>
                <w:sz w:val="18"/>
                <w:szCs w:val="18"/>
                <w:color w:val="auto"/>
              </w:rPr>
            </w:pPr>
          </w:p>
        </w:tc>
      </w:tr>
      <w:tr>
        <w:trPr>
          <w:trHeight w:val="378"/>
        </w:trPr>
        <w:tc>
          <w:tcPr>
            <w:tcW w:w="8180" w:type="dxa"/>
            <w:vAlign w:val="bottom"/>
          </w:tcPr>
          <w:p>
            <w:pPr>
              <w:ind w:left="5660"/>
              <w:spacing w:after="0"/>
              <w:rPr>
                <w:sz w:val="20"/>
                <w:szCs w:val="20"/>
                <w:color w:val="auto"/>
              </w:rPr>
            </w:pPr>
            <w:r>
              <w:rPr>
                <w:rFonts w:ascii="Arial" w:cs="Arial" w:eastAsia="Arial" w:hAnsi="Arial"/>
                <w:sz w:val="17"/>
                <w:szCs w:val="17"/>
                <w:color w:val="auto"/>
              </w:rPr>
              <w:t>5</w:t>
            </w:r>
          </w:p>
        </w:tc>
        <w:tc>
          <w:tcPr>
            <w:tcW w:w="3240" w:type="dxa"/>
            <w:vAlign w:val="bottom"/>
          </w:tcPr>
          <w:p>
            <w:pPr>
              <w:spacing w:after="0"/>
              <w:rPr>
                <w:sz w:val="24"/>
                <w:szCs w:val="24"/>
                <w:color w:val="auto"/>
              </w:rPr>
            </w:pPr>
          </w:p>
        </w:tc>
      </w:tr>
      <w:tr>
        <w:trPr>
          <w:trHeight w:val="205"/>
        </w:trPr>
        <w:tc>
          <w:tcPr>
            <w:tcW w:w="8180" w:type="dxa"/>
            <w:vAlign w:val="bottom"/>
            <w:tcBorders>
              <w:bottom w:val="single" w:sz="8" w:color="808080"/>
            </w:tcBorders>
          </w:tcPr>
          <w:p>
            <w:pPr>
              <w:spacing w:after="0"/>
              <w:rPr>
                <w:sz w:val="17"/>
                <w:szCs w:val="17"/>
                <w:color w:val="auto"/>
              </w:rPr>
            </w:pPr>
          </w:p>
        </w:tc>
        <w:tc>
          <w:tcPr>
            <w:tcW w:w="32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3300" w:type="dxa"/>
            <w:vAlign w:val="bottom"/>
          </w:tcPr>
          <w:p>
            <w:pPr>
              <w:spacing w:after="0"/>
              <w:rPr>
                <w:sz w:val="14"/>
                <w:szCs w:val="14"/>
                <w:color w:val="auto"/>
              </w:rPr>
            </w:pPr>
          </w:p>
        </w:tc>
      </w:tr>
      <w:tr>
        <w:trPr>
          <w:trHeight w:val="168"/>
        </w:trPr>
        <w:tc>
          <w:tcPr>
            <w:tcW w:w="8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Directors and Nominees</w:t>
            </w:r>
          </w:p>
        </w:tc>
        <w:tc>
          <w:tcPr>
            <w:tcW w:w="33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Service as a Director</w:t>
            </w:r>
          </w:p>
        </w:tc>
      </w:tr>
      <w:tr>
        <w:trPr>
          <w:trHeight w:val="396"/>
        </w:trPr>
        <w:tc>
          <w:tcPr>
            <w:tcW w:w="8120" w:type="dxa"/>
            <w:vAlign w:val="bottom"/>
          </w:tcPr>
          <w:p>
            <w:pPr>
              <w:spacing w:after="0"/>
              <w:rPr>
                <w:sz w:val="20"/>
                <w:szCs w:val="20"/>
                <w:color w:val="auto"/>
              </w:rPr>
            </w:pPr>
            <w:r>
              <w:rPr>
                <w:rFonts w:ascii="Arial" w:cs="Arial" w:eastAsia="Arial" w:hAnsi="Arial"/>
                <w:sz w:val="17"/>
                <w:szCs w:val="17"/>
                <w:b w:val="1"/>
                <w:bCs w:val="1"/>
                <w:color w:val="auto"/>
              </w:rPr>
              <w:t xml:space="preserve">Bruce A. Merino </w:t>
            </w:r>
            <w:r>
              <w:rPr>
                <w:rFonts w:ascii="Arial" w:cs="Arial" w:eastAsia="Arial" w:hAnsi="Arial"/>
                <w:sz w:val="17"/>
                <w:szCs w:val="17"/>
                <w:color w:val="auto"/>
              </w:rPr>
              <w:t>(57) retired from The Home Depot in 2009, after 25 years with the company. At the</w:t>
            </w:r>
          </w:p>
        </w:tc>
        <w:tc>
          <w:tcPr>
            <w:tcW w:w="3300" w:type="dxa"/>
            <w:vAlign w:val="bottom"/>
          </w:tcPr>
          <w:p>
            <w:pPr>
              <w:ind w:left="340"/>
              <w:spacing w:after="0"/>
              <w:rPr>
                <w:sz w:val="20"/>
                <w:szCs w:val="20"/>
                <w:color w:val="auto"/>
              </w:rPr>
            </w:pPr>
            <w:r>
              <w:rPr>
                <w:rFonts w:ascii="Arial" w:cs="Arial" w:eastAsia="Arial" w:hAnsi="Arial"/>
                <w:sz w:val="17"/>
                <w:szCs w:val="17"/>
                <w:color w:val="auto"/>
              </w:rPr>
              <w:t>Director since 2009.</w:t>
            </w:r>
          </w:p>
        </w:tc>
      </w:tr>
      <w:tr>
        <w:trPr>
          <w:trHeight w:val="195"/>
        </w:trPr>
        <w:tc>
          <w:tcPr>
            <w:tcW w:w="8120" w:type="dxa"/>
            <w:vAlign w:val="bottom"/>
          </w:tcPr>
          <w:p>
            <w:pPr>
              <w:spacing w:after="0"/>
              <w:rPr>
                <w:sz w:val="20"/>
                <w:szCs w:val="20"/>
                <w:color w:val="auto"/>
              </w:rPr>
            </w:pPr>
            <w:r>
              <w:rPr>
                <w:rFonts w:ascii="Arial" w:cs="Arial" w:eastAsia="Arial" w:hAnsi="Arial"/>
                <w:sz w:val="17"/>
                <w:szCs w:val="17"/>
                <w:color w:val="auto"/>
              </w:rPr>
              <w:t>time of his retirement, he was Senior Vice President of Merchandising and President of The Home</w:t>
            </w:r>
          </w:p>
        </w:tc>
        <w:tc>
          <w:tcPr>
            <w:tcW w:w="3300" w:type="dxa"/>
            <w:vAlign w:val="bottom"/>
          </w:tcPr>
          <w:p>
            <w:pPr>
              <w:ind w:left="340"/>
              <w:spacing w:after="0"/>
              <w:rPr>
                <w:sz w:val="20"/>
                <w:szCs w:val="20"/>
                <w:color w:val="auto"/>
              </w:rPr>
            </w:pPr>
            <w:r>
              <w:rPr>
                <w:rFonts w:ascii="Arial" w:cs="Arial" w:eastAsia="Arial" w:hAnsi="Arial"/>
                <w:sz w:val="17"/>
                <w:szCs w:val="17"/>
                <w:color w:val="auto"/>
              </w:rPr>
              <w:t>Chairman of Personnel and</w:t>
            </w:r>
          </w:p>
        </w:tc>
      </w:tr>
      <w:tr>
        <w:trPr>
          <w:trHeight w:val="195"/>
        </w:trPr>
        <w:tc>
          <w:tcPr>
            <w:tcW w:w="8120" w:type="dxa"/>
            <w:vAlign w:val="bottom"/>
          </w:tcPr>
          <w:p>
            <w:pPr>
              <w:spacing w:after="0"/>
              <w:rPr>
                <w:sz w:val="20"/>
                <w:szCs w:val="20"/>
                <w:color w:val="auto"/>
              </w:rPr>
            </w:pPr>
            <w:r>
              <w:rPr>
                <w:rFonts w:ascii="Arial" w:cs="Arial" w:eastAsia="Arial" w:hAnsi="Arial"/>
                <w:sz w:val="17"/>
                <w:szCs w:val="17"/>
                <w:color w:val="auto"/>
              </w:rPr>
              <w:t>Depot’s Expo Design Center. Mr. Merino sits on the City of Hope’s Home Improvement Board Council</w:t>
            </w:r>
          </w:p>
        </w:tc>
        <w:tc>
          <w:tcPr>
            <w:tcW w:w="3300" w:type="dxa"/>
            <w:vAlign w:val="bottom"/>
          </w:tcPr>
          <w:p>
            <w:pPr>
              <w:ind w:left="340"/>
              <w:spacing w:after="0"/>
              <w:rPr>
                <w:sz w:val="20"/>
                <w:szCs w:val="20"/>
                <w:color w:val="auto"/>
              </w:rPr>
            </w:pPr>
            <w:r>
              <w:rPr>
                <w:rFonts w:ascii="Arial" w:cs="Arial" w:eastAsia="Arial" w:hAnsi="Arial"/>
                <w:sz w:val="17"/>
                <w:szCs w:val="17"/>
                <w:color w:val="auto"/>
              </w:rPr>
              <w:t>Compensation Committee.</w:t>
            </w:r>
          </w:p>
        </w:tc>
      </w:tr>
      <w:tr>
        <w:trPr>
          <w:trHeight w:val="195"/>
        </w:trPr>
        <w:tc>
          <w:tcPr>
            <w:tcW w:w="8120" w:type="dxa"/>
            <w:vAlign w:val="bottom"/>
          </w:tcPr>
          <w:p>
            <w:pPr>
              <w:spacing w:after="0"/>
              <w:rPr>
                <w:sz w:val="20"/>
                <w:szCs w:val="20"/>
                <w:color w:val="auto"/>
              </w:rPr>
            </w:pPr>
            <w:r>
              <w:rPr>
                <w:rFonts w:ascii="Arial" w:cs="Arial" w:eastAsia="Arial" w:hAnsi="Arial"/>
                <w:sz w:val="17"/>
                <w:szCs w:val="17"/>
                <w:color w:val="auto"/>
              </w:rPr>
              <w:t>and is its chair.</w:t>
            </w:r>
          </w:p>
        </w:tc>
        <w:tc>
          <w:tcPr>
            <w:tcW w:w="3300" w:type="dxa"/>
            <w:vAlign w:val="bottom"/>
          </w:tcPr>
          <w:p>
            <w:pPr>
              <w:ind w:left="340"/>
              <w:spacing w:after="0"/>
              <w:rPr>
                <w:sz w:val="20"/>
                <w:szCs w:val="20"/>
                <w:color w:val="auto"/>
              </w:rPr>
            </w:pPr>
            <w:r>
              <w:rPr>
                <w:rFonts w:ascii="Arial" w:cs="Arial" w:eastAsia="Arial" w:hAnsi="Arial"/>
                <w:sz w:val="17"/>
                <w:szCs w:val="17"/>
                <w:color w:val="auto"/>
              </w:rPr>
              <w:t>Member of Nominating and Corporate</w:t>
            </w:r>
          </w:p>
        </w:tc>
      </w:tr>
      <w:tr>
        <w:trPr>
          <w:trHeight w:val="209"/>
        </w:trPr>
        <w:tc>
          <w:tcPr>
            <w:tcW w:w="81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Arial" w:cs="Arial" w:eastAsia="Arial" w:hAnsi="Arial"/>
                <w:sz w:val="17"/>
                <w:szCs w:val="17"/>
                <w:color w:val="auto"/>
              </w:rPr>
              <w:t>Governance Committee.</w:t>
            </w:r>
          </w:p>
        </w:tc>
      </w:tr>
      <w:tr>
        <w:trPr>
          <w:trHeight w:val="377"/>
        </w:trPr>
        <w:tc>
          <w:tcPr>
            <w:tcW w:w="8120" w:type="dxa"/>
            <w:vAlign w:val="bottom"/>
          </w:tcPr>
          <w:p>
            <w:pPr>
              <w:spacing w:after="0"/>
              <w:rPr>
                <w:sz w:val="20"/>
                <w:szCs w:val="20"/>
                <w:color w:val="auto"/>
              </w:rPr>
            </w:pPr>
            <w:r>
              <w:rPr>
                <w:rFonts w:ascii="Arial" w:cs="Arial" w:eastAsia="Arial" w:hAnsi="Arial"/>
                <w:sz w:val="17"/>
                <w:szCs w:val="17"/>
                <w:color w:val="auto"/>
              </w:rPr>
              <w:t>Mr. Merino has been able to utilize his 38 years of experience in the home improvement industry to</w:t>
            </w:r>
          </w:p>
        </w:tc>
        <w:tc>
          <w:tcPr>
            <w:tcW w:w="3300" w:type="dxa"/>
            <w:vAlign w:val="bottom"/>
          </w:tcPr>
          <w:p>
            <w:pPr>
              <w:spacing w:after="0"/>
              <w:rPr>
                <w:sz w:val="24"/>
                <w:szCs w:val="24"/>
                <w:color w:val="auto"/>
              </w:rPr>
            </w:pPr>
          </w:p>
        </w:tc>
      </w:tr>
      <w:tr>
        <w:trPr>
          <w:trHeight w:val="195"/>
        </w:trPr>
        <w:tc>
          <w:tcPr>
            <w:tcW w:w="8120" w:type="dxa"/>
            <w:vAlign w:val="bottom"/>
          </w:tcPr>
          <w:p>
            <w:pPr>
              <w:spacing w:after="0"/>
              <w:rPr>
                <w:sz w:val="20"/>
                <w:szCs w:val="20"/>
                <w:color w:val="auto"/>
              </w:rPr>
            </w:pPr>
            <w:r>
              <w:rPr>
                <w:rFonts w:ascii="Arial" w:cs="Arial" w:eastAsia="Arial" w:hAnsi="Arial"/>
                <w:sz w:val="17"/>
                <w:szCs w:val="17"/>
                <w:color w:val="auto"/>
              </w:rPr>
              <w:t>assist our Company in strategy and operations for our DIY market. Mr. Merino understands the</w:t>
            </w:r>
          </w:p>
        </w:tc>
        <w:tc>
          <w:tcPr>
            <w:tcW w:w="3300" w:type="dxa"/>
            <w:vAlign w:val="bottom"/>
          </w:tcPr>
          <w:p>
            <w:pPr>
              <w:spacing w:after="0"/>
              <w:rPr>
                <w:sz w:val="16"/>
                <w:szCs w:val="16"/>
                <w:color w:val="auto"/>
              </w:rPr>
            </w:pPr>
          </w:p>
        </w:tc>
      </w:tr>
      <w:tr>
        <w:trPr>
          <w:trHeight w:val="209"/>
        </w:trPr>
        <w:tc>
          <w:tcPr>
            <w:tcW w:w="8120" w:type="dxa"/>
            <w:vAlign w:val="bottom"/>
          </w:tcPr>
          <w:p>
            <w:pPr>
              <w:spacing w:after="0"/>
              <w:rPr>
                <w:sz w:val="20"/>
                <w:szCs w:val="20"/>
                <w:color w:val="auto"/>
              </w:rPr>
            </w:pPr>
            <w:r>
              <w:rPr>
                <w:rFonts w:ascii="Arial" w:cs="Arial" w:eastAsia="Arial" w:hAnsi="Arial"/>
                <w:sz w:val="17"/>
                <w:szCs w:val="17"/>
                <w:color w:val="auto"/>
              </w:rPr>
              <w:t>procurement and marketing operations of big box retailers, which is very valuable to our Company.</w:t>
            </w:r>
          </w:p>
        </w:tc>
        <w:tc>
          <w:tcPr>
            <w:tcW w:w="3300" w:type="dxa"/>
            <w:vAlign w:val="bottom"/>
          </w:tcPr>
          <w:p>
            <w:pPr>
              <w:spacing w:after="0"/>
              <w:rPr>
                <w:sz w:val="18"/>
                <w:szCs w:val="18"/>
                <w:color w:val="auto"/>
              </w:rPr>
            </w:pPr>
          </w:p>
        </w:tc>
      </w:tr>
    </w:tbl>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CORPORATE GOVERNANCE AND BOARD MATTERS</w:t>
      </w:r>
    </w:p>
    <w:p>
      <w:pPr>
        <w:spacing w:after="0" w:line="12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 xml:space="preserve">Our Board is committed to sound and effective corporate governance practices. To assist in these practices, the Board has appointed three standing committees: the Audit Committee, the Nominating and Corporate Governance Committee, and the Personnel and Compensation Committee. Each of these committees has a written charter, the current versions of which are available for review on our website at </w:t>
      </w:r>
      <w:r>
        <w:rPr>
          <w:rFonts w:ascii="Arial" w:cs="Arial" w:eastAsia="Arial" w:hAnsi="Arial"/>
          <w:sz w:val="17"/>
          <w:szCs w:val="17"/>
          <w:u w:val="single" w:color="auto"/>
          <w:color w:val="auto"/>
        </w:rPr>
        <w:t>www.ufpi.com</w:t>
      </w:r>
      <w:r>
        <w:rPr>
          <w:rFonts w:ascii="Arial" w:cs="Arial" w:eastAsia="Arial" w:hAnsi="Arial"/>
          <w:sz w:val="17"/>
          <w:szCs w:val="17"/>
          <w:color w:val="auto"/>
        </w:rPr>
        <w:t xml:space="preserve"> under the tab “Investor Relations.”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 and Code of Ethics for Senior Financial Officers</w:t>
      </w:r>
    </w:p>
    <w:p>
      <w:pPr>
        <w:spacing w:after="0" w:line="126"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 xml:space="preserve">We have adopted a Code of Business Conduct and Ethics that applies to our employees, officers, and directors. We have also adopted a Code of Ethics for Senior Financial Officers. Each Code is posted on our website, and any changes or waiver to either Code will be disclosed on our website at </w:t>
      </w:r>
      <w:r>
        <w:rPr>
          <w:rFonts w:ascii="Arial" w:cs="Arial" w:eastAsia="Arial" w:hAnsi="Arial"/>
          <w:sz w:val="17"/>
          <w:szCs w:val="17"/>
          <w:u w:val="single" w:color="auto"/>
          <w:color w:val="auto"/>
        </w:rPr>
        <w:t>www.ufpi.com</w:t>
      </w:r>
      <w:r>
        <w:rPr>
          <w:rFonts w:ascii="Arial" w:cs="Arial" w:eastAsia="Arial" w:hAnsi="Arial"/>
          <w:sz w:val="17"/>
          <w:szCs w:val="17"/>
          <w:color w:val="auto"/>
        </w:rPr>
        <w:t xml:space="preserve"> under the tab “Investor Relations.”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Affirmative Determination Regarding Director Independence and Other Matters</w:t>
      </w:r>
    </w:p>
    <w:p>
      <w:pPr>
        <w:spacing w:after="0" w:line="12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Board has determined each of the following directors to be an “independent director,” as such term is defined in Marketplace Rule 4200(a)(15) of the National Association of Securities Dealers (the “NASD”): Dan M. Dutton, John M. Engler, John W. Garside, Gary F. Goode, Bruce A. Merino, Mark A. Murray, William R. Payne, and Louis A. Smith. There are no family relationships between or among the directors and our executive officers.</w:t>
      </w:r>
    </w:p>
    <w:p>
      <w:pPr>
        <w:spacing w:after="0" w:line="84"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On the basis of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9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The effectiveness of each of our directors is monitored through the use of an annual assessment. The Board does not have a mandatory retirement age policy. We believe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that the ability of a Board member to add value to our Company is not dependent on age; rather, it is based on the director’s actual performance. As a result, we expect that some directors will not serve until a typical retirement age, while others may serve longer.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Each member of the Audit Committee is “independent,” as that term is defined by Rule 4200(a)(15) of the Nasdaq Listing Standards as well as the applicable rules of the Securities Exchange Commission for audit committee membership. Our Board has determined that Mr. Goode and Mr. Murray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2010, the Audit Committee held five meetings.</w:t>
      </w:r>
    </w:p>
    <w:p>
      <w:pPr>
        <w:spacing w:after="0" w:line="8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u w:val="single" w:color="auto"/>
          <w:color w:val="auto"/>
        </w:rPr>
        <w:t>Personnel and Compensation Committee</w:t>
      </w:r>
      <w:r>
        <w:rPr>
          <w:rFonts w:ascii="Arial" w:cs="Arial" w:eastAsia="Arial" w:hAnsi="Arial"/>
          <w:sz w:val="17"/>
          <w:szCs w:val="17"/>
          <w:color w:val="auto"/>
        </w:rPr>
        <w:t>. Each member of this Committee is independent, as that term is defined by the Nasdaq Listing Standards. The Committee is responsible for reviewing and recommending to the Board the timing and amount of compensation for key employees, including salaries, bonuses, and other benefits, as well as director compensation. This Committee is also responsible for administering our stock option and other equity-based incentive plans, and reviewing compensation plans and awards as they relate to key employees. The Committee has the authority to retain consultants and third-party advisors for assistance and has done so at its discretion. The Committee has the ultimate authority to determine matters of executive compensation; however, it may rely upon recommendations by our Chief Executive Officer for matters of compensation for officers and Named Executives,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2010, the Personnel and Compensation Committee held three meetings.</w:t>
      </w:r>
    </w:p>
    <w:p>
      <w:pPr>
        <w:spacing w:after="0" w:line="291" w:lineRule="exact"/>
        <w:rPr>
          <w:sz w:val="20"/>
          <w:szCs w:val="20"/>
          <w:color w:val="auto"/>
        </w:rPr>
      </w:pPr>
    </w:p>
    <w:p>
      <w:pPr>
        <w:spacing w:after="0" w:line="242" w:lineRule="auto"/>
        <w:rPr>
          <w:sz w:val="20"/>
          <w:szCs w:val="20"/>
          <w:color w:val="auto"/>
        </w:rPr>
      </w:pPr>
      <w:r>
        <w:rPr>
          <w:rFonts w:ascii="Arial" w:cs="Arial" w:eastAsia="Arial" w:hAnsi="Arial"/>
          <w:sz w:val="17"/>
          <w:szCs w:val="17"/>
          <w:u w:val="single" w:color="auto"/>
          <w:color w:val="auto"/>
        </w:rPr>
        <w:t>Nominating and Corporate Governance Committee</w:t>
      </w:r>
      <w:r>
        <w:rPr>
          <w:rFonts w:ascii="Arial" w:cs="Arial" w:eastAsia="Arial" w:hAnsi="Arial"/>
          <w:sz w:val="17"/>
          <w:szCs w:val="17"/>
          <w:color w:val="auto"/>
        </w:rPr>
        <w:t>. Each member of the Nominating and Corporate Governance Committee is “independent,” as that term is defined by the Nasdaq Listing Standards. The Nominating and Corporate Governance Committee considers and proposes director nominees for election at the Annual Meeting of Shareholders, selects candidates to fill Board vacancies as they may occur, makes recommendations to the Board regarding Board committee memberships, reviews the Chief Executive Officer succession planning, generally monitors our corporate governance system, and performs any other functions or duties deemed appropriate by the Board. The full responsibilities of the Nominating and Corporate Governance Committee are set forth in its Charter. During 2010, the Nominating and Corporate Governance Committee held two meetings.</w:t>
      </w:r>
    </w:p>
    <w:p>
      <w:pPr>
        <w:spacing w:after="0" w:line="289"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u w:val="single" w:color="auto"/>
          <w:color w:val="auto"/>
        </w:rPr>
        <w:t>Shareholder Nominees for Director</w:t>
      </w:r>
      <w:r>
        <w:rPr>
          <w:rFonts w:ascii="Arial" w:cs="Arial" w:eastAsia="Arial" w:hAnsi="Arial"/>
          <w:sz w:val="17"/>
          <w:szCs w:val="17"/>
          <w:color w:val="auto"/>
        </w:rPr>
        <w:t>. Our Articles of Incorporation contain certain procedural requirements applicable to shareholder nominations of directors. A shareholder who wishes to nominate a person to serve as a director must provides us with written notice. The notice must include: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 the name and address of both the shareholder who intends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08"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director. The nominee’s written consent to the nomination and sufficient background information on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fewer than 60 days but not more than 90 days prior to our Annual Meeting of Shareholders. The Nominating and Corporate Governance Committee may also make its own search for potential candidates that may include candidates identified by a variety of means as deemed appropriate by the Committee.</w:t>
      </w:r>
    </w:p>
    <w:p>
      <w:pPr>
        <w:spacing w:after="0" w:line="95"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u w:val="single" w:color="auto"/>
          <w:color w:val="auto"/>
        </w:rPr>
        <w:t>Director Qualifications and Requirements</w:t>
      </w:r>
      <w:r>
        <w:rPr>
          <w:rFonts w:ascii="Arial" w:cs="Arial" w:eastAsia="Arial" w:hAnsi="Arial"/>
          <w:sz w:val="17"/>
          <w:szCs w:val="17"/>
          <w:color w:val="auto"/>
        </w:rPr>
        <w:t>. The Nominating and Corporate Governance Committee has not yet established specific minimum age, education, years of business experience, or specific types of skills for director nominees, but, in general, expects qualified candidates will have ample experience and a proven record of business success and leadership. The Committee requires that each member of our Board have the highest professional ethics, integrity, and values, and will consistently exercise sound and objective business judgment. In addition, it is anticipated that our Board, as a whole, will have individuals with significant, appropriate senior management and leadership experience, a comfort with technology, a long-term, strategic and global perspective, and the ability to advance constructive debate. It is important for our Board, as a whole, to operate in an atmosphere in which the chemistry among the individuals is healthy and promotes the aforementioned criteria.</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Board believes that shareholders’ best interests are served by Board members who provide sound business advice to management and who adhere to the principles and values on which the business was founded and operates. Among the most important of these core principles are perpetuating a culture of innovation, timely decisions, personal responsibility and accountability, and rewarding employees for their success. Board members who have independent business knowledge, understand how to manage and motivate people, provide complementary skills to other Board members, and who can work effectively and productively with other Board members are critical to success. Our Board also considers diversity in its identification of director candidates. Diversity in business and professional experience, education, and background benefits our Company by increasing the range of skills and perspectives available to our Board. Director nominees are selected without regard to race, gender, religious belief, or national origin. Our Board believes that adherence to these principles will provide an environment and practices that will yield the best return for our Company’s shareholders.</w:t>
      </w:r>
    </w:p>
    <w:p>
      <w:pPr>
        <w:spacing w:after="0" w:line="95" w:lineRule="exact"/>
        <w:rPr>
          <w:sz w:val="20"/>
          <w:szCs w:val="20"/>
          <w:color w:val="auto"/>
        </w:rPr>
      </w:pPr>
    </w:p>
    <w:p>
      <w:pPr>
        <w:ind w:right="460"/>
        <w:spacing w:after="0" w:line="256" w:lineRule="auto"/>
        <w:rPr>
          <w:sz w:val="20"/>
          <w:szCs w:val="20"/>
          <w:color w:val="auto"/>
        </w:rPr>
      </w:pPr>
      <w:r>
        <w:rPr>
          <w:rFonts w:ascii="Arial" w:cs="Arial" w:eastAsia="Arial" w:hAnsi="Arial"/>
          <w:sz w:val="17"/>
          <w:szCs w:val="17"/>
          <w:color w:val="auto"/>
        </w:rPr>
        <w:t>Upon receipt of a shareholder proposal for a candidate, the Chairman of the Nominating and Corporate Governance Committee will assess the Board’s needs. He will determine whether there is a current or pending vacancy or a possible need to add or replace a</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director, and, if appropriate, will develop a director profile by comparing the current state of Board characteristics with the desired state and the proposed candidate’s qualifications. The profile and the candidate’s submitted information then will be provided to the Chairman of the Board and Chief Executive Officer for discussion. Following this discussion, the profile and the candidate’s materials will be forwarded to all Nominating and Corporate Governance Committee members, and consideration of the candidate will be added as an agenda item for the next Committee meeting.</w:t>
      </w:r>
    </w:p>
    <w:p>
      <w:pPr>
        <w:spacing w:after="0" w:line="87"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Similarly, if at any time the Nominating and Corporate Governance Committee or the Board determines there is a need to add or replace a director, the Nominating and Corporate Governance Committee or the Board will develop a director profile by comparing the current state of Board characteristics with the desired state. The profile and the candidate’s submitted information then will be provided to the Chairman of the Board and Chief Executive Officer for discussion. If no candidates are apparent from any source, the Committee will determine the appropriate method to conduct a search.</w:t>
      </w:r>
    </w:p>
    <w:p>
      <w:pPr>
        <w:spacing w:after="0" w:line="91"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The Committee has, to date, not paid any third-party fees to assist in identifying and evaluating nominees. The Committee has not received any recommended nominations from any of our shareholders in connection with our 2011 Annual Meeting of Shareholders. Each nominee standing for election as a director at our 2011 Annual Meeting of Shareholders is an incumbent director.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126"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Generally, shareholders who have questions or concerns regarding our Company should contact our Investor Relations Department at 800-598-9663. However, any shareholder who wishes to address questions regarding the business or affairs of our Company directly with the Board or any individual director, should direct his or her questions in writing to the Secretary of the Board at 2801 East Beltline NE, Grand Rapids, MI 49525. The Secretary has been directed to promptly forward all communications to the full Board or the specific director indicated in the letter.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 Attendance</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Each director is expected to make a reasonable effort to attend all meetings of our Board, applicable committee meetings, and the Annual Meeting of Shareholders. All of our directors attended our 2010 Annual Meeting of Shareholders. During the last fiscal year, there were four regular meetings of the Board and one meeting via conference telephone call, and the Board took action by unanimous written consent on seven occasions. Each director attended at least 75% of the Board and Committee meetings for which they were eligible to attend. During fiscal 2010, the independent members of our Board met in executive session, without the presence of management, on four occasions.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and the Board’s Role in Risk Oversight</w:t>
      </w:r>
    </w:p>
    <w:p>
      <w:pPr>
        <w:spacing w:after="0" w:line="12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William G. Currie, our current chairman, was formerly our Company’s chief executive officer and currently does not qualify as an independent director. Because our Board regularly holds sessions of its meetings that are exclusively attended by independent directors, the independent members of our Board determined that Dan M. Dutton would be named Lead Director. His role is to chair the meetings of independent directors, to communicate actions requested by the independent directors, and to serve as a liaison between the independent directors and the Chief Executive Officer. We also believe that the governance of our Board, as currently constituted, is more effective by separating the offices of Chairman of the Board and our Chief Executive Officer.</w:t>
      </w:r>
    </w:p>
    <w:p>
      <w:pPr>
        <w:spacing w:after="0" w:line="8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In spite of this unpredictability, our Board relies on the representations of management, the external audit of the financial information, our Company’s systems of internal controls, our Company’s insurance advisors, and the historically conservative practices of our Company to provide comfort on our Company’s ability to manage its risks. Management’s discussion of current risk factors are set forth in our Company’s Annual Report on Form 10-K.</w:t>
      </w:r>
    </w:p>
    <w:p>
      <w:pPr>
        <w:spacing w:after="0" w:line="275"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RATIFICATION OF ERNST &amp; YOUNG LLP AS INDEPENDENT</w:t>
      </w:r>
    </w:p>
    <w:p>
      <w:pPr>
        <w:spacing w:after="0" w:line="22"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REGISTERED PUBLIC ACCOUNTING FIRM FOR FISCAL 2011</w:t>
      </w:r>
    </w:p>
    <w:p>
      <w:pPr>
        <w:spacing w:after="0" w:line="104" w:lineRule="exact"/>
        <w:rPr>
          <w:sz w:val="20"/>
          <w:szCs w:val="20"/>
          <w:color w:val="auto"/>
        </w:rPr>
      </w:pPr>
    </w:p>
    <w:p>
      <w:pPr>
        <w:ind w:right="580"/>
        <w:spacing w:after="0" w:line="248" w:lineRule="auto"/>
        <w:rPr>
          <w:sz w:val="20"/>
          <w:szCs w:val="20"/>
          <w:color w:val="auto"/>
        </w:rPr>
      </w:pPr>
      <w:r>
        <w:rPr>
          <w:rFonts w:ascii="Arial" w:cs="Arial" w:eastAsia="Arial" w:hAnsi="Arial"/>
          <w:sz w:val="17"/>
          <w:szCs w:val="17"/>
          <w:color w:val="auto"/>
        </w:rPr>
        <w:t>The Audit Committee has selected Ernst &amp; Young LLP (“E&amp;Y”) as our independent registered public accounting firm for the fiscal year ending December 31, 2011. The services provided to our Company and our shareholders by E&amp;Y for 2010 are described below under the caption “Independent Registered Public Accounting Firm — Disclosure of Fees.”</w:t>
      </w:r>
    </w:p>
    <w:p>
      <w:pPr>
        <w:spacing w:after="0" w:line="8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We are asking our shareholders to ratify the selection of E&amp;Y as our independent registered public accounting firm. Although ratification is not legally required, the Board is submitting the selection of E&amp;Y to our shareholders for ratification as a matter of good corporate governance. Representatives of E&amp;Y are expected to be present at the Annual Meeting of Shareholders to respond to appropriate questions and to make such statements as they may desire.</w:t>
      </w:r>
    </w:p>
    <w:p>
      <w:pPr>
        <w:spacing w:after="0" w:line="8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affirmative vote of the holders of the majority of the shares represented in person or by proxy and entitled to vote on this item will be required for approval. Broker non-votes will not be treated as votes cast in this matter; shares voted as abstentions will be counted as votes cast and therefore will have the effect of a negative vote.</w:t>
      </w:r>
    </w:p>
    <w:p>
      <w:pPr>
        <w:spacing w:after="0" w:line="8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If our shareholders do not ratify the appointment, the appointment will be reconsidered by the Audit Committee and the Board. Even if the selection is ratified, the Audit Committee,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08" w:right="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at its discretion, may select a different independent registered public accounting firm at any time during the year if it determines that such a change would be in the best interest of our Company and our shareholders.</w:t>
      </w:r>
    </w:p>
    <w:p>
      <w:pPr>
        <w:spacing w:after="0" w:line="56"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color w:val="auto"/>
        </w:rPr>
        <w:t>The Board of Directors recommends a vote for this proposal to ratify the appointment of E&amp;Y as our Company’s independent registered public accounting firm for fiscal 2011.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 — DISCLOSURE OF FEES</w:t>
      </w:r>
    </w:p>
    <w:p>
      <w:pPr>
        <w:spacing w:after="0" w:line="126" w:lineRule="exact"/>
        <w:rPr>
          <w:sz w:val="20"/>
          <w:szCs w:val="20"/>
          <w:color w:val="auto"/>
        </w:rPr>
      </w:pPr>
    </w:p>
    <w:p>
      <w:pPr>
        <w:ind w:right="560"/>
        <w:spacing w:after="0" w:line="256" w:lineRule="auto"/>
        <w:rPr>
          <w:sz w:val="20"/>
          <w:szCs w:val="20"/>
          <w:color w:val="auto"/>
        </w:rPr>
      </w:pPr>
      <w:r>
        <w:rPr>
          <w:rFonts w:ascii="Arial" w:cs="Arial" w:eastAsia="Arial" w:hAnsi="Arial"/>
          <w:sz w:val="17"/>
          <w:szCs w:val="17"/>
          <w:color w:val="auto"/>
        </w:rPr>
        <w:t>E&amp;Y served as our independent registered public accounting firm for the fiscal years ended December 26, 2009 and December 25, 2010. The following sets forth the fees we paid to E&amp;Y for the last two fiscal years, all of which were pre-approved by the Audit Committee.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88"/>
        </w:trPr>
        <w:tc>
          <w:tcPr>
            <w:tcW w:w="9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Audit Fees</w:t>
            </w:r>
          </w:p>
        </w:tc>
        <w:tc>
          <w:tcPr>
            <w:tcW w:w="10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$425,000</w:t>
            </w:r>
          </w:p>
        </w:tc>
        <w:tc>
          <w:tcPr>
            <w:tcW w:w="11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$425,000</w:t>
            </w:r>
          </w:p>
        </w:tc>
      </w:tr>
      <w:tr>
        <w:trPr>
          <w:trHeight w:val="195"/>
        </w:trPr>
        <w:tc>
          <w:tcPr>
            <w:tcW w:w="9180" w:type="dxa"/>
            <w:vAlign w:val="bottom"/>
          </w:tcPr>
          <w:p>
            <w:pPr>
              <w:spacing w:after="0"/>
              <w:rPr>
                <w:sz w:val="20"/>
                <w:szCs w:val="20"/>
                <w:color w:val="auto"/>
              </w:rPr>
            </w:pPr>
            <w:r>
              <w:rPr>
                <w:rFonts w:ascii="Arial" w:cs="Arial" w:eastAsia="Arial" w:hAnsi="Arial"/>
                <w:sz w:val="17"/>
                <w:szCs w:val="17"/>
                <w:color w:val="auto"/>
              </w:rPr>
              <w:t>Audit Related Fees</w:t>
            </w:r>
            <w:r>
              <w:rPr>
                <w:rFonts w:ascii="Arial" w:cs="Arial" w:eastAsia="Arial" w:hAnsi="Arial"/>
                <w:sz w:val="14"/>
                <w:szCs w:val="14"/>
                <w:color w:val="auto"/>
              </w:rPr>
              <w:t>(1)</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0</w:t>
            </w:r>
          </w:p>
        </w:tc>
        <w:tc>
          <w:tcPr>
            <w:tcW w:w="1180" w:type="dxa"/>
            <w:vAlign w:val="bottom"/>
            <w:gridSpan w:val="3"/>
          </w:tcPr>
          <w:p>
            <w:pPr>
              <w:jc w:val="right"/>
              <w:ind w:right="100"/>
              <w:spacing w:after="0"/>
              <w:rPr>
                <w:sz w:val="20"/>
                <w:szCs w:val="20"/>
                <w:color w:val="auto"/>
              </w:rPr>
            </w:pPr>
            <w:r>
              <w:rPr>
                <w:rFonts w:ascii="Arial" w:cs="Arial" w:eastAsia="Arial" w:hAnsi="Arial"/>
                <w:sz w:val="17"/>
                <w:szCs w:val="17"/>
                <w:color w:val="auto"/>
              </w:rPr>
              <w:t>5,000</w:t>
            </w:r>
          </w:p>
        </w:tc>
      </w:tr>
      <w:tr>
        <w:trPr>
          <w:trHeight w:val="195"/>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Tax Fees</w:t>
            </w:r>
            <w:r>
              <w:rPr>
                <w:rFonts w:ascii="Arial" w:cs="Arial" w:eastAsia="Arial" w:hAnsi="Arial"/>
                <w:sz w:val="14"/>
                <w:szCs w:val="14"/>
                <w:color w:val="auto"/>
              </w:rPr>
              <w:t>(2)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146,499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181,202</w:t>
            </w:r>
          </w:p>
        </w:tc>
      </w:tr>
      <w:tr>
        <w:trPr>
          <w:trHeight w:val="201"/>
        </w:trPr>
        <w:tc>
          <w:tcPr>
            <w:tcW w:w="9180" w:type="dxa"/>
            <w:vAlign w:val="bottom"/>
          </w:tcPr>
          <w:p>
            <w:pPr>
              <w:spacing w:after="0"/>
              <w:rPr>
                <w:sz w:val="20"/>
                <w:szCs w:val="20"/>
                <w:color w:val="auto"/>
              </w:rPr>
            </w:pPr>
            <w:r>
              <w:rPr>
                <w:rFonts w:ascii="Arial" w:cs="Arial" w:eastAsia="Arial" w:hAnsi="Arial"/>
                <w:sz w:val="17"/>
                <w:szCs w:val="17"/>
                <w:color w:val="auto"/>
              </w:rPr>
              <w:t>All Other Fees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7"/>
                <w:szCs w:val="17"/>
                <w:color w:val="auto"/>
              </w:rPr>
            </w:pPr>
          </w:p>
        </w:tc>
      </w:tr>
      <w:tr>
        <w:trPr>
          <w:trHeight w:val="195"/>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571,499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611,202</w:t>
            </w:r>
          </w:p>
        </w:tc>
      </w:tr>
      <w:tr>
        <w:trPr>
          <w:trHeight w:val="20"/>
        </w:trPr>
        <w:tc>
          <w:tcPr>
            <w:tcW w:w="9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189865</wp:posOffset>
            </wp:positionV>
            <wp:extent cx="1306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57" w:lineRule="exact"/>
        <w:rPr>
          <w:sz w:val="20"/>
          <w:szCs w:val="20"/>
          <w:color w:val="auto"/>
        </w:rPr>
      </w:pPr>
    </w:p>
    <w:p>
      <w:pPr>
        <w:ind w:left="480" w:hanging="476"/>
        <w:spacing w:after="0"/>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primarily of financial statement audits of employee benefit plans.</w:t>
      </w:r>
    </w:p>
    <w:p>
      <w:pPr>
        <w:spacing w:after="0" w:line="64" w:lineRule="exact"/>
        <w:rPr>
          <w:rFonts w:ascii="Arial" w:cs="Arial" w:eastAsia="Arial" w:hAnsi="Arial"/>
          <w:sz w:val="17"/>
          <w:szCs w:val="17"/>
          <w:color w:val="auto"/>
        </w:rPr>
      </w:pPr>
    </w:p>
    <w:p>
      <w:pPr>
        <w:ind w:left="480" w:right="220" w:hanging="476"/>
        <w:spacing w:after="0" w:line="248"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primarily of U.S. federal, state, and local tax consulting and compliance advice along with tax advice and assistance regarding statutory, regulatory, or administrative developments in the United States, Canada, or Mexico, including a federal research and development tax credit study.</w:t>
      </w:r>
    </w:p>
    <w:p>
      <w:pPr>
        <w:spacing w:after="0" w:line="64"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Audit Committee Pre-Approval Policy</w:t>
      </w:r>
      <w:r>
        <w:rPr>
          <w:rFonts w:ascii="Arial" w:cs="Arial" w:eastAsia="Arial" w:hAnsi="Arial"/>
          <w:sz w:val="17"/>
          <w:szCs w:val="17"/>
          <w:color w:val="auto"/>
        </w:rPr>
        <w:t>. The Audit Committee has established a pre-approval policy and procedures for audit, audit-related, and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E&amp;Y for services which are proscribed by rules of the Securities and Exchange Commission. In addition, the policy requires disclosure of non-audit services performed by our auditors. The pre-approval policy does not include a delegation of the Audit Committee’s responsibilities and authority under the policy.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126" w:lineRule="exact"/>
        <w:rPr>
          <w:sz w:val="20"/>
          <w:szCs w:val="20"/>
          <w:color w:val="auto"/>
        </w:rPr>
      </w:pPr>
    </w:p>
    <w:p>
      <w:pPr>
        <w:jc w:val="both"/>
        <w:ind w:right="160"/>
        <w:spacing w:after="0" w:line="248" w:lineRule="auto"/>
        <w:rPr>
          <w:sz w:val="20"/>
          <w:szCs w:val="20"/>
          <w:color w:val="auto"/>
        </w:rPr>
      </w:pPr>
      <w:r>
        <w:rPr>
          <w:rFonts w:ascii="Arial" w:cs="Arial" w:eastAsia="Arial" w:hAnsi="Arial"/>
          <w:sz w:val="17"/>
          <w:szCs w:val="17"/>
          <w:color w:val="auto"/>
        </w:rPr>
        <w:t>Recently enacted federal legislation (Section 15A of the Exchange Act) requires that we include in this Proxy Statement a non-binding shareholder vote on our executive compensation, as described in this Proxy Statement (commonly referred to as “Say-on-Pay”), and a non-binding shareholder vote to advise on whether the Say-on-Pay vote should occur every one, two, or three years.</w:t>
      </w:r>
    </w:p>
    <w:p>
      <w:pPr>
        <w:spacing w:after="0" w:line="8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seek your advisory vote on our executive compensation programs. We ask that you support the compensation of our Named Executives, as disclosed in the Compensation Discussion and Analysis section and the accompanying tables contained in this Proxy Statement. Because your vote is advisory, it will not be binding on our Board. However, our Board will review the voting results and take them into consideration when making future decisions regarding executive compensation.</w:t>
      </w:r>
    </w:p>
    <w:p>
      <w:pPr>
        <w:spacing w:after="0" w:line="87"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Our Company has had a long-standing tradition of delivering performance results for our shareholders, customers, and the community. Because compensation of our executives has been closely linked to Company performance, our executive compensation programs have played a major role in our ability to drive strong financial results and attract and retain a highly experienced, successful team to manage our Company. Even with the dramatic financial downturn in the global economy, our Company has remained profitable.</w:t>
      </w:r>
    </w:p>
    <w:p>
      <w:pPr>
        <w:spacing w:after="0" w:line="87"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We believe our executive compensation programs are structured in the best manner possible to support our Company and our business objectives, as well as to support our culture and traditions that have been around for over 55 years.</w:t>
      </w:r>
    </w:p>
    <w:p>
      <w:pPr>
        <w:spacing w:after="0" w:line="78" w:lineRule="exact"/>
        <w:rPr>
          <w:sz w:val="20"/>
          <w:szCs w:val="20"/>
          <w:color w:val="auto"/>
        </w:rPr>
      </w:pPr>
    </w:p>
    <w:p>
      <w:pPr>
        <w:ind w:left="220" w:right="60" w:hanging="216"/>
        <w:spacing w:after="0" w:line="256" w:lineRule="auto"/>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Our compensation programs are substantially tied into our key business objectives and the success of our shareholders. If the value we deliver to our shareholders declines, so does the compensation we deliver to our executives.</w:t>
      </w:r>
    </w:p>
    <w:p>
      <w:pPr>
        <w:spacing w:after="0" w:line="90" w:lineRule="exact"/>
        <w:rPr>
          <w:rFonts w:ascii="Arial" w:cs="Arial" w:eastAsia="Arial" w:hAnsi="Arial"/>
          <w:sz w:val="17"/>
          <w:szCs w:val="17"/>
          <w:b w:val="1"/>
          <w:bCs w:val="1"/>
          <w:color w:val="auto"/>
        </w:rPr>
      </w:pPr>
    </w:p>
    <w:p>
      <w:pPr>
        <w:ind w:left="220" w:right="480" w:hanging="216"/>
        <w:spacing w:after="0" w:line="256" w:lineRule="auto"/>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We closely monitor the compensation programs and pay levels of executives from companies of similar size and complexity, so that we may ensure our compensation programs are within the norm of a range of market practices.</w:t>
      </w:r>
    </w:p>
    <w:p>
      <w:pPr>
        <w:spacing w:after="0" w:line="90" w:lineRule="exact"/>
        <w:rPr>
          <w:rFonts w:ascii="Arial" w:cs="Arial" w:eastAsia="Arial" w:hAnsi="Arial"/>
          <w:sz w:val="17"/>
          <w:szCs w:val="17"/>
          <w:b w:val="1"/>
          <w:bCs w:val="1"/>
          <w:color w:val="auto"/>
        </w:rPr>
      </w:pPr>
    </w:p>
    <w:p>
      <w:pPr>
        <w:ind w:left="220" w:right="680" w:hanging="216"/>
        <w:spacing w:after="0" w:line="256" w:lineRule="auto"/>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Our Committees, Chairman, and Chief Executive Officer engage in a talent review process annually to address succession and executive development for our Chief Executive Officer and other key executives.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Accordingly, our Board of Directors recommends that you vote in favor of the following resolution:</w:t>
      </w:r>
    </w:p>
    <w:p>
      <w:pPr>
        <w:spacing w:after="0" w:line="104" w:lineRule="exact"/>
        <w:rPr>
          <w:sz w:val="20"/>
          <w:szCs w:val="20"/>
          <w:color w:val="auto"/>
        </w:rPr>
      </w:pPr>
    </w:p>
    <w:p>
      <w:pPr>
        <w:ind w:left="240" w:right="500"/>
        <w:spacing w:after="0" w:line="256"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a vote “for” this proposal.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ADVISORY VOTE ON THE FREQUENCY OF SHAREHOLDER VOTES ON EXECUTIVE COMPENSATION</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As mentioned above, recently enacted legislation requires that we include in this Proxy Statement a separate non-binding shareholder vote to advise on whether the Say-on-Pay vote should occur every one, two, or three years.</w:t>
      </w:r>
    </w:p>
    <w:p>
      <w:pPr>
        <w:spacing w:after="0" w:line="78"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We would like your input on whether the advisory vote should occur every three years, every two years, or every year. Our Company asks that you support a frequency period of every three years (a triennial vote) for future non-binding shareholder votes on compensation of our Named Executives.</w:t>
      </w:r>
    </w:p>
    <w:p>
      <w:pPr>
        <w:spacing w:after="0" w:line="8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believe that setting a three year period for holding this shareholder vote will provide a clear, simple means for our Company to obtain information on investor sentiment about our executive compensation philosophy. An advisory vote every three years will be the most effective timeframe for our Company to respond to shareholder feedback and provide our Company with sufficient time to engage with shareholders to understand and respond to the vote results. Our executive compensation programs are based on our long-term business strategy, which is more appropriately reflected with a three year timeframe.</w:t>
      </w:r>
    </w:p>
    <w:p>
      <w:pPr>
        <w:spacing w:after="0" w:line="9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 xml:space="preserve">For the reasons stated above, our Board of Directors recommends that you vote to hold an advisory vote on executive compensation every three years. Your vote, however, is not to approve or disapprove the Board’s recommendation. When voting on this agenda item, you have four choices: you may elect that we hold an advisory vote on executive compensation every year, every two years, every three years, or you may abstain from voting. </w:t>
      </w:r>
      <w:r>
        <w:rPr>
          <w:rFonts w:ascii="Arial" w:cs="Arial" w:eastAsia="Arial" w:hAnsi="Arial"/>
          <w:sz w:val="17"/>
          <w:szCs w:val="17"/>
          <w:b w:val="1"/>
          <w:bCs w:val="1"/>
          <w:color w:val="auto"/>
        </w:rPr>
        <w:t>IF NO CHOICE IS SPECIFIED, THE SHARES REPRESENTED BY YOUR PROXY WILL BE VOTED IN FAVOR OF MANAGEMENT’S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RECOMMENDATION THAT THE VOTE BE CONDUCTED EVERY THIRD YEAR. </w:t>
      </w:r>
      <w:r>
        <w:rPr>
          <w:rFonts w:ascii="Arial" w:cs="Arial" w:eastAsia="Arial" w:hAnsi="Arial"/>
          <w:sz w:val="17"/>
          <w:szCs w:val="17"/>
          <w:color w:val="auto"/>
        </w:rPr>
        <w:t>As an advisory vote, the vote on this proposal is not binding upon</w:t>
      </w:r>
      <w:r>
        <w:rPr>
          <w:rFonts w:ascii="Arial" w:cs="Arial" w:eastAsia="Arial" w:hAnsi="Arial"/>
          <w:sz w:val="17"/>
          <w:szCs w:val="17"/>
          <w:b w:val="1"/>
          <w:bCs w:val="1"/>
          <w:color w:val="auto"/>
        </w:rPr>
        <w:t xml:space="preserve"> </w:t>
      </w:r>
      <w:r>
        <w:rPr>
          <w:rFonts w:ascii="Arial" w:cs="Arial" w:eastAsia="Arial" w:hAnsi="Arial"/>
          <w:sz w:val="17"/>
          <w:szCs w:val="17"/>
          <w:color w:val="auto"/>
        </w:rPr>
        <w:t>us, and the Personnel and Compensation Committee and our Board of Directors may decide that it is in the best interest of our shareholders and our Company to hold an advisory vote on executive compensation more or less frequently than the option approved by our shareholders. However, the Personnel and Compensation Committee and the Board will consider the outcome of the vote when making future decisions on executive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that you vote to hold an advisory vote on executive compensation every three years.</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08"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OWNERSHIP OF COMMON STOCK</w:t>
      </w:r>
    </w:p>
    <w:p>
      <w:pPr>
        <w:spacing w:after="0" w:line="126" w:lineRule="exact"/>
        <w:rPr>
          <w:sz w:val="20"/>
          <w:szCs w:val="20"/>
          <w:color w:val="auto"/>
        </w:rPr>
      </w:pPr>
    </w:p>
    <w:p>
      <w:pPr>
        <w:ind w:right="420"/>
        <w:spacing w:after="0" w:line="256" w:lineRule="auto"/>
        <w:rPr>
          <w:sz w:val="20"/>
          <w:szCs w:val="20"/>
          <w:color w:val="auto"/>
        </w:rPr>
      </w:pPr>
      <w:r>
        <w:rPr>
          <w:rFonts w:ascii="Arial" w:cs="Arial" w:eastAsia="Arial" w:hAnsi="Arial"/>
          <w:sz w:val="17"/>
          <w:szCs w:val="17"/>
          <w:color w:val="auto"/>
        </w:rPr>
        <w:t>The following table sets forth information as to each shareholder known to have been the beneficial owner of more than five percent (5%) of our outstanding shares of common stock as of December 31, 2010: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20"/>
                <w:szCs w:val="20"/>
                <w:color w:val="auto"/>
              </w:rPr>
            </w:pPr>
            <w:r>
              <w:rPr>
                <w:rFonts w:ascii="Arial" w:cs="Arial" w:eastAsia="Arial" w:hAnsi="Arial"/>
                <w:sz w:val="14"/>
                <w:szCs w:val="14"/>
                <w:b w:val="1"/>
                <w:bCs w:val="1"/>
                <w:color w:val="auto"/>
              </w:rPr>
              <w:t>Name and Address of</w:t>
            </w:r>
          </w:p>
        </w:tc>
        <w:tc>
          <w:tcPr>
            <w:tcW w:w="2780" w:type="dxa"/>
            <w:vAlign w:val="bottom"/>
          </w:tcPr>
          <w:p>
            <w:pPr>
              <w:jc w:val="right"/>
              <w:ind w:right="418"/>
              <w:spacing w:after="0"/>
              <w:rPr>
                <w:sz w:val="20"/>
                <w:szCs w:val="20"/>
                <w:color w:val="auto"/>
              </w:rPr>
            </w:pPr>
            <w:r>
              <w:rPr>
                <w:rFonts w:ascii="Arial" w:cs="Arial" w:eastAsia="Arial" w:hAnsi="Arial"/>
                <w:sz w:val="14"/>
                <w:szCs w:val="14"/>
                <w:b w:val="1"/>
                <w:bCs w:val="1"/>
                <w:color w:val="auto"/>
              </w:rPr>
              <w:t>Amount and Nature of</w:t>
            </w:r>
          </w:p>
        </w:tc>
        <w:tc>
          <w:tcPr>
            <w:tcW w:w="1260" w:type="dxa"/>
            <w:vAlign w:val="bottom"/>
          </w:tcPr>
          <w:p>
            <w:pPr>
              <w:jc w:val="right"/>
              <w:ind w:right="118"/>
              <w:spacing w:after="0"/>
              <w:rPr>
                <w:sz w:val="20"/>
                <w:szCs w:val="20"/>
                <w:color w:val="auto"/>
              </w:rPr>
            </w:pPr>
            <w:r>
              <w:rPr>
                <w:rFonts w:ascii="Arial" w:cs="Arial" w:eastAsia="Arial" w:hAnsi="Arial"/>
                <w:sz w:val="14"/>
                <w:szCs w:val="14"/>
                <w:b w:val="1"/>
                <w:bCs w:val="1"/>
                <w:color w:val="auto"/>
              </w:rPr>
              <w:t>Percent</w:t>
            </w:r>
          </w:p>
        </w:tc>
      </w:tr>
      <w:tr>
        <w:trPr>
          <w:trHeight w:val="168"/>
        </w:trPr>
        <w:tc>
          <w:tcPr>
            <w:tcW w:w="7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Beneficial Owner</w:t>
            </w:r>
          </w:p>
        </w:tc>
        <w:tc>
          <w:tcPr>
            <w:tcW w:w="27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Beneficial Ownership (1)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Class (2)</w:t>
            </w:r>
          </w:p>
        </w:tc>
      </w:tr>
      <w:tr>
        <w:trPr>
          <w:trHeight w:val="201"/>
        </w:trPr>
        <w:tc>
          <w:tcPr>
            <w:tcW w:w="7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4"/>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Franklin Resources, Inc.</w:t>
            </w:r>
          </w:p>
        </w:tc>
        <w:tc>
          <w:tcPr>
            <w:tcW w:w="278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rPr>
              <w:t>1,806,818(3)</w:t>
            </w:r>
          </w:p>
        </w:tc>
        <w:tc>
          <w:tcPr>
            <w:tcW w:w="12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9.4%</w:t>
            </w:r>
          </w:p>
        </w:tc>
      </w:tr>
      <w:tr>
        <w:trPr>
          <w:trHeight w:val="19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One Franklin Parkway</w:t>
            </w:r>
          </w:p>
        </w:tc>
        <w:tc>
          <w:tcPr>
            <w:tcW w:w="27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6"/>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San Mateo, CA 94403</w:t>
            </w:r>
          </w:p>
        </w:tc>
        <w:tc>
          <w:tcPr>
            <w:tcW w:w="2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390"/>
        </w:trPr>
        <w:tc>
          <w:tcPr>
            <w:tcW w:w="7380" w:type="dxa"/>
            <w:vAlign w:val="bottom"/>
          </w:tcPr>
          <w:p>
            <w:pPr>
              <w:spacing w:after="0"/>
              <w:rPr>
                <w:sz w:val="20"/>
                <w:szCs w:val="20"/>
                <w:color w:val="auto"/>
              </w:rPr>
            </w:pPr>
            <w:r>
              <w:rPr>
                <w:rFonts w:ascii="Arial" w:cs="Arial" w:eastAsia="Arial" w:hAnsi="Arial"/>
                <w:sz w:val="17"/>
                <w:szCs w:val="17"/>
                <w:color w:val="auto"/>
              </w:rPr>
              <w:t>T. Rowe Price Associates, Inc.</w:t>
            </w:r>
          </w:p>
        </w:tc>
        <w:tc>
          <w:tcPr>
            <w:tcW w:w="2780" w:type="dxa"/>
            <w:vAlign w:val="bottom"/>
          </w:tcPr>
          <w:p>
            <w:pPr>
              <w:jc w:val="right"/>
              <w:ind w:right="538"/>
              <w:spacing w:after="0"/>
              <w:rPr>
                <w:sz w:val="20"/>
                <w:szCs w:val="20"/>
                <w:color w:val="auto"/>
              </w:rPr>
            </w:pPr>
            <w:r>
              <w:rPr>
                <w:rFonts w:ascii="Arial" w:cs="Arial" w:eastAsia="Arial" w:hAnsi="Arial"/>
                <w:sz w:val="17"/>
                <w:szCs w:val="17"/>
                <w:color w:val="auto"/>
              </w:rPr>
              <w:t>1,527,000(4)</w:t>
            </w:r>
          </w:p>
        </w:tc>
        <w:tc>
          <w:tcPr>
            <w:tcW w:w="1260" w:type="dxa"/>
            <w:vAlign w:val="bottom"/>
          </w:tcPr>
          <w:p>
            <w:pPr>
              <w:jc w:val="right"/>
              <w:ind w:right="98"/>
              <w:spacing w:after="0"/>
              <w:rPr>
                <w:sz w:val="20"/>
                <w:szCs w:val="20"/>
                <w:color w:val="auto"/>
              </w:rPr>
            </w:pPr>
            <w:r>
              <w:rPr>
                <w:rFonts w:ascii="Arial" w:cs="Arial" w:eastAsia="Arial" w:hAnsi="Arial"/>
                <w:sz w:val="17"/>
                <w:szCs w:val="17"/>
                <w:color w:val="auto"/>
              </w:rPr>
              <w:t>7.9%</w:t>
            </w:r>
          </w:p>
        </w:tc>
      </w:tr>
      <w:tr>
        <w:trPr>
          <w:trHeight w:val="195"/>
        </w:trPr>
        <w:tc>
          <w:tcPr>
            <w:tcW w:w="7380" w:type="dxa"/>
            <w:vAlign w:val="bottom"/>
          </w:tcPr>
          <w:p>
            <w:pPr>
              <w:spacing w:after="0"/>
              <w:rPr>
                <w:sz w:val="20"/>
                <w:szCs w:val="20"/>
                <w:color w:val="auto"/>
              </w:rPr>
            </w:pPr>
            <w:r>
              <w:rPr>
                <w:rFonts w:ascii="Arial" w:cs="Arial" w:eastAsia="Arial" w:hAnsi="Arial"/>
                <w:sz w:val="17"/>
                <w:szCs w:val="17"/>
                <w:color w:val="auto"/>
              </w:rPr>
              <w:t>100 E. Pratt Street</w:t>
            </w:r>
          </w:p>
        </w:tc>
        <w:tc>
          <w:tcPr>
            <w:tcW w:w="27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7"/>
                <w:szCs w:val="17"/>
                <w:color w:val="auto"/>
              </w:rPr>
              <w:t>Baltimore, MD 21202</w:t>
            </w:r>
          </w:p>
        </w:tc>
        <w:tc>
          <w:tcPr>
            <w:tcW w:w="27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2"/>
        </w:trPr>
        <w:tc>
          <w:tcPr>
            <w:tcW w:w="7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4"/>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BlackRock, Inc.</w:t>
            </w:r>
          </w:p>
        </w:tc>
        <w:tc>
          <w:tcPr>
            <w:tcW w:w="278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rPr>
              <w:t>1,489,148(5)</w:t>
            </w:r>
          </w:p>
        </w:tc>
        <w:tc>
          <w:tcPr>
            <w:tcW w:w="12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7.7%</w:t>
            </w:r>
          </w:p>
        </w:tc>
      </w:tr>
      <w:tr>
        <w:trPr>
          <w:trHeight w:val="19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40 East 52nd Street</w:t>
            </w:r>
          </w:p>
        </w:tc>
        <w:tc>
          <w:tcPr>
            <w:tcW w:w="27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6"/>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New York, NY 10022</w:t>
            </w:r>
          </w:p>
        </w:tc>
        <w:tc>
          <w:tcPr>
            <w:tcW w:w="2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390"/>
        </w:trPr>
        <w:tc>
          <w:tcPr>
            <w:tcW w:w="7380" w:type="dxa"/>
            <w:vAlign w:val="bottom"/>
          </w:tcPr>
          <w:p>
            <w:pPr>
              <w:spacing w:after="0"/>
              <w:rPr>
                <w:sz w:val="20"/>
                <w:szCs w:val="20"/>
                <w:color w:val="auto"/>
              </w:rPr>
            </w:pPr>
            <w:r>
              <w:rPr>
                <w:rFonts w:ascii="Arial" w:cs="Arial" w:eastAsia="Arial" w:hAnsi="Arial"/>
                <w:sz w:val="17"/>
                <w:szCs w:val="17"/>
                <w:color w:val="auto"/>
              </w:rPr>
              <w:t>Dimensional Fund Advisors LP</w:t>
            </w:r>
          </w:p>
        </w:tc>
        <w:tc>
          <w:tcPr>
            <w:tcW w:w="2780" w:type="dxa"/>
            <w:vAlign w:val="bottom"/>
          </w:tcPr>
          <w:p>
            <w:pPr>
              <w:jc w:val="right"/>
              <w:ind w:right="538"/>
              <w:spacing w:after="0"/>
              <w:rPr>
                <w:sz w:val="20"/>
                <w:szCs w:val="20"/>
                <w:color w:val="auto"/>
              </w:rPr>
            </w:pPr>
            <w:r>
              <w:rPr>
                <w:rFonts w:ascii="Arial" w:cs="Arial" w:eastAsia="Arial" w:hAnsi="Arial"/>
                <w:sz w:val="17"/>
                <w:szCs w:val="17"/>
                <w:color w:val="auto"/>
              </w:rPr>
              <w:t>1,215,229(6)</w:t>
            </w:r>
          </w:p>
        </w:tc>
        <w:tc>
          <w:tcPr>
            <w:tcW w:w="1260" w:type="dxa"/>
            <w:vAlign w:val="bottom"/>
          </w:tcPr>
          <w:p>
            <w:pPr>
              <w:jc w:val="right"/>
              <w:ind w:right="98"/>
              <w:spacing w:after="0"/>
              <w:rPr>
                <w:sz w:val="20"/>
                <w:szCs w:val="20"/>
                <w:color w:val="auto"/>
              </w:rPr>
            </w:pPr>
            <w:r>
              <w:rPr>
                <w:rFonts w:ascii="Arial" w:cs="Arial" w:eastAsia="Arial" w:hAnsi="Arial"/>
                <w:sz w:val="17"/>
                <w:szCs w:val="17"/>
                <w:color w:val="auto"/>
              </w:rPr>
              <w:t>6.3%</w:t>
            </w:r>
          </w:p>
        </w:tc>
      </w:tr>
      <w:tr>
        <w:trPr>
          <w:trHeight w:val="195"/>
        </w:trPr>
        <w:tc>
          <w:tcPr>
            <w:tcW w:w="7380" w:type="dxa"/>
            <w:vAlign w:val="bottom"/>
          </w:tcPr>
          <w:p>
            <w:pPr>
              <w:spacing w:after="0"/>
              <w:rPr>
                <w:sz w:val="20"/>
                <w:szCs w:val="20"/>
                <w:color w:val="auto"/>
              </w:rPr>
            </w:pPr>
            <w:r>
              <w:rPr>
                <w:rFonts w:ascii="Arial" w:cs="Arial" w:eastAsia="Arial" w:hAnsi="Arial"/>
                <w:sz w:val="17"/>
                <w:szCs w:val="17"/>
                <w:color w:val="auto"/>
              </w:rPr>
              <w:t>Palisades West, Building One</w:t>
            </w:r>
          </w:p>
        </w:tc>
        <w:tc>
          <w:tcPr>
            <w:tcW w:w="27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5"/>
        </w:trPr>
        <w:tc>
          <w:tcPr>
            <w:tcW w:w="7380" w:type="dxa"/>
            <w:vAlign w:val="bottom"/>
          </w:tcPr>
          <w:p>
            <w:pPr>
              <w:spacing w:after="0"/>
              <w:rPr>
                <w:sz w:val="20"/>
                <w:szCs w:val="20"/>
                <w:color w:val="auto"/>
              </w:rPr>
            </w:pPr>
            <w:r>
              <w:rPr>
                <w:rFonts w:ascii="Arial" w:cs="Arial" w:eastAsia="Arial" w:hAnsi="Arial"/>
                <w:sz w:val="17"/>
                <w:szCs w:val="17"/>
                <w:color w:val="auto"/>
              </w:rPr>
              <w:t>6300 Bee Cave Road</w:t>
            </w:r>
          </w:p>
        </w:tc>
        <w:tc>
          <w:tcPr>
            <w:tcW w:w="27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7"/>
                <w:szCs w:val="17"/>
                <w:color w:val="auto"/>
              </w:rPr>
              <w:t>Austin, TX 78746</w:t>
            </w:r>
          </w:p>
        </w:tc>
        <w:tc>
          <w:tcPr>
            <w:tcW w:w="27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2"/>
        </w:trPr>
        <w:tc>
          <w:tcPr>
            <w:tcW w:w="7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4"/>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Heartland Advisors, Inc.</w:t>
            </w:r>
          </w:p>
        </w:tc>
        <w:tc>
          <w:tcPr>
            <w:tcW w:w="278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rPr>
              <w:t>1,202,510(7)</w:t>
            </w:r>
          </w:p>
        </w:tc>
        <w:tc>
          <w:tcPr>
            <w:tcW w:w="12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6.2%</w:t>
            </w:r>
          </w:p>
        </w:tc>
      </w:tr>
      <w:tr>
        <w:trPr>
          <w:trHeight w:val="19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789 North Water Street</w:t>
            </w:r>
          </w:p>
        </w:tc>
        <w:tc>
          <w:tcPr>
            <w:tcW w:w="27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6"/>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Milwaukee, WI 53202</w:t>
            </w:r>
          </w:p>
        </w:tc>
        <w:tc>
          <w:tcPr>
            <w:tcW w:w="2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3061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4" w:lineRule="exact"/>
        <w:rPr>
          <w:sz w:val="20"/>
          <w:szCs w:val="20"/>
          <w:color w:val="auto"/>
        </w:rPr>
      </w:pPr>
    </w:p>
    <w:p>
      <w:pPr>
        <w:ind w:left="480" w:hanging="476"/>
        <w:spacing w:after="0"/>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64" w:lineRule="exact"/>
        <w:rPr>
          <w:rFonts w:ascii="Arial" w:cs="Arial" w:eastAsia="Arial" w:hAnsi="Arial"/>
          <w:sz w:val="17"/>
          <w:szCs w:val="17"/>
          <w:color w:val="auto"/>
        </w:rPr>
      </w:pPr>
    </w:p>
    <w:p>
      <w:pPr>
        <w:ind w:left="480" w:right="180" w:hanging="476"/>
        <w:spacing w:after="0" w:line="256"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outstanding for this calculation include 162,997 shares which are subject to options exercisable in 60 days, and 44,706 shares which are subject to issuance under our Director Retainer Stock Plan.</w:t>
      </w:r>
    </w:p>
    <w:p>
      <w:pPr>
        <w:spacing w:after="0" w:line="38" w:lineRule="exact"/>
        <w:rPr>
          <w:rFonts w:ascii="Arial" w:cs="Arial" w:eastAsia="Arial" w:hAnsi="Arial"/>
          <w:sz w:val="17"/>
          <w:szCs w:val="17"/>
          <w:color w:val="auto"/>
        </w:rPr>
      </w:pPr>
    </w:p>
    <w:p>
      <w:pPr>
        <w:ind w:left="480" w:right="1000" w:hanging="476"/>
        <w:spacing w:after="0" w:line="256"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Franklin Resources, Inc., either directly or through affiliated companies, beneficially owned this number of shares, as noted on the Schedule 13G it filed with the SEC on February 8, 2011.</w:t>
      </w:r>
    </w:p>
    <w:p>
      <w:pPr>
        <w:spacing w:after="0" w:line="38" w:lineRule="exact"/>
        <w:rPr>
          <w:rFonts w:ascii="Arial" w:cs="Arial" w:eastAsia="Arial" w:hAnsi="Arial"/>
          <w:sz w:val="17"/>
          <w:szCs w:val="17"/>
          <w:color w:val="auto"/>
        </w:rPr>
      </w:pPr>
    </w:p>
    <w:p>
      <w:pPr>
        <w:ind w:left="480" w:right="80" w:hanging="476"/>
        <w:spacing w:after="0" w:line="243"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securities are owned by various individuals and institutional investors for which T. Rowe Price Associates, Inc. (“Price Associates”) serves as investment advisor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 (as noted on the Schedule 13G it filed with the SEC on February 11, 2011).</w:t>
      </w:r>
    </w:p>
    <w:p>
      <w:pPr>
        <w:spacing w:after="0" w:line="52" w:lineRule="exact"/>
        <w:rPr>
          <w:rFonts w:ascii="Arial" w:cs="Arial" w:eastAsia="Arial" w:hAnsi="Arial"/>
          <w:sz w:val="17"/>
          <w:szCs w:val="17"/>
          <w:color w:val="auto"/>
        </w:rPr>
      </w:pPr>
    </w:p>
    <w:p>
      <w:pPr>
        <w:ind w:left="480" w:right="20" w:hanging="476"/>
        <w:spacing w:after="0" w:line="256"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BlackRock, Inc., either directly or through affiliated companies, beneficially owned this number of shares, as noted on the Schedule 13G it filed with the SEC on February 9, 2011.</w:t>
      </w:r>
    </w:p>
    <w:p>
      <w:pPr>
        <w:spacing w:after="0" w:line="38" w:lineRule="exact"/>
        <w:rPr>
          <w:rFonts w:ascii="Arial" w:cs="Arial" w:eastAsia="Arial" w:hAnsi="Arial"/>
          <w:sz w:val="17"/>
          <w:szCs w:val="17"/>
          <w:color w:val="auto"/>
        </w:rPr>
      </w:pPr>
    </w:p>
    <w:p>
      <w:pPr>
        <w:ind w:left="480" w:right="200" w:hanging="476"/>
        <w:spacing w:after="0" w:line="24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81" w:lineRule="exact"/>
        <w:rPr>
          <w:sz w:val="20"/>
          <w:szCs w:val="20"/>
          <w:color w:val="auto"/>
        </w:rPr>
      </w:pPr>
    </w:p>
    <w:p>
      <w:pPr>
        <w:ind w:left="480" w:right="120"/>
        <w:spacing w:after="0" w:line="248" w:lineRule="auto"/>
        <w:rPr>
          <w:sz w:val="20"/>
          <w:szCs w:val="20"/>
          <w:color w:val="auto"/>
        </w:rPr>
      </w:pPr>
      <w:r>
        <w:rPr>
          <w:rFonts w:ascii="Arial" w:cs="Arial" w:eastAsia="Arial" w:hAnsi="Arial"/>
          <w:sz w:val="17"/>
          <w:szCs w:val="17"/>
          <w:color w:val="auto"/>
        </w:rPr>
        <w:t>shares are owned by the Funds. Dimensional possesses investment and/or voting power over our Company’s securities and may be deemed to be the beneficial owner of the shares, as noted on the Schedule 13G it filed with the SEC on February 11, 2011. Dimensional expressly disclaims beneficial ownership of such securities.</w:t>
      </w:r>
    </w:p>
    <w:p>
      <w:pPr>
        <w:spacing w:after="0" w:line="45" w:lineRule="exact"/>
        <w:rPr>
          <w:sz w:val="20"/>
          <w:szCs w:val="20"/>
          <w:color w:val="auto"/>
        </w:rPr>
      </w:pPr>
    </w:p>
    <w:p>
      <w:pPr>
        <w:ind w:left="480" w:right="1040" w:hanging="476"/>
        <w:spacing w:after="0" w:line="256"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Heartland Advisors, Inc., either directly or through affiliated companies, beneficially owned this number of shares, as noted on the Schedule 13G it filed with the SEC on February 10, 2011.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OWNERSHIP OF MANAGEMENT</w:t>
      </w:r>
    </w:p>
    <w:p>
      <w:pPr>
        <w:spacing w:after="0" w:line="126"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following table contains information with respect to ownership of our common stock by each director, nominees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December 25, 2010.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20"/>
                <w:szCs w:val="20"/>
                <w:color w:val="auto"/>
              </w:rPr>
            </w:pPr>
            <w:r>
              <w:rPr>
                <w:rFonts w:ascii="Arial" w:cs="Arial" w:eastAsia="Arial" w:hAnsi="Arial"/>
                <w:sz w:val="14"/>
                <w:szCs w:val="14"/>
                <w:b w:val="1"/>
                <w:bCs w:val="1"/>
                <w:color w:val="auto"/>
              </w:rPr>
              <w:t>Name of</w:t>
            </w:r>
          </w:p>
        </w:tc>
        <w:tc>
          <w:tcPr>
            <w:tcW w:w="3840" w:type="dxa"/>
            <w:vAlign w:val="bottom"/>
          </w:tcPr>
          <w:p>
            <w:pPr>
              <w:jc w:val="right"/>
              <w:ind w:right="415"/>
              <w:spacing w:after="0"/>
              <w:rPr>
                <w:sz w:val="20"/>
                <w:szCs w:val="20"/>
                <w:color w:val="auto"/>
              </w:rPr>
            </w:pPr>
            <w:r>
              <w:rPr>
                <w:rFonts w:ascii="Arial" w:cs="Arial" w:eastAsia="Arial" w:hAnsi="Arial"/>
                <w:sz w:val="14"/>
                <w:szCs w:val="14"/>
                <w:b w:val="1"/>
                <w:bCs w:val="1"/>
                <w:color w:val="auto"/>
              </w:rPr>
              <w:t>Amount and Nature of</w:t>
            </w:r>
          </w:p>
        </w:tc>
        <w:tc>
          <w:tcPr>
            <w:tcW w:w="1260" w:type="dxa"/>
            <w:vAlign w:val="bottom"/>
          </w:tcPr>
          <w:p>
            <w:pPr>
              <w:jc w:val="right"/>
              <w:ind w:right="115"/>
              <w:spacing w:after="0"/>
              <w:rPr>
                <w:sz w:val="20"/>
                <w:szCs w:val="20"/>
                <w:color w:val="auto"/>
              </w:rPr>
            </w:pPr>
            <w:r>
              <w:rPr>
                <w:rFonts w:ascii="Arial" w:cs="Arial" w:eastAsia="Arial" w:hAnsi="Arial"/>
                <w:sz w:val="14"/>
                <w:szCs w:val="14"/>
                <w:b w:val="1"/>
                <w:bCs w:val="1"/>
                <w:color w:val="auto"/>
              </w:rPr>
              <w:t>Percent</w:t>
            </w:r>
          </w:p>
        </w:tc>
      </w:tr>
      <w:tr>
        <w:trPr>
          <w:trHeight w:val="168"/>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Beneficial Owner</w:t>
            </w:r>
          </w:p>
        </w:tc>
        <w:tc>
          <w:tcPr>
            <w:tcW w:w="3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Beneficial Ownership (1)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Class (2)</w:t>
            </w:r>
          </w:p>
        </w:tc>
      </w:tr>
      <w:tr>
        <w:trPr>
          <w:trHeight w:val="201"/>
        </w:trPr>
        <w:tc>
          <w:tcPr>
            <w:tcW w:w="6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Robert W. Lees</w:t>
            </w:r>
          </w:p>
        </w:tc>
        <w:tc>
          <w:tcPr>
            <w:tcW w:w="38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175,563(3)</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William G. Currie</w:t>
            </w:r>
          </w:p>
        </w:tc>
        <w:tc>
          <w:tcPr>
            <w:tcW w:w="3840" w:type="dxa"/>
            <w:vAlign w:val="bottom"/>
          </w:tcPr>
          <w:p>
            <w:pPr>
              <w:jc w:val="right"/>
              <w:ind w:right="535"/>
              <w:spacing w:after="0"/>
              <w:rPr>
                <w:sz w:val="20"/>
                <w:szCs w:val="20"/>
                <w:color w:val="auto"/>
              </w:rPr>
            </w:pPr>
            <w:r>
              <w:rPr>
                <w:rFonts w:ascii="Arial" w:cs="Arial" w:eastAsia="Arial" w:hAnsi="Arial"/>
                <w:sz w:val="17"/>
                <w:szCs w:val="17"/>
                <w:color w:val="auto"/>
              </w:rPr>
              <w:t>164,268(3)</w:t>
            </w:r>
          </w:p>
        </w:tc>
        <w:tc>
          <w:tcPr>
            <w:tcW w:w="126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Michael B. Glenn</w:t>
            </w:r>
          </w:p>
        </w:tc>
        <w:tc>
          <w:tcPr>
            <w:tcW w:w="38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146,174(3)(4)</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C. Scott Greene</w:t>
            </w:r>
          </w:p>
        </w:tc>
        <w:tc>
          <w:tcPr>
            <w:tcW w:w="3840" w:type="dxa"/>
            <w:vAlign w:val="bottom"/>
          </w:tcPr>
          <w:p>
            <w:pPr>
              <w:jc w:val="right"/>
              <w:ind w:right="315"/>
              <w:spacing w:after="0"/>
              <w:rPr>
                <w:sz w:val="20"/>
                <w:szCs w:val="20"/>
                <w:color w:val="auto"/>
              </w:rPr>
            </w:pPr>
            <w:r>
              <w:rPr>
                <w:rFonts w:ascii="Arial" w:cs="Arial" w:eastAsia="Arial" w:hAnsi="Arial"/>
                <w:sz w:val="17"/>
                <w:szCs w:val="17"/>
                <w:color w:val="auto"/>
              </w:rPr>
              <w:t>89,715(3)(4)</w:t>
            </w:r>
          </w:p>
        </w:tc>
        <w:tc>
          <w:tcPr>
            <w:tcW w:w="126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John W. Garside</w:t>
            </w:r>
          </w:p>
        </w:tc>
        <w:tc>
          <w:tcPr>
            <w:tcW w:w="38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54,008(5)</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Patrick M. Webster</w:t>
            </w:r>
          </w:p>
        </w:tc>
        <w:tc>
          <w:tcPr>
            <w:tcW w:w="3840" w:type="dxa"/>
            <w:vAlign w:val="bottom"/>
          </w:tcPr>
          <w:p>
            <w:pPr>
              <w:jc w:val="right"/>
              <w:ind w:right="315"/>
              <w:spacing w:after="0"/>
              <w:rPr>
                <w:sz w:val="20"/>
                <w:szCs w:val="20"/>
                <w:color w:val="auto"/>
              </w:rPr>
            </w:pPr>
            <w:r>
              <w:rPr>
                <w:rFonts w:ascii="Arial" w:cs="Arial" w:eastAsia="Arial" w:hAnsi="Arial"/>
                <w:sz w:val="17"/>
                <w:szCs w:val="17"/>
                <w:color w:val="auto"/>
              </w:rPr>
              <w:t>51,109(3)(4)</w:t>
            </w:r>
          </w:p>
        </w:tc>
        <w:tc>
          <w:tcPr>
            <w:tcW w:w="126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Michael R. Cole</w:t>
            </w:r>
          </w:p>
        </w:tc>
        <w:tc>
          <w:tcPr>
            <w:tcW w:w="38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41,855(3)(4)</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Louis A. Smith</w:t>
            </w:r>
          </w:p>
        </w:tc>
        <w:tc>
          <w:tcPr>
            <w:tcW w:w="3840" w:type="dxa"/>
            <w:vAlign w:val="bottom"/>
          </w:tcPr>
          <w:p>
            <w:pPr>
              <w:jc w:val="right"/>
              <w:ind w:right="535"/>
              <w:spacing w:after="0"/>
              <w:rPr>
                <w:sz w:val="20"/>
                <w:szCs w:val="20"/>
                <w:color w:val="auto"/>
              </w:rPr>
            </w:pPr>
            <w:r>
              <w:rPr>
                <w:rFonts w:ascii="Arial" w:cs="Arial" w:eastAsia="Arial" w:hAnsi="Arial"/>
                <w:sz w:val="17"/>
                <w:szCs w:val="17"/>
                <w:color w:val="auto"/>
              </w:rPr>
              <w:t>38,481(5)</w:t>
            </w:r>
          </w:p>
        </w:tc>
        <w:tc>
          <w:tcPr>
            <w:tcW w:w="126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Gary F. Goode</w:t>
            </w:r>
          </w:p>
        </w:tc>
        <w:tc>
          <w:tcPr>
            <w:tcW w:w="38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18,783(5)</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Dan M. Dutton</w:t>
            </w:r>
          </w:p>
        </w:tc>
        <w:tc>
          <w:tcPr>
            <w:tcW w:w="3840" w:type="dxa"/>
            <w:vAlign w:val="bottom"/>
          </w:tcPr>
          <w:p>
            <w:pPr>
              <w:jc w:val="right"/>
              <w:ind w:right="535"/>
              <w:spacing w:after="0"/>
              <w:rPr>
                <w:sz w:val="20"/>
                <w:szCs w:val="20"/>
                <w:color w:val="auto"/>
              </w:rPr>
            </w:pPr>
            <w:r>
              <w:rPr>
                <w:rFonts w:ascii="Arial" w:cs="Arial" w:eastAsia="Arial" w:hAnsi="Arial"/>
                <w:sz w:val="17"/>
                <w:szCs w:val="17"/>
                <w:color w:val="auto"/>
              </w:rPr>
              <w:t>14,994(5)</w:t>
            </w:r>
          </w:p>
        </w:tc>
        <w:tc>
          <w:tcPr>
            <w:tcW w:w="126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Mark A. Murray</w:t>
            </w:r>
          </w:p>
        </w:tc>
        <w:tc>
          <w:tcPr>
            <w:tcW w:w="38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13,662(5)</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William R. Payne</w:t>
            </w:r>
          </w:p>
        </w:tc>
        <w:tc>
          <w:tcPr>
            <w:tcW w:w="3840" w:type="dxa"/>
            <w:vAlign w:val="bottom"/>
          </w:tcPr>
          <w:p>
            <w:pPr>
              <w:jc w:val="right"/>
              <w:ind w:right="535"/>
              <w:spacing w:after="0"/>
              <w:rPr>
                <w:sz w:val="20"/>
                <w:szCs w:val="20"/>
                <w:color w:val="auto"/>
              </w:rPr>
            </w:pPr>
            <w:r>
              <w:rPr>
                <w:rFonts w:ascii="Arial" w:cs="Arial" w:eastAsia="Arial" w:hAnsi="Arial"/>
                <w:sz w:val="17"/>
                <w:szCs w:val="17"/>
                <w:color w:val="auto"/>
              </w:rPr>
              <w:t>5,921(5)</w:t>
            </w:r>
          </w:p>
        </w:tc>
        <w:tc>
          <w:tcPr>
            <w:tcW w:w="126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John M. Engler</w:t>
            </w:r>
          </w:p>
        </w:tc>
        <w:tc>
          <w:tcPr>
            <w:tcW w:w="384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4,630</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209"/>
        </w:trPr>
        <w:tc>
          <w:tcPr>
            <w:tcW w:w="6320" w:type="dxa"/>
            <w:vAlign w:val="bottom"/>
          </w:tcPr>
          <w:p>
            <w:pPr>
              <w:spacing w:after="0"/>
              <w:rPr>
                <w:sz w:val="20"/>
                <w:szCs w:val="20"/>
                <w:color w:val="auto"/>
              </w:rPr>
            </w:pPr>
            <w:r>
              <w:rPr>
                <w:rFonts w:ascii="Arial" w:cs="Arial" w:eastAsia="Arial" w:hAnsi="Arial"/>
                <w:sz w:val="17"/>
                <w:szCs w:val="17"/>
                <w:color w:val="auto"/>
              </w:rPr>
              <w:t>Bruce A. Merino</w:t>
            </w:r>
          </w:p>
        </w:tc>
        <w:tc>
          <w:tcPr>
            <w:tcW w:w="3840" w:type="dxa"/>
            <w:vAlign w:val="bottom"/>
          </w:tcPr>
          <w:p>
            <w:pPr>
              <w:jc w:val="right"/>
              <w:ind w:right="755"/>
              <w:spacing w:after="0"/>
              <w:rPr>
                <w:sz w:val="20"/>
                <w:szCs w:val="20"/>
                <w:color w:val="auto"/>
              </w:rPr>
            </w:pPr>
            <w:r>
              <w:rPr>
                <w:rFonts w:ascii="Arial" w:cs="Arial" w:eastAsia="Arial" w:hAnsi="Arial"/>
                <w:sz w:val="17"/>
                <w:szCs w:val="17"/>
                <w:color w:val="auto"/>
              </w:rPr>
              <w:t>1,111</w:t>
            </w:r>
          </w:p>
        </w:tc>
        <w:tc>
          <w:tcPr>
            <w:tcW w:w="126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182"/>
        </w:trPr>
        <w:tc>
          <w:tcPr>
            <w:tcW w:w="63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All directors and executive officers as a group (19 persons)</w:t>
            </w:r>
          </w:p>
        </w:tc>
        <w:tc>
          <w:tcPr>
            <w:tcW w:w="38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1,061,753(5)</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306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4" w:lineRule="exact"/>
        <w:rPr>
          <w:sz w:val="20"/>
          <w:szCs w:val="20"/>
          <w:color w:val="auto"/>
        </w:rPr>
      </w:pPr>
    </w:p>
    <w:p>
      <w:pPr>
        <w:ind w:left="480" w:hanging="476"/>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Less than one percent (1%).</w:t>
      </w:r>
    </w:p>
    <w:p>
      <w:pPr>
        <w:spacing w:after="0" w:line="65" w:lineRule="exact"/>
        <w:rPr>
          <w:sz w:val="20"/>
          <w:szCs w:val="20"/>
          <w:color w:val="auto"/>
        </w:rPr>
      </w:pPr>
    </w:p>
    <w:p>
      <w:pPr>
        <w:ind w:left="480" w:hanging="476"/>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64" w:lineRule="exact"/>
        <w:rPr>
          <w:rFonts w:ascii="Arial" w:cs="Arial" w:eastAsia="Arial" w:hAnsi="Arial"/>
          <w:sz w:val="17"/>
          <w:szCs w:val="17"/>
          <w:color w:val="auto"/>
        </w:rPr>
      </w:pPr>
    </w:p>
    <w:p>
      <w:pPr>
        <w:ind w:left="480" w:right="180" w:hanging="476"/>
        <w:spacing w:after="0" w:line="256"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outstanding for this calculation include 162,997 shares which are subject to options exercisable in 60 days, and 44,706 shares which are subject to issuance under our Director Retainer Stock Plan.</w:t>
      </w:r>
    </w:p>
    <w:p>
      <w:pPr>
        <w:spacing w:after="0" w:line="38" w:lineRule="exact"/>
        <w:rPr>
          <w:rFonts w:ascii="Arial" w:cs="Arial" w:eastAsia="Arial" w:hAnsi="Arial"/>
          <w:sz w:val="17"/>
          <w:szCs w:val="17"/>
          <w:color w:val="auto"/>
        </w:rPr>
      </w:pPr>
    </w:p>
    <w:p>
      <w:pPr>
        <w:ind w:left="480" w:right="80" w:hanging="476"/>
        <w:spacing w:after="0" w:line="256"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shares which may be acquired by Messrs. Glenn, Cole, Webster, Greene, and Lees pursuant to options exercisable in 60 days in the amount of 12,500 shares, 12,000 shares, 2,403 shares, 15,711 shares, and 3,346 shares,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81" w:lineRule="exact"/>
        <w:rPr>
          <w:sz w:val="20"/>
          <w:szCs w:val="20"/>
          <w:color w:val="auto"/>
        </w:rPr>
      </w:pPr>
    </w:p>
    <w:p>
      <w:pPr>
        <w:ind w:left="480" w:right="160" w:hanging="476"/>
        <w:spacing w:after="0" w:line="256"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subject to issuance under our deferred compensation plans for Messrs. Glenn, Cole, Webster, and Greene in the amount of 8,966 shares, 1,929 shares, 21,587 shares, 7,369 shares and 25,044 shares, respectively.</w:t>
      </w:r>
    </w:p>
    <w:p>
      <w:pPr>
        <w:spacing w:after="0" w:line="38" w:lineRule="exact"/>
        <w:rPr>
          <w:rFonts w:ascii="Arial" w:cs="Arial" w:eastAsia="Arial" w:hAnsi="Arial"/>
          <w:sz w:val="17"/>
          <w:szCs w:val="17"/>
          <w:color w:val="auto"/>
        </w:rPr>
      </w:pPr>
    </w:p>
    <w:p>
      <w:pPr>
        <w:ind w:left="480" w:right="480" w:hanging="476"/>
        <w:spacing w:after="0" w:line="256"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held in our Director Retainer Stock Plan for Messrs. Dutton, Garside, Goode, Murray, Payne, and Smith who hold 4,195 shares, 10,728 shares, 14,053 shares, 8,632 shares, 3,291 shares, and 3,807 shares, respectively.</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EXECUTIVE COMPENSATION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126" w:lineRule="exact"/>
        <w:rPr>
          <w:sz w:val="20"/>
          <w:szCs w:val="20"/>
          <w:color w:val="auto"/>
        </w:rPr>
      </w:pPr>
    </w:p>
    <w:p>
      <w:pPr>
        <w:jc w:val="both"/>
        <w:ind w:right="140"/>
        <w:spacing w:after="0" w:line="248" w:lineRule="auto"/>
        <w:rPr>
          <w:sz w:val="20"/>
          <w:szCs w:val="20"/>
          <w:color w:val="auto"/>
        </w:rPr>
      </w:pPr>
      <w:r>
        <w:rPr>
          <w:rFonts w:ascii="Arial" w:cs="Arial" w:eastAsia="Arial" w:hAnsi="Arial"/>
          <w:sz w:val="17"/>
          <w:szCs w:val="17"/>
          <w:color w:val="auto"/>
        </w:rPr>
        <w:t>Our executive compensation program has been designed to motivate, reward, attract, and retain the management deemed essential to ensure our Company’s success. We believe our employees are our most important asset. The program seeks to align executive compensation with Company objectives, business strategy, and financial performance. In applying these principles, we seek to:</w:t>
      </w:r>
    </w:p>
    <w:p>
      <w:pPr>
        <w:spacing w:after="0" w:line="84" w:lineRule="exact"/>
        <w:rPr>
          <w:sz w:val="20"/>
          <w:szCs w:val="20"/>
          <w:color w:val="auto"/>
        </w:rPr>
      </w:pPr>
    </w:p>
    <w:p>
      <w:pPr>
        <w:ind w:left="220" w:hanging="216"/>
        <w:spacing w:after="0"/>
        <w:tabs>
          <w:tab w:leader="none" w:pos="22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Support an environment that rewards performance for achievement of Company goals;</w:t>
      </w:r>
    </w:p>
    <w:p>
      <w:pPr>
        <w:spacing w:after="0" w:line="117" w:lineRule="exact"/>
        <w:rPr>
          <w:rFonts w:ascii="Arial" w:cs="Arial" w:eastAsia="Arial" w:hAnsi="Arial"/>
          <w:sz w:val="17"/>
          <w:szCs w:val="17"/>
          <w:b w:val="1"/>
          <w:bCs w:val="1"/>
          <w:color w:val="auto"/>
        </w:rPr>
      </w:pPr>
    </w:p>
    <w:p>
      <w:pPr>
        <w:ind w:left="220" w:hanging="216"/>
        <w:spacing w:after="0"/>
        <w:tabs>
          <w:tab w:leader="none" w:pos="22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Attract and retain key executives critical to the long-term success of our Company; and</w:t>
      </w:r>
    </w:p>
    <w:p>
      <w:pPr>
        <w:spacing w:after="0" w:line="117" w:lineRule="exact"/>
        <w:rPr>
          <w:rFonts w:ascii="Arial" w:cs="Arial" w:eastAsia="Arial" w:hAnsi="Arial"/>
          <w:sz w:val="17"/>
          <w:szCs w:val="17"/>
          <w:b w:val="1"/>
          <w:bCs w:val="1"/>
          <w:color w:val="auto"/>
        </w:rPr>
      </w:pPr>
    </w:p>
    <w:p>
      <w:pPr>
        <w:ind w:left="220" w:hanging="216"/>
        <w:spacing w:after="0"/>
        <w:tabs>
          <w:tab w:leader="none" w:pos="22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Align the interests of executives with the long-term interests of shareholders through stock ownership initiatives and requirements.</w:t>
      </w:r>
    </w:p>
    <w:p>
      <w:pPr>
        <w:spacing w:after="0" w:line="104"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We believe the compensation of our executives should reflect the performance of the business units in which they are involved. We further believe the performance of our executives in managing our Company, considered in light of general economic and specific Company, industry, and competitive conditions, should be the basis for determining their overall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Our Compensation Program is Designed to Reward</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compensation program is designed to reward overall financial performance and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Company goals, and general economic conditions in the markets we serve. Stock price performance has not been a factor in determining annual compensation because we believe the price of our common stock is subject to a variety of factors outside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Components</w:t>
      </w:r>
    </w:p>
    <w:p>
      <w:pPr>
        <w:spacing w:after="0" w:line="126" w:lineRule="exact"/>
        <w:rPr>
          <w:sz w:val="20"/>
          <w:szCs w:val="20"/>
          <w:color w:val="auto"/>
        </w:rPr>
      </w:pPr>
    </w:p>
    <w:p>
      <w:pPr>
        <w:ind w:right="580"/>
        <w:spacing w:after="0" w:line="256" w:lineRule="auto"/>
        <w:rPr>
          <w:sz w:val="20"/>
          <w:szCs w:val="20"/>
          <w:color w:val="auto"/>
        </w:rPr>
      </w:pPr>
      <w:r>
        <w:rPr>
          <w:rFonts w:ascii="Arial" w:cs="Arial" w:eastAsia="Arial" w:hAnsi="Arial"/>
          <w:sz w:val="17"/>
          <w:szCs w:val="17"/>
          <w:color w:val="auto"/>
        </w:rPr>
        <w:t>The Committee has responsibility for establishing, implementing, and monitoring adherence to our compensation philosophy and established programs. The Committee seeks to</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08" w:right="2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ensure that the total compensation paid to our executives is fair, reasonable, and competitive.</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principal components of our executive compensation consist of (a) base salary, (b) annual performance incentives (generally paid under our Performance Bonus Plan), and (c) long-term incentive compensation (generally payable in the form of equity-based compensation awards). Base salaries are set for our executive officers at the Committee’s January meeting. At this meeting, the Chief Executive Officer makes compensation recommendations to the Committee with respect to our executive officers. The Committee may accept or adjust such recommendations; it makes the sole determination of the compensation for our Chief Executive Officer.</w:t>
      </w:r>
    </w:p>
    <w:p>
      <w:pPr>
        <w:spacing w:after="0" w:line="71"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b w:val="1"/>
          <w:bCs w:val="1"/>
          <w:i w:val="1"/>
          <w:iCs w:val="1"/>
          <w:color w:val="auto"/>
        </w:rPr>
        <w:t>Base Salaries</w:t>
      </w:r>
      <w:r>
        <w:rPr>
          <w:rFonts w:ascii="Arial" w:cs="Arial" w:eastAsia="Arial" w:hAnsi="Arial"/>
          <w:sz w:val="17"/>
          <w:szCs w:val="17"/>
          <w:color w:val="auto"/>
        </w:rPr>
        <w:t>. Historically, we have provided modest base salaries and have created opportunities for significant performance-based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The Committee has complete discretion in determining base salary amounts (including the grant and amount of any annual discretionary incentive payments or stock or option awards), regardless of whether corporate or individual performance goals are achieved.</w:t>
      </w:r>
    </w:p>
    <w:p>
      <w:pPr>
        <w:spacing w:after="0" w:line="75"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The Committee may, but is not required to, use objective and subjective measures in exercising its discretion in setting base salaries. Although the Committee does not use the data to set salaries, the Committee has reviewed the compensation information of our peer group companies. Our current peer group companies are: BlueLinx Holdings Inc., Builders First Source, and Louisiana Pacific Corp.</w:t>
      </w:r>
    </w:p>
    <w:p>
      <w:pPr>
        <w:spacing w:after="0" w:line="8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Committee also has access to publicly available compensation information from other publicly held companies to make informed decisions regarding pay and benefit practices, including base salaries. However, this information is not used to set salaries for our Named Executives. Surveys prepared by management are also used to periodically ensure that our Company is maintaining its labor market competitiveness. The Committee presently does not engage any consultant for executive and/or director compensation matters. Historically, our Company has utilized third-party data on compensation practices and base pay scales solely for purposes of clarifying that our Company’s base compensation is generally competitive. To date, the Committee has not used that information for purposes of either establishing base salaries or ultimately justifying the eventual establishment of base salaries.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Committee approved salary increases to the Named Executives, identified in the Summary Compensation Table,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Named Executive</w:t>
            </w:r>
          </w:p>
        </w:tc>
        <w:tc>
          <w:tcPr>
            <w:tcW w:w="29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Effective Date</w:t>
            </w:r>
          </w:p>
        </w:tc>
        <w:tc>
          <w:tcPr>
            <w:tcW w:w="500" w:type="dxa"/>
            <w:vAlign w:val="bottom"/>
          </w:tcPr>
          <w:p>
            <w:pPr>
              <w:spacing w:after="0"/>
              <w:rPr>
                <w:sz w:val="14"/>
                <w:szCs w:val="14"/>
                <w:color w:val="auto"/>
              </w:rPr>
            </w:pP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New Salary</w:t>
            </w:r>
          </w:p>
        </w:tc>
        <w:tc>
          <w:tcPr>
            <w:tcW w:w="500" w:type="dxa"/>
            <w:vAlign w:val="bottom"/>
          </w:tcPr>
          <w:p>
            <w:pPr>
              <w:spacing w:after="0"/>
              <w:rPr>
                <w:sz w:val="14"/>
                <w:szCs w:val="14"/>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 Increase</w:t>
            </w:r>
          </w:p>
        </w:tc>
      </w:tr>
      <w:tr>
        <w:trPr>
          <w:trHeight w:val="188"/>
        </w:trPr>
        <w:tc>
          <w:tcPr>
            <w:tcW w:w="354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center"/>
              <w:ind w:right="480"/>
              <w:spacing w:after="0" w:line="188" w:lineRule="exact"/>
              <w:rPr>
                <w:sz w:val="20"/>
                <w:szCs w:val="20"/>
                <w:color w:val="auto"/>
              </w:rPr>
            </w:pPr>
            <w:r>
              <w:rPr>
                <w:rFonts w:ascii="Arial" w:cs="Arial" w:eastAsia="Arial" w:hAnsi="Arial"/>
                <w:sz w:val="17"/>
                <w:szCs w:val="17"/>
                <w:color w:val="auto"/>
              </w:rPr>
              <w:t>February 1,</w:t>
            </w:r>
          </w:p>
        </w:tc>
        <w:tc>
          <w:tcPr>
            <w:tcW w:w="1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6"/>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Michael B. Glenn</w:t>
            </w:r>
          </w:p>
        </w:tc>
        <w:tc>
          <w:tcPr>
            <w:tcW w:w="4700" w:type="dxa"/>
            <w:vAlign w:val="bottom"/>
            <w:gridSpan w:val="3"/>
            <w:shd w:val="clear" w:color="auto" w:fill="CCEEFF"/>
          </w:tcPr>
          <w:p>
            <w:pPr>
              <w:jc w:val="center"/>
              <w:ind w:left="3313"/>
              <w:spacing w:after="0"/>
              <w:rPr>
                <w:sz w:val="20"/>
                <w:szCs w:val="20"/>
                <w:color w:val="auto"/>
              </w:rPr>
            </w:pPr>
            <w:r>
              <w:rPr>
                <w:rFonts w:ascii="Arial" w:cs="Arial" w:eastAsia="Arial" w:hAnsi="Arial"/>
                <w:sz w:val="17"/>
                <w:szCs w:val="17"/>
                <w:color w:val="auto"/>
              </w:rPr>
              <w:t>2011</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$607,000</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7"/>
                <w:szCs w:val="17"/>
                <w:color w:val="auto"/>
              </w:rPr>
              <w:t>2.2%</w:t>
            </w:r>
          </w:p>
        </w:tc>
      </w:tr>
      <w:tr>
        <w:trPr>
          <w:trHeight w:val="195"/>
        </w:trPr>
        <w:tc>
          <w:tcPr>
            <w:tcW w:w="3540" w:type="dxa"/>
            <w:vAlign w:val="bottom"/>
          </w:tcPr>
          <w:p>
            <w:pPr>
              <w:spacing w:after="0"/>
              <w:rPr>
                <w:sz w:val="20"/>
                <w:szCs w:val="20"/>
                <w:color w:val="auto"/>
              </w:rPr>
            </w:pPr>
            <w:r>
              <w:rPr>
                <w:rFonts w:ascii="Arial" w:cs="Arial" w:eastAsia="Arial" w:hAnsi="Arial"/>
                <w:sz w:val="17"/>
                <w:szCs w:val="17"/>
                <w:color w:val="auto"/>
              </w:rPr>
              <w:t>Michael R. Cole</w:t>
            </w:r>
          </w:p>
        </w:tc>
        <w:tc>
          <w:tcPr>
            <w:tcW w:w="2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7"/>
                <w:szCs w:val="17"/>
                <w:color w:val="auto"/>
              </w:rPr>
              <w:t>February 1, 2011</w:t>
            </w:r>
          </w:p>
        </w:tc>
        <w:tc>
          <w:tcPr>
            <w:tcW w:w="1260" w:type="dxa"/>
            <w:vAlign w:val="bottom"/>
          </w:tcPr>
          <w:p>
            <w:pPr>
              <w:jc w:val="right"/>
              <w:ind w:right="216"/>
              <w:spacing w:after="0"/>
              <w:rPr>
                <w:sz w:val="20"/>
                <w:szCs w:val="20"/>
                <w:color w:val="auto"/>
              </w:rPr>
            </w:pPr>
            <w:r>
              <w:rPr>
                <w:rFonts w:ascii="Arial" w:cs="Arial" w:eastAsia="Arial" w:hAnsi="Arial"/>
                <w:sz w:val="17"/>
                <w:szCs w:val="17"/>
                <w:color w:val="auto"/>
              </w:rPr>
              <w:t>$293,000</w:t>
            </w:r>
          </w:p>
        </w:tc>
        <w:tc>
          <w:tcPr>
            <w:tcW w:w="1420" w:type="dxa"/>
            <w:vAlign w:val="bottom"/>
            <w:gridSpan w:val="2"/>
          </w:tcPr>
          <w:p>
            <w:pPr>
              <w:jc w:val="right"/>
              <w:ind w:right="111"/>
              <w:spacing w:after="0"/>
              <w:rPr>
                <w:sz w:val="20"/>
                <w:szCs w:val="20"/>
                <w:color w:val="auto"/>
              </w:rPr>
            </w:pPr>
            <w:r>
              <w:rPr>
                <w:rFonts w:ascii="Arial" w:cs="Arial" w:eastAsia="Arial" w:hAnsi="Arial"/>
                <w:sz w:val="17"/>
                <w:szCs w:val="17"/>
                <w:color w:val="auto"/>
              </w:rPr>
              <w:t>3.0%</w:t>
            </w:r>
          </w:p>
        </w:tc>
      </w:tr>
      <w:tr>
        <w:trPr>
          <w:trHeight w:val="19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Patrick M. Webster</w:t>
            </w:r>
          </w:p>
        </w:tc>
        <w:tc>
          <w:tcPr>
            <w:tcW w:w="2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center"/>
              <w:ind w:right="480"/>
              <w:spacing w:after="0"/>
              <w:rPr>
                <w:sz w:val="20"/>
                <w:szCs w:val="20"/>
                <w:color w:val="auto"/>
              </w:rPr>
            </w:pPr>
            <w:r>
              <w:rPr>
                <w:rFonts w:ascii="Arial" w:cs="Arial" w:eastAsia="Arial" w:hAnsi="Arial"/>
                <w:sz w:val="17"/>
                <w:szCs w:val="17"/>
                <w:color w:val="auto"/>
              </w:rPr>
              <w:t>February 1, 2011</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$364,000</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7"/>
                <w:szCs w:val="17"/>
                <w:color w:val="auto"/>
              </w:rPr>
              <w:t>4.0%</w:t>
            </w:r>
          </w:p>
        </w:tc>
      </w:tr>
      <w:tr>
        <w:trPr>
          <w:trHeight w:val="195"/>
        </w:trPr>
        <w:tc>
          <w:tcPr>
            <w:tcW w:w="3540" w:type="dxa"/>
            <w:vAlign w:val="bottom"/>
          </w:tcPr>
          <w:p>
            <w:pPr>
              <w:spacing w:after="0"/>
              <w:rPr>
                <w:sz w:val="20"/>
                <w:szCs w:val="20"/>
                <w:color w:val="auto"/>
              </w:rPr>
            </w:pPr>
            <w:r>
              <w:rPr>
                <w:rFonts w:ascii="Arial" w:cs="Arial" w:eastAsia="Arial" w:hAnsi="Arial"/>
                <w:sz w:val="17"/>
                <w:szCs w:val="17"/>
                <w:color w:val="auto"/>
              </w:rPr>
              <w:t>C. Scott Greene</w:t>
            </w:r>
          </w:p>
        </w:tc>
        <w:tc>
          <w:tcPr>
            <w:tcW w:w="2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7"/>
                <w:szCs w:val="17"/>
                <w:color w:val="auto"/>
              </w:rPr>
              <w:t>February 1, 2011</w:t>
            </w:r>
          </w:p>
        </w:tc>
        <w:tc>
          <w:tcPr>
            <w:tcW w:w="1260" w:type="dxa"/>
            <w:vAlign w:val="bottom"/>
          </w:tcPr>
          <w:p>
            <w:pPr>
              <w:jc w:val="right"/>
              <w:ind w:right="216"/>
              <w:spacing w:after="0"/>
              <w:rPr>
                <w:sz w:val="20"/>
                <w:szCs w:val="20"/>
                <w:color w:val="auto"/>
              </w:rPr>
            </w:pPr>
            <w:r>
              <w:rPr>
                <w:rFonts w:ascii="Arial" w:cs="Arial" w:eastAsia="Arial" w:hAnsi="Arial"/>
                <w:sz w:val="17"/>
                <w:szCs w:val="17"/>
                <w:color w:val="auto"/>
              </w:rPr>
              <w:t>$345,000</w:t>
            </w:r>
          </w:p>
        </w:tc>
        <w:tc>
          <w:tcPr>
            <w:tcW w:w="1420" w:type="dxa"/>
            <w:vAlign w:val="bottom"/>
            <w:gridSpan w:val="2"/>
          </w:tcPr>
          <w:p>
            <w:pPr>
              <w:jc w:val="right"/>
              <w:ind w:right="111"/>
              <w:spacing w:after="0"/>
              <w:rPr>
                <w:sz w:val="20"/>
                <w:szCs w:val="20"/>
                <w:color w:val="auto"/>
              </w:rPr>
            </w:pPr>
            <w:r>
              <w:rPr>
                <w:rFonts w:ascii="Arial" w:cs="Arial" w:eastAsia="Arial" w:hAnsi="Arial"/>
                <w:sz w:val="17"/>
                <w:szCs w:val="17"/>
                <w:color w:val="auto"/>
              </w:rPr>
              <w:t>1.5%</w:t>
            </w:r>
          </w:p>
        </w:tc>
      </w:tr>
      <w:tr>
        <w:trPr>
          <w:trHeight w:val="19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Robert W. Lees</w:t>
            </w:r>
          </w:p>
        </w:tc>
        <w:tc>
          <w:tcPr>
            <w:tcW w:w="2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center"/>
              <w:ind w:right="480"/>
              <w:spacing w:after="0"/>
              <w:rPr>
                <w:sz w:val="20"/>
                <w:szCs w:val="20"/>
                <w:color w:val="auto"/>
              </w:rPr>
            </w:pPr>
            <w:r>
              <w:rPr>
                <w:rFonts w:ascii="Arial" w:cs="Arial" w:eastAsia="Arial" w:hAnsi="Arial"/>
                <w:sz w:val="17"/>
                <w:szCs w:val="17"/>
                <w:color w:val="auto"/>
              </w:rPr>
              <w:t>February 1, 2011</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$273,000</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7"/>
                <w:szCs w:val="17"/>
                <w:color w:val="auto"/>
              </w:rPr>
              <w:t>3.0%</w:t>
            </w:r>
          </w:p>
        </w:tc>
      </w:tr>
      <w:tr>
        <w:trPr>
          <w:trHeight w:val="391"/>
        </w:trPr>
        <w:tc>
          <w:tcPr>
            <w:tcW w:w="3540" w:type="dxa"/>
            <w:vAlign w:val="bottom"/>
          </w:tcPr>
          <w:p>
            <w:pPr>
              <w:spacing w:after="0"/>
              <w:rPr>
                <w:sz w:val="24"/>
                <w:szCs w:val="24"/>
                <w:color w:val="auto"/>
              </w:rPr>
            </w:pPr>
          </w:p>
        </w:tc>
        <w:tc>
          <w:tcPr>
            <w:tcW w:w="2900" w:type="dxa"/>
            <w:vAlign w:val="bottom"/>
          </w:tcPr>
          <w:p>
            <w:pPr>
              <w:jc w:val="right"/>
              <w:ind w:right="533"/>
              <w:spacing w:after="0"/>
              <w:rPr>
                <w:sz w:val="20"/>
                <w:szCs w:val="20"/>
                <w:color w:val="auto"/>
              </w:rPr>
            </w:pPr>
            <w:r>
              <w:rPr>
                <w:rFonts w:ascii="Arial" w:cs="Arial" w:eastAsia="Arial" w:hAnsi="Arial"/>
                <w:sz w:val="17"/>
                <w:szCs w:val="17"/>
                <w:color w:val="auto"/>
              </w:rPr>
              <w:t>17</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5"/>
        </w:trPr>
        <w:tc>
          <w:tcPr>
            <w:tcW w:w="354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b w:val="1"/>
          <w:bCs w:val="1"/>
          <w:i w:val="1"/>
          <w:iCs w:val="1"/>
          <w:color w:val="auto"/>
        </w:rPr>
        <w:t>Annual Incentive Compensation</w:t>
      </w:r>
      <w:r>
        <w:rPr>
          <w:rFonts w:ascii="Arial" w:cs="Arial" w:eastAsia="Arial" w:hAnsi="Arial"/>
          <w:sz w:val="17"/>
          <w:szCs w:val="17"/>
          <w:color w:val="auto"/>
        </w:rPr>
        <w:t>. Our Company’s Performance Bonus Plan provides for the contribution of a fixed percentage of pre-bonus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profit to each of a number of bonus pools, based upon the pre-bonus Return on Investment (“ROI”) of each plant, region, and division (each of which is referred to as a “Business Unit”), as well as a separate Corporate Business Unit bonus pool. Combined, these bonus pools comprise our Company’s aggregate bonus awards.</w:t>
      </w:r>
    </w:p>
    <w:p>
      <w:pPr>
        <w:spacing w:after="0" w:line="8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ROI is determined based upon the Business Unit’s pre-bonus operating profit, less income taxes, divided by the average investment of the Business Unit. Average investment is defined as the average of inventory, plus accounts receivable, plus net property, plant and equipment, plus intangibles, less accounts payable.</w:t>
      </w:r>
    </w:p>
    <w:p>
      <w:pPr>
        <w:spacing w:after="0" w:line="8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At the beginning of each year, each participant is allocated a fixed percentage of the pool. If the Business Unit generates profits which result in a bonus pool, the participant receives the allocated percentage as a performance bonus. The dollar amount of that pool is based upon our Company’s aggregate ROI. As ROI increases, a higher percentage of pre-bonus operating profit is contributed to the pool.</w:t>
      </w:r>
    </w:p>
    <w:p>
      <w:pPr>
        <w:spacing w:after="0" w:line="8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For the Corporate Business Unit, the minimum contribution percentage of 3.5% of pre-bonus operating profit occurs at the lowest level of ROI, which is .01%. The maximum contribution percentage of 8.79% occurs at an ROI of 25.5% and higher. In general, for every hundred basis point improvement in ROI, our Company contributes an approximate, additional 26 basis points of pre-bonus operating profit to the Corporate Business Unit bonus pool. Three of our Named Executives participated in the Corporate Business Unit bonus pool in 2010.</w:t>
      </w:r>
    </w:p>
    <w:p>
      <w:pPr>
        <w:spacing w:after="0" w:line="87"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For 2010, our Company achieved an overall ROI of 7.15%. This resulted in a contribution of $2,772,006 to the Corporate Business Unit bonus pool, which equaled 5.15% of pre-bonus operating profit. The performance bonus for each of the Named Executives (other than Messrs. Greene and Lees) was based upon our Company’s total ROI, while the performance bonus for Messrs. Greene and Lees was based upon the ROI of their respective Business Unit.</w:t>
      </w:r>
    </w:p>
    <w:p>
      <w:pPr>
        <w:spacing w:after="0" w:line="87"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For example, Mr. Glenn’s bonus was determined by our Company’s ROI, as a whole. Based upon that performance, our Company contributed the calculated amount of pre-bonus operating profit to the Corporate Business Unit bonus pool. Mr. Glenn was eligible to receive 19% of the corporate Business Unit bonus pool for 2010. That percentage, multiplied by the amount of that bonus pool, yielded a bonus for Mr. Glenn of $526,681 for 2010.</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08" w:right="2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following table discloses and explains the determination of bonuses earned by the Named Executives under our Company’s Performance Bonus Plan for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Percent of Pre-Bonus</w:t>
            </w:r>
          </w:p>
        </w:tc>
        <w:tc>
          <w:tcPr>
            <w:tcW w:w="4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Allocation of</w:t>
            </w: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Arial" w:cs="Arial" w:eastAsia="Arial" w:hAnsi="Arial"/>
                <w:sz w:val="14"/>
                <w:szCs w:val="14"/>
                <w:color w:val="auto"/>
                <w:w w:val="99"/>
              </w:rPr>
              <w:t>Operating Profit</w:t>
            </w:r>
          </w:p>
        </w:tc>
        <w:tc>
          <w:tcPr>
            <w:tcW w:w="48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rPr>
              <w:t>Participation in</w:t>
            </w:r>
          </w:p>
        </w:tc>
        <w:tc>
          <w:tcPr>
            <w:tcW w:w="4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Arial" w:cs="Arial" w:eastAsia="Arial" w:hAnsi="Arial"/>
                <w:sz w:val="14"/>
                <w:szCs w:val="14"/>
                <w:color w:val="auto"/>
                <w:w w:val="98"/>
              </w:rPr>
              <w:t>Contributed to the</w:t>
            </w:r>
          </w:p>
        </w:tc>
        <w:tc>
          <w:tcPr>
            <w:tcW w:w="48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8"/>
              </w:rPr>
              <w:t>the Corporate</w:t>
            </w:r>
          </w:p>
        </w:tc>
        <w:tc>
          <w:tcPr>
            <w:tcW w:w="4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Arial" w:cs="Arial" w:eastAsia="Arial" w:hAnsi="Arial"/>
                <w:sz w:val="14"/>
                <w:szCs w:val="14"/>
                <w:color w:val="auto"/>
                <w:w w:val="99"/>
              </w:rPr>
              <w:t>Corporate Business</w:t>
            </w:r>
          </w:p>
        </w:tc>
        <w:tc>
          <w:tcPr>
            <w:tcW w:w="48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8"/>
              </w:rPr>
              <w:t>Business Unit</w:t>
            </w:r>
          </w:p>
        </w:tc>
        <w:tc>
          <w:tcPr>
            <w:tcW w:w="48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color w:val="auto"/>
                <w:w w:val="99"/>
              </w:rPr>
              <w:t>Performance</w:t>
            </w:r>
          </w:p>
        </w:tc>
      </w:tr>
      <w:tr>
        <w:trPr>
          <w:trHeight w:val="156"/>
        </w:trPr>
        <w:tc>
          <w:tcPr>
            <w:tcW w:w="5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Arial" w:cs="Arial" w:eastAsia="Arial" w:hAnsi="Arial"/>
                <w:sz w:val="14"/>
                <w:szCs w:val="14"/>
                <w:color w:val="auto"/>
                <w:w w:val="97"/>
              </w:rPr>
              <w:t>Unit Bonus Pool</w:t>
            </w:r>
          </w:p>
        </w:tc>
        <w:tc>
          <w:tcPr>
            <w:tcW w:w="48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rPr>
              <w:t>Bonus Pool</w:t>
            </w:r>
          </w:p>
        </w:tc>
        <w:tc>
          <w:tcPr>
            <w:tcW w:w="48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color w:val="auto"/>
              </w:rPr>
              <w:t>Bonus</w:t>
            </w:r>
          </w:p>
        </w:tc>
      </w:tr>
      <w:tr>
        <w:trPr>
          <w:trHeight w:val="152"/>
        </w:trPr>
        <w:tc>
          <w:tcPr>
            <w:tcW w:w="5100" w:type="dxa"/>
            <w:vAlign w:val="bottom"/>
          </w:tcPr>
          <w:p>
            <w:pPr>
              <w:spacing w:after="0" w:line="152" w:lineRule="exact"/>
              <w:rPr>
                <w:sz w:val="20"/>
                <w:szCs w:val="20"/>
                <w:color w:val="auto"/>
              </w:rPr>
            </w:pPr>
            <w:r>
              <w:rPr>
                <w:rFonts w:ascii="Arial" w:cs="Arial" w:eastAsia="Arial" w:hAnsi="Arial"/>
                <w:sz w:val="14"/>
                <w:szCs w:val="14"/>
                <w:color w:val="auto"/>
              </w:rPr>
              <w:t>Named Executive</w:t>
            </w:r>
          </w:p>
        </w:tc>
        <w:tc>
          <w:tcPr>
            <w:tcW w:w="1740" w:type="dxa"/>
            <w:vAlign w:val="bottom"/>
            <w:gridSpan w:val="3"/>
          </w:tcPr>
          <w:p>
            <w:pPr>
              <w:jc w:val="right"/>
              <w:ind w:right="1020"/>
              <w:spacing w:after="0" w:line="152" w:lineRule="exact"/>
              <w:rPr>
                <w:sz w:val="20"/>
                <w:szCs w:val="20"/>
                <w:color w:val="auto"/>
              </w:rPr>
            </w:pPr>
            <w:r>
              <w:rPr>
                <w:rFonts w:ascii="Arial" w:cs="Arial" w:eastAsia="Arial" w:hAnsi="Arial"/>
                <w:sz w:val="14"/>
                <w:szCs w:val="14"/>
                <w:color w:val="auto"/>
              </w:rPr>
              <w:t>ROI</w:t>
            </w:r>
          </w:p>
        </w:tc>
        <w:tc>
          <w:tcPr>
            <w:tcW w:w="1380" w:type="dxa"/>
            <w:vAlign w:val="bottom"/>
          </w:tcPr>
          <w:p>
            <w:pPr>
              <w:jc w:val="center"/>
              <w:spacing w:after="0" w:line="152"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left="417"/>
              <w:spacing w:after="0" w:line="152"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center"/>
              <w:ind w:left="417"/>
              <w:spacing w:after="0" w:line="152" w:lineRule="exact"/>
              <w:rPr>
                <w:sz w:val="20"/>
                <w:szCs w:val="20"/>
                <w:color w:val="auto"/>
              </w:rPr>
            </w:pPr>
            <w:r>
              <w:rPr>
                <w:rFonts w:ascii="Arial" w:cs="Arial" w:eastAsia="Arial" w:hAnsi="Arial"/>
                <w:sz w:val="14"/>
                <w:szCs w:val="14"/>
                <w:color w:val="auto"/>
              </w:rPr>
              <w:t>($)</w:t>
            </w:r>
          </w:p>
        </w:tc>
      </w:tr>
      <w:tr>
        <w:trPr>
          <w:trHeight w:val="188"/>
        </w:trPr>
        <w:tc>
          <w:tcPr>
            <w:tcW w:w="5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Michael B. Glenn</w:t>
            </w:r>
          </w:p>
        </w:tc>
        <w:tc>
          <w:tcPr>
            <w:tcW w:w="4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443"/>
              <w:spacing w:after="0" w:line="189" w:lineRule="exact"/>
              <w:rPr>
                <w:sz w:val="20"/>
                <w:szCs w:val="20"/>
                <w:color w:val="auto"/>
              </w:rPr>
            </w:pPr>
            <w:r>
              <w:rPr>
                <w:rFonts w:ascii="Arial" w:cs="Arial" w:eastAsia="Arial" w:hAnsi="Arial"/>
                <w:sz w:val="17"/>
                <w:szCs w:val="17"/>
                <w:color w:val="auto"/>
              </w:rPr>
              <w:t>4.87</w:t>
            </w:r>
          </w:p>
        </w:tc>
        <w:tc>
          <w:tcPr>
            <w:tcW w:w="4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19%</w:t>
            </w:r>
          </w:p>
        </w:tc>
        <w:tc>
          <w:tcPr>
            <w:tcW w:w="48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265"/>
              <w:spacing w:after="0" w:line="189" w:lineRule="exact"/>
              <w:rPr>
                <w:sz w:val="20"/>
                <w:szCs w:val="20"/>
                <w:color w:val="auto"/>
              </w:rPr>
            </w:pPr>
            <w:r>
              <w:rPr>
                <w:rFonts w:ascii="Arial" w:cs="Arial" w:eastAsia="Arial" w:hAnsi="Arial"/>
                <w:sz w:val="17"/>
                <w:szCs w:val="17"/>
                <w:color w:val="auto"/>
              </w:rPr>
              <w:t>$526,681</w:t>
            </w: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Michael R. Cole</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jc w:val="right"/>
              <w:ind w:right="443"/>
              <w:spacing w:after="0"/>
              <w:rPr>
                <w:sz w:val="20"/>
                <w:szCs w:val="20"/>
                <w:color w:val="auto"/>
              </w:rPr>
            </w:pPr>
            <w:r>
              <w:rPr>
                <w:rFonts w:ascii="Arial" w:cs="Arial" w:eastAsia="Arial" w:hAnsi="Arial"/>
                <w:sz w:val="17"/>
                <w:szCs w:val="17"/>
                <w:color w:val="auto"/>
              </w:rPr>
              <w:t>4.87</w:t>
            </w:r>
          </w:p>
        </w:tc>
        <w:tc>
          <w:tcPr>
            <w:tcW w:w="1400" w:type="dxa"/>
            <w:vAlign w:val="bottom"/>
            <w:gridSpan w:val="2"/>
          </w:tcPr>
          <w:p>
            <w:pPr>
              <w:jc w:val="right"/>
              <w:ind w:right="128"/>
              <w:spacing w:after="0"/>
              <w:rPr>
                <w:sz w:val="20"/>
                <w:szCs w:val="20"/>
                <w:color w:val="auto"/>
              </w:rPr>
            </w:pPr>
            <w:r>
              <w:rPr>
                <w:rFonts w:ascii="Arial" w:cs="Arial" w:eastAsia="Arial" w:hAnsi="Arial"/>
                <w:sz w:val="17"/>
                <w:szCs w:val="17"/>
                <w:color w:val="auto"/>
              </w:rPr>
              <w:t>6%</w:t>
            </w:r>
          </w:p>
        </w:tc>
        <w:tc>
          <w:tcPr>
            <w:tcW w:w="1800" w:type="dxa"/>
            <w:vAlign w:val="bottom"/>
            <w:gridSpan w:val="2"/>
          </w:tcPr>
          <w:p>
            <w:pPr>
              <w:jc w:val="right"/>
              <w:ind w:right="265"/>
              <w:spacing w:after="0"/>
              <w:rPr>
                <w:sz w:val="20"/>
                <w:szCs w:val="20"/>
                <w:color w:val="auto"/>
              </w:rPr>
            </w:pPr>
            <w:r>
              <w:rPr>
                <w:rFonts w:ascii="Arial" w:cs="Arial" w:eastAsia="Arial" w:hAnsi="Arial"/>
                <w:sz w:val="17"/>
                <w:szCs w:val="17"/>
                <w:color w:val="auto"/>
              </w:rPr>
              <w:t>166,320</w:t>
            </w:r>
          </w:p>
        </w:tc>
      </w:tr>
      <w:tr>
        <w:trPr>
          <w:trHeight w:val="195"/>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Patrick M. Webster</w:t>
            </w: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43"/>
              <w:spacing w:after="0"/>
              <w:rPr>
                <w:sz w:val="20"/>
                <w:szCs w:val="20"/>
                <w:color w:val="auto"/>
              </w:rPr>
            </w:pPr>
            <w:r>
              <w:rPr>
                <w:rFonts w:ascii="Arial" w:cs="Arial" w:eastAsia="Arial" w:hAnsi="Arial"/>
                <w:sz w:val="17"/>
                <w:szCs w:val="17"/>
                <w:color w:val="auto"/>
              </w:rPr>
              <w:t>4.87</w:t>
            </w:r>
          </w:p>
        </w:tc>
        <w:tc>
          <w:tcPr>
            <w:tcW w:w="140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15%</w:t>
            </w:r>
          </w:p>
        </w:tc>
        <w:tc>
          <w:tcPr>
            <w:tcW w:w="1800" w:type="dxa"/>
            <w:vAlign w:val="bottom"/>
            <w:gridSpan w:val="2"/>
            <w:shd w:val="clear" w:color="auto" w:fill="CCEEFF"/>
          </w:tcPr>
          <w:p>
            <w:pPr>
              <w:jc w:val="right"/>
              <w:ind w:right="265"/>
              <w:spacing w:after="0"/>
              <w:rPr>
                <w:sz w:val="20"/>
                <w:szCs w:val="20"/>
                <w:color w:val="auto"/>
              </w:rPr>
            </w:pPr>
            <w:r>
              <w:rPr>
                <w:rFonts w:ascii="Arial" w:cs="Arial" w:eastAsia="Arial" w:hAnsi="Arial"/>
                <w:sz w:val="17"/>
                <w:szCs w:val="17"/>
                <w:color w:val="auto"/>
              </w:rPr>
              <w:t>415,801</w:t>
            </w: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C. Scott Greene</w:t>
            </w:r>
          </w:p>
        </w:tc>
        <w:tc>
          <w:tcPr>
            <w:tcW w:w="1740" w:type="dxa"/>
            <w:vAlign w:val="bottom"/>
            <w:gridSpan w:val="3"/>
          </w:tcPr>
          <w:p>
            <w:pPr>
              <w:jc w:val="right"/>
              <w:ind w:right="720"/>
              <w:spacing w:after="0"/>
              <w:rPr>
                <w:sz w:val="20"/>
                <w:szCs w:val="20"/>
                <w:color w:val="auto"/>
              </w:rPr>
            </w:pPr>
            <w:r>
              <w:rPr>
                <w:rFonts w:ascii="Arial" w:cs="Arial" w:eastAsia="Arial" w:hAnsi="Arial"/>
                <w:sz w:val="17"/>
                <w:szCs w:val="17"/>
                <w:color w:val="auto"/>
              </w:rPr>
              <w:t>(1)</w:t>
            </w:r>
          </w:p>
        </w:tc>
        <w:tc>
          <w:tcPr>
            <w:tcW w:w="1380" w:type="dxa"/>
            <w:vAlign w:val="bottom"/>
          </w:tcPr>
          <w:p>
            <w:pPr>
              <w:jc w:val="right"/>
              <w:ind w:right="383"/>
              <w:spacing w:after="0"/>
              <w:rPr>
                <w:sz w:val="20"/>
                <w:szCs w:val="20"/>
                <w:color w:val="auto"/>
              </w:rPr>
            </w:pPr>
            <w:r>
              <w:rPr>
                <w:rFonts w:ascii="Arial" w:cs="Arial" w:eastAsia="Arial" w:hAnsi="Arial"/>
                <w:sz w:val="17"/>
                <w:szCs w:val="17"/>
                <w:color w:val="auto"/>
              </w:rPr>
              <w:t>(1)</w:t>
            </w:r>
          </w:p>
        </w:tc>
        <w:tc>
          <w:tcPr>
            <w:tcW w:w="1400" w:type="dxa"/>
            <w:vAlign w:val="bottom"/>
            <w:gridSpan w:val="2"/>
          </w:tcPr>
          <w:p>
            <w:pPr>
              <w:jc w:val="right"/>
              <w:ind w:right="228"/>
              <w:spacing w:after="0"/>
              <w:rPr>
                <w:sz w:val="20"/>
                <w:szCs w:val="20"/>
                <w:color w:val="auto"/>
              </w:rPr>
            </w:pPr>
            <w:r>
              <w:rPr>
                <w:rFonts w:ascii="Arial" w:cs="Arial" w:eastAsia="Arial" w:hAnsi="Arial"/>
                <w:sz w:val="17"/>
                <w:szCs w:val="17"/>
                <w:color w:val="auto"/>
              </w:rPr>
              <w:t>(1)</w:t>
            </w:r>
          </w:p>
        </w:tc>
        <w:tc>
          <w:tcPr>
            <w:tcW w:w="1800" w:type="dxa"/>
            <w:vAlign w:val="bottom"/>
            <w:gridSpan w:val="2"/>
          </w:tcPr>
          <w:p>
            <w:pPr>
              <w:jc w:val="right"/>
              <w:ind w:right="265"/>
              <w:spacing w:after="0"/>
              <w:rPr>
                <w:sz w:val="20"/>
                <w:szCs w:val="20"/>
                <w:color w:val="auto"/>
              </w:rPr>
            </w:pPr>
            <w:r>
              <w:rPr>
                <w:rFonts w:ascii="Arial" w:cs="Arial" w:eastAsia="Arial" w:hAnsi="Arial"/>
                <w:sz w:val="17"/>
                <w:szCs w:val="17"/>
                <w:color w:val="auto"/>
              </w:rPr>
              <w:t>229,155</w:t>
            </w:r>
          </w:p>
        </w:tc>
      </w:tr>
      <w:tr>
        <w:trPr>
          <w:trHeight w:val="195"/>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Robert W. Lees</w:t>
            </w:r>
          </w:p>
        </w:tc>
        <w:tc>
          <w:tcPr>
            <w:tcW w:w="174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(1)</w:t>
            </w:r>
          </w:p>
        </w:tc>
        <w:tc>
          <w:tcPr>
            <w:tcW w:w="1380" w:type="dxa"/>
            <w:vAlign w:val="bottom"/>
            <w:shd w:val="clear" w:color="auto" w:fill="CCEEFF"/>
          </w:tcPr>
          <w:p>
            <w:pPr>
              <w:jc w:val="right"/>
              <w:ind w:right="383"/>
              <w:spacing w:after="0"/>
              <w:rPr>
                <w:sz w:val="20"/>
                <w:szCs w:val="20"/>
                <w:color w:val="auto"/>
              </w:rPr>
            </w:pPr>
            <w:r>
              <w:rPr>
                <w:rFonts w:ascii="Arial" w:cs="Arial" w:eastAsia="Arial" w:hAnsi="Arial"/>
                <w:sz w:val="17"/>
                <w:szCs w:val="17"/>
                <w:color w:val="auto"/>
              </w:rPr>
              <w:t>(1)</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7"/>
                <w:szCs w:val="17"/>
                <w:color w:val="auto"/>
              </w:rPr>
              <w:t>(1)</w:t>
            </w:r>
          </w:p>
        </w:tc>
        <w:tc>
          <w:tcPr>
            <w:tcW w:w="1800" w:type="dxa"/>
            <w:vAlign w:val="bottom"/>
            <w:gridSpan w:val="2"/>
            <w:shd w:val="clear" w:color="auto" w:fill="CCEEFF"/>
          </w:tcPr>
          <w:p>
            <w:pPr>
              <w:jc w:val="right"/>
              <w:ind w:right="265"/>
              <w:spacing w:after="0"/>
              <w:rPr>
                <w:sz w:val="20"/>
                <w:szCs w:val="20"/>
                <w:color w:val="auto"/>
              </w:rPr>
            </w:pPr>
            <w:r>
              <w:rPr>
                <w:rFonts w:ascii="Arial" w:cs="Arial" w:eastAsia="Arial" w:hAnsi="Arial"/>
                <w:sz w:val="17"/>
                <w:szCs w:val="17"/>
                <w:color w:val="auto"/>
              </w:rPr>
              <w:t>265,659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3061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4" w:lineRule="exact"/>
        <w:rPr>
          <w:sz w:val="20"/>
          <w:szCs w:val="20"/>
          <w:color w:val="auto"/>
        </w:rPr>
      </w:pPr>
    </w:p>
    <w:p>
      <w:pPr>
        <w:ind w:left="480" w:right="40" w:hanging="476"/>
        <w:spacing w:after="0" w:line="256"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2010, Messrs Greene and Lees did not participate in the corporate Business Unit bonus pool. Rather, the incentive compensation for each of them was based upon the ROI of their respective Business Unit.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Our Company has more than 80 bonus pools, one for each Business Unit, as well as the separate Corporate Business Unit pool.</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Committee has established a maximum cash performance bonus of 1.75 times base salary for the succeeding year.</w:t>
      </w:r>
    </w:p>
    <w:p>
      <w:pPr>
        <w:spacing w:after="0" w:line="10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In January 2011, the Committee increased the ROI threshold from 0% to 2.5% for 2011, and to 3.5% for 2012, for all non-site-built operations. Site-built operations will continue to have an ROI threshold of 0% for 2011 and 2012.</w:t>
      </w:r>
    </w:p>
    <w:p>
      <w:pPr>
        <w:spacing w:after="0" w:line="58"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b w:val="1"/>
          <w:bCs w:val="1"/>
          <w:i w:val="1"/>
          <w:iCs w:val="1"/>
          <w:color w:val="auto"/>
        </w:rPr>
        <w:t xml:space="preserve">Chief Executive Officer. </w:t>
      </w:r>
      <w:r>
        <w:rPr>
          <w:rFonts w:ascii="Arial" w:cs="Arial" w:eastAsia="Arial" w:hAnsi="Arial"/>
          <w:sz w:val="17"/>
          <w:szCs w:val="17"/>
          <w:color w:val="auto"/>
        </w:rPr>
        <w:t>The Committee annually reviews and establishes our Chief Executive Officer’s base salary. Michael B. Glenn was named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our Company on July 1, 2006. His salary is based on comparable compensation data, the Committee’s assessment of his past performance, and its expectation as to his future contributions in leading our Company. Mr. Glenn’s base salary fell in the lower quartile of the salaries of comparable executives in our peer group. The Committee has complete discretion in setting the base salary for Mr. Glenn (who does not have an employment agreement with our Company). For 2011, Mr. Glenn is eligible to receive 19% of the corporate Business Unit bonus pool.</w:t>
      </w:r>
    </w:p>
    <w:p>
      <w:pPr>
        <w:spacing w:after="0" w:line="6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b w:val="1"/>
          <w:bCs w:val="1"/>
          <w:i w:val="1"/>
          <w:iCs w:val="1"/>
          <w:color w:val="auto"/>
        </w:rPr>
        <w:t>Long-Term Stock Incentive Plan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past, we have provided long-term incentive compensation to our executive officers and key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stock options, grants of restricted shares, and other equity-based awards under the terms of our amended and restated Long Term Stock Incentive Plan (“LTSIP”). The Committee has complete discretion in determining eligibility for participation and the number of stock options and restricted stock, if any, to be granted to a participant. Due to the changes in accounting for stock options, the Committee decided not to grant broad-based stock options to salaried employees for 2008, 2009, or 2010.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For 2010, the long term incentive compensation element of our compensation program was paid in the form of conditional stock grants. Our Chief Executive Officer recommends to the Committee, for its approval, the amount of shares that are subject to each conditional stock award, based upon his subjective assessment as to the appropriate number of shares to be granted to employees. The awards to our Named Executives ranged from a high of 2,000 shares, granted to our Chief Executive Officer, to a low of 1,000 shares granted to certain of the other Named Executives. The relative amount of shares subject to each award is based upon the employee’s role in our Company, whereby more senior level executives receive a larger grant than subordinate levels. The conditional stock grants were issued into a deferred account (the Executive Stock Grant Program) which fully vests five years after the date of issue, or earlier upon death, disability, retirement, or change in control. When the grantee attains age 62, the grant automatically vests. The grantee may withdraw 50% of the shares after five years, and the remaining shares may not be issued until the grantee retires. If the grantee leaves our Company, other than due to death, disability, retirement, or change in control, prior to full vesting, the shares are forfeited.</w:t>
      </w:r>
    </w:p>
    <w:p>
      <w:pPr>
        <w:spacing w:after="0" w:line="291"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We encourage and promote ownership of Company stock by our employees and directors. We have a Minimum Stock Ownership Policy that sets requirements for ownership of our common stock by our key employees and independent directors,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460" w:type="dxa"/>
            <w:vAlign w:val="bottom"/>
          </w:tcPr>
          <w:p>
            <w:pPr>
              <w:spacing w:after="0"/>
              <w:rPr>
                <w:sz w:val="14"/>
                <w:szCs w:val="14"/>
                <w:color w:val="auto"/>
              </w:rPr>
            </w:pPr>
          </w:p>
        </w:tc>
        <w:tc>
          <w:tcPr>
            <w:tcW w:w="28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Company Stock Ownership Requirement</w:t>
            </w:r>
          </w:p>
        </w:tc>
      </w:tr>
      <w:tr>
        <w:trPr>
          <w:trHeight w:val="188"/>
        </w:trPr>
        <w:tc>
          <w:tcPr>
            <w:tcW w:w="8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Officers</w:t>
            </w:r>
          </w:p>
        </w:tc>
        <w:tc>
          <w:tcPr>
            <w:tcW w:w="1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ind w:right="993"/>
              <w:spacing w:after="0" w:line="189" w:lineRule="exact"/>
              <w:rPr>
                <w:sz w:val="20"/>
                <w:szCs w:val="20"/>
                <w:color w:val="auto"/>
              </w:rPr>
            </w:pPr>
            <w:r>
              <w:rPr>
                <w:rFonts w:ascii="Arial" w:cs="Arial" w:eastAsia="Arial" w:hAnsi="Arial"/>
                <w:sz w:val="17"/>
                <w:szCs w:val="17"/>
                <w:color w:val="auto"/>
                <w:w w:val="97"/>
              </w:rPr>
              <w:t>200,000</w:t>
            </w:r>
          </w:p>
        </w:tc>
      </w:tr>
      <w:tr>
        <w:trPr>
          <w:trHeight w:val="195"/>
        </w:trPr>
        <w:tc>
          <w:tcPr>
            <w:tcW w:w="8160" w:type="dxa"/>
            <w:vAlign w:val="bottom"/>
          </w:tcPr>
          <w:p>
            <w:pPr>
              <w:spacing w:after="0"/>
              <w:rPr>
                <w:sz w:val="20"/>
                <w:szCs w:val="20"/>
                <w:color w:val="auto"/>
              </w:rPr>
            </w:pPr>
            <w:r>
              <w:rPr>
                <w:rFonts w:ascii="Arial" w:cs="Arial" w:eastAsia="Arial" w:hAnsi="Arial"/>
                <w:sz w:val="17"/>
                <w:szCs w:val="17"/>
                <w:color w:val="auto"/>
              </w:rPr>
              <w:t>General Manager of Operations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993"/>
              <w:spacing w:after="0"/>
              <w:rPr>
                <w:sz w:val="20"/>
                <w:szCs w:val="20"/>
                <w:color w:val="auto"/>
              </w:rPr>
            </w:pPr>
            <w:r>
              <w:rPr>
                <w:rFonts w:ascii="Arial" w:cs="Arial" w:eastAsia="Arial" w:hAnsi="Arial"/>
                <w:sz w:val="17"/>
                <w:szCs w:val="17"/>
                <w:color w:val="auto"/>
                <w:w w:val="97"/>
              </w:rPr>
              <w:t>100,000</w:t>
            </w:r>
          </w:p>
        </w:tc>
      </w:tr>
      <w:tr>
        <w:trPr>
          <w:trHeight w:val="195"/>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Operations Managers, Plant Managers, Sales Managers, Executive Managers, and Senior Managers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rPr>
              <w:t>50,000</w:t>
            </w:r>
          </w:p>
        </w:tc>
      </w:tr>
      <w:tr>
        <w:trPr>
          <w:trHeight w:val="209"/>
        </w:trPr>
        <w:tc>
          <w:tcPr>
            <w:tcW w:w="8160" w:type="dxa"/>
            <w:vAlign w:val="bottom"/>
          </w:tcPr>
          <w:p>
            <w:pPr>
              <w:spacing w:after="0"/>
              <w:rPr>
                <w:sz w:val="20"/>
                <w:szCs w:val="20"/>
                <w:color w:val="auto"/>
              </w:rPr>
            </w:pPr>
            <w:r>
              <w:rPr>
                <w:rFonts w:ascii="Arial" w:cs="Arial" w:eastAsia="Arial" w:hAnsi="Arial"/>
                <w:sz w:val="17"/>
                <w:szCs w:val="17"/>
                <w:color w:val="auto"/>
              </w:rPr>
              <w:t>Independent Directors</w:t>
            </w:r>
          </w:p>
        </w:tc>
        <w:tc>
          <w:tcPr>
            <w:tcW w:w="460" w:type="dxa"/>
            <w:vAlign w:val="bottom"/>
          </w:tcPr>
          <w:p>
            <w:pPr>
              <w:spacing w:after="0"/>
              <w:rPr>
                <w:sz w:val="18"/>
                <w:szCs w:val="18"/>
                <w:color w:val="auto"/>
              </w:rPr>
            </w:pPr>
          </w:p>
        </w:tc>
        <w:tc>
          <w:tcPr>
            <w:tcW w:w="2800" w:type="dxa"/>
            <w:vAlign w:val="bottom"/>
            <w:gridSpan w:val="2"/>
          </w:tcPr>
          <w:p>
            <w:pPr>
              <w:jc w:val="right"/>
              <w:ind w:right="813"/>
              <w:spacing w:after="0"/>
              <w:rPr>
                <w:sz w:val="20"/>
                <w:szCs w:val="20"/>
                <w:color w:val="auto"/>
              </w:rPr>
            </w:pPr>
            <w:r>
              <w:rPr>
                <w:rFonts w:ascii="Arial" w:cs="Arial" w:eastAsia="Arial" w:hAnsi="Arial"/>
                <w:sz w:val="17"/>
                <w:szCs w:val="17"/>
                <w:color w:val="auto"/>
              </w:rPr>
              <w:t>2,500 shares</w:t>
            </w:r>
          </w:p>
        </w:tc>
      </w:tr>
    </w:tbl>
    <w:p>
      <w:pPr>
        <w:spacing w:after="0" w:line="9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To help our key employees (other than executive officers, who are not eligible to receive a loan once they become an executive officer) reach their minimum stock ownership requirement, we established an Executive Stock Purchase Assistance Plan under which key employees borrowed money from our Company to purchase stock with interest at the applicable federal rate. No shares will be issued under this Plan for 2011 or thereafter.</w:t>
      </w:r>
    </w:p>
    <w:p>
      <w:pPr>
        <w:spacing w:after="0" w:line="8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have a Deferred Compensation Plan (the “DCP”) which allows key employees to defer a portion of their compensation. Under the DCP, if a key employee’s ownership of our common stock is not at the required level, any money the key employee defers must be used to purchase shares of our common stock. Such shares are purchased at a 15% discount from the then prevailing market price of our common stock. Each key employee receives a payout of his or her DCP account one year from the date they leave our Company, unless preceded by retirement or death, in which case the employee or his or her beneficiary will receive the distribution within 90 days.</w:t>
      </w:r>
    </w:p>
    <w:p>
      <w:pPr>
        <w:spacing w:after="0" w:line="9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have an Employee Stock Purchase Plan (the “ESPP”) which allows our employees to make a payroll deduction or lump sum contribution, or both, for the purchase of our common stock. Shares of our common stock are purchased with the money in the employee’s account on the last stock trading day of the quarter, at a 15% discount from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then prevailing market price of our common stock. All eligible employees with at least one year of service may participate in the ESPP.</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have a Stock Gift Program under which eligible employees receive a modest amount of our common stock on specified service anniversaries with our Company.</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Executive Retirement Plan. </w:t>
      </w:r>
      <w:r>
        <w:rPr>
          <w:rFonts w:ascii="Arial" w:cs="Arial" w:eastAsia="Arial" w:hAnsi="Arial"/>
          <w:sz w:val="17"/>
          <w:szCs w:val="17"/>
          <w:color w:val="auto"/>
        </w:rPr>
        <w:t>On October 14, 2010, the Committee approved an Executive Retirement Plan for officers with 20 years of service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10 years of service as an officer. The Plan provides for a retirement benefit at age 62 or later of 150% of base salary paid over three years after retirement, death, or disability, plus the monthly cost of COBRA coverage.</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Our policy is to pay all earned compensation regardless of whether it exceeds the One Million Dollar ($1,000,000.00) limitation on compensation deductions set forth in Section 162(m) of the Internal Revenue Code. To ensure the maximum tax deductibility for our Company, we received shareholder approval of our Performance Bonus Plan at our 1999 Annual Meeting of Shareholders.</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40"/>
          </w:cols>
          <w:pgMar w:left="240" w:top="408" w:right="5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following table shows certain information regarding the compensation for our Chief Executive Officer, Chief Financial Officer, and our three other most highly compensated executive officers for each of our last three fiscal years (the “Named Executives”).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Change in</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Arial" w:cs="Arial" w:eastAsia="Arial" w:hAnsi="Arial"/>
                <w:sz w:val="14"/>
                <w:szCs w:val="14"/>
                <w:color w:val="auto"/>
                <w:w w:val="98"/>
              </w:rPr>
              <w:t>Non-</w:t>
            </w:r>
          </w:p>
        </w:tc>
        <w:tc>
          <w:tcPr>
            <w:tcW w:w="22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color w:val="auto"/>
                <w:w w:val="98"/>
              </w:rPr>
              <w:t>Pension</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Arial" w:cs="Arial" w:eastAsia="Arial" w:hAnsi="Arial"/>
                <w:sz w:val="14"/>
                <w:szCs w:val="14"/>
                <w:color w:val="auto"/>
              </w:rPr>
              <w:t>Equity</w:t>
            </w:r>
          </w:p>
        </w:tc>
        <w:tc>
          <w:tcPr>
            <w:tcW w:w="22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color w:val="auto"/>
                <w:w w:val="97"/>
              </w:rPr>
              <w:t>Venue and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Arial" w:cs="Arial" w:eastAsia="Arial" w:hAnsi="Arial"/>
                <w:sz w:val="14"/>
                <w:szCs w:val="14"/>
                <w:color w:val="auto"/>
                <w:w w:val="99"/>
              </w:rPr>
              <w:t>Incentive</w:t>
            </w:r>
          </w:p>
        </w:tc>
        <w:tc>
          <w:tcPr>
            <w:tcW w:w="22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color w:val="auto"/>
              </w:rPr>
              <w:t>Nonqualified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Arial" w:cs="Arial" w:eastAsia="Arial" w:hAnsi="Arial"/>
                <w:sz w:val="14"/>
                <w:szCs w:val="14"/>
                <w:color w:val="auto"/>
                <w:w w:val="99"/>
              </w:rPr>
              <w:t>Plan</w:t>
            </w:r>
          </w:p>
        </w:tc>
        <w:tc>
          <w:tcPr>
            <w:tcW w:w="22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color w:val="auto"/>
                <w:w w:val="99"/>
              </w:rPr>
              <w:t>Deferred</w:t>
            </w:r>
          </w:p>
        </w:tc>
        <w:tc>
          <w:tcPr>
            <w:tcW w:w="20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9"/>
              </w:rPr>
              <w:t>All Other</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rPr>
              <w:t>Stock</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Arial" w:cs="Arial" w:eastAsia="Arial" w:hAnsi="Arial"/>
                <w:sz w:val="14"/>
                <w:szCs w:val="14"/>
                <w:color w:val="auto"/>
                <w:w w:val="97"/>
              </w:rPr>
              <w:t>Compen-</w:t>
            </w:r>
          </w:p>
        </w:tc>
        <w:tc>
          <w:tcPr>
            <w:tcW w:w="22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color w:val="auto"/>
              </w:rPr>
              <w:t>Compen-</w:t>
            </w:r>
          </w:p>
        </w:tc>
        <w:tc>
          <w:tcPr>
            <w:tcW w:w="20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7"/>
              </w:rPr>
              <w:t>Compen-</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680" w:type="dxa"/>
            <w:vAlign w:val="bottom"/>
          </w:tcPr>
          <w:p>
            <w:pPr>
              <w:spacing w:after="0" w:line="156" w:lineRule="exact"/>
              <w:rPr>
                <w:sz w:val="20"/>
                <w:szCs w:val="20"/>
                <w:color w:val="auto"/>
              </w:rPr>
            </w:pPr>
            <w:r>
              <w:rPr>
                <w:rFonts w:ascii="Arial" w:cs="Arial" w:eastAsia="Arial" w:hAnsi="Arial"/>
                <w:sz w:val="14"/>
                <w:szCs w:val="14"/>
                <w:color w:val="auto"/>
              </w:rPr>
              <w:t>Name and Principal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51"/>
              <w:spacing w:after="0" w:line="156" w:lineRule="exact"/>
              <w:rPr>
                <w:sz w:val="20"/>
                <w:szCs w:val="20"/>
                <w:color w:val="auto"/>
              </w:rPr>
            </w:pPr>
            <w:r>
              <w:rPr>
                <w:rFonts w:ascii="Arial" w:cs="Arial" w:eastAsia="Arial" w:hAnsi="Arial"/>
                <w:sz w:val="14"/>
                <w:szCs w:val="14"/>
                <w:color w:val="auto"/>
              </w:rPr>
              <w:t>Salary</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8"/>
              </w:rPr>
              <w:t>Awards</w:t>
            </w:r>
          </w:p>
        </w:tc>
        <w:tc>
          <w:tcPr>
            <w:tcW w:w="200" w:type="dxa"/>
            <w:vAlign w:val="bottom"/>
          </w:tcPr>
          <w:p>
            <w:pPr>
              <w:spacing w:after="0"/>
              <w:rPr>
                <w:sz w:val="13"/>
                <w:szCs w:val="13"/>
                <w:color w:val="auto"/>
              </w:rPr>
            </w:pPr>
          </w:p>
        </w:tc>
        <w:tc>
          <w:tcPr>
            <w:tcW w:w="6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Option</w:t>
            </w:r>
          </w:p>
        </w:tc>
        <w:tc>
          <w:tcPr>
            <w:tcW w:w="2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Arial" w:cs="Arial" w:eastAsia="Arial" w:hAnsi="Arial"/>
                <w:sz w:val="14"/>
                <w:szCs w:val="14"/>
                <w:color w:val="auto"/>
                <w:w w:val="96"/>
              </w:rPr>
              <w:t>sation</w:t>
            </w:r>
          </w:p>
        </w:tc>
        <w:tc>
          <w:tcPr>
            <w:tcW w:w="22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color w:val="auto"/>
              </w:rPr>
              <w:t>sation</w:t>
            </w:r>
          </w:p>
        </w:tc>
        <w:tc>
          <w:tcPr>
            <w:tcW w:w="20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6"/>
              </w:rPr>
              <w:t>sation</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2"/>
        </w:trPr>
        <w:tc>
          <w:tcPr>
            <w:tcW w:w="168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Position</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4"/>
              </w:rPr>
              <w:t>Year</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ind w:right="351"/>
              <w:spacing w:after="0" w:line="152"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820" w:type="dxa"/>
            <w:vAlign w:val="bottom"/>
            <w:tcBorders>
              <w:bottom w:val="single" w:sz="8" w:color="auto"/>
            </w:tcBorders>
          </w:tcPr>
          <w:p>
            <w:pPr>
              <w:jc w:val="right"/>
              <w:ind w:right="151"/>
              <w:spacing w:after="0" w:line="152" w:lineRule="exact"/>
              <w:rPr>
                <w:sz w:val="20"/>
                <w:szCs w:val="20"/>
                <w:color w:val="auto"/>
              </w:rPr>
            </w:pPr>
            <w:r>
              <w:rPr>
                <w:rFonts w:ascii="Arial" w:cs="Arial" w:eastAsia="Arial" w:hAnsi="Arial"/>
                <w:sz w:val="14"/>
                <w:szCs w:val="14"/>
                <w:color w:val="auto"/>
              </w:rPr>
              <w:t>Bonus</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3"/>
              </w:rPr>
              <w:t>(2)</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Awards</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(1)(3)</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7"/>
              </w:rPr>
              <w:t>Earnings</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3"/>
              </w:rPr>
              <w:t>(4)</w:t>
            </w:r>
          </w:p>
        </w:tc>
        <w:tc>
          <w:tcPr>
            <w:tcW w:w="200" w:type="dxa"/>
            <w:vAlign w:val="bottom"/>
          </w:tcPr>
          <w:p>
            <w:pPr>
              <w:spacing w:after="0"/>
              <w:rPr>
                <w:sz w:val="13"/>
                <w:szCs w:val="13"/>
                <w:color w:val="auto"/>
              </w:rPr>
            </w:pPr>
          </w:p>
        </w:tc>
        <w:tc>
          <w:tcPr>
            <w:tcW w:w="1160" w:type="dxa"/>
            <w:vAlign w:val="bottom"/>
            <w:tcBorders>
              <w:bottom w:val="single" w:sz="8" w:color="auto"/>
            </w:tcBorders>
          </w:tcPr>
          <w:p>
            <w:pPr>
              <w:jc w:val="right"/>
              <w:ind w:right="351"/>
              <w:spacing w:after="0" w:line="152" w:lineRule="exact"/>
              <w:rPr>
                <w:sz w:val="20"/>
                <w:szCs w:val="20"/>
                <w:color w:val="auto"/>
              </w:rPr>
            </w:pPr>
            <w:r>
              <w:rPr>
                <w:rFonts w:ascii="Arial" w:cs="Arial" w:eastAsia="Arial" w:hAnsi="Arial"/>
                <w:sz w:val="14"/>
                <w:szCs w:val="14"/>
                <w:color w:val="auto"/>
              </w:rPr>
              <w:t>Total</w:t>
            </w:r>
          </w:p>
        </w:tc>
      </w:tr>
      <w:tr>
        <w:trPr>
          <w:trHeight w:val="188"/>
        </w:trPr>
        <w:tc>
          <w:tcPr>
            <w:tcW w:w="1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Michael B. Glenn,</w:t>
            </w:r>
          </w:p>
        </w:tc>
        <w:tc>
          <w:tcPr>
            <w:tcW w:w="920" w:type="dxa"/>
            <w:vAlign w:val="bottom"/>
            <w:gridSpan w:val="2"/>
            <w:shd w:val="clear" w:color="auto" w:fill="CCEEFF"/>
          </w:tcPr>
          <w:p>
            <w:pPr>
              <w:jc w:val="center"/>
              <w:ind w:left="53"/>
              <w:spacing w:after="0" w:line="189" w:lineRule="exact"/>
              <w:rPr>
                <w:sz w:val="20"/>
                <w:szCs w:val="20"/>
                <w:color w:val="auto"/>
              </w:rPr>
            </w:pPr>
            <w:r>
              <w:rPr>
                <w:rFonts w:ascii="Arial" w:cs="Arial" w:eastAsia="Arial" w:hAnsi="Arial"/>
                <w:sz w:val="17"/>
                <w:szCs w:val="17"/>
                <w:color w:val="auto"/>
              </w:rPr>
              <w:t>2010</w:t>
            </w:r>
          </w:p>
        </w:tc>
        <w:tc>
          <w:tcPr>
            <w:tcW w:w="1200" w:type="dxa"/>
            <w:vAlign w:val="bottom"/>
            <w:gridSpan w:val="2"/>
            <w:shd w:val="clear" w:color="auto" w:fill="CCEEFF"/>
          </w:tcPr>
          <w:p>
            <w:pPr>
              <w:jc w:val="right"/>
              <w:ind w:right="131"/>
              <w:spacing w:after="0" w:line="189" w:lineRule="exact"/>
              <w:rPr>
                <w:sz w:val="20"/>
                <w:szCs w:val="20"/>
                <w:color w:val="auto"/>
              </w:rPr>
            </w:pPr>
            <w:r>
              <w:rPr>
                <w:rFonts w:ascii="Arial" w:cs="Arial" w:eastAsia="Arial" w:hAnsi="Arial"/>
                <w:sz w:val="17"/>
                <w:szCs w:val="17"/>
                <w:color w:val="auto"/>
              </w:rPr>
              <w:t>$590,601</w:t>
            </w:r>
          </w:p>
        </w:tc>
        <w:tc>
          <w:tcPr>
            <w:tcW w:w="1000" w:type="dxa"/>
            <w:vAlign w:val="bottom"/>
            <w:gridSpan w:val="2"/>
            <w:shd w:val="clear" w:color="auto" w:fill="CCEEFF"/>
          </w:tcPr>
          <w:p>
            <w:pPr>
              <w:jc w:val="right"/>
              <w:ind w:right="131"/>
              <w:spacing w:after="0" w:line="189" w:lineRule="exact"/>
              <w:rPr>
                <w:sz w:val="20"/>
                <w:szCs w:val="20"/>
                <w:color w:val="auto"/>
              </w:rPr>
            </w:pPr>
            <w:r>
              <w:rPr>
                <w:rFonts w:ascii="Arial" w:cs="Arial" w:eastAsia="Arial" w:hAnsi="Arial"/>
                <w:sz w:val="17"/>
                <w:szCs w:val="17"/>
                <w:color w:val="auto"/>
              </w:rPr>
              <w:t>$  899</w:t>
            </w:r>
          </w:p>
        </w:tc>
        <w:tc>
          <w:tcPr>
            <w:tcW w:w="1120" w:type="dxa"/>
            <w:vAlign w:val="bottom"/>
            <w:gridSpan w:val="2"/>
            <w:shd w:val="clear" w:color="auto" w:fill="CCEEFF"/>
          </w:tcPr>
          <w:p>
            <w:pPr>
              <w:jc w:val="right"/>
              <w:ind w:right="151"/>
              <w:spacing w:after="0" w:line="189" w:lineRule="exact"/>
              <w:rPr>
                <w:sz w:val="20"/>
                <w:szCs w:val="20"/>
                <w:color w:val="auto"/>
              </w:rPr>
            </w:pPr>
            <w:r>
              <w:rPr>
                <w:rFonts w:ascii="Arial" w:cs="Arial" w:eastAsia="Arial" w:hAnsi="Arial"/>
                <w:sz w:val="17"/>
                <w:szCs w:val="17"/>
                <w:color w:val="auto"/>
              </w:rPr>
              <w:t>$67,980</w:t>
            </w:r>
          </w:p>
        </w:tc>
        <w:tc>
          <w:tcPr>
            <w:tcW w:w="800" w:type="dxa"/>
            <w:vAlign w:val="bottom"/>
            <w:gridSpan w:val="2"/>
            <w:shd w:val="clear" w:color="auto" w:fill="CCEEFF"/>
          </w:tcPr>
          <w:p>
            <w:pPr>
              <w:jc w:val="right"/>
              <w:ind w:right="231"/>
              <w:spacing w:after="0" w:line="189" w:lineRule="exact"/>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131"/>
              <w:spacing w:after="0" w:line="189" w:lineRule="exact"/>
              <w:rPr>
                <w:sz w:val="20"/>
                <w:szCs w:val="20"/>
                <w:color w:val="auto"/>
              </w:rPr>
            </w:pPr>
            <w:r>
              <w:rPr>
                <w:rFonts w:ascii="Arial" w:cs="Arial" w:eastAsia="Arial" w:hAnsi="Arial"/>
                <w:sz w:val="17"/>
                <w:szCs w:val="17"/>
                <w:color w:val="auto"/>
              </w:rPr>
              <w:t>$526,681</w:t>
            </w:r>
          </w:p>
        </w:tc>
        <w:tc>
          <w:tcPr>
            <w:tcW w:w="1000" w:type="dxa"/>
            <w:vAlign w:val="bottom"/>
            <w:gridSpan w:val="2"/>
            <w:shd w:val="clear" w:color="auto" w:fill="CCEEFF"/>
          </w:tcPr>
          <w:p>
            <w:pPr>
              <w:jc w:val="right"/>
              <w:ind w:right="331"/>
              <w:spacing w:after="0" w:line="189" w:lineRule="exact"/>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line="189" w:lineRule="exact"/>
              <w:rPr>
                <w:sz w:val="20"/>
                <w:szCs w:val="20"/>
                <w:color w:val="auto"/>
              </w:rPr>
            </w:pPr>
            <w:r>
              <w:rPr>
                <w:rFonts w:ascii="Arial" w:cs="Arial" w:eastAsia="Arial" w:hAnsi="Arial"/>
                <w:sz w:val="17"/>
                <w:szCs w:val="17"/>
                <w:color w:val="auto"/>
              </w:rPr>
              <w:t>$ 41,684</w:t>
            </w:r>
          </w:p>
        </w:tc>
        <w:tc>
          <w:tcPr>
            <w:tcW w:w="1360" w:type="dxa"/>
            <w:vAlign w:val="bottom"/>
            <w:gridSpan w:val="2"/>
            <w:shd w:val="clear" w:color="auto" w:fill="CCEEFF"/>
          </w:tcPr>
          <w:p>
            <w:pPr>
              <w:jc w:val="right"/>
              <w:ind w:right="131"/>
              <w:spacing w:after="0" w:line="189" w:lineRule="exact"/>
              <w:rPr>
                <w:sz w:val="20"/>
                <w:szCs w:val="20"/>
                <w:color w:val="auto"/>
              </w:rPr>
            </w:pPr>
            <w:r>
              <w:rPr>
                <w:rFonts w:ascii="Arial" w:cs="Arial" w:eastAsia="Arial" w:hAnsi="Arial"/>
                <w:sz w:val="17"/>
                <w:szCs w:val="17"/>
                <w:color w:val="auto"/>
              </w:rPr>
              <w:t>$1,227,305</w:t>
            </w:r>
          </w:p>
        </w:tc>
      </w:tr>
      <w:tr>
        <w:trPr>
          <w:trHeight w:val="195"/>
        </w:trPr>
        <w:tc>
          <w:tcPr>
            <w:tcW w:w="1680" w:type="dxa"/>
            <w:vAlign w:val="bottom"/>
          </w:tcPr>
          <w:p>
            <w:pPr>
              <w:spacing w:after="0"/>
              <w:rPr>
                <w:sz w:val="20"/>
                <w:szCs w:val="20"/>
                <w:color w:val="auto"/>
              </w:rPr>
            </w:pPr>
            <w:r>
              <w:rPr>
                <w:rFonts w:ascii="Arial" w:cs="Arial" w:eastAsia="Arial" w:hAnsi="Arial"/>
                <w:sz w:val="17"/>
                <w:szCs w:val="17"/>
                <w:color w:val="auto"/>
              </w:rPr>
              <w:t>Chief Executive</w:t>
            </w:r>
          </w:p>
        </w:tc>
        <w:tc>
          <w:tcPr>
            <w:tcW w:w="920" w:type="dxa"/>
            <w:vAlign w:val="bottom"/>
            <w:gridSpan w:val="2"/>
          </w:tcPr>
          <w:p>
            <w:pPr>
              <w:jc w:val="center"/>
              <w:ind w:left="53"/>
              <w:spacing w:after="0"/>
              <w:rPr>
                <w:sz w:val="20"/>
                <w:szCs w:val="20"/>
                <w:color w:val="auto"/>
              </w:rPr>
            </w:pPr>
            <w:r>
              <w:rPr>
                <w:rFonts w:ascii="Arial" w:cs="Arial" w:eastAsia="Arial" w:hAnsi="Arial"/>
                <w:sz w:val="17"/>
                <w:szCs w:val="17"/>
                <w:color w:val="auto"/>
              </w:rPr>
              <w:t>2009</w:t>
            </w:r>
          </w:p>
        </w:tc>
        <w:tc>
          <w:tcPr>
            <w:tcW w:w="1200" w:type="dxa"/>
            <w:vAlign w:val="bottom"/>
            <w:gridSpan w:val="2"/>
          </w:tcPr>
          <w:p>
            <w:pPr>
              <w:jc w:val="right"/>
              <w:ind w:right="131"/>
              <w:spacing w:after="0"/>
              <w:rPr>
                <w:sz w:val="20"/>
                <w:szCs w:val="20"/>
                <w:color w:val="auto"/>
              </w:rPr>
            </w:pPr>
            <w:r>
              <w:rPr>
                <w:rFonts w:ascii="Arial" w:cs="Arial" w:eastAsia="Arial" w:hAnsi="Arial"/>
                <w:sz w:val="17"/>
                <w:szCs w:val="17"/>
                <w:color w:val="auto"/>
              </w:rPr>
              <w:t>574,979</w:t>
            </w:r>
          </w:p>
        </w:tc>
        <w:tc>
          <w:tcPr>
            <w:tcW w:w="1000" w:type="dxa"/>
            <w:vAlign w:val="bottom"/>
            <w:gridSpan w:val="2"/>
          </w:tcPr>
          <w:p>
            <w:pPr>
              <w:jc w:val="right"/>
              <w:ind w:right="131"/>
              <w:spacing w:after="0"/>
              <w:rPr>
                <w:sz w:val="20"/>
                <w:szCs w:val="20"/>
                <w:color w:val="auto"/>
              </w:rPr>
            </w:pPr>
            <w:r>
              <w:rPr>
                <w:rFonts w:ascii="Arial" w:cs="Arial" w:eastAsia="Arial" w:hAnsi="Arial"/>
                <w:sz w:val="17"/>
                <w:szCs w:val="17"/>
                <w:color w:val="auto"/>
              </w:rPr>
              <w:t>360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42,000</w:t>
            </w:r>
          </w:p>
        </w:tc>
        <w:tc>
          <w:tcPr>
            <w:tcW w:w="80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131"/>
              <w:spacing w:after="0"/>
              <w:rPr>
                <w:sz w:val="20"/>
                <w:szCs w:val="20"/>
                <w:color w:val="auto"/>
              </w:rPr>
            </w:pPr>
            <w:r>
              <w:rPr>
                <w:rFonts w:ascii="Arial" w:cs="Arial" w:eastAsia="Arial" w:hAnsi="Arial"/>
                <w:sz w:val="17"/>
                <w:szCs w:val="17"/>
                <w:color w:val="auto"/>
              </w:rPr>
              <w:t>670,523</w:t>
            </w:r>
          </w:p>
        </w:tc>
        <w:tc>
          <w:tcPr>
            <w:tcW w:w="100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32,635</w:t>
            </w:r>
          </w:p>
        </w:tc>
        <w:tc>
          <w:tcPr>
            <w:tcW w:w="1360" w:type="dxa"/>
            <w:vAlign w:val="bottom"/>
            <w:gridSpan w:val="2"/>
          </w:tcPr>
          <w:p>
            <w:pPr>
              <w:jc w:val="right"/>
              <w:ind w:right="131"/>
              <w:spacing w:after="0"/>
              <w:rPr>
                <w:sz w:val="20"/>
                <w:szCs w:val="20"/>
                <w:color w:val="auto"/>
              </w:rPr>
            </w:pPr>
            <w:r>
              <w:rPr>
                <w:rFonts w:ascii="Arial" w:cs="Arial" w:eastAsia="Arial" w:hAnsi="Arial"/>
                <w:sz w:val="17"/>
                <w:szCs w:val="17"/>
                <w:color w:val="auto"/>
              </w:rPr>
              <w:t>1,320,497</w:t>
            </w:r>
          </w:p>
        </w:tc>
      </w:tr>
      <w:tr>
        <w:trPr>
          <w:trHeight w:val="195"/>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Officer</w:t>
            </w:r>
          </w:p>
        </w:tc>
        <w:tc>
          <w:tcPr>
            <w:tcW w:w="9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2008</w:t>
            </w:r>
          </w:p>
        </w:tc>
        <w:tc>
          <w:tcPr>
            <w:tcW w:w="12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533,044</w:t>
            </w: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1,340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11,152</w:t>
            </w:r>
          </w:p>
        </w:tc>
        <w:tc>
          <w:tcPr>
            <w:tcW w:w="8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103,000</w:t>
            </w: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36,460</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684,996</w:t>
            </w:r>
          </w:p>
        </w:tc>
      </w:tr>
      <w:tr>
        <w:trPr>
          <w:trHeight w:val="195"/>
        </w:trPr>
        <w:tc>
          <w:tcPr>
            <w:tcW w:w="1680" w:type="dxa"/>
            <w:vAlign w:val="bottom"/>
          </w:tcPr>
          <w:p>
            <w:pPr>
              <w:spacing w:after="0"/>
              <w:rPr>
                <w:sz w:val="20"/>
                <w:szCs w:val="20"/>
                <w:color w:val="auto"/>
              </w:rPr>
            </w:pPr>
            <w:r>
              <w:rPr>
                <w:rFonts w:ascii="Arial" w:cs="Arial" w:eastAsia="Arial" w:hAnsi="Arial"/>
                <w:sz w:val="17"/>
                <w:szCs w:val="17"/>
                <w:color w:val="auto"/>
              </w:rPr>
              <w:t>Michael R. Cole,</w:t>
            </w:r>
          </w:p>
        </w:tc>
        <w:tc>
          <w:tcPr>
            <w:tcW w:w="920" w:type="dxa"/>
            <w:vAlign w:val="bottom"/>
            <w:gridSpan w:val="2"/>
          </w:tcPr>
          <w:p>
            <w:pPr>
              <w:jc w:val="center"/>
              <w:ind w:left="53"/>
              <w:spacing w:after="0"/>
              <w:rPr>
                <w:sz w:val="20"/>
                <w:szCs w:val="20"/>
                <w:color w:val="auto"/>
              </w:rPr>
            </w:pPr>
            <w:r>
              <w:rPr>
                <w:rFonts w:ascii="Arial" w:cs="Arial" w:eastAsia="Arial" w:hAnsi="Arial"/>
                <w:sz w:val="17"/>
                <w:szCs w:val="17"/>
                <w:color w:val="auto"/>
              </w:rPr>
              <w:t>2010</w:t>
            </w:r>
          </w:p>
        </w:tc>
        <w:tc>
          <w:tcPr>
            <w:tcW w:w="1200" w:type="dxa"/>
            <w:vAlign w:val="bottom"/>
            <w:gridSpan w:val="2"/>
          </w:tcPr>
          <w:p>
            <w:pPr>
              <w:jc w:val="right"/>
              <w:ind w:right="131"/>
              <w:spacing w:after="0"/>
              <w:rPr>
                <w:sz w:val="20"/>
                <w:szCs w:val="20"/>
                <w:color w:val="auto"/>
              </w:rPr>
            </w:pPr>
            <w:r>
              <w:rPr>
                <w:rFonts w:ascii="Arial" w:cs="Arial" w:eastAsia="Arial" w:hAnsi="Arial"/>
                <w:sz w:val="17"/>
                <w:szCs w:val="17"/>
                <w:color w:val="auto"/>
              </w:rPr>
              <w:t>281,652</w:t>
            </w:r>
          </w:p>
        </w:tc>
        <w:tc>
          <w:tcPr>
            <w:tcW w:w="1000" w:type="dxa"/>
            <w:vAlign w:val="bottom"/>
            <w:gridSpan w:val="2"/>
          </w:tcPr>
          <w:p>
            <w:pPr>
              <w:jc w:val="right"/>
              <w:ind w:right="131"/>
              <w:spacing w:after="0"/>
              <w:rPr>
                <w:sz w:val="20"/>
                <w:szCs w:val="20"/>
                <w:color w:val="auto"/>
              </w:rPr>
            </w:pPr>
            <w:r>
              <w:rPr>
                <w:rFonts w:ascii="Arial" w:cs="Arial" w:eastAsia="Arial" w:hAnsi="Arial"/>
                <w:sz w:val="17"/>
                <w:szCs w:val="17"/>
                <w:color w:val="auto"/>
              </w:rPr>
              <w:t>978</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33,990</w:t>
            </w:r>
          </w:p>
        </w:tc>
        <w:tc>
          <w:tcPr>
            <w:tcW w:w="80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131"/>
              <w:spacing w:after="0"/>
              <w:rPr>
                <w:sz w:val="20"/>
                <w:szCs w:val="20"/>
                <w:color w:val="auto"/>
              </w:rPr>
            </w:pPr>
            <w:r>
              <w:rPr>
                <w:rFonts w:ascii="Arial" w:cs="Arial" w:eastAsia="Arial" w:hAnsi="Arial"/>
                <w:sz w:val="17"/>
                <w:szCs w:val="17"/>
                <w:color w:val="auto"/>
              </w:rPr>
              <w:t>166,320</w:t>
            </w:r>
          </w:p>
        </w:tc>
        <w:tc>
          <w:tcPr>
            <w:tcW w:w="100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28,346</w:t>
            </w:r>
          </w:p>
        </w:tc>
        <w:tc>
          <w:tcPr>
            <w:tcW w:w="1360" w:type="dxa"/>
            <w:vAlign w:val="bottom"/>
            <w:gridSpan w:val="2"/>
          </w:tcPr>
          <w:p>
            <w:pPr>
              <w:jc w:val="right"/>
              <w:ind w:right="131"/>
              <w:spacing w:after="0"/>
              <w:rPr>
                <w:sz w:val="20"/>
                <w:szCs w:val="20"/>
                <w:color w:val="auto"/>
              </w:rPr>
            </w:pPr>
            <w:r>
              <w:rPr>
                <w:rFonts w:ascii="Arial" w:cs="Arial" w:eastAsia="Arial" w:hAnsi="Arial"/>
                <w:sz w:val="17"/>
                <w:szCs w:val="17"/>
                <w:color w:val="auto"/>
              </w:rPr>
              <w:t>511,286</w:t>
            </w:r>
          </w:p>
        </w:tc>
      </w:tr>
      <w:tr>
        <w:trPr>
          <w:trHeight w:val="195"/>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w:t>
            </w:r>
          </w:p>
        </w:tc>
        <w:tc>
          <w:tcPr>
            <w:tcW w:w="9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2009</w:t>
            </w:r>
          </w:p>
        </w:tc>
        <w:tc>
          <w:tcPr>
            <w:tcW w:w="12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261,247</w:t>
            </w: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111</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21,000</w:t>
            </w:r>
          </w:p>
        </w:tc>
        <w:tc>
          <w:tcPr>
            <w:tcW w:w="8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203,257</w:t>
            </w: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18,652</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504,267</w:t>
            </w:r>
          </w:p>
        </w:tc>
      </w:tr>
      <w:tr>
        <w:trPr>
          <w:trHeight w:val="195"/>
        </w:trPr>
        <w:tc>
          <w:tcPr>
            <w:tcW w:w="1680" w:type="dxa"/>
            <w:vAlign w:val="bottom"/>
          </w:tcPr>
          <w:p>
            <w:pPr>
              <w:spacing w:after="0"/>
              <w:rPr>
                <w:sz w:val="20"/>
                <w:szCs w:val="20"/>
                <w:color w:val="auto"/>
              </w:rPr>
            </w:pPr>
            <w:r>
              <w:rPr>
                <w:rFonts w:ascii="Arial" w:cs="Arial" w:eastAsia="Arial" w:hAnsi="Arial"/>
                <w:sz w:val="17"/>
                <w:szCs w:val="17"/>
                <w:color w:val="auto"/>
              </w:rPr>
              <w:t>Officer</w:t>
            </w:r>
          </w:p>
        </w:tc>
        <w:tc>
          <w:tcPr>
            <w:tcW w:w="920" w:type="dxa"/>
            <w:vAlign w:val="bottom"/>
            <w:gridSpan w:val="2"/>
          </w:tcPr>
          <w:p>
            <w:pPr>
              <w:jc w:val="center"/>
              <w:ind w:left="53"/>
              <w:spacing w:after="0"/>
              <w:rPr>
                <w:sz w:val="20"/>
                <w:szCs w:val="20"/>
                <w:color w:val="auto"/>
              </w:rPr>
            </w:pPr>
            <w:r>
              <w:rPr>
                <w:rFonts w:ascii="Arial" w:cs="Arial" w:eastAsia="Arial" w:hAnsi="Arial"/>
                <w:sz w:val="17"/>
                <w:szCs w:val="17"/>
                <w:color w:val="auto"/>
              </w:rPr>
              <w:t>2008</w:t>
            </w:r>
          </w:p>
        </w:tc>
        <w:tc>
          <w:tcPr>
            <w:tcW w:w="1200" w:type="dxa"/>
            <w:vAlign w:val="bottom"/>
            <w:gridSpan w:val="2"/>
          </w:tcPr>
          <w:p>
            <w:pPr>
              <w:jc w:val="right"/>
              <w:ind w:right="131"/>
              <w:spacing w:after="0"/>
              <w:rPr>
                <w:sz w:val="20"/>
                <w:szCs w:val="20"/>
                <w:color w:val="auto"/>
              </w:rPr>
            </w:pPr>
            <w:r>
              <w:rPr>
                <w:rFonts w:ascii="Arial" w:cs="Arial" w:eastAsia="Arial" w:hAnsi="Arial"/>
                <w:sz w:val="17"/>
                <w:szCs w:val="17"/>
                <w:color w:val="auto"/>
              </w:rPr>
              <w:t>237,531</w:t>
            </w:r>
          </w:p>
        </w:tc>
        <w:tc>
          <w:tcPr>
            <w:tcW w:w="1000" w:type="dxa"/>
            <w:vAlign w:val="bottom"/>
            <w:gridSpan w:val="2"/>
          </w:tcPr>
          <w:p>
            <w:pPr>
              <w:jc w:val="right"/>
              <w:ind w:right="131"/>
              <w:spacing w:after="0"/>
              <w:rPr>
                <w:sz w:val="20"/>
                <w:szCs w:val="20"/>
                <w:color w:val="auto"/>
              </w:rPr>
            </w:pPr>
            <w:r>
              <w:rPr>
                <w:rFonts w:ascii="Arial" w:cs="Arial" w:eastAsia="Arial" w:hAnsi="Arial"/>
                <w:sz w:val="17"/>
                <w:szCs w:val="17"/>
                <w:color w:val="auto"/>
              </w:rPr>
              <w:t>291</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11,152</w:t>
            </w:r>
          </w:p>
        </w:tc>
        <w:tc>
          <w:tcPr>
            <w:tcW w:w="80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131"/>
              <w:spacing w:after="0"/>
              <w:rPr>
                <w:sz w:val="20"/>
                <w:szCs w:val="20"/>
                <w:color w:val="auto"/>
              </w:rPr>
            </w:pPr>
            <w:r>
              <w:rPr>
                <w:rFonts w:ascii="Arial" w:cs="Arial" w:eastAsia="Arial" w:hAnsi="Arial"/>
                <w:sz w:val="17"/>
                <w:szCs w:val="17"/>
                <w:color w:val="auto"/>
              </w:rPr>
              <w:t>50,000</w:t>
            </w:r>
          </w:p>
        </w:tc>
        <w:tc>
          <w:tcPr>
            <w:tcW w:w="100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20,846</w:t>
            </w:r>
          </w:p>
        </w:tc>
        <w:tc>
          <w:tcPr>
            <w:tcW w:w="1360" w:type="dxa"/>
            <w:vAlign w:val="bottom"/>
            <w:gridSpan w:val="2"/>
          </w:tcPr>
          <w:p>
            <w:pPr>
              <w:jc w:val="right"/>
              <w:ind w:right="131"/>
              <w:spacing w:after="0"/>
              <w:rPr>
                <w:sz w:val="20"/>
                <w:szCs w:val="20"/>
                <w:color w:val="auto"/>
              </w:rPr>
            </w:pPr>
            <w:r>
              <w:rPr>
                <w:rFonts w:ascii="Arial" w:cs="Arial" w:eastAsia="Arial" w:hAnsi="Arial"/>
                <w:sz w:val="17"/>
                <w:szCs w:val="17"/>
                <w:color w:val="auto"/>
              </w:rPr>
              <w:t>319,820</w:t>
            </w:r>
          </w:p>
        </w:tc>
      </w:tr>
      <w:tr>
        <w:trPr>
          <w:trHeight w:val="195"/>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Patrick M. Webster,</w:t>
            </w:r>
          </w:p>
        </w:tc>
        <w:tc>
          <w:tcPr>
            <w:tcW w:w="9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2010</w:t>
            </w:r>
          </w:p>
        </w:tc>
        <w:tc>
          <w:tcPr>
            <w:tcW w:w="12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347,704</w:t>
            </w: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978</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50,985</w:t>
            </w:r>
          </w:p>
        </w:tc>
        <w:tc>
          <w:tcPr>
            <w:tcW w:w="8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415,801</w:t>
            </w: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37,349</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852,817</w:t>
            </w:r>
          </w:p>
        </w:tc>
      </w:tr>
      <w:tr>
        <w:trPr>
          <w:trHeight w:val="195"/>
        </w:trPr>
        <w:tc>
          <w:tcPr>
            <w:tcW w:w="1680" w:type="dxa"/>
            <w:vAlign w:val="bottom"/>
          </w:tcPr>
          <w:p>
            <w:pPr>
              <w:spacing w:after="0"/>
              <w:rPr>
                <w:sz w:val="20"/>
                <w:szCs w:val="20"/>
                <w:color w:val="auto"/>
              </w:rPr>
            </w:pPr>
            <w:r>
              <w:rPr>
                <w:rFonts w:ascii="Arial" w:cs="Arial" w:eastAsia="Arial" w:hAnsi="Arial"/>
                <w:sz w:val="17"/>
                <w:szCs w:val="17"/>
                <w:color w:val="auto"/>
              </w:rPr>
              <w:t>President and Chief</w:t>
            </w:r>
          </w:p>
        </w:tc>
        <w:tc>
          <w:tcPr>
            <w:tcW w:w="920" w:type="dxa"/>
            <w:vAlign w:val="bottom"/>
            <w:gridSpan w:val="2"/>
          </w:tcPr>
          <w:p>
            <w:pPr>
              <w:jc w:val="center"/>
              <w:ind w:left="53"/>
              <w:spacing w:after="0"/>
              <w:rPr>
                <w:sz w:val="20"/>
                <w:szCs w:val="20"/>
                <w:color w:val="auto"/>
              </w:rPr>
            </w:pPr>
            <w:r>
              <w:rPr>
                <w:rFonts w:ascii="Arial" w:cs="Arial" w:eastAsia="Arial" w:hAnsi="Arial"/>
                <w:sz w:val="17"/>
                <w:szCs w:val="17"/>
                <w:color w:val="auto"/>
              </w:rPr>
              <w:t>2009</w:t>
            </w:r>
          </w:p>
        </w:tc>
        <w:tc>
          <w:tcPr>
            <w:tcW w:w="1200" w:type="dxa"/>
            <w:vAlign w:val="bottom"/>
            <w:gridSpan w:val="2"/>
          </w:tcPr>
          <w:p>
            <w:pPr>
              <w:jc w:val="right"/>
              <w:ind w:right="131"/>
              <w:spacing w:after="0"/>
              <w:rPr>
                <w:sz w:val="20"/>
                <w:szCs w:val="20"/>
                <w:color w:val="auto"/>
              </w:rPr>
            </w:pPr>
            <w:r>
              <w:rPr>
                <w:rFonts w:ascii="Arial" w:cs="Arial" w:eastAsia="Arial" w:hAnsi="Arial"/>
                <w:sz w:val="17"/>
                <w:szCs w:val="17"/>
                <w:color w:val="auto"/>
              </w:rPr>
              <w:t>317,747</w:t>
            </w:r>
          </w:p>
        </w:tc>
        <w:tc>
          <w:tcPr>
            <w:tcW w:w="1000" w:type="dxa"/>
            <w:vAlign w:val="bottom"/>
            <w:gridSpan w:val="2"/>
          </w:tcPr>
          <w:p>
            <w:pPr>
              <w:jc w:val="right"/>
              <w:ind w:right="131"/>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31,500</w:t>
            </w:r>
          </w:p>
        </w:tc>
        <w:tc>
          <w:tcPr>
            <w:tcW w:w="80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131"/>
              <w:spacing w:after="0"/>
              <w:rPr>
                <w:sz w:val="20"/>
                <w:szCs w:val="20"/>
                <w:color w:val="auto"/>
              </w:rPr>
            </w:pPr>
            <w:r>
              <w:rPr>
                <w:rFonts w:ascii="Arial" w:cs="Arial" w:eastAsia="Arial" w:hAnsi="Arial"/>
                <w:sz w:val="17"/>
                <w:szCs w:val="17"/>
                <w:color w:val="auto"/>
              </w:rPr>
              <w:t>474,266</w:t>
            </w:r>
          </w:p>
        </w:tc>
        <w:tc>
          <w:tcPr>
            <w:tcW w:w="100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29,282</w:t>
            </w:r>
          </w:p>
        </w:tc>
        <w:tc>
          <w:tcPr>
            <w:tcW w:w="1360" w:type="dxa"/>
            <w:vAlign w:val="bottom"/>
            <w:gridSpan w:val="2"/>
          </w:tcPr>
          <w:p>
            <w:pPr>
              <w:jc w:val="right"/>
              <w:ind w:right="131"/>
              <w:spacing w:after="0"/>
              <w:rPr>
                <w:sz w:val="20"/>
                <w:szCs w:val="20"/>
                <w:color w:val="auto"/>
              </w:rPr>
            </w:pPr>
            <w:r>
              <w:rPr>
                <w:rFonts w:ascii="Arial" w:cs="Arial" w:eastAsia="Arial" w:hAnsi="Arial"/>
                <w:sz w:val="17"/>
                <w:szCs w:val="17"/>
                <w:color w:val="auto"/>
              </w:rPr>
              <w:t>852,795</w:t>
            </w:r>
          </w:p>
        </w:tc>
      </w:tr>
      <w:tr>
        <w:trPr>
          <w:trHeight w:val="195"/>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Operating Officer</w:t>
            </w:r>
          </w:p>
        </w:tc>
        <w:tc>
          <w:tcPr>
            <w:tcW w:w="9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2008</w:t>
            </w:r>
          </w:p>
        </w:tc>
        <w:tc>
          <w:tcPr>
            <w:tcW w:w="12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252,500</w:t>
            </w: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192</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11,152</w:t>
            </w:r>
          </w:p>
        </w:tc>
        <w:tc>
          <w:tcPr>
            <w:tcW w:w="8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96,496</w:t>
            </w: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18,731</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379,071</w:t>
            </w:r>
          </w:p>
        </w:tc>
      </w:tr>
      <w:tr>
        <w:trPr>
          <w:trHeight w:val="195"/>
        </w:trPr>
        <w:tc>
          <w:tcPr>
            <w:tcW w:w="1680" w:type="dxa"/>
            <w:vAlign w:val="bottom"/>
          </w:tcPr>
          <w:p>
            <w:pPr>
              <w:spacing w:after="0"/>
              <w:rPr>
                <w:sz w:val="20"/>
                <w:szCs w:val="20"/>
                <w:color w:val="auto"/>
              </w:rPr>
            </w:pPr>
            <w:r>
              <w:rPr>
                <w:rFonts w:ascii="Arial" w:cs="Arial" w:eastAsia="Arial" w:hAnsi="Arial"/>
                <w:sz w:val="17"/>
                <w:szCs w:val="17"/>
                <w:color w:val="auto"/>
              </w:rPr>
              <w:t>C. Scott Greene,</w:t>
            </w:r>
          </w:p>
        </w:tc>
        <w:tc>
          <w:tcPr>
            <w:tcW w:w="920" w:type="dxa"/>
            <w:vAlign w:val="bottom"/>
            <w:gridSpan w:val="2"/>
          </w:tcPr>
          <w:p>
            <w:pPr>
              <w:jc w:val="center"/>
              <w:ind w:left="53"/>
              <w:spacing w:after="0"/>
              <w:rPr>
                <w:sz w:val="20"/>
                <w:szCs w:val="20"/>
                <w:color w:val="auto"/>
              </w:rPr>
            </w:pPr>
            <w:r>
              <w:rPr>
                <w:rFonts w:ascii="Arial" w:cs="Arial" w:eastAsia="Arial" w:hAnsi="Arial"/>
                <w:sz w:val="17"/>
                <w:szCs w:val="17"/>
                <w:color w:val="auto"/>
              </w:rPr>
              <w:t>2010</w:t>
            </w:r>
          </w:p>
        </w:tc>
        <w:tc>
          <w:tcPr>
            <w:tcW w:w="1200" w:type="dxa"/>
            <w:vAlign w:val="bottom"/>
            <w:gridSpan w:val="2"/>
          </w:tcPr>
          <w:p>
            <w:pPr>
              <w:jc w:val="right"/>
              <w:ind w:right="131"/>
              <w:spacing w:after="0"/>
              <w:rPr>
                <w:sz w:val="20"/>
                <w:szCs w:val="20"/>
                <w:color w:val="auto"/>
              </w:rPr>
            </w:pPr>
            <w:r>
              <w:rPr>
                <w:rFonts w:ascii="Arial" w:cs="Arial" w:eastAsia="Arial" w:hAnsi="Arial"/>
                <w:sz w:val="17"/>
                <w:szCs w:val="17"/>
                <w:color w:val="auto"/>
              </w:rPr>
              <w:t>333,809</w:t>
            </w:r>
          </w:p>
        </w:tc>
        <w:tc>
          <w:tcPr>
            <w:tcW w:w="1000" w:type="dxa"/>
            <w:vAlign w:val="bottom"/>
            <w:gridSpan w:val="2"/>
          </w:tcPr>
          <w:p>
            <w:pPr>
              <w:jc w:val="right"/>
              <w:ind w:right="131"/>
              <w:spacing w:after="0"/>
              <w:rPr>
                <w:sz w:val="20"/>
                <w:szCs w:val="20"/>
                <w:color w:val="auto"/>
              </w:rPr>
            </w:pPr>
            <w:r>
              <w:rPr>
                <w:rFonts w:ascii="Arial" w:cs="Arial" w:eastAsia="Arial" w:hAnsi="Arial"/>
                <w:sz w:val="17"/>
                <w:szCs w:val="17"/>
                <w:color w:val="auto"/>
              </w:rPr>
              <w:t>563</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33,990</w:t>
            </w:r>
          </w:p>
        </w:tc>
        <w:tc>
          <w:tcPr>
            <w:tcW w:w="80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131"/>
              <w:spacing w:after="0"/>
              <w:rPr>
                <w:sz w:val="20"/>
                <w:szCs w:val="20"/>
                <w:color w:val="auto"/>
              </w:rPr>
            </w:pPr>
            <w:r>
              <w:rPr>
                <w:rFonts w:ascii="Arial" w:cs="Arial" w:eastAsia="Arial" w:hAnsi="Arial"/>
                <w:sz w:val="17"/>
                <w:szCs w:val="17"/>
                <w:color w:val="auto"/>
              </w:rPr>
              <w:t>229,155</w:t>
            </w:r>
          </w:p>
        </w:tc>
        <w:tc>
          <w:tcPr>
            <w:tcW w:w="100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18,537</w:t>
            </w:r>
          </w:p>
        </w:tc>
        <w:tc>
          <w:tcPr>
            <w:tcW w:w="1360" w:type="dxa"/>
            <w:vAlign w:val="bottom"/>
            <w:gridSpan w:val="2"/>
          </w:tcPr>
          <w:p>
            <w:pPr>
              <w:jc w:val="right"/>
              <w:ind w:right="131"/>
              <w:spacing w:after="0"/>
              <w:rPr>
                <w:sz w:val="20"/>
                <w:szCs w:val="20"/>
                <w:color w:val="auto"/>
              </w:rPr>
            </w:pPr>
            <w:r>
              <w:rPr>
                <w:rFonts w:ascii="Arial" w:cs="Arial" w:eastAsia="Arial" w:hAnsi="Arial"/>
                <w:sz w:val="17"/>
                <w:szCs w:val="17"/>
                <w:color w:val="auto"/>
              </w:rPr>
              <w:t>616,054</w:t>
            </w:r>
          </w:p>
        </w:tc>
      </w:tr>
      <w:tr>
        <w:trPr>
          <w:trHeight w:val="195"/>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President, UFP</w:t>
            </w:r>
          </w:p>
        </w:tc>
        <w:tc>
          <w:tcPr>
            <w:tcW w:w="9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2009</w:t>
            </w:r>
          </w:p>
        </w:tc>
        <w:tc>
          <w:tcPr>
            <w:tcW w:w="12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292,388</w:t>
            </w: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21,000</w:t>
            </w:r>
          </w:p>
        </w:tc>
        <w:tc>
          <w:tcPr>
            <w:tcW w:w="8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160,601</w:t>
            </w: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16,036</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490,025</w:t>
            </w:r>
          </w:p>
        </w:tc>
      </w:tr>
      <w:tr>
        <w:trPr>
          <w:trHeight w:val="195"/>
        </w:trPr>
        <w:tc>
          <w:tcPr>
            <w:tcW w:w="1680" w:type="dxa"/>
            <w:vAlign w:val="bottom"/>
          </w:tcPr>
          <w:p>
            <w:pPr>
              <w:spacing w:after="0"/>
              <w:rPr>
                <w:sz w:val="20"/>
                <w:szCs w:val="20"/>
                <w:color w:val="auto"/>
              </w:rPr>
            </w:pPr>
            <w:r>
              <w:rPr>
                <w:rFonts w:ascii="Arial" w:cs="Arial" w:eastAsia="Arial" w:hAnsi="Arial"/>
                <w:sz w:val="17"/>
                <w:szCs w:val="17"/>
                <w:color w:val="auto"/>
              </w:rPr>
              <w:t>Eastern Division</w:t>
            </w:r>
          </w:p>
        </w:tc>
        <w:tc>
          <w:tcPr>
            <w:tcW w:w="920" w:type="dxa"/>
            <w:vAlign w:val="bottom"/>
            <w:gridSpan w:val="2"/>
          </w:tcPr>
          <w:p>
            <w:pPr>
              <w:jc w:val="center"/>
              <w:ind w:left="53"/>
              <w:spacing w:after="0"/>
              <w:rPr>
                <w:sz w:val="20"/>
                <w:szCs w:val="20"/>
                <w:color w:val="auto"/>
              </w:rPr>
            </w:pPr>
            <w:r>
              <w:rPr>
                <w:rFonts w:ascii="Arial" w:cs="Arial" w:eastAsia="Arial" w:hAnsi="Arial"/>
                <w:sz w:val="17"/>
                <w:szCs w:val="17"/>
                <w:color w:val="auto"/>
              </w:rPr>
              <w:t>2008</w:t>
            </w:r>
          </w:p>
        </w:tc>
        <w:tc>
          <w:tcPr>
            <w:tcW w:w="1200" w:type="dxa"/>
            <w:vAlign w:val="bottom"/>
            <w:gridSpan w:val="2"/>
          </w:tcPr>
          <w:p>
            <w:pPr>
              <w:jc w:val="right"/>
              <w:ind w:right="131"/>
              <w:spacing w:after="0"/>
              <w:rPr>
                <w:sz w:val="20"/>
                <w:szCs w:val="20"/>
                <w:color w:val="auto"/>
              </w:rPr>
            </w:pPr>
            <w:r>
              <w:rPr>
                <w:rFonts w:ascii="Arial" w:cs="Arial" w:eastAsia="Arial" w:hAnsi="Arial"/>
                <w:sz w:val="17"/>
                <w:szCs w:val="17"/>
                <w:color w:val="auto"/>
              </w:rPr>
              <w:t>282,807</w:t>
            </w:r>
          </w:p>
        </w:tc>
        <w:tc>
          <w:tcPr>
            <w:tcW w:w="1000" w:type="dxa"/>
            <w:vAlign w:val="bottom"/>
            <w:gridSpan w:val="2"/>
          </w:tcPr>
          <w:p>
            <w:pPr>
              <w:jc w:val="right"/>
              <w:ind w:right="131"/>
              <w:spacing w:after="0"/>
              <w:rPr>
                <w:sz w:val="20"/>
                <w:szCs w:val="20"/>
                <w:color w:val="auto"/>
              </w:rPr>
            </w:pPr>
            <w:r>
              <w:rPr>
                <w:rFonts w:ascii="Arial" w:cs="Arial" w:eastAsia="Arial" w:hAnsi="Arial"/>
                <w:sz w:val="17"/>
                <w:szCs w:val="17"/>
                <w:color w:val="auto"/>
              </w:rPr>
              <w:t>181</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11,152</w:t>
            </w:r>
          </w:p>
        </w:tc>
        <w:tc>
          <w:tcPr>
            <w:tcW w:w="80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131"/>
              <w:spacing w:after="0"/>
              <w:rPr>
                <w:sz w:val="20"/>
                <w:szCs w:val="20"/>
                <w:color w:val="auto"/>
              </w:rPr>
            </w:pPr>
            <w:r>
              <w:rPr>
                <w:rFonts w:ascii="Arial" w:cs="Arial" w:eastAsia="Arial" w:hAnsi="Arial"/>
                <w:sz w:val="17"/>
                <w:szCs w:val="17"/>
                <w:color w:val="auto"/>
              </w:rPr>
              <w:t>60,163</w:t>
            </w:r>
          </w:p>
        </w:tc>
        <w:tc>
          <w:tcPr>
            <w:tcW w:w="100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20,891</w:t>
            </w:r>
          </w:p>
        </w:tc>
        <w:tc>
          <w:tcPr>
            <w:tcW w:w="1360" w:type="dxa"/>
            <w:vAlign w:val="bottom"/>
            <w:gridSpan w:val="2"/>
          </w:tcPr>
          <w:p>
            <w:pPr>
              <w:jc w:val="right"/>
              <w:ind w:right="131"/>
              <w:spacing w:after="0"/>
              <w:rPr>
                <w:sz w:val="20"/>
                <w:szCs w:val="20"/>
                <w:color w:val="auto"/>
              </w:rPr>
            </w:pPr>
            <w:r>
              <w:rPr>
                <w:rFonts w:ascii="Arial" w:cs="Arial" w:eastAsia="Arial" w:hAnsi="Arial"/>
                <w:sz w:val="17"/>
                <w:szCs w:val="17"/>
                <w:color w:val="auto"/>
              </w:rPr>
              <w:t>375,194</w:t>
            </w:r>
          </w:p>
        </w:tc>
      </w:tr>
      <w:tr>
        <w:trPr>
          <w:trHeight w:val="195"/>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Robert W. Lees,</w:t>
            </w:r>
          </w:p>
        </w:tc>
        <w:tc>
          <w:tcPr>
            <w:tcW w:w="9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2010</w:t>
            </w:r>
          </w:p>
        </w:tc>
        <w:tc>
          <w:tcPr>
            <w:tcW w:w="12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262,704</w:t>
            </w: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478</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33,990</w:t>
            </w:r>
          </w:p>
        </w:tc>
        <w:tc>
          <w:tcPr>
            <w:tcW w:w="8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265,659</w:t>
            </w: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16,099</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578,930</w:t>
            </w:r>
          </w:p>
        </w:tc>
      </w:tr>
      <w:tr>
        <w:trPr>
          <w:trHeight w:val="195"/>
        </w:trPr>
        <w:tc>
          <w:tcPr>
            <w:tcW w:w="1680" w:type="dxa"/>
            <w:vAlign w:val="bottom"/>
          </w:tcPr>
          <w:p>
            <w:pPr>
              <w:spacing w:after="0"/>
              <w:rPr>
                <w:sz w:val="20"/>
                <w:szCs w:val="20"/>
                <w:color w:val="auto"/>
              </w:rPr>
            </w:pPr>
            <w:r>
              <w:rPr>
                <w:rFonts w:ascii="Arial" w:cs="Arial" w:eastAsia="Arial" w:hAnsi="Arial"/>
                <w:sz w:val="17"/>
                <w:szCs w:val="17"/>
                <w:color w:val="auto"/>
              </w:rPr>
              <w:t>President, UFP</w:t>
            </w:r>
          </w:p>
        </w:tc>
        <w:tc>
          <w:tcPr>
            <w:tcW w:w="920" w:type="dxa"/>
            <w:vAlign w:val="bottom"/>
            <w:gridSpan w:val="2"/>
          </w:tcPr>
          <w:p>
            <w:pPr>
              <w:jc w:val="center"/>
              <w:ind w:left="53"/>
              <w:spacing w:after="0"/>
              <w:rPr>
                <w:sz w:val="20"/>
                <w:szCs w:val="20"/>
                <w:color w:val="auto"/>
              </w:rPr>
            </w:pPr>
            <w:r>
              <w:rPr>
                <w:rFonts w:ascii="Arial" w:cs="Arial" w:eastAsia="Arial" w:hAnsi="Arial"/>
                <w:sz w:val="17"/>
                <w:szCs w:val="17"/>
                <w:color w:val="auto"/>
              </w:rPr>
              <w:t>2009</w:t>
            </w:r>
          </w:p>
        </w:tc>
        <w:tc>
          <w:tcPr>
            <w:tcW w:w="1200" w:type="dxa"/>
            <w:vAlign w:val="bottom"/>
            <w:gridSpan w:val="2"/>
          </w:tcPr>
          <w:p>
            <w:pPr>
              <w:jc w:val="right"/>
              <w:ind w:right="131"/>
              <w:spacing w:after="0"/>
              <w:rPr>
                <w:sz w:val="20"/>
                <w:szCs w:val="20"/>
                <w:color w:val="auto"/>
              </w:rPr>
            </w:pPr>
            <w:r>
              <w:rPr>
                <w:rFonts w:ascii="Arial" w:cs="Arial" w:eastAsia="Arial" w:hAnsi="Arial"/>
                <w:sz w:val="17"/>
                <w:szCs w:val="17"/>
                <w:color w:val="auto"/>
              </w:rPr>
              <w:t>239,055</w:t>
            </w:r>
          </w:p>
        </w:tc>
        <w:tc>
          <w:tcPr>
            <w:tcW w:w="1000" w:type="dxa"/>
            <w:vAlign w:val="bottom"/>
            <w:gridSpan w:val="2"/>
          </w:tcPr>
          <w:p>
            <w:pPr>
              <w:jc w:val="right"/>
              <w:ind w:right="131"/>
              <w:spacing w:after="0"/>
              <w:rPr>
                <w:sz w:val="20"/>
                <w:szCs w:val="20"/>
                <w:color w:val="auto"/>
              </w:rPr>
            </w:pPr>
            <w:r>
              <w:rPr>
                <w:rFonts w:ascii="Arial" w:cs="Arial" w:eastAsia="Arial" w:hAnsi="Arial"/>
                <w:sz w:val="17"/>
                <w:szCs w:val="17"/>
                <w:color w:val="auto"/>
              </w:rPr>
              <w:t>59</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15,750</w:t>
            </w:r>
          </w:p>
        </w:tc>
        <w:tc>
          <w:tcPr>
            <w:tcW w:w="80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131"/>
              <w:spacing w:after="0"/>
              <w:rPr>
                <w:sz w:val="20"/>
                <w:szCs w:val="20"/>
                <w:color w:val="auto"/>
              </w:rPr>
            </w:pPr>
            <w:r>
              <w:rPr>
                <w:rFonts w:ascii="Arial" w:cs="Arial" w:eastAsia="Arial" w:hAnsi="Arial"/>
                <w:sz w:val="17"/>
                <w:szCs w:val="17"/>
                <w:color w:val="auto"/>
              </w:rPr>
              <w:t>132,870</w:t>
            </w:r>
          </w:p>
        </w:tc>
        <w:tc>
          <w:tcPr>
            <w:tcW w:w="100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151"/>
              <w:spacing w:after="0"/>
              <w:rPr>
                <w:sz w:val="20"/>
                <w:szCs w:val="20"/>
                <w:color w:val="auto"/>
              </w:rPr>
            </w:pPr>
            <w:r>
              <w:rPr>
                <w:rFonts w:ascii="Arial" w:cs="Arial" w:eastAsia="Arial" w:hAnsi="Arial"/>
                <w:sz w:val="17"/>
                <w:szCs w:val="17"/>
                <w:color w:val="auto"/>
              </w:rPr>
              <w:t>11,512</w:t>
            </w:r>
          </w:p>
        </w:tc>
        <w:tc>
          <w:tcPr>
            <w:tcW w:w="1360" w:type="dxa"/>
            <w:vAlign w:val="bottom"/>
            <w:gridSpan w:val="2"/>
          </w:tcPr>
          <w:p>
            <w:pPr>
              <w:jc w:val="right"/>
              <w:ind w:right="131"/>
              <w:spacing w:after="0"/>
              <w:rPr>
                <w:sz w:val="20"/>
                <w:szCs w:val="20"/>
                <w:color w:val="auto"/>
              </w:rPr>
            </w:pPr>
            <w:r>
              <w:rPr>
                <w:rFonts w:ascii="Arial" w:cs="Arial" w:eastAsia="Arial" w:hAnsi="Arial"/>
                <w:sz w:val="17"/>
                <w:szCs w:val="17"/>
                <w:color w:val="auto"/>
              </w:rPr>
              <w:t>399,246</w:t>
            </w:r>
          </w:p>
        </w:tc>
      </w:tr>
      <w:tr>
        <w:trPr>
          <w:trHeight w:val="195"/>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Atlantic Division</w:t>
            </w:r>
          </w:p>
        </w:tc>
        <w:tc>
          <w:tcPr>
            <w:tcW w:w="9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2008</w:t>
            </w:r>
          </w:p>
        </w:tc>
        <w:tc>
          <w:tcPr>
            <w:tcW w:w="12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231,391</w:t>
            </w: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145</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11,152</w:t>
            </w:r>
          </w:p>
        </w:tc>
        <w:tc>
          <w:tcPr>
            <w:tcW w:w="8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108,961</w:t>
            </w: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1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13,143</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364,792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3061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4" w:lineRule="exact"/>
        <w:rPr>
          <w:sz w:val="20"/>
          <w:szCs w:val="20"/>
          <w:color w:val="auto"/>
        </w:rPr>
      </w:pPr>
    </w:p>
    <w:p>
      <w:pPr>
        <w:ind w:left="480" w:hanging="476"/>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amounts deferred by the Named Executives under our 401(k) Plan and DCP.</w:t>
      </w:r>
    </w:p>
    <w:p>
      <w:pPr>
        <w:spacing w:after="0" w:line="64" w:lineRule="exact"/>
        <w:rPr>
          <w:rFonts w:ascii="Arial" w:cs="Arial" w:eastAsia="Arial" w:hAnsi="Arial"/>
          <w:sz w:val="17"/>
          <w:szCs w:val="17"/>
          <w:color w:val="auto"/>
        </w:rPr>
      </w:pPr>
    </w:p>
    <w:p>
      <w:pPr>
        <w:ind w:left="480" w:hanging="476"/>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2010 amounts include 2,000 shares granted to Mr. Glenn, 1,500 shares granted to Mr. Webster, and 1,000 shares granted to</w:t>
      </w:r>
    </w:p>
    <w:p>
      <w:pPr>
        <w:ind w:left="480" w:right="80"/>
        <w:spacing w:after="0" w:line="239" w:lineRule="auto"/>
        <w:rPr>
          <w:rFonts w:ascii="Arial" w:cs="Arial" w:eastAsia="Arial" w:hAnsi="Arial"/>
          <w:sz w:val="17"/>
          <w:szCs w:val="17"/>
          <w:color w:val="auto"/>
        </w:rPr>
      </w:pPr>
      <w:r>
        <w:rPr>
          <w:rFonts w:ascii="Arial" w:cs="Arial" w:eastAsia="Arial" w:hAnsi="Arial"/>
          <w:sz w:val="17"/>
          <w:szCs w:val="17"/>
          <w:color w:val="auto"/>
        </w:rPr>
        <w:t>Messrs. Cole, Greene, and Lees on February 1, 2010. The 2009 amounts include 2,000 shares granted to Mr. Glenn, 1,500 shares granted to Mr. Webster, 1,000 shares granted to Messrs. Cole and Greene, and 750 shares granted to Mr. Lees on February 1, 2009. The 2008 amount includes 400 shares granted to each Named Executive pursuant to a conditional stock grant to all salaried employees on February 8, 2008.</w:t>
      </w:r>
    </w:p>
    <w:p>
      <w:pPr>
        <w:spacing w:after="0" w:line="1" w:lineRule="exact"/>
        <w:rPr>
          <w:rFonts w:ascii="Arial" w:cs="Arial" w:eastAsia="Arial" w:hAnsi="Arial"/>
          <w:sz w:val="17"/>
          <w:szCs w:val="17"/>
          <w:color w:val="auto"/>
        </w:rPr>
      </w:pPr>
    </w:p>
    <w:p>
      <w:pPr>
        <w:ind w:left="480" w:right="20"/>
        <w:spacing w:after="0" w:line="248" w:lineRule="auto"/>
        <w:rPr>
          <w:rFonts w:ascii="Arial" w:cs="Arial" w:eastAsia="Arial" w:hAnsi="Arial"/>
          <w:sz w:val="17"/>
          <w:szCs w:val="17"/>
          <w:color w:val="auto"/>
        </w:rPr>
      </w:pPr>
      <w:r>
        <w:rPr>
          <w:rFonts w:ascii="Arial" w:cs="Arial" w:eastAsia="Arial" w:hAnsi="Arial"/>
          <w:sz w:val="17"/>
          <w:szCs w:val="17"/>
          <w:color w:val="auto"/>
        </w:rPr>
        <w:t>The amount set forth in this column represents the aggregate fair value of the awards as of the grant date, computed in accordance with FASB ASC Topic 718, “Compensation-Stock Compensation.” The assumptions used in calculating these amounts are set forth in Note J in our Company’s consolidated financial statements for the year-ended December 25, 2010.</w:t>
      </w:r>
    </w:p>
    <w:p>
      <w:pPr>
        <w:spacing w:after="0" w:line="45" w:lineRule="exact"/>
        <w:rPr>
          <w:rFonts w:ascii="Arial" w:cs="Arial" w:eastAsia="Arial" w:hAnsi="Arial"/>
          <w:sz w:val="17"/>
          <w:szCs w:val="17"/>
          <w:color w:val="auto"/>
        </w:rPr>
      </w:pPr>
    </w:p>
    <w:p>
      <w:pPr>
        <w:ind w:left="480" w:right="180" w:hanging="476"/>
        <w:spacing w:after="0" w:line="242"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annual bonus payments under performance-based bonus plans tied to our operating profit and ROI, which cover substantially all salaried employees. The amounts in this column reflect the bonus earned for that year but paid in the subsequent year. The 2010 amount includes a deferral under the Deferred Compensation Plan (“DCP”) in the amount of $100,000 for Mr. Webster. The 2009 amount includes a deferral under the DCP in the amount of $100,000 for Mr. Webster and a deferral in the amount of $33,217 for Mr. Lees. The 2008 amount includes a deferral under our DCP in the amount of $100,000 for Mr. Webster. Under the DCP, a participant’s deferral is used to purchase Company stock unless the participant exceeds our Company’s stock ownership requirement. These shares must be held by the Named Executive until his employment is terminated.</w:t>
      </w:r>
    </w:p>
    <w:p>
      <w:pPr>
        <w:spacing w:after="0" w:line="52" w:lineRule="exact"/>
        <w:rPr>
          <w:rFonts w:ascii="Arial" w:cs="Arial" w:eastAsia="Arial" w:hAnsi="Arial"/>
          <w:sz w:val="17"/>
          <w:szCs w:val="17"/>
          <w:color w:val="auto"/>
        </w:rPr>
      </w:pPr>
    </w:p>
    <w:p>
      <w:pPr>
        <w:ind w:left="480" w:right="540" w:hanging="476"/>
        <w:spacing w:after="0" w:line="248"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amounts in this column represent Company contributions to our Profit Sharing and 401(k) Plan for 2010 in the amount of $3,675 for Messrs. Glenn, Cole, Webster, Cole, and Greene, and $3,250 for Mr. Lees. Subject to certain requirements, including age and service requirements, all of our employees are eligible to participate in our Profit Sharing and 401(k)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240" w:right="80"/>
        <w:spacing w:after="0" w:line="243" w:lineRule="auto"/>
        <w:rPr>
          <w:sz w:val="20"/>
          <w:szCs w:val="20"/>
          <w:color w:val="auto"/>
        </w:rPr>
      </w:pPr>
      <w:r>
        <w:rPr>
          <w:rFonts w:ascii="Arial" w:cs="Arial" w:eastAsia="Arial" w:hAnsi="Arial"/>
          <w:sz w:val="17"/>
          <w:szCs w:val="17"/>
          <w:color w:val="auto"/>
        </w:rPr>
        <w:t>Also included in this column is personal use of corporate aircraft for 2010 in the amount of $15,931 for Mr. Glenn and $9,496 for Mr. Webster. We permit limited personal use of corporate aircraft by the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89" w:lineRule="exact"/>
        <w:rPr>
          <w:sz w:val="20"/>
          <w:szCs w:val="20"/>
          <w:color w:val="auto"/>
        </w:rPr>
      </w:pPr>
    </w:p>
    <w:p>
      <w:pPr>
        <w:ind w:left="240" w:right="20"/>
        <w:spacing w:after="0" w:line="243" w:lineRule="auto"/>
        <w:rPr>
          <w:sz w:val="20"/>
          <w:szCs w:val="20"/>
          <w:color w:val="auto"/>
        </w:rPr>
      </w:pPr>
      <w:r>
        <w:rPr>
          <w:rFonts w:ascii="Arial" w:cs="Arial" w:eastAsia="Arial" w:hAnsi="Arial"/>
          <w:sz w:val="17"/>
          <w:szCs w:val="17"/>
          <w:color w:val="auto"/>
        </w:rPr>
        <w:t>The amount in this column also includes the following fringe benefits, none of which exceeded the greater of $25,000 or 10% of the Named Executive’s aggregate fringe benefits: automobile allowance, automobile insurance, gasoline, phone, Internet access, use of Company-owned property, clothing allowance, life insurance premiums, professional fees, an executive medical benefit, costs incurred at a Company meeting for the spouse of the Named Executive, and taxes paid on behalf of the Named Executive. Included in this amount for Mr. Webster for 2009 is $9,948 related to his relocation to Grand Rapids, MI.</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of Perquisites and Benefits</w:t>
      </w:r>
    </w:p>
    <w:p>
      <w:pPr>
        <w:spacing w:after="0" w:line="126" w:lineRule="exact"/>
        <w:rPr>
          <w:sz w:val="20"/>
          <w:szCs w:val="20"/>
          <w:color w:val="auto"/>
        </w:rPr>
      </w:pPr>
    </w:p>
    <w:p>
      <w:pPr>
        <w:ind w:right="660"/>
        <w:spacing w:after="0" w:line="256" w:lineRule="auto"/>
        <w:rPr>
          <w:sz w:val="20"/>
          <w:szCs w:val="20"/>
          <w:color w:val="auto"/>
        </w:rPr>
      </w:pPr>
      <w:r>
        <w:rPr>
          <w:rFonts w:ascii="Arial" w:cs="Arial" w:eastAsia="Arial" w:hAnsi="Arial"/>
          <w:sz w:val="17"/>
          <w:szCs w:val="17"/>
          <w:color w:val="auto"/>
        </w:rPr>
        <w:t>We provide benefit programs to executive officers and other employees. The following table generally identifies such benefit plans and those employees who may be eligible to participate: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Full-Time</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Full-time</w:t>
            </w:r>
          </w:p>
        </w:tc>
      </w:tr>
      <w:tr>
        <w:trPr>
          <w:trHeight w:val="156"/>
        </w:trPr>
        <w:tc>
          <w:tcPr>
            <w:tcW w:w="5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8"/>
              </w:rPr>
              <w:t>Executive</w:t>
            </w:r>
          </w:p>
        </w:tc>
        <w:tc>
          <w:tcPr>
            <w:tcW w:w="54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rPr>
              <w:t>Certain</w:t>
            </w:r>
          </w:p>
        </w:tc>
        <w:tc>
          <w:tcPr>
            <w:tcW w:w="54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rPr>
              <w:t>Exempt</w:t>
            </w:r>
          </w:p>
        </w:tc>
        <w:tc>
          <w:tcPr>
            <w:tcW w:w="52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rPr>
              <w:t>Non-Exempt</w:t>
            </w:r>
          </w:p>
        </w:tc>
      </w:tr>
      <w:tr>
        <w:trPr>
          <w:trHeight w:val="152"/>
        </w:trPr>
        <w:tc>
          <w:tcPr>
            <w:tcW w:w="570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Benefit Plan</w:t>
            </w:r>
          </w:p>
        </w:tc>
        <w:tc>
          <w:tcPr>
            <w:tcW w:w="5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Officers</w:t>
            </w:r>
          </w:p>
        </w:tc>
        <w:tc>
          <w:tcPr>
            <w:tcW w:w="54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Managers</w:t>
            </w:r>
          </w:p>
        </w:tc>
        <w:tc>
          <w:tcPr>
            <w:tcW w:w="54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8"/>
              </w:rPr>
              <w:t>Employees</w:t>
            </w:r>
          </w:p>
        </w:tc>
        <w:tc>
          <w:tcPr>
            <w:tcW w:w="5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8"/>
              </w:rPr>
              <w:t>Employees</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7"/>
                <w:szCs w:val="17"/>
                <w:color w:val="auto"/>
              </w:rPr>
              <w:t>401(k) Plan</w:t>
            </w:r>
          </w:p>
        </w:tc>
        <w:tc>
          <w:tcPr>
            <w:tcW w:w="5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color w:val="auto"/>
              </w:rPr>
              <w:t>ü</w:t>
            </w:r>
          </w:p>
        </w:tc>
        <w:tc>
          <w:tcPr>
            <w:tcW w:w="5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color w:val="auto"/>
                <w:w w:val="84"/>
              </w:rPr>
              <w:t>ü</w:t>
            </w:r>
          </w:p>
        </w:tc>
        <w:tc>
          <w:tcPr>
            <w:tcW w:w="5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color w:val="auto"/>
                <w:w w:val="84"/>
              </w:rPr>
              <w:t>ü</w:t>
            </w:r>
          </w:p>
        </w:tc>
      </w:tr>
      <w:tr>
        <w:trPr>
          <w:trHeight w:val="208"/>
        </w:trPr>
        <w:tc>
          <w:tcPr>
            <w:tcW w:w="5700" w:type="dxa"/>
            <w:vAlign w:val="bottom"/>
          </w:tcPr>
          <w:p>
            <w:pPr>
              <w:spacing w:after="0"/>
              <w:rPr>
                <w:sz w:val="20"/>
                <w:szCs w:val="20"/>
                <w:color w:val="auto"/>
              </w:rPr>
            </w:pPr>
            <w:r>
              <w:rPr>
                <w:rFonts w:ascii="Arial" w:cs="Arial" w:eastAsia="Arial" w:hAnsi="Arial"/>
                <w:sz w:val="17"/>
                <w:szCs w:val="17"/>
                <w:color w:val="auto"/>
              </w:rPr>
              <w:t>Medical/Dental/Vision Plans</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r>
      <w:tr>
        <w:trPr>
          <w:trHeight w:val="208"/>
        </w:trPr>
        <w:tc>
          <w:tcPr>
            <w:tcW w:w="5700" w:type="dxa"/>
            <w:vAlign w:val="bottom"/>
          </w:tcPr>
          <w:p>
            <w:pPr>
              <w:spacing w:after="0"/>
              <w:rPr>
                <w:sz w:val="20"/>
                <w:szCs w:val="20"/>
                <w:color w:val="auto"/>
              </w:rPr>
            </w:pPr>
            <w:r>
              <w:rPr>
                <w:rFonts w:ascii="Arial" w:cs="Arial" w:eastAsia="Arial" w:hAnsi="Arial"/>
                <w:sz w:val="17"/>
                <w:szCs w:val="17"/>
                <w:color w:val="auto"/>
              </w:rPr>
              <w:t>Life and Disability Insurance</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r>
      <w:tr>
        <w:trPr>
          <w:trHeight w:val="208"/>
        </w:trPr>
        <w:tc>
          <w:tcPr>
            <w:tcW w:w="5700" w:type="dxa"/>
            <w:vAlign w:val="bottom"/>
          </w:tcPr>
          <w:p>
            <w:pPr>
              <w:spacing w:after="0"/>
              <w:rPr>
                <w:sz w:val="20"/>
                <w:szCs w:val="20"/>
                <w:color w:val="auto"/>
              </w:rPr>
            </w:pPr>
            <w:r>
              <w:rPr>
                <w:rFonts w:ascii="Arial" w:cs="Arial" w:eastAsia="Arial" w:hAnsi="Arial"/>
                <w:sz w:val="17"/>
                <w:szCs w:val="17"/>
                <w:color w:val="auto"/>
              </w:rPr>
              <w:t>Employee Stock Purchase Plan</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r>
      <w:tr>
        <w:trPr>
          <w:trHeight w:val="208"/>
        </w:trPr>
        <w:tc>
          <w:tcPr>
            <w:tcW w:w="5700" w:type="dxa"/>
            <w:vAlign w:val="bottom"/>
          </w:tcPr>
          <w:p>
            <w:pPr>
              <w:spacing w:after="0"/>
              <w:rPr>
                <w:sz w:val="20"/>
                <w:szCs w:val="20"/>
                <w:color w:val="auto"/>
              </w:rPr>
            </w:pPr>
            <w:r>
              <w:rPr>
                <w:rFonts w:ascii="Arial" w:cs="Arial" w:eastAsia="Arial" w:hAnsi="Arial"/>
                <w:sz w:val="17"/>
                <w:szCs w:val="17"/>
                <w:color w:val="auto"/>
              </w:rPr>
              <w:t>ROI Bonus Plan</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208"/>
        </w:trPr>
        <w:tc>
          <w:tcPr>
            <w:tcW w:w="5700" w:type="dxa"/>
            <w:vAlign w:val="bottom"/>
          </w:tcPr>
          <w:p>
            <w:pPr>
              <w:spacing w:after="0"/>
              <w:rPr>
                <w:sz w:val="20"/>
                <w:szCs w:val="20"/>
                <w:color w:val="auto"/>
              </w:rPr>
            </w:pPr>
            <w:r>
              <w:rPr>
                <w:rFonts w:ascii="Arial" w:cs="Arial" w:eastAsia="Arial" w:hAnsi="Arial"/>
                <w:sz w:val="17"/>
                <w:szCs w:val="17"/>
                <w:color w:val="auto"/>
              </w:rPr>
              <w:t>Hourly Performance Bonus</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r>
      <w:tr>
        <w:trPr>
          <w:trHeight w:val="208"/>
        </w:trPr>
        <w:tc>
          <w:tcPr>
            <w:tcW w:w="5700" w:type="dxa"/>
            <w:vAlign w:val="bottom"/>
          </w:tcPr>
          <w:p>
            <w:pPr>
              <w:spacing w:after="0"/>
              <w:rPr>
                <w:sz w:val="20"/>
                <w:szCs w:val="20"/>
                <w:color w:val="auto"/>
              </w:rPr>
            </w:pPr>
            <w:r>
              <w:rPr>
                <w:rFonts w:ascii="Arial" w:cs="Arial" w:eastAsia="Arial" w:hAnsi="Arial"/>
                <w:sz w:val="17"/>
                <w:szCs w:val="17"/>
                <w:color w:val="auto"/>
              </w:rPr>
              <w:t>Equity Incentive Plans</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r>
      <w:tr>
        <w:trPr>
          <w:trHeight w:val="208"/>
        </w:trPr>
        <w:tc>
          <w:tcPr>
            <w:tcW w:w="5700" w:type="dxa"/>
            <w:vAlign w:val="bottom"/>
          </w:tcPr>
          <w:p>
            <w:pPr>
              <w:spacing w:after="0"/>
              <w:rPr>
                <w:sz w:val="20"/>
                <w:szCs w:val="20"/>
                <w:color w:val="auto"/>
              </w:rPr>
            </w:pPr>
            <w:r>
              <w:rPr>
                <w:rFonts w:ascii="Arial" w:cs="Arial" w:eastAsia="Arial" w:hAnsi="Arial"/>
                <w:sz w:val="17"/>
                <w:szCs w:val="17"/>
                <w:color w:val="auto"/>
              </w:rPr>
              <w:t>Change in Control and Severance Plan</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ü</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220"/>
        </w:trPr>
        <w:tc>
          <w:tcPr>
            <w:tcW w:w="5700" w:type="dxa"/>
            <w:vAlign w:val="bottom"/>
          </w:tcPr>
          <w:p>
            <w:pPr>
              <w:spacing w:after="0"/>
              <w:rPr>
                <w:sz w:val="20"/>
                <w:szCs w:val="20"/>
                <w:color w:val="auto"/>
              </w:rPr>
            </w:pPr>
            <w:r>
              <w:rPr>
                <w:rFonts w:ascii="Arial" w:cs="Arial" w:eastAsia="Arial" w:hAnsi="Arial"/>
                <w:sz w:val="17"/>
                <w:szCs w:val="17"/>
                <w:color w:val="auto"/>
              </w:rPr>
              <w:t>Deferred Compensation Plan</w:t>
            </w:r>
          </w:p>
        </w:tc>
        <w:tc>
          <w:tcPr>
            <w:tcW w:w="5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ü</w:t>
            </w:r>
          </w:p>
        </w:tc>
        <w:tc>
          <w:tcPr>
            <w:tcW w:w="5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184"/>
        </w:trPr>
        <w:tc>
          <w:tcPr>
            <w:tcW w:w="5700" w:type="dxa"/>
            <w:vAlign w:val="bottom"/>
          </w:tcPr>
          <w:p>
            <w:pPr>
              <w:spacing w:after="0" w:line="184" w:lineRule="exact"/>
              <w:rPr>
                <w:sz w:val="20"/>
                <w:szCs w:val="20"/>
                <w:color w:val="auto"/>
              </w:rPr>
            </w:pPr>
            <w:r>
              <w:rPr>
                <w:rFonts w:ascii="Arial" w:cs="Arial" w:eastAsia="Arial" w:hAnsi="Arial"/>
                <w:sz w:val="17"/>
                <w:szCs w:val="17"/>
                <w:color w:val="auto"/>
              </w:rPr>
              <w:t>Supplemental Early Retirement Plan</w:t>
            </w:r>
          </w:p>
        </w:tc>
        <w:tc>
          <w:tcPr>
            <w:tcW w:w="520" w:type="dxa"/>
            <w:vAlign w:val="bottom"/>
          </w:tcPr>
          <w:p>
            <w:pPr>
              <w:spacing w:after="0"/>
              <w:rPr>
                <w:sz w:val="15"/>
                <w:szCs w:val="15"/>
                <w:color w:val="auto"/>
              </w:rPr>
            </w:pPr>
          </w:p>
        </w:tc>
        <w:tc>
          <w:tcPr>
            <w:tcW w:w="900" w:type="dxa"/>
            <w:vAlign w:val="bottom"/>
          </w:tcPr>
          <w:p>
            <w:pPr>
              <w:jc w:val="center"/>
              <w:spacing w:after="0" w:line="184" w:lineRule="exact"/>
              <w:rPr>
                <w:sz w:val="20"/>
                <w:szCs w:val="20"/>
                <w:color w:val="auto"/>
              </w:rPr>
            </w:pPr>
            <w:r>
              <w:rPr>
                <w:rFonts w:ascii="Arial" w:cs="Arial" w:eastAsia="Arial" w:hAnsi="Arial"/>
                <w:sz w:val="17"/>
                <w:szCs w:val="17"/>
                <w:color w:val="auto"/>
              </w:rPr>
              <w:t>Not Offered</w:t>
            </w:r>
          </w:p>
        </w:tc>
        <w:tc>
          <w:tcPr>
            <w:tcW w:w="540" w:type="dxa"/>
            <w:vAlign w:val="bottom"/>
          </w:tcPr>
          <w:p>
            <w:pPr>
              <w:spacing w:after="0"/>
              <w:rPr>
                <w:sz w:val="15"/>
                <w:szCs w:val="15"/>
                <w:color w:val="auto"/>
              </w:rPr>
            </w:pPr>
          </w:p>
        </w:tc>
        <w:tc>
          <w:tcPr>
            <w:tcW w:w="900" w:type="dxa"/>
            <w:vAlign w:val="bottom"/>
          </w:tcPr>
          <w:p>
            <w:pPr>
              <w:jc w:val="center"/>
              <w:spacing w:after="0" w:line="184" w:lineRule="exact"/>
              <w:rPr>
                <w:sz w:val="20"/>
                <w:szCs w:val="20"/>
                <w:color w:val="auto"/>
              </w:rPr>
            </w:pPr>
            <w:r>
              <w:rPr>
                <w:rFonts w:ascii="Arial" w:cs="Arial" w:eastAsia="Arial" w:hAnsi="Arial"/>
                <w:sz w:val="17"/>
                <w:szCs w:val="17"/>
                <w:color w:val="auto"/>
              </w:rPr>
              <w:t>Not Offered</w:t>
            </w:r>
          </w:p>
        </w:tc>
        <w:tc>
          <w:tcPr>
            <w:tcW w:w="540" w:type="dxa"/>
            <w:vAlign w:val="bottom"/>
          </w:tcPr>
          <w:p>
            <w:pPr>
              <w:spacing w:after="0"/>
              <w:rPr>
                <w:sz w:val="15"/>
                <w:szCs w:val="15"/>
                <w:color w:val="auto"/>
              </w:rPr>
            </w:pPr>
          </w:p>
        </w:tc>
        <w:tc>
          <w:tcPr>
            <w:tcW w:w="900" w:type="dxa"/>
            <w:vAlign w:val="bottom"/>
          </w:tcPr>
          <w:p>
            <w:pPr>
              <w:jc w:val="center"/>
              <w:spacing w:after="0" w:line="184" w:lineRule="exact"/>
              <w:rPr>
                <w:sz w:val="20"/>
                <w:szCs w:val="20"/>
                <w:color w:val="auto"/>
              </w:rPr>
            </w:pPr>
            <w:r>
              <w:rPr>
                <w:rFonts w:ascii="Arial" w:cs="Arial" w:eastAsia="Arial" w:hAnsi="Arial"/>
                <w:sz w:val="17"/>
                <w:szCs w:val="17"/>
                <w:color w:val="auto"/>
              </w:rPr>
              <w:t>Not Offered</w:t>
            </w:r>
          </w:p>
        </w:tc>
        <w:tc>
          <w:tcPr>
            <w:tcW w:w="520" w:type="dxa"/>
            <w:vAlign w:val="bottom"/>
          </w:tcPr>
          <w:p>
            <w:pPr>
              <w:spacing w:after="0"/>
              <w:rPr>
                <w:sz w:val="15"/>
                <w:szCs w:val="15"/>
                <w:color w:val="auto"/>
              </w:rPr>
            </w:pPr>
          </w:p>
        </w:tc>
        <w:tc>
          <w:tcPr>
            <w:tcW w:w="900" w:type="dxa"/>
            <w:vAlign w:val="bottom"/>
          </w:tcPr>
          <w:p>
            <w:pPr>
              <w:jc w:val="center"/>
              <w:spacing w:after="0" w:line="184" w:lineRule="exact"/>
              <w:rPr>
                <w:sz w:val="20"/>
                <w:szCs w:val="20"/>
                <w:color w:val="auto"/>
              </w:rPr>
            </w:pPr>
            <w:r>
              <w:rPr>
                <w:rFonts w:ascii="Arial" w:cs="Arial" w:eastAsia="Arial" w:hAnsi="Arial"/>
                <w:sz w:val="17"/>
                <w:szCs w:val="17"/>
                <w:color w:val="auto"/>
              </w:rPr>
              <w:t>Not Offered</w:t>
            </w:r>
          </w:p>
        </w:tc>
      </w:tr>
      <w:tr>
        <w:trPr>
          <w:trHeight w:val="220"/>
        </w:trPr>
        <w:tc>
          <w:tcPr>
            <w:tcW w:w="5700" w:type="dxa"/>
            <w:vAlign w:val="bottom"/>
          </w:tcPr>
          <w:p>
            <w:pPr>
              <w:spacing w:after="0"/>
              <w:rPr>
                <w:sz w:val="20"/>
                <w:szCs w:val="20"/>
                <w:color w:val="auto"/>
              </w:rPr>
            </w:pPr>
            <w:r>
              <w:rPr>
                <w:rFonts w:ascii="Arial" w:cs="Arial" w:eastAsia="Arial" w:hAnsi="Arial"/>
                <w:sz w:val="17"/>
                <w:szCs w:val="17"/>
                <w:color w:val="auto"/>
              </w:rPr>
              <w:t>Executive Retirement Plan</w:t>
            </w:r>
          </w:p>
        </w:tc>
        <w:tc>
          <w:tcPr>
            <w:tcW w:w="5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5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209"/>
        </w:trPr>
        <w:tc>
          <w:tcPr>
            <w:tcW w:w="5700" w:type="dxa"/>
            <w:vAlign w:val="bottom"/>
          </w:tcPr>
          <w:p>
            <w:pPr>
              <w:spacing w:after="0"/>
              <w:rPr>
                <w:sz w:val="20"/>
                <w:szCs w:val="20"/>
                <w:color w:val="auto"/>
              </w:rPr>
            </w:pPr>
            <w:r>
              <w:rPr>
                <w:rFonts w:ascii="Arial" w:cs="Arial" w:eastAsia="Arial" w:hAnsi="Arial"/>
                <w:sz w:val="17"/>
                <w:szCs w:val="17"/>
                <w:color w:val="auto"/>
              </w:rPr>
              <w:t>Defined Benefit Pension Plan</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Not Offered</w:t>
            </w:r>
          </w:p>
        </w:tc>
      </w:tr>
    </w:tbl>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8"/>
              </w:rPr>
              <w:t>Employees</w:t>
            </w:r>
          </w:p>
        </w:tc>
      </w:tr>
      <w:tr>
        <w:trPr>
          <w:trHeight w:val="152"/>
        </w:trPr>
        <w:tc>
          <w:tcPr>
            <w:tcW w:w="510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Type of Perquisites</w:t>
            </w:r>
          </w:p>
        </w:tc>
        <w:tc>
          <w:tcPr>
            <w:tcW w:w="380" w:type="dxa"/>
            <w:vAlign w:val="bottom"/>
          </w:tcPr>
          <w:p>
            <w:pPr>
              <w:spacing w:after="0"/>
              <w:rPr>
                <w:sz w:val="13"/>
                <w:szCs w:val="13"/>
                <w:color w:val="auto"/>
              </w:rPr>
            </w:pPr>
          </w:p>
        </w:tc>
        <w:tc>
          <w:tcPr>
            <w:tcW w:w="18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Executive Officers</w:t>
            </w:r>
          </w:p>
        </w:tc>
        <w:tc>
          <w:tcPr>
            <w:tcW w:w="400" w:type="dxa"/>
            <w:vAlign w:val="bottom"/>
          </w:tcPr>
          <w:p>
            <w:pPr>
              <w:spacing w:after="0"/>
              <w:rPr>
                <w:sz w:val="13"/>
                <w:szCs w:val="13"/>
                <w:color w:val="auto"/>
              </w:rPr>
            </w:pPr>
          </w:p>
        </w:tc>
        <w:tc>
          <w:tcPr>
            <w:tcW w:w="18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8"/>
              </w:rPr>
              <w:t>Certain Managers</w:t>
            </w:r>
          </w:p>
        </w:tc>
        <w:tc>
          <w:tcPr>
            <w:tcW w:w="400" w:type="dxa"/>
            <w:vAlign w:val="bottom"/>
          </w:tcPr>
          <w:p>
            <w:pPr>
              <w:spacing w:after="0"/>
              <w:rPr>
                <w:sz w:val="13"/>
                <w:szCs w:val="13"/>
                <w:color w:val="auto"/>
              </w:rPr>
            </w:pPr>
          </w:p>
        </w:tc>
        <w:tc>
          <w:tcPr>
            <w:tcW w:w="14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5"/>
              </w:rPr>
              <w:t>Full-Time</w:t>
            </w:r>
          </w:p>
        </w:tc>
      </w:tr>
      <w:tr>
        <w:trPr>
          <w:trHeight w:val="189"/>
        </w:trPr>
        <w:tc>
          <w:tcPr>
            <w:tcW w:w="5100" w:type="dxa"/>
            <w:vAlign w:val="bottom"/>
          </w:tcPr>
          <w:p>
            <w:pPr>
              <w:spacing w:after="0" w:line="189" w:lineRule="exact"/>
              <w:rPr>
                <w:sz w:val="20"/>
                <w:szCs w:val="20"/>
                <w:color w:val="auto"/>
              </w:rPr>
            </w:pPr>
            <w:r>
              <w:rPr>
                <w:rFonts w:ascii="Arial" w:cs="Arial" w:eastAsia="Arial" w:hAnsi="Arial"/>
                <w:sz w:val="17"/>
                <w:szCs w:val="17"/>
                <w:color w:val="auto"/>
              </w:rPr>
              <w:t>Employee Discount</w:t>
            </w:r>
          </w:p>
        </w:tc>
        <w:tc>
          <w:tcPr>
            <w:tcW w:w="38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7"/>
                <w:szCs w:val="17"/>
                <w:color w:val="auto"/>
                <w:w w:val="84"/>
              </w:rPr>
              <w:t>ü</w:t>
            </w:r>
          </w:p>
        </w:tc>
        <w:tc>
          <w:tcPr>
            <w:tcW w:w="400" w:type="dxa"/>
            <w:vAlign w:val="bottom"/>
          </w:tcPr>
          <w:p>
            <w:pPr>
              <w:spacing w:after="0"/>
              <w:rPr>
                <w:sz w:val="16"/>
                <w:szCs w:val="16"/>
                <w:color w:val="auto"/>
              </w:rPr>
            </w:pPr>
          </w:p>
        </w:tc>
        <w:tc>
          <w:tcPr>
            <w:tcW w:w="1860" w:type="dxa"/>
            <w:vAlign w:val="bottom"/>
          </w:tcPr>
          <w:p>
            <w:pPr>
              <w:jc w:val="center"/>
              <w:spacing w:after="0" w:line="189" w:lineRule="exact"/>
              <w:rPr>
                <w:sz w:val="20"/>
                <w:szCs w:val="20"/>
                <w:color w:val="auto"/>
              </w:rPr>
            </w:pPr>
            <w:r>
              <w:rPr>
                <w:rFonts w:ascii="Arial" w:cs="Arial" w:eastAsia="Arial" w:hAnsi="Arial"/>
                <w:sz w:val="17"/>
                <w:szCs w:val="17"/>
                <w:color w:val="auto"/>
              </w:rPr>
              <w:t>ü</w:t>
            </w:r>
          </w:p>
        </w:tc>
        <w:tc>
          <w:tcPr>
            <w:tcW w:w="400" w:type="dxa"/>
            <w:vAlign w:val="bottom"/>
          </w:tcPr>
          <w:p>
            <w:pPr>
              <w:spacing w:after="0"/>
              <w:rPr>
                <w:sz w:val="16"/>
                <w:szCs w:val="16"/>
                <w:color w:val="auto"/>
              </w:rPr>
            </w:pP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auto"/>
                <w:w w:val="84"/>
              </w:rPr>
              <w:t>ü</w:t>
            </w:r>
          </w:p>
        </w:tc>
      </w:tr>
      <w:tr>
        <w:trPr>
          <w:trHeight w:val="208"/>
        </w:trPr>
        <w:tc>
          <w:tcPr>
            <w:tcW w:w="5100" w:type="dxa"/>
            <w:vAlign w:val="bottom"/>
          </w:tcPr>
          <w:p>
            <w:pPr>
              <w:spacing w:after="0"/>
              <w:rPr>
                <w:sz w:val="20"/>
                <w:szCs w:val="20"/>
                <w:color w:val="auto"/>
              </w:rPr>
            </w:pPr>
            <w:r>
              <w:rPr>
                <w:rFonts w:ascii="Arial" w:cs="Arial" w:eastAsia="Arial" w:hAnsi="Arial"/>
                <w:sz w:val="17"/>
                <w:szCs w:val="17"/>
                <w:color w:val="auto"/>
              </w:rPr>
              <w:t>Financial Planning Allowance (1)</w:t>
            </w:r>
          </w:p>
        </w:tc>
        <w:tc>
          <w:tcPr>
            <w:tcW w:w="3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4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ü</w:t>
            </w:r>
          </w:p>
        </w:tc>
        <w:tc>
          <w:tcPr>
            <w:tcW w:w="4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220"/>
        </w:trPr>
        <w:tc>
          <w:tcPr>
            <w:tcW w:w="5100" w:type="dxa"/>
            <w:vAlign w:val="bottom"/>
          </w:tcPr>
          <w:p>
            <w:pPr>
              <w:spacing w:after="0"/>
              <w:rPr>
                <w:sz w:val="20"/>
                <w:szCs w:val="20"/>
                <w:color w:val="auto"/>
              </w:rPr>
            </w:pPr>
            <w:r>
              <w:rPr>
                <w:rFonts w:ascii="Arial" w:cs="Arial" w:eastAsia="Arial" w:hAnsi="Arial"/>
                <w:sz w:val="17"/>
                <w:szCs w:val="17"/>
                <w:color w:val="auto"/>
              </w:rPr>
              <w:t>Automobile Allowance</w:t>
            </w:r>
          </w:p>
        </w:tc>
        <w:tc>
          <w:tcPr>
            <w:tcW w:w="3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4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ü</w:t>
            </w:r>
          </w:p>
        </w:tc>
        <w:tc>
          <w:tcPr>
            <w:tcW w:w="400" w:type="dxa"/>
            <w:vAlign w:val="bottom"/>
          </w:tcPr>
          <w:p>
            <w:pPr>
              <w:spacing w:after="0"/>
              <w:rPr>
                <w:sz w:val="19"/>
                <w:szCs w:val="19"/>
                <w:color w:val="auto"/>
              </w:rPr>
            </w:pPr>
          </w:p>
        </w:tc>
        <w:tc>
          <w:tcPr>
            <w:tcW w:w="1400" w:type="dxa"/>
            <w:vAlign w:val="bottom"/>
          </w:tcPr>
          <w:p>
            <w:pPr>
              <w:ind w:left="240"/>
              <w:spacing w:after="0"/>
              <w:rPr>
                <w:sz w:val="20"/>
                <w:szCs w:val="20"/>
                <w:color w:val="auto"/>
              </w:rPr>
            </w:pPr>
            <w:r>
              <w:rPr>
                <w:rFonts w:ascii="Arial" w:cs="Arial" w:eastAsia="Arial" w:hAnsi="Arial"/>
                <w:sz w:val="17"/>
                <w:szCs w:val="17"/>
                <w:color w:val="auto"/>
              </w:rPr>
              <w:t>Not Offered (2)</w:t>
            </w: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Country Club Memberships</w:t>
            </w:r>
          </w:p>
        </w:tc>
        <w:tc>
          <w:tcPr>
            <w:tcW w:w="3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4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4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Personal Use of Company Aircraft</w:t>
            </w:r>
          </w:p>
        </w:tc>
        <w:tc>
          <w:tcPr>
            <w:tcW w:w="3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rPr>
              <w:t>Only with CEO Approval</w:t>
            </w:r>
          </w:p>
        </w:tc>
        <w:tc>
          <w:tcPr>
            <w:tcW w:w="4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Only with CEO Approval</w:t>
            </w:r>
          </w:p>
        </w:tc>
        <w:tc>
          <w:tcPr>
            <w:tcW w:w="4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195"/>
        </w:trPr>
        <w:tc>
          <w:tcPr>
            <w:tcW w:w="5100" w:type="dxa"/>
            <w:vAlign w:val="bottom"/>
          </w:tcPr>
          <w:p>
            <w:pPr>
              <w:spacing w:after="0"/>
              <w:rPr>
                <w:sz w:val="20"/>
                <w:szCs w:val="20"/>
                <w:color w:val="auto"/>
              </w:rPr>
            </w:pPr>
            <w:r>
              <w:rPr>
                <w:rFonts w:ascii="Arial" w:cs="Arial" w:eastAsia="Arial" w:hAnsi="Arial"/>
                <w:sz w:val="17"/>
                <w:szCs w:val="17"/>
                <w:color w:val="auto"/>
              </w:rPr>
              <w:t>Security Services</w:t>
            </w:r>
          </w:p>
        </w:tc>
        <w:tc>
          <w:tcPr>
            <w:tcW w:w="3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4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4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209"/>
        </w:trPr>
        <w:tc>
          <w:tcPr>
            <w:tcW w:w="5100" w:type="dxa"/>
            <w:vAlign w:val="bottom"/>
          </w:tcPr>
          <w:p>
            <w:pPr>
              <w:spacing w:after="0"/>
              <w:rPr>
                <w:sz w:val="20"/>
                <w:szCs w:val="20"/>
                <w:color w:val="auto"/>
              </w:rPr>
            </w:pPr>
            <w:r>
              <w:rPr>
                <w:rFonts w:ascii="Arial" w:cs="Arial" w:eastAsia="Arial" w:hAnsi="Arial"/>
                <w:sz w:val="17"/>
                <w:szCs w:val="17"/>
                <w:color w:val="auto"/>
              </w:rPr>
              <w:t>Dwellings for Personal Use (3)</w:t>
            </w:r>
          </w:p>
        </w:tc>
        <w:tc>
          <w:tcPr>
            <w:tcW w:w="3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4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Not Offered</w:t>
            </w:r>
          </w:p>
        </w:tc>
        <w:tc>
          <w:tcPr>
            <w:tcW w:w="4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Not Offered</w:t>
            </w:r>
          </w:p>
        </w:tc>
      </w:tr>
      <w:tr>
        <w:trPr>
          <w:trHeight w:val="378"/>
        </w:trPr>
        <w:tc>
          <w:tcPr>
            <w:tcW w:w="5100" w:type="dxa"/>
            <w:vAlign w:val="bottom"/>
          </w:tcPr>
          <w:p>
            <w:pPr>
              <w:spacing w:after="0"/>
              <w:rPr>
                <w:sz w:val="24"/>
                <w:szCs w:val="24"/>
                <w:color w:val="auto"/>
              </w:rPr>
            </w:pPr>
          </w:p>
        </w:tc>
        <w:tc>
          <w:tcPr>
            <w:tcW w:w="2260" w:type="dxa"/>
            <w:vAlign w:val="bottom"/>
            <w:gridSpan w:val="2"/>
          </w:tcPr>
          <w:p>
            <w:pPr>
              <w:jc w:val="right"/>
              <w:ind w:right="1455"/>
              <w:spacing w:after="0"/>
              <w:rPr>
                <w:sz w:val="20"/>
                <w:szCs w:val="20"/>
                <w:color w:val="auto"/>
              </w:rPr>
            </w:pPr>
            <w:r>
              <w:rPr>
                <w:rFonts w:ascii="Arial" w:cs="Arial" w:eastAsia="Arial" w:hAnsi="Arial"/>
                <w:sz w:val="17"/>
                <w:szCs w:val="17"/>
                <w:color w:val="auto"/>
              </w:rPr>
              <w:t>23</w:t>
            </w: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5"/>
        </w:trPr>
        <w:tc>
          <w:tcPr>
            <w:tcW w:w="51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8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8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4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13061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74" w:lineRule="exact"/>
        <w:rPr>
          <w:sz w:val="20"/>
          <w:szCs w:val="20"/>
          <w:color w:val="auto"/>
        </w:rPr>
      </w:pPr>
    </w:p>
    <w:p>
      <w:pPr>
        <w:ind w:left="480" w:hanging="476"/>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provide our officers with a limited financial planning allowance via taxable reimbursement for financial planning services.</w:t>
      </w:r>
    </w:p>
    <w:p>
      <w:pPr>
        <w:spacing w:after="0" w:line="64" w:lineRule="exact"/>
        <w:rPr>
          <w:rFonts w:ascii="Arial" w:cs="Arial" w:eastAsia="Arial" w:hAnsi="Arial"/>
          <w:sz w:val="17"/>
          <w:szCs w:val="17"/>
          <w:color w:val="auto"/>
        </w:rPr>
      </w:pPr>
    </w:p>
    <w:p>
      <w:pPr>
        <w:jc w:val="both"/>
        <w:ind w:left="480" w:right="40" w:hanging="476"/>
        <w:spacing w:after="0" w:line="256"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Certain sales and management personnel receive an automobile allowance. Other employees receive reimbursement, in accordance with the Internal Revenue Code, of various costs incurred in connection with the utilization of their personal vehicles in connection with business travel.</w:t>
      </w:r>
    </w:p>
    <w:p>
      <w:pPr>
        <w:spacing w:after="0" w:line="38" w:lineRule="exact"/>
        <w:rPr>
          <w:rFonts w:ascii="Arial" w:cs="Arial" w:eastAsia="Arial" w:hAnsi="Arial"/>
          <w:sz w:val="17"/>
          <w:szCs w:val="17"/>
          <w:color w:val="auto"/>
        </w:rPr>
      </w:pPr>
    </w:p>
    <w:p>
      <w:pPr>
        <w:ind w:left="480" w:hanging="476"/>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do not provide dwellings for personal use except for temporary job relocation housing.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12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following table reflects the grant of plan-based awards in fiscal 2010 to the Named Executives, and sets forth information on possible payouts to the Named Executives under our Performance Bonus Plan for fiscal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Grant</w:t>
            </w:r>
          </w:p>
        </w:tc>
      </w:tr>
      <w:tr>
        <w:trPr>
          <w:trHeight w:val="156"/>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9"/>
              </w:rPr>
              <w:t>All Other</w:t>
            </w:r>
          </w:p>
        </w:tc>
        <w:tc>
          <w:tcPr>
            <w:tcW w:w="2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4"/>
                <w:szCs w:val="14"/>
                <w:color w:val="auto"/>
                <w:w w:val="99"/>
              </w:rPr>
              <w:t>All Other</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Arial" w:cs="Arial" w:eastAsia="Arial" w:hAnsi="Arial"/>
                <w:sz w:val="14"/>
                <w:szCs w:val="14"/>
                <w:color w:val="auto"/>
              </w:rPr>
              <w:t>Date</w:t>
            </w:r>
          </w:p>
        </w:tc>
      </w:tr>
      <w:tr>
        <w:trPr>
          <w:trHeight w:val="156"/>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center"/>
              <w:spacing w:after="0" w:line="156" w:lineRule="exact"/>
              <w:rPr>
                <w:sz w:val="20"/>
                <w:szCs w:val="20"/>
                <w:color w:val="auto"/>
              </w:rPr>
            </w:pPr>
            <w:r>
              <w:rPr>
                <w:rFonts w:ascii="Arial" w:cs="Arial" w:eastAsia="Arial" w:hAnsi="Arial"/>
                <w:sz w:val="14"/>
                <w:szCs w:val="14"/>
                <w:color w:val="auto"/>
                <w:w w:val="99"/>
              </w:rPr>
              <w:t>Estimated Future</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rPr>
              <w:t>Stock</w:t>
            </w:r>
          </w:p>
        </w:tc>
        <w:tc>
          <w:tcPr>
            <w:tcW w:w="2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4"/>
                <w:szCs w:val="14"/>
                <w:color w:val="auto"/>
              </w:rPr>
              <w:t>Option</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Arial" w:cs="Arial" w:eastAsia="Arial" w:hAnsi="Arial"/>
                <w:sz w:val="14"/>
                <w:szCs w:val="14"/>
                <w:color w:val="auto"/>
                <w:w w:val="99"/>
              </w:rPr>
              <w:t>Fair</w:t>
            </w:r>
          </w:p>
        </w:tc>
      </w:tr>
      <w:tr>
        <w:trPr>
          <w:trHeight w:val="156"/>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center"/>
              <w:spacing w:after="0" w:line="156" w:lineRule="exact"/>
              <w:rPr>
                <w:sz w:val="20"/>
                <w:szCs w:val="20"/>
                <w:color w:val="auto"/>
              </w:rPr>
            </w:pPr>
            <w:r>
              <w:rPr>
                <w:rFonts w:ascii="Arial" w:cs="Arial" w:eastAsia="Arial" w:hAnsi="Arial"/>
                <w:sz w:val="14"/>
                <w:szCs w:val="14"/>
                <w:color w:val="auto"/>
                <w:w w:val="99"/>
              </w:rPr>
              <w:t>Payouts Under Non-</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8"/>
              </w:rPr>
              <w:t>Awards:</w:t>
            </w:r>
          </w:p>
        </w:tc>
        <w:tc>
          <w:tcPr>
            <w:tcW w:w="2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4"/>
                <w:szCs w:val="14"/>
                <w:color w:val="auto"/>
                <w:w w:val="98"/>
              </w:rPr>
              <w:t>Awards:</w:t>
            </w:r>
          </w:p>
        </w:tc>
        <w:tc>
          <w:tcPr>
            <w:tcW w:w="22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Arial" w:cs="Arial" w:eastAsia="Arial" w:hAnsi="Arial"/>
                <w:sz w:val="14"/>
                <w:szCs w:val="14"/>
                <w:color w:val="auto"/>
              </w:rPr>
              <w:t>Exercise</w:t>
            </w:r>
          </w:p>
        </w:tc>
        <w:tc>
          <w:tcPr>
            <w:tcW w:w="22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Arial" w:cs="Arial" w:eastAsia="Arial" w:hAnsi="Arial"/>
                <w:sz w:val="14"/>
                <w:szCs w:val="14"/>
                <w:color w:val="auto"/>
                <w:w w:val="97"/>
              </w:rPr>
              <w:t>Value of</w:t>
            </w:r>
          </w:p>
        </w:tc>
      </w:tr>
      <w:tr>
        <w:trPr>
          <w:trHeight w:val="156"/>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center"/>
              <w:spacing w:after="0" w:line="156" w:lineRule="exact"/>
              <w:rPr>
                <w:sz w:val="20"/>
                <w:szCs w:val="20"/>
                <w:color w:val="auto"/>
              </w:rPr>
            </w:pPr>
            <w:r>
              <w:rPr>
                <w:rFonts w:ascii="Arial" w:cs="Arial" w:eastAsia="Arial" w:hAnsi="Arial"/>
                <w:sz w:val="14"/>
                <w:szCs w:val="14"/>
                <w:color w:val="auto"/>
                <w:w w:val="99"/>
              </w:rPr>
              <w:t>Equity Incentive Plan</w:t>
            </w:r>
          </w:p>
        </w:tc>
        <w:tc>
          <w:tcPr>
            <w:tcW w:w="220" w:type="dxa"/>
            <w:vAlign w:val="bottom"/>
          </w:tcPr>
          <w:p>
            <w:pPr>
              <w:spacing w:after="0"/>
              <w:rPr>
                <w:sz w:val="13"/>
                <w:szCs w:val="13"/>
                <w:color w:val="auto"/>
              </w:rPr>
            </w:pPr>
          </w:p>
        </w:tc>
        <w:tc>
          <w:tcPr>
            <w:tcW w:w="1800" w:type="dxa"/>
            <w:vAlign w:val="bottom"/>
            <w:tcBorders>
              <w:right w:val="single" w:sz="8" w:color="auto"/>
            </w:tcBorders>
            <w:gridSpan w:val="4"/>
          </w:tcPr>
          <w:p>
            <w:pPr>
              <w:jc w:val="center"/>
              <w:ind w:right="100"/>
              <w:spacing w:after="0" w:line="156" w:lineRule="exact"/>
              <w:rPr>
                <w:sz w:val="20"/>
                <w:szCs w:val="20"/>
                <w:color w:val="auto"/>
              </w:rPr>
            </w:pPr>
            <w:r>
              <w:rPr>
                <w:rFonts w:ascii="Arial" w:cs="Arial" w:eastAsia="Arial" w:hAnsi="Arial"/>
                <w:sz w:val="14"/>
                <w:szCs w:val="14"/>
                <w:color w:val="auto"/>
                <w:w w:val="99"/>
              </w:rPr>
              <w:t>Estimated Future</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6"/>
              </w:rPr>
              <w:t>Number</w:t>
            </w:r>
          </w:p>
        </w:tc>
        <w:tc>
          <w:tcPr>
            <w:tcW w:w="2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Arial" w:cs="Arial" w:eastAsia="Arial" w:hAnsi="Arial"/>
                <w:sz w:val="14"/>
                <w:szCs w:val="14"/>
                <w:color w:val="auto"/>
                <w:w w:val="99"/>
              </w:rPr>
              <w:t>or Base</w:t>
            </w:r>
          </w:p>
        </w:tc>
        <w:tc>
          <w:tcPr>
            <w:tcW w:w="22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Arial" w:cs="Arial" w:eastAsia="Arial" w:hAnsi="Arial"/>
                <w:sz w:val="14"/>
                <w:szCs w:val="14"/>
                <w:color w:val="auto"/>
                <w:w w:val="96"/>
              </w:rPr>
              <w:t>Stock</w:t>
            </w:r>
          </w:p>
        </w:tc>
      </w:tr>
      <w:tr>
        <w:trPr>
          <w:trHeight w:val="156"/>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gridSpan w:val="2"/>
          </w:tcPr>
          <w:p>
            <w:pPr>
              <w:jc w:val="center"/>
              <w:ind w:right="591"/>
              <w:spacing w:after="0" w:line="156" w:lineRule="exact"/>
              <w:rPr>
                <w:sz w:val="20"/>
                <w:szCs w:val="20"/>
                <w:color w:val="auto"/>
              </w:rPr>
            </w:pPr>
            <w:r>
              <w:rPr>
                <w:rFonts w:ascii="Arial" w:cs="Arial" w:eastAsia="Arial" w:hAnsi="Arial"/>
                <w:sz w:val="14"/>
                <w:szCs w:val="14"/>
                <w:color w:val="auto"/>
                <w:w w:val="98"/>
              </w:rPr>
              <w:t>Awards</w:t>
            </w:r>
          </w:p>
        </w:tc>
        <w:tc>
          <w:tcPr>
            <w:tcW w:w="220" w:type="dxa"/>
            <w:vAlign w:val="bottom"/>
          </w:tcPr>
          <w:p>
            <w:pPr>
              <w:spacing w:after="0"/>
              <w:rPr>
                <w:sz w:val="13"/>
                <w:szCs w:val="13"/>
                <w:color w:val="auto"/>
              </w:rPr>
            </w:pPr>
          </w:p>
        </w:tc>
        <w:tc>
          <w:tcPr>
            <w:tcW w:w="1800" w:type="dxa"/>
            <w:vAlign w:val="bottom"/>
            <w:tcBorders>
              <w:right w:val="single" w:sz="8" w:color="auto"/>
            </w:tcBorders>
            <w:gridSpan w:val="4"/>
          </w:tcPr>
          <w:p>
            <w:pPr>
              <w:jc w:val="center"/>
              <w:ind w:right="100"/>
              <w:spacing w:after="0" w:line="156" w:lineRule="exact"/>
              <w:rPr>
                <w:sz w:val="20"/>
                <w:szCs w:val="20"/>
                <w:color w:val="auto"/>
              </w:rPr>
            </w:pPr>
            <w:r>
              <w:rPr>
                <w:rFonts w:ascii="Arial" w:cs="Arial" w:eastAsia="Arial" w:hAnsi="Arial"/>
                <w:sz w:val="14"/>
                <w:szCs w:val="14"/>
                <w:color w:val="auto"/>
                <w:w w:val="98"/>
              </w:rPr>
              <w:t>Payouts Under Equity</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rPr>
              <w:t>of</w:t>
            </w:r>
          </w:p>
        </w:tc>
        <w:tc>
          <w:tcPr>
            <w:tcW w:w="2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Arial" w:cs="Arial" w:eastAsia="Arial" w:hAnsi="Arial"/>
                <w:sz w:val="14"/>
                <w:szCs w:val="14"/>
                <w:color w:val="auto"/>
                <w:w w:val="96"/>
              </w:rPr>
              <w:t>Price of</w:t>
            </w:r>
          </w:p>
        </w:tc>
        <w:tc>
          <w:tcPr>
            <w:tcW w:w="22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Arial" w:cs="Arial" w:eastAsia="Arial" w:hAnsi="Arial"/>
                <w:sz w:val="14"/>
                <w:szCs w:val="14"/>
                <w:color w:val="auto"/>
              </w:rPr>
              <w:t>and</w:t>
            </w:r>
          </w:p>
        </w:tc>
      </w:tr>
      <w:tr>
        <w:trPr>
          <w:trHeight w:val="152"/>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gridSpan w:val="2"/>
          </w:tcPr>
          <w:p>
            <w:pPr>
              <w:jc w:val="center"/>
              <w:ind w:right="591"/>
              <w:spacing w:after="0" w:line="152"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800" w:type="dxa"/>
            <w:vAlign w:val="bottom"/>
            <w:tcBorders>
              <w:right w:val="single" w:sz="8" w:color="auto"/>
            </w:tcBorders>
            <w:gridSpan w:val="4"/>
          </w:tcPr>
          <w:p>
            <w:pPr>
              <w:jc w:val="center"/>
              <w:ind w:right="100"/>
              <w:spacing w:after="0" w:line="152" w:lineRule="exact"/>
              <w:rPr>
                <w:sz w:val="20"/>
                <w:szCs w:val="20"/>
                <w:color w:val="auto"/>
              </w:rPr>
            </w:pPr>
            <w:r>
              <w:rPr>
                <w:rFonts w:ascii="Arial" w:cs="Arial" w:eastAsia="Arial" w:hAnsi="Arial"/>
                <w:sz w:val="14"/>
                <w:szCs w:val="14"/>
                <w:color w:val="auto"/>
                <w:w w:val="99"/>
              </w:rPr>
              <w:t>Incentive Plan Awards</w:t>
            </w:r>
          </w:p>
        </w:tc>
        <w:tc>
          <w:tcPr>
            <w:tcW w:w="100" w:type="dxa"/>
            <w:vAlign w:val="bottom"/>
          </w:tcPr>
          <w:p>
            <w:pPr>
              <w:spacing w:after="0"/>
              <w:rPr>
                <w:sz w:val="13"/>
                <w:szCs w:val="13"/>
                <w:color w:val="auto"/>
              </w:rPr>
            </w:pPr>
          </w:p>
        </w:tc>
        <w:tc>
          <w:tcPr>
            <w:tcW w:w="1260" w:type="dxa"/>
            <w:vAlign w:val="bottom"/>
          </w:tcPr>
          <w:p>
            <w:pPr>
              <w:jc w:val="center"/>
              <w:spacing w:after="0" w:line="152" w:lineRule="exact"/>
              <w:rPr>
                <w:sz w:val="20"/>
                <w:szCs w:val="20"/>
                <w:color w:val="auto"/>
              </w:rPr>
            </w:pPr>
            <w:r>
              <w:rPr>
                <w:rFonts w:ascii="Arial" w:cs="Arial" w:eastAsia="Arial" w:hAnsi="Arial"/>
                <w:sz w:val="14"/>
                <w:szCs w:val="14"/>
                <w:color w:val="auto"/>
                <w:w w:val="99"/>
              </w:rPr>
              <w:t>Shares of Stock</w:t>
            </w:r>
          </w:p>
        </w:tc>
        <w:tc>
          <w:tcPr>
            <w:tcW w:w="220" w:type="dxa"/>
            <w:vAlign w:val="bottom"/>
          </w:tcPr>
          <w:p>
            <w:pPr>
              <w:spacing w:after="0"/>
              <w:rPr>
                <w:sz w:val="13"/>
                <w:szCs w:val="13"/>
                <w:color w:val="auto"/>
              </w:rPr>
            </w:pPr>
          </w:p>
        </w:tc>
        <w:tc>
          <w:tcPr>
            <w:tcW w:w="660" w:type="dxa"/>
            <w:vAlign w:val="bottom"/>
          </w:tcPr>
          <w:p>
            <w:pPr>
              <w:jc w:val="center"/>
              <w:spacing w:after="0" w:line="152" w:lineRule="exact"/>
              <w:rPr>
                <w:sz w:val="20"/>
                <w:szCs w:val="20"/>
                <w:color w:val="auto"/>
              </w:rPr>
            </w:pPr>
            <w:r>
              <w:rPr>
                <w:rFonts w:ascii="Arial" w:cs="Arial" w:eastAsia="Arial" w:hAnsi="Arial"/>
                <w:sz w:val="14"/>
                <w:szCs w:val="14"/>
                <w:color w:val="auto"/>
                <w:w w:val="98"/>
              </w:rPr>
              <w:t>Underlying</w:t>
            </w:r>
          </w:p>
        </w:tc>
        <w:tc>
          <w:tcPr>
            <w:tcW w:w="220" w:type="dxa"/>
            <w:vAlign w:val="bottom"/>
          </w:tcPr>
          <w:p>
            <w:pPr>
              <w:spacing w:after="0"/>
              <w:rPr>
                <w:sz w:val="13"/>
                <w:szCs w:val="13"/>
                <w:color w:val="auto"/>
              </w:rPr>
            </w:pPr>
          </w:p>
        </w:tc>
        <w:tc>
          <w:tcPr>
            <w:tcW w:w="620" w:type="dxa"/>
            <w:vAlign w:val="bottom"/>
          </w:tcPr>
          <w:p>
            <w:pPr>
              <w:jc w:val="center"/>
              <w:spacing w:after="0" w:line="152" w:lineRule="exact"/>
              <w:rPr>
                <w:sz w:val="20"/>
                <w:szCs w:val="20"/>
                <w:color w:val="auto"/>
              </w:rPr>
            </w:pPr>
            <w:r>
              <w:rPr>
                <w:rFonts w:ascii="Arial" w:cs="Arial" w:eastAsia="Arial" w:hAnsi="Arial"/>
                <w:sz w:val="14"/>
                <w:szCs w:val="14"/>
                <w:color w:val="auto"/>
              </w:rPr>
              <w:t>Option</w:t>
            </w:r>
          </w:p>
        </w:tc>
        <w:tc>
          <w:tcPr>
            <w:tcW w:w="22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color w:val="auto"/>
                <w:w w:val="96"/>
              </w:rPr>
              <w:t>Option</w:t>
            </w:r>
          </w:p>
        </w:tc>
      </w:tr>
      <w:tr>
        <w:trPr>
          <w:trHeight w:val="154"/>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60"/>
              <w:spacing w:after="0" w:line="154" w:lineRule="exact"/>
              <w:rPr>
                <w:sz w:val="20"/>
                <w:szCs w:val="20"/>
                <w:color w:val="auto"/>
              </w:rPr>
            </w:pPr>
            <w:r>
              <w:rPr>
                <w:rFonts w:ascii="Arial" w:cs="Arial" w:eastAsia="Arial" w:hAnsi="Arial"/>
                <w:sz w:val="14"/>
                <w:szCs w:val="14"/>
                <w:color w:val="auto"/>
              </w:rPr>
              <w:t>Grant</w:t>
            </w:r>
          </w:p>
        </w:tc>
        <w:tc>
          <w:tcPr>
            <w:tcW w:w="66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4"/>
                <w:szCs w:val="14"/>
                <w:color w:val="auto"/>
                <w:w w:val="99"/>
              </w:rPr>
              <w:t>Threshold</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1"/>
              <w:spacing w:after="0" w:line="154" w:lineRule="exact"/>
              <w:rPr>
                <w:sz w:val="20"/>
                <w:szCs w:val="20"/>
                <w:color w:val="auto"/>
              </w:rPr>
            </w:pPr>
            <w:r>
              <w:rPr>
                <w:rFonts w:ascii="Arial" w:cs="Arial" w:eastAsia="Arial" w:hAnsi="Arial"/>
                <w:sz w:val="14"/>
                <w:szCs w:val="14"/>
                <w:color w:val="auto"/>
              </w:rPr>
              <w:t>Maximum</w:t>
            </w:r>
          </w:p>
        </w:tc>
        <w:tc>
          <w:tcPr>
            <w:tcW w:w="220" w:type="dxa"/>
            <w:vAlign w:val="bottom"/>
          </w:tcPr>
          <w:p>
            <w:pPr>
              <w:spacing w:after="0"/>
              <w:rPr>
                <w:sz w:val="13"/>
                <w:szCs w:val="13"/>
                <w:color w:val="auto"/>
              </w:rPr>
            </w:pPr>
          </w:p>
        </w:tc>
        <w:tc>
          <w:tcPr>
            <w:tcW w:w="66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4"/>
                <w:szCs w:val="14"/>
                <w:color w:val="auto"/>
                <w:w w:val="99"/>
              </w:rPr>
              <w:t>Threshold</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line="154" w:lineRule="exact"/>
              <w:rPr>
                <w:sz w:val="20"/>
                <w:szCs w:val="20"/>
                <w:color w:val="auto"/>
              </w:rPr>
            </w:pPr>
            <w:r>
              <w:rPr>
                <w:rFonts w:ascii="Arial" w:cs="Arial" w:eastAsia="Arial" w:hAnsi="Arial"/>
                <w:sz w:val="14"/>
                <w:szCs w:val="14"/>
                <w:color w:val="auto"/>
                <w:w w:val="99"/>
              </w:rPr>
              <w:t>or Units</w:t>
            </w:r>
          </w:p>
        </w:tc>
        <w:tc>
          <w:tcPr>
            <w:tcW w:w="220" w:type="dxa"/>
            <w:vAlign w:val="bottom"/>
          </w:tcPr>
          <w:p>
            <w:pPr>
              <w:spacing w:after="0"/>
              <w:rPr>
                <w:sz w:val="13"/>
                <w:szCs w:val="13"/>
                <w:color w:val="auto"/>
              </w:rPr>
            </w:pPr>
          </w:p>
        </w:tc>
        <w:tc>
          <w:tcPr>
            <w:tcW w:w="660" w:type="dxa"/>
            <w:vAlign w:val="bottom"/>
          </w:tcPr>
          <w:p>
            <w:pPr>
              <w:jc w:val="center"/>
              <w:spacing w:after="0" w:line="154" w:lineRule="exact"/>
              <w:rPr>
                <w:sz w:val="20"/>
                <w:szCs w:val="20"/>
                <w:color w:val="auto"/>
              </w:rPr>
            </w:pPr>
            <w:r>
              <w:rPr>
                <w:rFonts w:ascii="Arial" w:cs="Arial" w:eastAsia="Arial" w:hAnsi="Arial"/>
                <w:sz w:val="14"/>
                <w:szCs w:val="14"/>
                <w:color w:val="auto"/>
                <w:w w:val="99"/>
              </w:rPr>
              <w:t>Options</w:t>
            </w:r>
          </w:p>
        </w:tc>
        <w:tc>
          <w:tcPr>
            <w:tcW w:w="220" w:type="dxa"/>
            <w:vAlign w:val="bottom"/>
          </w:tcPr>
          <w:p>
            <w:pPr>
              <w:spacing w:after="0"/>
              <w:rPr>
                <w:sz w:val="13"/>
                <w:szCs w:val="13"/>
                <w:color w:val="auto"/>
              </w:rPr>
            </w:pP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w w:val="98"/>
              </w:rPr>
              <w:t>Awards</w:t>
            </w:r>
          </w:p>
        </w:tc>
        <w:tc>
          <w:tcPr>
            <w:tcW w:w="220" w:type="dxa"/>
            <w:vAlign w:val="bottom"/>
          </w:tcPr>
          <w:p>
            <w:pPr>
              <w:spacing w:after="0"/>
              <w:rPr>
                <w:sz w:val="13"/>
                <w:szCs w:val="13"/>
                <w:color w:val="auto"/>
              </w:rPr>
            </w:pPr>
          </w:p>
        </w:tc>
        <w:tc>
          <w:tcPr>
            <w:tcW w:w="940" w:type="dxa"/>
            <w:vAlign w:val="bottom"/>
          </w:tcPr>
          <w:p>
            <w:pPr>
              <w:jc w:val="center"/>
              <w:spacing w:after="0" w:line="154" w:lineRule="exact"/>
              <w:rPr>
                <w:sz w:val="20"/>
                <w:szCs w:val="20"/>
                <w:color w:val="auto"/>
              </w:rPr>
            </w:pPr>
            <w:r>
              <w:rPr>
                <w:rFonts w:ascii="Arial" w:cs="Arial" w:eastAsia="Arial" w:hAnsi="Arial"/>
                <w:sz w:val="14"/>
                <w:szCs w:val="14"/>
                <w:color w:val="auto"/>
                <w:w w:val="98"/>
              </w:rPr>
              <w:t>Awards</w:t>
            </w:r>
          </w:p>
        </w:tc>
      </w:tr>
      <w:tr>
        <w:trPr>
          <w:trHeight w:val="152"/>
        </w:trPr>
        <w:tc>
          <w:tcPr>
            <w:tcW w:w="162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Name</w:t>
            </w:r>
          </w:p>
        </w:tc>
        <w:tc>
          <w:tcPr>
            <w:tcW w:w="200" w:type="dxa"/>
            <w:vAlign w:val="bottom"/>
          </w:tcPr>
          <w:p>
            <w:pPr>
              <w:spacing w:after="0"/>
              <w:rPr>
                <w:sz w:val="13"/>
                <w:szCs w:val="13"/>
                <w:color w:val="auto"/>
              </w:rPr>
            </w:pPr>
          </w:p>
        </w:tc>
        <w:tc>
          <w:tcPr>
            <w:tcW w:w="1040" w:type="dxa"/>
            <w:vAlign w:val="bottom"/>
            <w:tcBorders>
              <w:bottom w:val="single" w:sz="8" w:color="auto"/>
            </w:tcBorders>
          </w:tcPr>
          <w:p>
            <w:pPr>
              <w:jc w:val="right"/>
              <w:ind w:right="291"/>
              <w:spacing w:after="0" w:line="152" w:lineRule="exact"/>
              <w:rPr>
                <w:sz w:val="20"/>
                <w:szCs w:val="20"/>
                <w:color w:val="auto"/>
              </w:rPr>
            </w:pPr>
            <w:r>
              <w:rPr>
                <w:rFonts w:ascii="Arial" w:cs="Arial" w:eastAsia="Arial" w:hAnsi="Arial"/>
                <w:sz w:val="14"/>
                <w:szCs w:val="14"/>
                <w:color w:val="auto"/>
              </w:rPr>
              <w:t>Date</w:t>
            </w:r>
          </w:p>
        </w:tc>
        <w:tc>
          <w:tcPr>
            <w:tcW w:w="240" w:type="dxa"/>
            <w:vAlign w:val="bottom"/>
          </w:tcPr>
          <w:p>
            <w:pPr>
              <w:spacing w:after="0"/>
              <w:rPr>
                <w:sz w:val="13"/>
                <w:szCs w:val="13"/>
                <w:color w:val="auto"/>
              </w:rPr>
            </w:pPr>
          </w:p>
        </w:tc>
        <w:tc>
          <w:tcPr>
            <w:tcW w:w="660" w:type="dxa"/>
            <w:vAlign w:val="bottom"/>
            <w:tcBorders>
              <w:bottom w:val="single" w:sz="8" w:color="auto"/>
            </w:tcBorders>
          </w:tcPr>
          <w:p>
            <w:pPr>
              <w:ind w:left="240"/>
              <w:spacing w:after="0" w:line="15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tcBorders>
              <w:bottom w:val="single" w:sz="8" w:color="auto"/>
            </w:tcBorders>
          </w:tcPr>
          <w:p>
            <w:pPr>
              <w:jc w:val="right"/>
              <w:ind w:right="331"/>
              <w:spacing w:after="0" w:line="152" w:lineRule="exact"/>
              <w:rPr>
                <w:sz w:val="20"/>
                <w:szCs w:val="20"/>
                <w:color w:val="auto"/>
              </w:rPr>
            </w:pPr>
            <w:r>
              <w:rPr>
                <w:rFonts w:ascii="Arial" w:cs="Arial" w:eastAsia="Arial" w:hAnsi="Arial"/>
                <w:sz w:val="14"/>
                <w:szCs w:val="14"/>
                <w:color w:val="auto"/>
              </w:rPr>
              <w:t>(2) ($)</w:t>
            </w:r>
          </w:p>
        </w:tc>
        <w:tc>
          <w:tcPr>
            <w:tcW w:w="220" w:type="dxa"/>
            <w:vAlign w:val="bottom"/>
          </w:tcPr>
          <w:p>
            <w:pPr>
              <w:spacing w:after="0"/>
              <w:rPr>
                <w:sz w:val="13"/>
                <w:szCs w:val="13"/>
                <w:color w:val="auto"/>
              </w:rPr>
            </w:pPr>
          </w:p>
        </w:tc>
        <w:tc>
          <w:tcPr>
            <w:tcW w:w="660" w:type="dxa"/>
            <w:vAlign w:val="bottom"/>
            <w:tcBorders>
              <w:bottom w:val="single" w:sz="8" w:color="auto"/>
            </w:tcBorders>
          </w:tcPr>
          <w:p>
            <w:pPr>
              <w:ind w:left="240"/>
              <w:spacing w:after="0" w:line="15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97"/>
              </w:rPr>
              <w:t>Maximum (#)</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3"/>
              </w:rPr>
              <w:t>(#)</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($/Sh)</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3"/>
              </w:rPr>
              <w:t>($)</w:t>
            </w:r>
          </w:p>
        </w:tc>
      </w:tr>
      <w:tr>
        <w:trPr>
          <w:trHeight w:val="188"/>
        </w:trPr>
        <w:tc>
          <w:tcPr>
            <w:tcW w:w="1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Michael B. Glenn</w:t>
            </w:r>
          </w:p>
        </w:tc>
        <w:tc>
          <w:tcPr>
            <w:tcW w:w="1240" w:type="dxa"/>
            <w:vAlign w:val="bottom"/>
            <w:gridSpan w:val="2"/>
            <w:shd w:val="clear" w:color="auto" w:fill="CCEEFF"/>
          </w:tcPr>
          <w:p>
            <w:pPr>
              <w:jc w:val="right"/>
              <w:ind w:right="131"/>
              <w:spacing w:after="0" w:line="189" w:lineRule="exact"/>
              <w:rPr>
                <w:sz w:val="20"/>
                <w:szCs w:val="20"/>
                <w:color w:val="auto"/>
              </w:rPr>
            </w:pPr>
            <w:r>
              <w:rPr>
                <w:rFonts w:ascii="Arial" w:cs="Arial" w:eastAsia="Arial" w:hAnsi="Arial"/>
                <w:sz w:val="17"/>
                <w:szCs w:val="17"/>
                <w:color w:val="auto"/>
              </w:rPr>
              <w:t>02/01/10</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0</w:t>
            </w:r>
          </w:p>
        </w:tc>
        <w:tc>
          <w:tcPr>
            <w:tcW w:w="1400" w:type="dxa"/>
            <w:vAlign w:val="bottom"/>
            <w:gridSpan w:val="2"/>
            <w:shd w:val="clear" w:color="auto" w:fill="CCEEFF"/>
          </w:tcPr>
          <w:p>
            <w:pPr>
              <w:jc w:val="right"/>
              <w:ind w:right="151"/>
              <w:spacing w:after="0" w:line="189" w:lineRule="exact"/>
              <w:rPr>
                <w:sz w:val="20"/>
                <w:szCs w:val="20"/>
                <w:color w:val="auto"/>
              </w:rPr>
            </w:pPr>
            <w:r>
              <w:rPr>
                <w:rFonts w:ascii="Arial" w:cs="Arial" w:eastAsia="Arial" w:hAnsi="Arial"/>
                <w:sz w:val="17"/>
                <w:szCs w:val="17"/>
                <w:color w:val="auto"/>
              </w:rPr>
              <w:t>$1,062,329</w:t>
            </w:r>
          </w:p>
        </w:tc>
        <w:tc>
          <w:tcPr>
            <w:tcW w:w="88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331"/>
              <w:spacing w:after="0" w:line="189" w:lineRule="exact"/>
              <w:rPr>
                <w:sz w:val="20"/>
                <w:szCs w:val="20"/>
                <w:color w:val="auto"/>
              </w:rPr>
            </w:pPr>
            <w:r>
              <w:rPr>
                <w:rFonts w:ascii="Arial" w:cs="Arial" w:eastAsia="Arial" w:hAnsi="Arial"/>
                <w:sz w:val="17"/>
                <w:szCs w:val="17"/>
                <w:color w:val="auto"/>
              </w:rPr>
              <w:t>0</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4"/>
              <w:spacing w:after="0" w:line="189" w:lineRule="exact"/>
              <w:rPr>
                <w:sz w:val="20"/>
                <w:szCs w:val="20"/>
                <w:color w:val="auto"/>
              </w:rPr>
            </w:pPr>
            <w:r>
              <w:rPr>
                <w:rFonts w:ascii="Arial" w:cs="Arial" w:eastAsia="Arial" w:hAnsi="Arial"/>
                <w:sz w:val="17"/>
                <w:szCs w:val="17"/>
                <w:color w:val="auto"/>
              </w:rPr>
              <w:t>2,000</w:t>
            </w:r>
          </w:p>
        </w:tc>
        <w:tc>
          <w:tcPr>
            <w:tcW w:w="880" w:type="dxa"/>
            <w:vAlign w:val="bottom"/>
            <w:gridSpan w:val="2"/>
            <w:shd w:val="clear" w:color="auto" w:fill="CCEEFF"/>
          </w:tcPr>
          <w:p>
            <w:pPr>
              <w:jc w:val="right"/>
              <w:ind w:right="271"/>
              <w:spacing w:after="0" w:line="189" w:lineRule="exact"/>
              <w:rPr>
                <w:sz w:val="20"/>
                <w:szCs w:val="20"/>
                <w:color w:val="auto"/>
              </w:rPr>
            </w:pPr>
            <w:r>
              <w:rPr>
                <w:rFonts w:ascii="Arial" w:cs="Arial" w:eastAsia="Arial" w:hAnsi="Arial"/>
                <w:sz w:val="17"/>
                <w:szCs w:val="17"/>
                <w:color w:val="auto"/>
              </w:rPr>
              <w:t>0</w:t>
            </w:r>
          </w:p>
        </w:tc>
        <w:tc>
          <w:tcPr>
            <w:tcW w:w="840" w:type="dxa"/>
            <w:vAlign w:val="bottom"/>
            <w:gridSpan w:val="2"/>
            <w:shd w:val="clear" w:color="auto" w:fill="CCEEFF"/>
          </w:tcPr>
          <w:p>
            <w:pPr>
              <w:jc w:val="right"/>
              <w:ind w:right="231"/>
              <w:spacing w:after="0" w:line="189" w:lineRule="exact"/>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jc w:val="right"/>
              <w:ind w:right="151"/>
              <w:spacing w:after="0" w:line="189" w:lineRule="exact"/>
              <w:rPr>
                <w:sz w:val="20"/>
                <w:szCs w:val="20"/>
                <w:color w:val="auto"/>
              </w:rPr>
            </w:pPr>
            <w:r>
              <w:rPr>
                <w:rFonts w:ascii="Arial" w:cs="Arial" w:eastAsia="Arial" w:hAnsi="Arial"/>
                <w:sz w:val="17"/>
                <w:szCs w:val="17"/>
                <w:color w:val="auto"/>
              </w:rPr>
              <w:t>$67,980</w:t>
            </w:r>
          </w:p>
        </w:tc>
      </w:tr>
      <w:tr>
        <w:trPr>
          <w:trHeight w:val="195"/>
        </w:trPr>
        <w:tc>
          <w:tcPr>
            <w:tcW w:w="1620" w:type="dxa"/>
            <w:vAlign w:val="bottom"/>
          </w:tcPr>
          <w:p>
            <w:pPr>
              <w:spacing w:after="0"/>
              <w:rPr>
                <w:sz w:val="20"/>
                <w:szCs w:val="20"/>
                <w:color w:val="auto"/>
              </w:rPr>
            </w:pPr>
            <w:r>
              <w:rPr>
                <w:rFonts w:ascii="Arial" w:cs="Arial" w:eastAsia="Arial" w:hAnsi="Arial"/>
                <w:sz w:val="17"/>
                <w:szCs w:val="17"/>
                <w:color w:val="auto"/>
              </w:rPr>
              <w:t>Michael R. Cole</w:t>
            </w:r>
          </w:p>
        </w:tc>
        <w:tc>
          <w:tcPr>
            <w:tcW w:w="1240" w:type="dxa"/>
            <w:vAlign w:val="bottom"/>
            <w:gridSpan w:val="2"/>
          </w:tcPr>
          <w:p>
            <w:pPr>
              <w:jc w:val="right"/>
              <w:ind w:right="131"/>
              <w:spacing w:after="0"/>
              <w:rPr>
                <w:sz w:val="20"/>
                <w:szCs w:val="20"/>
                <w:color w:val="auto"/>
              </w:rPr>
            </w:pPr>
            <w:r>
              <w:rPr>
                <w:rFonts w:ascii="Arial" w:cs="Arial" w:eastAsia="Arial" w:hAnsi="Arial"/>
                <w:sz w:val="17"/>
                <w:szCs w:val="17"/>
                <w:color w:val="auto"/>
              </w:rPr>
              <w:t>02/01/10</w:t>
            </w:r>
          </w:p>
        </w:tc>
        <w:tc>
          <w:tcPr>
            <w:tcW w:w="24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7"/>
                <w:szCs w:val="17"/>
                <w:color w:val="auto"/>
              </w:rPr>
              <w:t>0</w:t>
            </w:r>
          </w:p>
        </w:tc>
        <w:tc>
          <w:tcPr>
            <w:tcW w:w="1400" w:type="dxa"/>
            <w:vAlign w:val="bottom"/>
            <w:gridSpan w:val="2"/>
          </w:tcPr>
          <w:p>
            <w:pPr>
              <w:jc w:val="right"/>
              <w:ind w:right="151"/>
              <w:spacing w:after="0"/>
              <w:rPr>
                <w:sz w:val="20"/>
                <w:szCs w:val="20"/>
                <w:color w:val="auto"/>
              </w:rPr>
            </w:pPr>
            <w:r>
              <w:rPr>
                <w:rFonts w:ascii="Arial" w:cs="Arial" w:eastAsia="Arial" w:hAnsi="Arial"/>
                <w:sz w:val="17"/>
                <w:szCs w:val="17"/>
                <w:color w:val="auto"/>
              </w:rPr>
              <w:t>513,937</w:t>
            </w:r>
          </w:p>
        </w:tc>
        <w:tc>
          <w:tcPr>
            <w:tcW w:w="880" w:type="dxa"/>
            <w:vAlign w:val="bottom"/>
            <w:gridSpan w:val="2"/>
          </w:tcPr>
          <w:p>
            <w:pPr>
              <w:ind w:left="460"/>
              <w:spacing w:after="0"/>
              <w:rPr>
                <w:sz w:val="20"/>
                <w:szCs w:val="20"/>
                <w:color w:val="auto"/>
              </w:rPr>
            </w:pPr>
            <w:r>
              <w:rPr>
                <w:rFonts w:ascii="Arial" w:cs="Arial" w:eastAsia="Arial" w:hAnsi="Arial"/>
                <w:sz w:val="17"/>
                <w:szCs w:val="17"/>
                <w:color w:val="auto"/>
              </w:rPr>
              <w:t>0</w:t>
            </w:r>
          </w:p>
        </w:tc>
        <w:tc>
          <w:tcPr>
            <w:tcW w:w="104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424"/>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271"/>
              <w:spacing w:after="0"/>
              <w:rPr>
                <w:sz w:val="20"/>
                <w:szCs w:val="20"/>
                <w:color w:val="auto"/>
              </w:rPr>
            </w:pPr>
            <w:r>
              <w:rPr>
                <w:rFonts w:ascii="Arial" w:cs="Arial" w:eastAsia="Arial" w:hAnsi="Arial"/>
                <w:sz w:val="17"/>
                <w:szCs w:val="17"/>
                <w:color w:val="auto"/>
              </w:rPr>
              <w:t>0</w:t>
            </w:r>
          </w:p>
        </w:tc>
        <w:tc>
          <w:tcPr>
            <w:tcW w:w="84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151"/>
              <w:spacing w:after="0"/>
              <w:rPr>
                <w:sz w:val="20"/>
                <w:szCs w:val="20"/>
                <w:color w:val="auto"/>
              </w:rPr>
            </w:pPr>
            <w:r>
              <w:rPr>
                <w:rFonts w:ascii="Arial" w:cs="Arial" w:eastAsia="Arial" w:hAnsi="Arial"/>
                <w:sz w:val="17"/>
                <w:szCs w:val="17"/>
                <w:color w:val="auto"/>
              </w:rPr>
              <w:t>33,990</w:t>
            </w:r>
          </w:p>
        </w:tc>
      </w:tr>
      <w:tr>
        <w:trPr>
          <w:trHeight w:val="195"/>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Patrick M. Webster</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02/01/10</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0</w:t>
            </w:r>
          </w:p>
        </w:tc>
        <w:tc>
          <w:tcPr>
            <w:tcW w:w="1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637,312</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4"/>
              <w:spacing w:after="0"/>
              <w:rPr>
                <w:sz w:val="20"/>
                <w:szCs w:val="20"/>
                <w:color w:val="auto"/>
              </w:rPr>
            </w:pPr>
            <w:r>
              <w:rPr>
                <w:rFonts w:ascii="Arial" w:cs="Arial" w:eastAsia="Arial" w:hAnsi="Arial"/>
                <w:sz w:val="17"/>
                <w:szCs w:val="17"/>
                <w:color w:val="auto"/>
              </w:rPr>
              <w:t>1,500</w:t>
            </w:r>
          </w:p>
        </w:tc>
        <w:tc>
          <w:tcPr>
            <w:tcW w:w="88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0</w:t>
            </w:r>
          </w:p>
        </w:tc>
        <w:tc>
          <w:tcPr>
            <w:tcW w:w="84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50,985</w:t>
            </w:r>
          </w:p>
        </w:tc>
      </w:tr>
      <w:tr>
        <w:trPr>
          <w:trHeight w:val="195"/>
        </w:trPr>
        <w:tc>
          <w:tcPr>
            <w:tcW w:w="1620" w:type="dxa"/>
            <w:vAlign w:val="bottom"/>
          </w:tcPr>
          <w:p>
            <w:pPr>
              <w:spacing w:after="0"/>
              <w:rPr>
                <w:sz w:val="20"/>
                <w:szCs w:val="20"/>
                <w:color w:val="auto"/>
              </w:rPr>
            </w:pPr>
            <w:r>
              <w:rPr>
                <w:rFonts w:ascii="Arial" w:cs="Arial" w:eastAsia="Arial" w:hAnsi="Arial"/>
                <w:sz w:val="17"/>
                <w:szCs w:val="17"/>
                <w:color w:val="auto"/>
              </w:rPr>
              <w:t>C. Scott Greene</w:t>
            </w:r>
          </w:p>
        </w:tc>
        <w:tc>
          <w:tcPr>
            <w:tcW w:w="1240" w:type="dxa"/>
            <w:vAlign w:val="bottom"/>
            <w:gridSpan w:val="2"/>
          </w:tcPr>
          <w:p>
            <w:pPr>
              <w:jc w:val="right"/>
              <w:ind w:right="131"/>
              <w:spacing w:after="0"/>
              <w:rPr>
                <w:sz w:val="20"/>
                <w:szCs w:val="20"/>
                <w:color w:val="auto"/>
              </w:rPr>
            </w:pPr>
            <w:r>
              <w:rPr>
                <w:rFonts w:ascii="Arial" w:cs="Arial" w:eastAsia="Arial" w:hAnsi="Arial"/>
                <w:sz w:val="17"/>
                <w:szCs w:val="17"/>
                <w:color w:val="auto"/>
              </w:rPr>
              <w:t>02/10/10</w:t>
            </w:r>
          </w:p>
        </w:tc>
        <w:tc>
          <w:tcPr>
            <w:tcW w:w="24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7"/>
                <w:szCs w:val="17"/>
                <w:color w:val="auto"/>
              </w:rPr>
              <w:t>0</w:t>
            </w:r>
          </w:p>
        </w:tc>
        <w:tc>
          <w:tcPr>
            <w:tcW w:w="1400" w:type="dxa"/>
            <w:vAlign w:val="bottom"/>
            <w:gridSpan w:val="2"/>
          </w:tcPr>
          <w:p>
            <w:pPr>
              <w:jc w:val="right"/>
              <w:ind w:right="151"/>
              <w:spacing w:after="0"/>
              <w:rPr>
                <w:sz w:val="20"/>
                <w:szCs w:val="20"/>
                <w:color w:val="auto"/>
              </w:rPr>
            </w:pPr>
            <w:r>
              <w:rPr>
                <w:rFonts w:ascii="Arial" w:cs="Arial" w:eastAsia="Arial" w:hAnsi="Arial"/>
                <w:sz w:val="17"/>
                <w:szCs w:val="17"/>
                <w:color w:val="auto"/>
              </w:rPr>
              <w:t>604,062</w:t>
            </w:r>
          </w:p>
        </w:tc>
        <w:tc>
          <w:tcPr>
            <w:tcW w:w="880" w:type="dxa"/>
            <w:vAlign w:val="bottom"/>
            <w:gridSpan w:val="2"/>
          </w:tcPr>
          <w:p>
            <w:pPr>
              <w:ind w:left="460"/>
              <w:spacing w:after="0"/>
              <w:rPr>
                <w:sz w:val="20"/>
                <w:szCs w:val="20"/>
                <w:color w:val="auto"/>
              </w:rPr>
            </w:pPr>
            <w:r>
              <w:rPr>
                <w:rFonts w:ascii="Arial" w:cs="Arial" w:eastAsia="Arial" w:hAnsi="Arial"/>
                <w:sz w:val="17"/>
                <w:szCs w:val="17"/>
                <w:color w:val="auto"/>
              </w:rPr>
              <w:t>0</w:t>
            </w:r>
          </w:p>
        </w:tc>
        <w:tc>
          <w:tcPr>
            <w:tcW w:w="1040" w:type="dxa"/>
            <w:vAlign w:val="bottom"/>
            <w:gridSpan w:val="2"/>
          </w:tcPr>
          <w:p>
            <w:pPr>
              <w:jc w:val="right"/>
              <w:ind w:right="331"/>
              <w:spacing w:after="0"/>
              <w:rPr>
                <w:sz w:val="20"/>
                <w:szCs w:val="20"/>
                <w:color w:val="auto"/>
              </w:rPr>
            </w:pPr>
            <w:r>
              <w:rPr>
                <w:rFonts w:ascii="Arial" w:cs="Arial" w:eastAsia="Arial" w:hAnsi="Arial"/>
                <w:sz w:val="17"/>
                <w:szCs w:val="17"/>
                <w:color w:val="auto"/>
              </w:rPr>
              <w:t>0</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424"/>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271"/>
              <w:spacing w:after="0"/>
              <w:rPr>
                <w:sz w:val="20"/>
                <w:szCs w:val="20"/>
                <w:color w:val="auto"/>
              </w:rPr>
            </w:pPr>
            <w:r>
              <w:rPr>
                <w:rFonts w:ascii="Arial" w:cs="Arial" w:eastAsia="Arial" w:hAnsi="Arial"/>
                <w:sz w:val="17"/>
                <w:szCs w:val="17"/>
                <w:color w:val="auto"/>
              </w:rPr>
              <w:t>0</w:t>
            </w:r>
          </w:p>
        </w:tc>
        <w:tc>
          <w:tcPr>
            <w:tcW w:w="840" w:type="dxa"/>
            <w:vAlign w:val="bottom"/>
            <w:gridSpan w:val="2"/>
          </w:tcPr>
          <w:p>
            <w:pPr>
              <w:jc w:val="right"/>
              <w:ind w:right="231"/>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151"/>
              <w:spacing w:after="0"/>
              <w:rPr>
                <w:sz w:val="20"/>
                <w:szCs w:val="20"/>
                <w:color w:val="auto"/>
              </w:rPr>
            </w:pPr>
            <w:r>
              <w:rPr>
                <w:rFonts w:ascii="Arial" w:cs="Arial" w:eastAsia="Arial" w:hAnsi="Arial"/>
                <w:sz w:val="17"/>
                <w:szCs w:val="17"/>
                <w:color w:val="auto"/>
              </w:rPr>
              <w:t>33,990</w:t>
            </w:r>
          </w:p>
        </w:tc>
      </w:tr>
      <w:tr>
        <w:trPr>
          <w:trHeight w:val="195"/>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Robert W. Lees</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02/10/10</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0</w:t>
            </w:r>
          </w:p>
        </w:tc>
        <w:tc>
          <w:tcPr>
            <w:tcW w:w="1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477,794</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0</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4"/>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0</w:t>
            </w:r>
          </w:p>
        </w:tc>
        <w:tc>
          <w:tcPr>
            <w:tcW w:w="84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33,990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3061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4" w:lineRule="exact"/>
        <w:rPr>
          <w:sz w:val="20"/>
          <w:szCs w:val="20"/>
          <w:color w:val="auto"/>
        </w:rPr>
      </w:pPr>
    </w:p>
    <w:p>
      <w:pPr>
        <w:jc w:val="both"/>
        <w:ind w:left="480" w:right="220" w:hanging="476"/>
        <w:spacing w:after="0" w:line="243"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amounts reported in these columns are not actual awards; rather, they represent the maximum awards that could have been earned by each Named Executive for fiscal 2010 under our Performance Bonus Plan. The actual amount earned by each Named Executive under this plan for fiscal 2010 is reported in the Summary Compensation Table. Amounts earned under this plan are required to be paid within 75 days after our fiscal year-end. For details regarding how awards are determined under the plan, see the “Compensation Discussion and Analysis” section of this Proxy Statement.</w:t>
      </w:r>
    </w:p>
    <w:p>
      <w:pPr>
        <w:spacing w:after="0" w:line="52" w:lineRule="exact"/>
        <w:rPr>
          <w:rFonts w:ascii="Arial" w:cs="Arial" w:eastAsia="Arial" w:hAnsi="Arial"/>
          <w:sz w:val="17"/>
          <w:szCs w:val="17"/>
          <w:color w:val="auto"/>
        </w:rPr>
      </w:pPr>
    </w:p>
    <w:p>
      <w:pPr>
        <w:ind w:left="480" w:hanging="476"/>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amount is 1.75 times base salary for the succeeding year.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equity awards held by the Named Executives as of December 25, 2010: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rPr>
              <w:t>Stock Awards</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7"/>
              </w:rPr>
              <w:t>Equity</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w w:val="96"/>
              </w:rPr>
              <w:t>Incentive</w:t>
            </w:r>
          </w:p>
        </w:tc>
        <w:tc>
          <w:tcPr>
            <w:tcW w:w="16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w w:val="92"/>
              </w:rPr>
              <w:t>Plan</w:t>
            </w:r>
          </w:p>
        </w:tc>
        <w:tc>
          <w:tcPr>
            <w:tcW w:w="16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color w:val="auto"/>
                <w:w w:val="96"/>
              </w:rPr>
              <w:t>Incentive</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w w:val="99"/>
              </w:rPr>
              <w:t>Awards :</w:t>
            </w:r>
          </w:p>
        </w:tc>
        <w:tc>
          <w:tcPr>
            <w:tcW w:w="16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color w:val="auto"/>
                <w:w w:val="99"/>
              </w:rPr>
              <w:t>Plan Awards:</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rPr>
              <w:t>Number of</w:t>
            </w:r>
          </w:p>
        </w:tc>
        <w:tc>
          <w:tcPr>
            <w:tcW w:w="16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color w:val="auto"/>
                <w:w w:val="98"/>
              </w:rPr>
              <w:t>Market or</w:t>
            </w: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color w:val="auto"/>
              </w:rPr>
              <w:t>Option Awards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Number</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Market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Unearned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Payout Value</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color w:val="auto"/>
              </w:rPr>
              <w:t>of Shares</w:t>
            </w:r>
          </w:p>
        </w:tc>
        <w:tc>
          <w:tcPr>
            <w:tcW w:w="14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color w:val="auto"/>
                <w:w w:val="97"/>
              </w:rPr>
              <w:t>Value of</w:t>
            </w:r>
          </w:p>
        </w:tc>
        <w:tc>
          <w:tcPr>
            <w:tcW w:w="16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4"/>
                <w:szCs w:val="14"/>
                <w:color w:val="auto"/>
                <w:w w:val="95"/>
              </w:rPr>
              <w:t>Shares,</w:t>
            </w:r>
          </w:p>
        </w:tc>
        <w:tc>
          <w:tcPr>
            <w:tcW w:w="16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color w:val="auto"/>
              </w:rPr>
              <w:t>of Unearned</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line="154" w:lineRule="exact"/>
              <w:rPr>
                <w:sz w:val="20"/>
                <w:szCs w:val="20"/>
                <w:color w:val="auto"/>
              </w:rPr>
            </w:pPr>
            <w:r>
              <w:rPr>
                <w:rFonts w:ascii="Arial" w:cs="Arial" w:eastAsia="Arial" w:hAnsi="Arial"/>
                <w:sz w:val="14"/>
                <w:szCs w:val="14"/>
                <w:color w:val="auto"/>
                <w:w w:val="97"/>
              </w:rPr>
              <w:t>Number of</w:t>
            </w:r>
          </w:p>
        </w:tc>
        <w:tc>
          <w:tcPr>
            <w:tcW w:w="140" w:type="dxa"/>
            <w:vAlign w:val="bottom"/>
          </w:tcPr>
          <w:p>
            <w:pPr>
              <w:spacing w:after="0"/>
              <w:rPr>
                <w:sz w:val="13"/>
                <w:szCs w:val="13"/>
                <w:color w:val="auto"/>
              </w:rPr>
            </w:pPr>
          </w:p>
        </w:tc>
        <w:tc>
          <w:tcPr>
            <w:tcW w:w="138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w w:val="97"/>
              </w:rPr>
              <w:t>Number of</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Arial" w:cs="Arial" w:eastAsia="Arial" w:hAnsi="Arial"/>
                <w:sz w:val="14"/>
                <w:szCs w:val="14"/>
                <w:color w:val="auto"/>
                <w:w w:val="99"/>
              </w:rPr>
              <w:t>or Units</w:t>
            </w:r>
          </w:p>
        </w:tc>
        <w:tc>
          <w:tcPr>
            <w:tcW w:w="140" w:type="dxa"/>
            <w:vAlign w:val="bottom"/>
          </w:tcPr>
          <w:p>
            <w:pPr>
              <w:spacing w:after="0"/>
              <w:rPr>
                <w:sz w:val="13"/>
                <w:szCs w:val="13"/>
                <w:color w:val="auto"/>
              </w:rPr>
            </w:pPr>
          </w:p>
        </w:tc>
        <w:tc>
          <w:tcPr>
            <w:tcW w:w="800" w:type="dxa"/>
            <w:vAlign w:val="bottom"/>
          </w:tcPr>
          <w:p>
            <w:pPr>
              <w:jc w:val="center"/>
              <w:spacing w:after="0" w:line="154" w:lineRule="exact"/>
              <w:rPr>
                <w:sz w:val="20"/>
                <w:szCs w:val="20"/>
                <w:color w:val="auto"/>
              </w:rPr>
            </w:pPr>
            <w:r>
              <w:rPr>
                <w:rFonts w:ascii="Arial" w:cs="Arial" w:eastAsia="Arial" w:hAnsi="Arial"/>
                <w:sz w:val="14"/>
                <w:szCs w:val="14"/>
                <w:color w:val="auto"/>
                <w:w w:val="98"/>
              </w:rPr>
              <w:t>Shares or</w:t>
            </w:r>
          </w:p>
        </w:tc>
        <w:tc>
          <w:tcPr>
            <w:tcW w:w="160" w:type="dxa"/>
            <w:vAlign w:val="bottom"/>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5"/>
              </w:rPr>
              <w:t>Units or</w:t>
            </w:r>
          </w:p>
        </w:tc>
        <w:tc>
          <w:tcPr>
            <w:tcW w:w="160" w:type="dxa"/>
            <w:vAlign w:val="bottom"/>
          </w:tcPr>
          <w:p>
            <w:pPr>
              <w:spacing w:after="0"/>
              <w:rPr>
                <w:sz w:val="13"/>
                <w:szCs w:val="13"/>
                <w:color w:val="auto"/>
              </w:rPr>
            </w:pPr>
          </w:p>
        </w:tc>
        <w:tc>
          <w:tcPr>
            <w:tcW w:w="1100" w:type="dxa"/>
            <w:vAlign w:val="bottom"/>
          </w:tcPr>
          <w:p>
            <w:pPr>
              <w:jc w:val="center"/>
              <w:spacing w:after="0" w:line="154" w:lineRule="exact"/>
              <w:rPr>
                <w:sz w:val="20"/>
                <w:szCs w:val="20"/>
                <w:color w:val="auto"/>
              </w:rPr>
            </w:pPr>
            <w:r>
              <w:rPr>
                <w:rFonts w:ascii="Arial" w:cs="Arial" w:eastAsia="Arial" w:hAnsi="Arial"/>
                <w:sz w:val="14"/>
                <w:szCs w:val="14"/>
                <w:color w:val="auto"/>
                <w:w w:val="97"/>
              </w:rPr>
              <w:t>Shares, Units</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w w:val="97"/>
              </w:rPr>
              <w:t>Securities</w:t>
            </w:r>
          </w:p>
        </w:tc>
        <w:tc>
          <w:tcPr>
            <w:tcW w:w="140" w:type="dxa"/>
            <w:vAlign w:val="bottom"/>
          </w:tcPr>
          <w:p>
            <w:pPr>
              <w:spacing w:after="0"/>
              <w:rPr>
                <w:sz w:val="13"/>
                <w:szCs w:val="13"/>
                <w:color w:val="auto"/>
              </w:rPr>
            </w:pPr>
          </w:p>
        </w:tc>
        <w:tc>
          <w:tcPr>
            <w:tcW w:w="1380" w:type="dxa"/>
            <w:vAlign w:val="bottom"/>
            <w:gridSpan w:val="2"/>
          </w:tcPr>
          <w:p>
            <w:pPr>
              <w:jc w:val="center"/>
              <w:ind w:right="140"/>
              <w:spacing w:after="0" w:line="156" w:lineRule="exact"/>
              <w:rPr>
                <w:sz w:val="20"/>
                <w:szCs w:val="20"/>
                <w:color w:val="auto"/>
              </w:rPr>
            </w:pPr>
            <w:r>
              <w:rPr>
                <w:rFonts w:ascii="Arial" w:cs="Arial" w:eastAsia="Arial" w:hAnsi="Arial"/>
                <w:sz w:val="14"/>
                <w:szCs w:val="14"/>
                <w:color w:val="auto"/>
                <w:w w:val="97"/>
              </w:rPr>
              <w:t>Securities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8"/>
              </w:rPr>
              <w:t>of Stock</w:t>
            </w:r>
          </w:p>
        </w:tc>
        <w:tc>
          <w:tcPr>
            <w:tcW w:w="14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color w:val="auto"/>
                <w:w w:val="96"/>
              </w:rPr>
              <w:t>Units of</w:t>
            </w:r>
          </w:p>
        </w:tc>
        <w:tc>
          <w:tcPr>
            <w:tcW w:w="1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w w:val="96"/>
              </w:rPr>
              <w:t>Other</w:t>
            </w:r>
          </w:p>
        </w:tc>
        <w:tc>
          <w:tcPr>
            <w:tcW w:w="16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color w:val="auto"/>
                <w:w w:val="97"/>
              </w:rPr>
              <w:t>or Other</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rPr>
              <w:t>Underlying</w:t>
            </w:r>
          </w:p>
        </w:tc>
        <w:tc>
          <w:tcPr>
            <w:tcW w:w="140" w:type="dxa"/>
            <w:vAlign w:val="bottom"/>
          </w:tcPr>
          <w:p>
            <w:pPr>
              <w:spacing w:after="0"/>
              <w:rPr>
                <w:sz w:val="13"/>
                <w:szCs w:val="13"/>
                <w:color w:val="auto"/>
              </w:rPr>
            </w:pPr>
          </w:p>
        </w:tc>
        <w:tc>
          <w:tcPr>
            <w:tcW w:w="1380" w:type="dxa"/>
            <w:vAlign w:val="bottom"/>
            <w:gridSpan w:val="2"/>
          </w:tcPr>
          <w:p>
            <w:pPr>
              <w:jc w:val="center"/>
              <w:ind w:right="160"/>
              <w:spacing w:after="0" w:line="156" w:lineRule="exact"/>
              <w:rPr>
                <w:sz w:val="20"/>
                <w:szCs w:val="20"/>
                <w:color w:val="auto"/>
              </w:rPr>
            </w:pPr>
            <w:r>
              <w:rPr>
                <w:rFonts w:ascii="Arial" w:cs="Arial" w:eastAsia="Arial" w:hAnsi="Arial"/>
                <w:sz w:val="14"/>
                <w:szCs w:val="14"/>
                <w:color w:val="auto"/>
                <w:w w:val="98"/>
              </w:rPr>
              <w:t>Underlying</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9"/>
              </w:rPr>
              <w:t>That</w:t>
            </w:r>
          </w:p>
        </w:tc>
        <w:tc>
          <w:tcPr>
            <w:tcW w:w="14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color w:val="auto"/>
                <w:w w:val="98"/>
              </w:rPr>
              <w:t>Stock That</w:t>
            </w:r>
          </w:p>
        </w:tc>
        <w:tc>
          <w:tcPr>
            <w:tcW w:w="1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w w:val="95"/>
              </w:rPr>
              <w:t>Rights</w:t>
            </w:r>
          </w:p>
        </w:tc>
        <w:tc>
          <w:tcPr>
            <w:tcW w:w="16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color w:val="auto"/>
                <w:w w:val="97"/>
              </w:rPr>
              <w:t>Rights That</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w w:val="97"/>
              </w:rPr>
              <w:t>Unexercised</w:t>
            </w:r>
          </w:p>
        </w:tc>
        <w:tc>
          <w:tcPr>
            <w:tcW w:w="140" w:type="dxa"/>
            <w:vAlign w:val="bottom"/>
          </w:tcPr>
          <w:p>
            <w:pPr>
              <w:spacing w:after="0"/>
              <w:rPr>
                <w:sz w:val="13"/>
                <w:szCs w:val="13"/>
                <w:color w:val="auto"/>
              </w:rPr>
            </w:pPr>
          </w:p>
        </w:tc>
        <w:tc>
          <w:tcPr>
            <w:tcW w:w="1380" w:type="dxa"/>
            <w:vAlign w:val="bottom"/>
            <w:gridSpan w:val="2"/>
          </w:tcPr>
          <w:p>
            <w:pPr>
              <w:jc w:val="center"/>
              <w:ind w:right="160"/>
              <w:spacing w:after="0" w:line="156" w:lineRule="exact"/>
              <w:rPr>
                <w:sz w:val="20"/>
                <w:szCs w:val="20"/>
                <w:color w:val="auto"/>
              </w:rPr>
            </w:pPr>
            <w:r>
              <w:rPr>
                <w:rFonts w:ascii="Arial" w:cs="Arial" w:eastAsia="Arial" w:hAnsi="Arial"/>
                <w:sz w:val="14"/>
                <w:szCs w:val="14"/>
                <w:color w:val="auto"/>
              </w:rPr>
              <w:t>Unexercised</w:t>
            </w:r>
          </w:p>
        </w:tc>
        <w:tc>
          <w:tcPr>
            <w:tcW w:w="700" w:type="dxa"/>
            <w:vAlign w:val="bottom"/>
          </w:tcPr>
          <w:p>
            <w:pPr>
              <w:jc w:val="center"/>
              <w:spacing w:after="0" w:line="156" w:lineRule="exact"/>
              <w:rPr>
                <w:sz w:val="20"/>
                <w:szCs w:val="20"/>
                <w:color w:val="auto"/>
              </w:rPr>
            </w:pPr>
            <w:r>
              <w:rPr>
                <w:rFonts w:ascii="Arial" w:cs="Arial" w:eastAsia="Arial" w:hAnsi="Arial"/>
                <w:sz w:val="14"/>
                <w:szCs w:val="14"/>
                <w:color w:val="auto"/>
              </w:rPr>
              <w:t>Option</w:t>
            </w:r>
          </w:p>
        </w:tc>
        <w:tc>
          <w:tcPr>
            <w:tcW w:w="160" w:type="dxa"/>
            <w:vAlign w:val="bottom"/>
          </w:tcPr>
          <w:p>
            <w:pPr>
              <w:spacing w:after="0"/>
              <w:rPr>
                <w:sz w:val="13"/>
                <w:szCs w:val="13"/>
                <w:color w:val="auto"/>
              </w:rPr>
            </w:pPr>
          </w:p>
        </w:tc>
        <w:tc>
          <w:tcPr>
            <w:tcW w:w="760" w:type="dxa"/>
            <w:vAlign w:val="bottom"/>
            <w:tcBorders>
              <w:right w:val="single" w:sz="8" w:color="auto"/>
            </w:tcBorders>
          </w:tcPr>
          <w:p>
            <w:pPr>
              <w:jc w:val="center"/>
              <w:ind w:right="31"/>
              <w:spacing w:after="0" w:line="156" w:lineRule="exact"/>
              <w:rPr>
                <w:sz w:val="20"/>
                <w:szCs w:val="20"/>
                <w:color w:val="auto"/>
              </w:rPr>
            </w:pPr>
            <w:r>
              <w:rPr>
                <w:rFonts w:ascii="Arial" w:cs="Arial" w:eastAsia="Arial" w:hAnsi="Arial"/>
                <w:sz w:val="14"/>
                <w:szCs w:val="14"/>
                <w:color w:val="auto"/>
              </w:rPr>
              <w:t>Option</w:t>
            </w:r>
          </w:p>
        </w:tc>
        <w:tc>
          <w:tcPr>
            <w:tcW w:w="8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7"/>
              </w:rPr>
              <w:t>Have</w:t>
            </w:r>
          </w:p>
        </w:tc>
        <w:tc>
          <w:tcPr>
            <w:tcW w:w="14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color w:val="auto"/>
                <w:w w:val="99"/>
              </w:rPr>
              <w:t>Have Not</w:t>
            </w:r>
          </w:p>
        </w:tc>
        <w:tc>
          <w:tcPr>
            <w:tcW w:w="1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w w:val="99"/>
              </w:rPr>
              <w:t>That Have</w:t>
            </w:r>
          </w:p>
        </w:tc>
        <w:tc>
          <w:tcPr>
            <w:tcW w:w="16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color w:val="auto"/>
                <w:w w:val="99"/>
              </w:rPr>
              <w:t>Have Not</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8"/>
              </w:rPr>
              <w:t>Vesting</w:t>
            </w:r>
          </w:p>
        </w:tc>
        <w:tc>
          <w:tcPr>
            <w:tcW w:w="11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Options</w:t>
            </w: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Options</w:t>
            </w:r>
          </w:p>
        </w:tc>
        <w:tc>
          <w:tcPr>
            <w:tcW w:w="140" w:type="dxa"/>
            <w:vAlign w:val="bottom"/>
          </w:tcPr>
          <w:p>
            <w:pPr>
              <w:spacing w:after="0"/>
              <w:rPr>
                <w:sz w:val="13"/>
                <w:szCs w:val="13"/>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color w:val="auto"/>
              </w:rPr>
              <w:t>Exercise</w:t>
            </w:r>
          </w:p>
        </w:tc>
        <w:tc>
          <w:tcPr>
            <w:tcW w:w="160" w:type="dxa"/>
            <w:vAlign w:val="bottom"/>
          </w:tcPr>
          <w:p>
            <w:pPr>
              <w:spacing w:after="0"/>
              <w:rPr>
                <w:sz w:val="13"/>
                <w:szCs w:val="13"/>
                <w:color w:val="auto"/>
              </w:rPr>
            </w:pPr>
          </w:p>
        </w:tc>
        <w:tc>
          <w:tcPr>
            <w:tcW w:w="760" w:type="dxa"/>
            <w:vAlign w:val="bottom"/>
            <w:tcBorders>
              <w:right w:val="single" w:sz="8" w:color="auto"/>
            </w:tcBorders>
          </w:tcPr>
          <w:p>
            <w:pPr>
              <w:jc w:val="center"/>
              <w:ind w:right="31"/>
              <w:spacing w:after="0" w:line="152" w:lineRule="exact"/>
              <w:rPr>
                <w:sz w:val="20"/>
                <w:szCs w:val="20"/>
                <w:color w:val="auto"/>
              </w:rPr>
            </w:pPr>
            <w:r>
              <w:rPr>
                <w:rFonts w:ascii="Arial" w:cs="Arial" w:eastAsia="Arial" w:hAnsi="Arial"/>
                <w:sz w:val="14"/>
                <w:szCs w:val="14"/>
                <w:color w:val="auto"/>
                <w:w w:val="99"/>
              </w:rPr>
              <w:t>Expiration</w:t>
            </w:r>
          </w:p>
        </w:tc>
        <w:tc>
          <w:tcPr>
            <w:tcW w:w="8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rPr>
              <w:t>Not</w:t>
            </w:r>
          </w:p>
        </w:tc>
        <w:tc>
          <w:tcPr>
            <w:tcW w:w="140" w:type="dxa"/>
            <w:vAlign w:val="bottom"/>
          </w:tcPr>
          <w:p>
            <w:pPr>
              <w:spacing w:after="0"/>
              <w:rPr>
                <w:sz w:val="13"/>
                <w:szCs w:val="13"/>
                <w:color w:val="auto"/>
              </w:rPr>
            </w:pPr>
          </w:p>
        </w:tc>
        <w:tc>
          <w:tcPr>
            <w:tcW w:w="800" w:type="dxa"/>
            <w:vAlign w:val="bottom"/>
          </w:tcPr>
          <w:p>
            <w:pPr>
              <w:jc w:val="center"/>
              <w:spacing w:after="0" w:line="152" w:lineRule="exact"/>
              <w:rPr>
                <w:sz w:val="20"/>
                <w:szCs w:val="20"/>
                <w:color w:val="auto"/>
              </w:rPr>
            </w:pPr>
            <w:r>
              <w:rPr>
                <w:rFonts w:ascii="Arial" w:cs="Arial" w:eastAsia="Arial" w:hAnsi="Arial"/>
                <w:sz w:val="14"/>
                <w:szCs w:val="14"/>
                <w:color w:val="auto"/>
                <w:w w:val="96"/>
              </w:rPr>
              <w:t>Vested</w:t>
            </w:r>
          </w:p>
        </w:tc>
        <w:tc>
          <w:tcPr>
            <w:tcW w:w="160" w:type="dxa"/>
            <w:vAlign w:val="bottom"/>
          </w:tcPr>
          <w:p>
            <w:pPr>
              <w:spacing w:after="0"/>
              <w:rPr>
                <w:sz w:val="13"/>
                <w:szCs w:val="13"/>
                <w:color w:val="auto"/>
              </w:rPr>
            </w:pPr>
          </w:p>
        </w:tc>
        <w:tc>
          <w:tcPr>
            <w:tcW w:w="820" w:type="dxa"/>
            <w:vAlign w:val="bottom"/>
          </w:tcPr>
          <w:p>
            <w:pPr>
              <w:jc w:val="center"/>
              <w:spacing w:after="0" w:line="152" w:lineRule="exact"/>
              <w:rPr>
                <w:sz w:val="20"/>
                <w:szCs w:val="20"/>
                <w:color w:val="auto"/>
              </w:rPr>
            </w:pPr>
            <w:r>
              <w:rPr>
                <w:rFonts w:ascii="Arial" w:cs="Arial" w:eastAsia="Arial" w:hAnsi="Arial"/>
                <w:sz w:val="14"/>
                <w:szCs w:val="14"/>
                <w:color w:val="auto"/>
              </w:rPr>
              <w:t>Not</w:t>
            </w:r>
          </w:p>
        </w:tc>
        <w:tc>
          <w:tcPr>
            <w:tcW w:w="16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96"/>
              </w:rPr>
              <w:t>Vested</w:t>
            </w:r>
          </w:p>
        </w:tc>
        <w:tc>
          <w:tcPr>
            <w:tcW w:w="0" w:type="dxa"/>
            <w:vAlign w:val="bottom"/>
          </w:tcPr>
          <w:p>
            <w:pPr>
              <w:spacing w:after="0"/>
              <w:rPr>
                <w:sz w:val="1"/>
                <w:szCs w:val="1"/>
                <w:color w:val="auto"/>
              </w:rPr>
            </w:pPr>
          </w:p>
        </w:tc>
      </w:tr>
      <w:tr>
        <w:trPr>
          <w:trHeight w:val="149"/>
        </w:trPr>
        <w:tc>
          <w:tcPr>
            <w:tcW w:w="1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Name</w:t>
            </w: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96"/>
              </w:rPr>
              <w:t>Grant Date</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Date</w:t>
            </w:r>
          </w:p>
        </w:tc>
        <w:tc>
          <w:tcPr>
            <w:tcW w:w="1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Exercisable</w:t>
            </w:r>
          </w:p>
        </w:tc>
        <w:tc>
          <w:tcPr>
            <w:tcW w:w="14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Unexercisable</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Price</w:t>
            </w:r>
          </w:p>
        </w:tc>
        <w:tc>
          <w:tcPr>
            <w:tcW w:w="160" w:type="dxa"/>
            <w:vAlign w:val="bottom"/>
          </w:tcPr>
          <w:p>
            <w:pPr>
              <w:spacing w:after="0"/>
              <w:rPr>
                <w:sz w:val="12"/>
                <w:szCs w:val="12"/>
                <w:color w:val="auto"/>
              </w:rPr>
            </w:pPr>
          </w:p>
        </w:tc>
        <w:tc>
          <w:tcPr>
            <w:tcW w:w="760" w:type="dxa"/>
            <w:vAlign w:val="bottom"/>
            <w:tcBorders>
              <w:bottom w:val="single" w:sz="8" w:color="auto"/>
              <w:right w:val="single" w:sz="8" w:color="auto"/>
            </w:tcBorders>
          </w:tcPr>
          <w:p>
            <w:pPr>
              <w:jc w:val="center"/>
              <w:ind w:right="31"/>
              <w:spacing w:after="0" w:line="149" w:lineRule="exact"/>
              <w:rPr>
                <w:sz w:val="20"/>
                <w:szCs w:val="20"/>
                <w:color w:val="auto"/>
              </w:rPr>
            </w:pPr>
            <w:r>
              <w:rPr>
                <w:rFonts w:ascii="Arial" w:cs="Arial" w:eastAsia="Arial" w:hAnsi="Arial"/>
                <w:sz w:val="14"/>
                <w:szCs w:val="14"/>
                <w:color w:val="auto"/>
              </w:rPr>
              <w:t>Date</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Vested</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Vested</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11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Michael B.</w:t>
            </w:r>
          </w:p>
        </w:tc>
        <w:tc>
          <w:tcPr>
            <w:tcW w:w="840" w:type="dxa"/>
            <w:vAlign w:val="bottom"/>
            <w:gridSpan w:val="2"/>
            <w:shd w:val="clear" w:color="auto" w:fill="CCEEFF"/>
          </w:tcPr>
          <w:p>
            <w:pPr>
              <w:ind w:left="160"/>
              <w:spacing w:after="0" w:line="188" w:lineRule="exact"/>
              <w:rPr>
                <w:sz w:val="20"/>
                <w:szCs w:val="20"/>
                <w:color w:val="auto"/>
              </w:rPr>
            </w:pPr>
            <w:r>
              <w:rPr>
                <w:rFonts w:ascii="Arial" w:cs="Arial" w:eastAsia="Arial" w:hAnsi="Arial"/>
                <w:sz w:val="17"/>
                <w:szCs w:val="17"/>
                <w:color w:val="auto"/>
                <w:w w:val="99"/>
              </w:rPr>
              <w:t>02/08/08</w:t>
            </w:r>
          </w:p>
        </w:tc>
        <w:tc>
          <w:tcPr>
            <w:tcW w:w="820" w:type="dxa"/>
            <w:vAlign w:val="bottom"/>
            <w:gridSpan w:val="2"/>
            <w:shd w:val="clear" w:color="auto" w:fill="CCEEFF"/>
          </w:tcPr>
          <w:p>
            <w:pPr>
              <w:jc w:val="center"/>
              <w:ind w:left="53"/>
              <w:spacing w:after="0" w:line="188" w:lineRule="exact"/>
              <w:rPr>
                <w:sz w:val="20"/>
                <w:szCs w:val="20"/>
                <w:color w:val="auto"/>
              </w:rPr>
            </w:pPr>
            <w:r>
              <w:rPr>
                <w:rFonts w:ascii="Arial" w:cs="Arial" w:eastAsia="Arial" w:hAnsi="Arial"/>
                <w:sz w:val="17"/>
                <w:szCs w:val="17"/>
                <w:color w:val="auto"/>
              </w:rPr>
              <w:t>02/15/11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left="93"/>
              <w:spacing w:after="0" w:line="188" w:lineRule="exact"/>
              <w:rPr>
                <w:sz w:val="20"/>
                <w:szCs w:val="20"/>
                <w:color w:val="auto"/>
              </w:rPr>
            </w:pPr>
            <w:r>
              <w:rPr>
                <w:rFonts w:ascii="Arial" w:cs="Arial" w:eastAsia="Arial" w:hAnsi="Arial"/>
                <w:sz w:val="17"/>
                <w:szCs w:val="17"/>
                <w:color w:val="auto"/>
                <w:w w:val="98"/>
              </w:rPr>
              <w:t>400</w:t>
            </w:r>
          </w:p>
        </w:tc>
        <w:tc>
          <w:tcPr>
            <w:tcW w:w="1260" w:type="dxa"/>
            <w:vAlign w:val="bottom"/>
            <w:gridSpan w:val="2"/>
            <w:shd w:val="clear" w:color="auto" w:fill="CCEEFF"/>
          </w:tcPr>
          <w:p>
            <w:pPr>
              <w:jc w:val="right"/>
              <w:ind w:right="211"/>
              <w:spacing w:after="0" w:line="188" w:lineRule="exact"/>
              <w:rPr>
                <w:sz w:val="20"/>
                <w:szCs w:val="20"/>
                <w:color w:val="auto"/>
              </w:rPr>
            </w:pPr>
            <w:r>
              <w:rPr>
                <w:rFonts w:ascii="Arial" w:cs="Arial" w:eastAsia="Arial" w:hAnsi="Arial"/>
                <w:sz w:val="17"/>
                <w:szCs w:val="17"/>
                <w:color w:val="auto"/>
              </w:rPr>
              <w:t>$15,184</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Glenn</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02/01/09</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02/01/14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rPr>
              <w:t>2,000</w:t>
            </w:r>
          </w:p>
        </w:tc>
        <w:tc>
          <w:tcPr>
            <w:tcW w:w="940" w:type="dxa"/>
            <w:vAlign w:val="bottom"/>
            <w:gridSpan w:val="2"/>
          </w:tcPr>
          <w:p>
            <w:pPr>
              <w:jc w:val="right"/>
              <w:ind w:right="51"/>
              <w:spacing w:after="0"/>
              <w:rPr>
                <w:sz w:val="20"/>
                <w:szCs w:val="20"/>
                <w:color w:val="auto"/>
              </w:rPr>
            </w:pPr>
            <w:r>
              <w:rPr>
                <w:rFonts w:ascii="Arial" w:cs="Arial" w:eastAsia="Arial" w:hAnsi="Arial"/>
                <w:sz w:val="17"/>
                <w:szCs w:val="17"/>
                <w:color w:val="auto"/>
              </w:rPr>
              <w:t>$ 75,920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02/01/10</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02/01/15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2,000</w:t>
            </w:r>
          </w:p>
        </w:tc>
        <w:tc>
          <w:tcPr>
            <w:tcW w:w="9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75,920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04/17/02</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04/17/11</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12,500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w w:val="98"/>
              </w:rPr>
              <w:t>$ 24.46</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04/17/12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04/17/02</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04/17/14</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12,500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24.46</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04/17/15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03/01/03</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03/01/09</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12,500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17.10</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03/01/13</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03/01/03</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03/01/12</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12,500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17.10</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03/01/13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03/01/03</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03/01/15</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12,500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17.10</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03/01/16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Michael R.</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02/08/08</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02/15/11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98"/>
              </w:rPr>
              <w:t>400</w:t>
            </w:r>
          </w:p>
        </w:tc>
        <w:tc>
          <w:tcPr>
            <w:tcW w:w="12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15,184</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Cole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02/01/09</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02/01/14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rPr>
              <w:t>1,000</w:t>
            </w:r>
          </w:p>
        </w:tc>
        <w:tc>
          <w:tcPr>
            <w:tcW w:w="940" w:type="dxa"/>
            <w:vAlign w:val="bottom"/>
            <w:gridSpan w:val="2"/>
          </w:tcPr>
          <w:p>
            <w:pPr>
              <w:jc w:val="right"/>
              <w:ind w:right="51"/>
              <w:spacing w:after="0"/>
              <w:rPr>
                <w:sz w:val="20"/>
                <w:szCs w:val="20"/>
                <w:color w:val="auto"/>
              </w:rPr>
            </w:pPr>
            <w:r>
              <w:rPr>
                <w:rFonts w:ascii="Arial" w:cs="Arial" w:eastAsia="Arial" w:hAnsi="Arial"/>
                <w:sz w:val="17"/>
                <w:szCs w:val="17"/>
                <w:color w:val="auto"/>
              </w:rPr>
              <w:t>37,960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02/01/10</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02/01/15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1,000</w:t>
            </w:r>
          </w:p>
        </w:tc>
        <w:tc>
          <w:tcPr>
            <w:tcW w:w="9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37,960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08/01/06</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4,000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08/01/14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01/01/00</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04/01/12</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5,000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22.88</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04/01/13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01/01/00</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04/01/15</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5,000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26.49</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04/01/16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08/01/08</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4,000</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08/01/14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08/01/10</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4,000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08/01/14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08/01/12</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4,000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08/01/14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08/01/14</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4,000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08/01/15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Patrick M.</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02/08/08</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02/15/11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98"/>
              </w:rPr>
              <w:t>400</w:t>
            </w:r>
          </w:p>
        </w:tc>
        <w:tc>
          <w:tcPr>
            <w:tcW w:w="12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15,184</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Webster</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02/01/09</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02/01/14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rPr>
              <w:t>1,500</w:t>
            </w:r>
          </w:p>
        </w:tc>
        <w:tc>
          <w:tcPr>
            <w:tcW w:w="940" w:type="dxa"/>
            <w:vAlign w:val="bottom"/>
            <w:gridSpan w:val="2"/>
          </w:tcPr>
          <w:p>
            <w:pPr>
              <w:jc w:val="right"/>
              <w:ind w:right="51"/>
              <w:spacing w:after="0"/>
              <w:rPr>
                <w:sz w:val="20"/>
                <w:szCs w:val="20"/>
                <w:color w:val="auto"/>
              </w:rPr>
            </w:pPr>
            <w:r>
              <w:rPr>
                <w:rFonts w:ascii="Arial" w:cs="Arial" w:eastAsia="Arial" w:hAnsi="Arial"/>
                <w:sz w:val="17"/>
                <w:szCs w:val="17"/>
                <w:color w:val="auto"/>
              </w:rPr>
              <w:t>56,940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02/01/10</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02/01/15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1,500</w:t>
            </w:r>
          </w:p>
        </w:tc>
        <w:tc>
          <w:tcPr>
            <w:tcW w:w="9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56,940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01/01/98</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04/01/13</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5,000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24.46</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04/30/13</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01/31/02</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01/31/05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2,403</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21.84</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01/31/12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tcPr>
          <w:p>
            <w:pPr>
              <w:spacing w:after="0"/>
              <w:rPr>
                <w:sz w:val="20"/>
                <w:szCs w:val="20"/>
                <w:color w:val="auto"/>
              </w:rPr>
            </w:pPr>
            <w:r>
              <w:rPr>
                <w:rFonts w:ascii="Arial" w:cs="Arial" w:eastAsia="Arial" w:hAnsi="Arial"/>
                <w:sz w:val="17"/>
                <w:szCs w:val="17"/>
                <w:color w:val="auto"/>
              </w:rPr>
              <w:t>C. Scott</w:t>
            </w: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02/08/08</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02/15/11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2"/>
          </w:tcPr>
          <w:p>
            <w:pPr>
              <w:jc w:val="center"/>
              <w:ind w:left="93"/>
              <w:spacing w:after="0"/>
              <w:rPr>
                <w:sz w:val="20"/>
                <w:szCs w:val="20"/>
                <w:color w:val="auto"/>
              </w:rPr>
            </w:pPr>
            <w:r>
              <w:rPr>
                <w:rFonts w:ascii="Arial" w:cs="Arial" w:eastAsia="Arial" w:hAnsi="Arial"/>
                <w:sz w:val="17"/>
                <w:szCs w:val="17"/>
                <w:color w:val="auto"/>
                <w:w w:val="98"/>
              </w:rPr>
              <w:t>400</w:t>
            </w:r>
          </w:p>
        </w:tc>
        <w:tc>
          <w:tcPr>
            <w:tcW w:w="1260" w:type="dxa"/>
            <w:vAlign w:val="bottom"/>
            <w:gridSpan w:val="2"/>
          </w:tcPr>
          <w:p>
            <w:pPr>
              <w:jc w:val="right"/>
              <w:ind w:right="211"/>
              <w:spacing w:after="0"/>
              <w:rPr>
                <w:sz w:val="20"/>
                <w:szCs w:val="20"/>
                <w:color w:val="auto"/>
              </w:rPr>
            </w:pPr>
            <w:r>
              <w:rPr>
                <w:rFonts w:ascii="Arial" w:cs="Arial" w:eastAsia="Arial" w:hAnsi="Arial"/>
                <w:sz w:val="17"/>
                <w:szCs w:val="17"/>
                <w:color w:val="auto"/>
              </w:rPr>
              <w:t>15,184</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7"/>
                <w:szCs w:val="17"/>
                <w:color w:val="auto"/>
              </w:rPr>
              <w:t>Greene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02/01/09</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02/01/14</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1,000</w:t>
            </w:r>
          </w:p>
        </w:tc>
        <w:tc>
          <w:tcPr>
            <w:tcW w:w="9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37,960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02/01/10</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02/01/15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rPr>
              <w:t>1,000</w:t>
            </w:r>
          </w:p>
        </w:tc>
        <w:tc>
          <w:tcPr>
            <w:tcW w:w="940" w:type="dxa"/>
            <w:vAlign w:val="bottom"/>
            <w:gridSpan w:val="2"/>
          </w:tcPr>
          <w:p>
            <w:pPr>
              <w:jc w:val="right"/>
              <w:ind w:right="51"/>
              <w:spacing w:after="0"/>
              <w:rPr>
                <w:sz w:val="20"/>
                <w:szCs w:val="20"/>
                <w:color w:val="auto"/>
              </w:rPr>
            </w:pPr>
            <w:r>
              <w:rPr>
                <w:rFonts w:ascii="Arial" w:cs="Arial" w:eastAsia="Arial" w:hAnsi="Arial"/>
                <w:sz w:val="17"/>
                <w:szCs w:val="17"/>
                <w:color w:val="auto"/>
              </w:rPr>
              <w:t>37,960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01/31/02</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01/31/05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3,711</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21.84</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01/31/12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08/01/06</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4,000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08/01/14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08/01/08</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4,000</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08/01/14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08/01/10</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4,000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08/01/14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01/01/99</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04/01/11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5,000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31.11</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04/01/12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08/01/12</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4,000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08/01/14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01/01/99</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04/01/14</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5,000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36.01</w:t>
            </w:r>
          </w:p>
        </w:tc>
        <w:tc>
          <w:tcPr>
            <w:tcW w:w="92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04/01/15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08/01/04</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08/01/14</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0</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4,000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30.64</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08/01/15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Robert W.</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02/08/08</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02/15/11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98"/>
              </w:rPr>
              <w:t>400</w:t>
            </w:r>
          </w:p>
        </w:tc>
        <w:tc>
          <w:tcPr>
            <w:tcW w:w="12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15,184</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Lees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02/01/09</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02/01/14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rPr>
              <w:t>1,000</w:t>
            </w:r>
          </w:p>
        </w:tc>
        <w:tc>
          <w:tcPr>
            <w:tcW w:w="940" w:type="dxa"/>
            <w:vAlign w:val="bottom"/>
            <w:gridSpan w:val="2"/>
          </w:tcPr>
          <w:p>
            <w:pPr>
              <w:jc w:val="right"/>
              <w:ind w:right="51"/>
              <w:spacing w:after="0"/>
              <w:rPr>
                <w:sz w:val="20"/>
                <w:szCs w:val="20"/>
                <w:color w:val="auto"/>
              </w:rPr>
            </w:pPr>
            <w:r>
              <w:rPr>
                <w:rFonts w:ascii="Arial" w:cs="Arial" w:eastAsia="Arial" w:hAnsi="Arial"/>
                <w:sz w:val="17"/>
                <w:szCs w:val="17"/>
                <w:color w:val="auto"/>
              </w:rPr>
              <w:t>37,960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02/01/10</w:t>
            </w:r>
          </w:p>
        </w:tc>
        <w:tc>
          <w:tcPr>
            <w:tcW w:w="8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rPr>
              <w:t>02/01/15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1,000</w:t>
            </w:r>
          </w:p>
        </w:tc>
        <w:tc>
          <w:tcPr>
            <w:tcW w:w="9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37,960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color w:val="auto"/>
                <w:w w:val="99"/>
              </w:rPr>
              <w:t>01/31/02</w:t>
            </w:r>
          </w:p>
        </w:tc>
        <w:tc>
          <w:tcPr>
            <w:tcW w:w="820" w:type="dxa"/>
            <w:vAlign w:val="bottom"/>
            <w:gridSpan w:val="2"/>
          </w:tcPr>
          <w:p>
            <w:pPr>
              <w:jc w:val="center"/>
              <w:ind w:left="53"/>
              <w:spacing w:after="0"/>
              <w:rPr>
                <w:sz w:val="20"/>
                <w:szCs w:val="20"/>
                <w:color w:val="auto"/>
              </w:rPr>
            </w:pPr>
            <w:r>
              <w:rPr>
                <w:rFonts w:ascii="Arial" w:cs="Arial" w:eastAsia="Arial" w:hAnsi="Arial"/>
                <w:sz w:val="17"/>
                <w:szCs w:val="17"/>
                <w:color w:val="auto"/>
              </w:rPr>
              <w:t>01/31/05</w:t>
            </w:r>
          </w:p>
        </w:tc>
        <w:tc>
          <w:tcPr>
            <w:tcW w:w="14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3,346</w:t>
            </w:r>
          </w:p>
        </w:tc>
        <w:tc>
          <w:tcPr>
            <w:tcW w:w="1380" w:type="dxa"/>
            <w:vAlign w:val="bottom"/>
            <w:gridSpan w:val="2"/>
          </w:tcPr>
          <w:p>
            <w:pPr>
              <w:jc w:val="right"/>
              <w:ind w:right="291"/>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21.84</w:t>
            </w: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rPr>
              <w:t>01/31/12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306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4" w:lineRule="exact"/>
        <w:rPr>
          <w:sz w:val="20"/>
          <w:szCs w:val="20"/>
          <w:color w:val="auto"/>
        </w:rPr>
      </w:pPr>
    </w:p>
    <w:p>
      <w:pPr>
        <w:ind w:left="5620" w:right="1060" w:hanging="5616"/>
        <w:spacing w:after="0" w:line="464" w:lineRule="auto"/>
        <w:tabs>
          <w:tab w:leader="none" w:pos="4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 value of the shares in these columns is based upon the closing price of our common stock as of December 25, 2010.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614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the number and value of options exercised and stock grants vested in 2010 by the Named Executives.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3"/>
          </w:tcPr>
          <w:p>
            <w:pPr>
              <w:ind w:left="1100"/>
              <w:spacing w:after="0"/>
              <w:rPr>
                <w:sz w:val="20"/>
                <w:szCs w:val="20"/>
                <w:color w:val="auto"/>
              </w:rPr>
            </w:pPr>
            <w:r>
              <w:rPr>
                <w:rFonts w:ascii="Arial" w:cs="Arial" w:eastAsia="Arial" w:hAnsi="Arial"/>
                <w:sz w:val="14"/>
                <w:szCs w:val="14"/>
                <w:color w:val="auto"/>
              </w:rPr>
              <w:t>Option Awards</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ind w:left="840"/>
              <w:spacing w:after="0"/>
              <w:rPr>
                <w:sz w:val="20"/>
                <w:szCs w:val="20"/>
                <w:color w:val="auto"/>
              </w:rPr>
            </w:pPr>
            <w:r>
              <w:rPr>
                <w:rFonts w:ascii="Arial" w:cs="Arial" w:eastAsia="Arial" w:hAnsi="Arial"/>
                <w:sz w:val="14"/>
                <w:szCs w:val="14"/>
                <w:color w:val="auto"/>
              </w:rPr>
              <w:t>Stock Awards</w:t>
            </w:r>
          </w:p>
        </w:tc>
      </w:tr>
      <w:tr>
        <w:trPr>
          <w:trHeight w:val="154"/>
        </w:trPr>
        <w:tc>
          <w:tcPr>
            <w:tcW w:w="4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81"/>
              <w:spacing w:after="0" w:line="154" w:lineRule="exact"/>
              <w:rPr>
                <w:sz w:val="20"/>
                <w:szCs w:val="20"/>
                <w:color w:val="auto"/>
              </w:rPr>
            </w:pPr>
            <w:r>
              <w:rPr>
                <w:rFonts w:ascii="Arial" w:cs="Arial" w:eastAsia="Arial" w:hAnsi="Arial"/>
                <w:sz w:val="14"/>
                <w:szCs w:val="14"/>
                <w:color w:val="auto"/>
                <w:w w:val="94"/>
              </w:rPr>
              <w:t>Value</w:t>
            </w:r>
          </w:p>
        </w:tc>
        <w:tc>
          <w:tcPr>
            <w:tcW w:w="4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gridSpan w:val="3"/>
          </w:tcPr>
          <w:p>
            <w:pPr>
              <w:jc w:val="center"/>
              <w:ind w:right="640"/>
              <w:spacing w:after="0" w:line="156" w:lineRule="exact"/>
              <w:rPr>
                <w:sz w:val="20"/>
                <w:szCs w:val="20"/>
                <w:color w:val="auto"/>
              </w:rPr>
            </w:pPr>
            <w:r>
              <w:rPr>
                <w:rFonts w:ascii="Arial" w:cs="Arial" w:eastAsia="Arial" w:hAnsi="Arial"/>
                <w:sz w:val="14"/>
                <w:szCs w:val="14"/>
                <w:color w:val="auto"/>
                <w:w w:val="98"/>
              </w:rPr>
              <w:t>Number of Shares</w:t>
            </w:r>
          </w:p>
        </w:tc>
        <w:tc>
          <w:tcPr>
            <w:tcW w:w="1060" w:type="dxa"/>
            <w:vAlign w:val="bottom"/>
          </w:tcPr>
          <w:p>
            <w:pPr>
              <w:jc w:val="center"/>
              <w:ind w:right="101"/>
              <w:spacing w:after="0" w:line="156" w:lineRule="exact"/>
              <w:rPr>
                <w:sz w:val="20"/>
                <w:szCs w:val="20"/>
                <w:color w:val="auto"/>
              </w:rPr>
            </w:pPr>
            <w:r>
              <w:rPr>
                <w:rFonts w:ascii="Arial" w:cs="Arial" w:eastAsia="Arial" w:hAnsi="Arial"/>
                <w:sz w:val="14"/>
                <w:szCs w:val="14"/>
                <w:color w:val="auto"/>
                <w:w w:val="97"/>
              </w:rPr>
              <w:t>Realized on</w:t>
            </w:r>
          </w:p>
        </w:tc>
        <w:tc>
          <w:tcPr>
            <w:tcW w:w="460" w:type="dxa"/>
            <w:vAlign w:val="bottom"/>
          </w:tcPr>
          <w:p>
            <w:pPr>
              <w:spacing w:after="0"/>
              <w:rPr>
                <w:sz w:val="13"/>
                <w:szCs w:val="13"/>
                <w:color w:val="auto"/>
              </w:rPr>
            </w:pPr>
          </w:p>
        </w:tc>
        <w:tc>
          <w:tcPr>
            <w:tcW w:w="1600" w:type="dxa"/>
            <w:vAlign w:val="bottom"/>
            <w:gridSpan w:val="2"/>
          </w:tcPr>
          <w:p>
            <w:pPr>
              <w:jc w:val="center"/>
              <w:ind w:right="480"/>
              <w:spacing w:after="0" w:line="156" w:lineRule="exact"/>
              <w:rPr>
                <w:sz w:val="20"/>
                <w:szCs w:val="20"/>
                <w:color w:val="auto"/>
              </w:rPr>
            </w:pPr>
            <w:r>
              <w:rPr>
                <w:rFonts w:ascii="Arial" w:cs="Arial" w:eastAsia="Arial" w:hAnsi="Arial"/>
                <w:sz w:val="14"/>
                <w:szCs w:val="14"/>
                <w:color w:val="auto"/>
                <w:w w:val="98"/>
              </w:rPr>
              <w:t>Number of Shares</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gridSpan w:val="3"/>
          </w:tcPr>
          <w:p>
            <w:pPr>
              <w:jc w:val="center"/>
              <w:ind w:right="660"/>
              <w:spacing w:after="0" w:line="156" w:lineRule="exact"/>
              <w:rPr>
                <w:sz w:val="20"/>
                <w:szCs w:val="20"/>
                <w:color w:val="auto"/>
              </w:rPr>
            </w:pPr>
            <w:r>
              <w:rPr>
                <w:rFonts w:ascii="Arial" w:cs="Arial" w:eastAsia="Arial" w:hAnsi="Arial"/>
                <w:sz w:val="14"/>
                <w:szCs w:val="14"/>
                <w:color w:val="auto"/>
                <w:w w:val="98"/>
              </w:rPr>
              <w:t>Acquired on</w:t>
            </w:r>
          </w:p>
        </w:tc>
        <w:tc>
          <w:tcPr>
            <w:tcW w:w="1060" w:type="dxa"/>
            <w:vAlign w:val="bottom"/>
          </w:tcPr>
          <w:p>
            <w:pPr>
              <w:jc w:val="center"/>
              <w:ind w:right="101"/>
              <w:spacing w:after="0" w:line="156" w:lineRule="exact"/>
              <w:rPr>
                <w:sz w:val="20"/>
                <w:szCs w:val="20"/>
                <w:color w:val="auto"/>
              </w:rPr>
            </w:pPr>
            <w:r>
              <w:rPr>
                <w:rFonts w:ascii="Arial" w:cs="Arial" w:eastAsia="Arial" w:hAnsi="Arial"/>
                <w:sz w:val="14"/>
                <w:szCs w:val="14"/>
                <w:color w:val="auto"/>
                <w:w w:val="96"/>
              </w:rPr>
              <w:t>Exercise</w:t>
            </w:r>
          </w:p>
        </w:tc>
        <w:tc>
          <w:tcPr>
            <w:tcW w:w="460" w:type="dxa"/>
            <w:vAlign w:val="bottom"/>
          </w:tcPr>
          <w:p>
            <w:pPr>
              <w:spacing w:after="0"/>
              <w:rPr>
                <w:sz w:val="13"/>
                <w:szCs w:val="13"/>
                <w:color w:val="auto"/>
              </w:rPr>
            </w:pPr>
          </w:p>
        </w:tc>
        <w:tc>
          <w:tcPr>
            <w:tcW w:w="1600" w:type="dxa"/>
            <w:vAlign w:val="bottom"/>
            <w:gridSpan w:val="2"/>
          </w:tcPr>
          <w:p>
            <w:pPr>
              <w:jc w:val="center"/>
              <w:ind w:right="460"/>
              <w:spacing w:after="0" w:line="156" w:lineRule="exact"/>
              <w:rPr>
                <w:sz w:val="20"/>
                <w:szCs w:val="20"/>
                <w:color w:val="auto"/>
              </w:rPr>
            </w:pPr>
            <w:r>
              <w:rPr>
                <w:rFonts w:ascii="Arial" w:cs="Arial" w:eastAsia="Arial" w:hAnsi="Arial"/>
                <w:sz w:val="14"/>
                <w:szCs w:val="14"/>
                <w:color w:val="auto"/>
                <w:w w:val="98"/>
              </w:rPr>
              <w:t>Acquired on</w:t>
            </w:r>
          </w:p>
        </w:tc>
        <w:tc>
          <w:tcPr>
            <w:tcW w:w="92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97"/>
              </w:rPr>
              <w:t>Value Realized</w:t>
            </w:r>
          </w:p>
        </w:tc>
      </w:tr>
      <w:tr>
        <w:trPr>
          <w:trHeight w:val="152"/>
        </w:trPr>
        <w:tc>
          <w:tcPr>
            <w:tcW w:w="488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Name</w:t>
            </w:r>
          </w:p>
        </w:tc>
        <w:tc>
          <w:tcPr>
            <w:tcW w:w="480" w:type="dxa"/>
            <w:vAlign w:val="bottom"/>
          </w:tcPr>
          <w:p>
            <w:pPr>
              <w:spacing w:after="0"/>
              <w:rPr>
                <w:sz w:val="13"/>
                <w:szCs w:val="13"/>
                <w:color w:val="auto"/>
              </w:rPr>
            </w:pPr>
          </w:p>
        </w:tc>
        <w:tc>
          <w:tcPr>
            <w:tcW w:w="14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6"/>
              </w:rPr>
              <w:t>Exercise</w:t>
            </w:r>
          </w:p>
        </w:tc>
        <w:tc>
          <w:tcPr>
            <w:tcW w:w="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01"/>
              <w:spacing w:after="0" w:line="152" w:lineRule="exact"/>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8"/>
              </w:rPr>
              <w:t>Vesting</w:t>
            </w:r>
          </w:p>
        </w:tc>
        <w:tc>
          <w:tcPr>
            <w:tcW w:w="48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on Vesting</w:t>
            </w:r>
          </w:p>
        </w:tc>
        <w:tc>
          <w:tcPr>
            <w:tcW w:w="20" w:type="dxa"/>
            <w:vAlign w:val="bottom"/>
          </w:tcPr>
          <w:p>
            <w:pPr>
              <w:spacing w:after="0"/>
              <w:rPr>
                <w:sz w:val="13"/>
                <w:szCs w:val="13"/>
                <w:color w:val="auto"/>
              </w:rPr>
            </w:pPr>
          </w:p>
        </w:tc>
      </w:tr>
      <w:tr>
        <w:trPr>
          <w:trHeight w:val="188"/>
        </w:trPr>
        <w:tc>
          <w:tcPr>
            <w:tcW w:w="53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Michael B. Glenn</w:t>
            </w:r>
          </w:p>
        </w:tc>
        <w:tc>
          <w:tcPr>
            <w:tcW w:w="1400" w:type="dxa"/>
            <w:vAlign w:val="bottom"/>
            <w:shd w:val="clear" w:color="auto" w:fill="CCEEFF"/>
          </w:tcPr>
          <w:p>
            <w:pPr>
              <w:jc w:val="right"/>
              <w:ind w:right="401"/>
              <w:spacing w:after="0" w:line="189" w:lineRule="exact"/>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21"/>
              <w:spacing w:after="0" w:line="189" w:lineRule="exact"/>
              <w:rPr>
                <w:sz w:val="20"/>
                <w:szCs w:val="20"/>
                <w:color w:val="auto"/>
              </w:rPr>
            </w:pPr>
            <w:r>
              <w:rPr>
                <w:rFonts w:ascii="Arial" w:cs="Arial" w:eastAsia="Arial" w:hAnsi="Arial"/>
                <w:sz w:val="17"/>
                <w:szCs w:val="17"/>
                <w:color w:val="auto"/>
              </w:rPr>
              <w:t>0</w:t>
            </w:r>
          </w:p>
        </w:tc>
        <w:tc>
          <w:tcPr>
            <w:tcW w:w="1580" w:type="dxa"/>
            <w:vAlign w:val="bottom"/>
            <w:gridSpan w:val="2"/>
            <w:shd w:val="clear" w:color="auto" w:fill="CCEEFF"/>
          </w:tcPr>
          <w:p>
            <w:pPr>
              <w:jc w:val="right"/>
              <w:ind w:right="411"/>
              <w:spacing w:after="0" w:line="189" w:lineRule="exact"/>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0</w:t>
            </w:r>
          </w:p>
        </w:tc>
        <w:tc>
          <w:tcPr>
            <w:tcW w:w="20" w:type="dxa"/>
            <w:vAlign w:val="bottom"/>
          </w:tcPr>
          <w:p>
            <w:pPr>
              <w:spacing w:after="0"/>
              <w:rPr>
                <w:sz w:val="16"/>
                <w:szCs w:val="16"/>
                <w:color w:val="auto"/>
              </w:rPr>
            </w:pPr>
          </w:p>
        </w:tc>
      </w:tr>
      <w:tr>
        <w:trPr>
          <w:trHeight w:val="195"/>
        </w:trPr>
        <w:tc>
          <w:tcPr>
            <w:tcW w:w="5360" w:type="dxa"/>
            <w:vAlign w:val="bottom"/>
            <w:gridSpan w:val="2"/>
          </w:tcPr>
          <w:p>
            <w:pPr>
              <w:spacing w:after="0"/>
              <w:rPr>
                <w:sz w:val="20"/>
                <w:szCs w:val="20"/>
                <w:color w:val="auto"/>
              </w:rPr>
            </w:pPr>
            <w:r>
              <w:rPr>
                <w:rFonts w:ascii="Arial" w:cs="Arial" w:eastAsia="Arial" w:hAnsi="Arial"/>
                <w:sz w:val="17"/>
                <w:szCs w:val="17"/>
                <w:color w:val="auto"/>
              </w:rPr>
              <w:t>Michael R. Cole</w:t>
            </w:r>
          </w:p>
        </w:tc>
        <w:tc>
          <w:tcPr>
            <w:tcW w:w="1400" w:type="dxa"/>
            <w:vAlign w:val="bottom"/>
          </w:tcPr>
          <w:p>
            <w:pPr>
              <w:jc w:val="right"/>
              <w:ind w:right="401"/>
              <w:spacing w:after="0"/>
              <w:rPr>
                <w:sz w:val="20"/>
                <w:szCs w:val="20"/>
                <w:color w:val="auto"/>
              </w:rPr>
            </w:pPr>
            <w:r>
              <w:rPr>
                <w:rFonts w:ascii="Arial" w:cs="Arial" w:eastAsia="Arial" w:hAnsi="Arial"/>
                <w:sz w:val="17"/>
                <w:szCs w:val="17"/>
                <w:color w:val="auto"/>
              </w:rPr>
              <w:t>0</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Arial" w:cs="Arial" w:eastAsia="Arial" w:hAnsi="Arial"/>
                <w:sz w:val="17"/>
                <w:szCs w:val="17"/>
                <w:color w:val="auto"/>
              </w:rPr>
              <w:t>0</w:t>
            </w:r>
          </w:p>
        </w:tc>
        <w:tc>
          <w:tcPr>
            <w:tcW w:w="1580" w:type="dxa"/>
            <w:vAlign w:val="bottom"/>
            <w:gridSpan w:val="2"/>
          </w:tcPr>
          <w:p>
            <w:pPr>
              <w:jc w:val="right"/>
              <w:ind w:right="411"/>
              <w:spacing w:after="0"/>
              <w:rPr>
                <w:sz w:val="20"/>
                <w:szCs w:val="20"/>
                <w:color w:val="auto"/>
              </w:rPr>
            </w:pPr>
            <w:r>
              <w:rPr>
                <w:rFonts w:ascii="Arial" w:cs="Arial" w:eastAsia="Arial" w:hAnsi="Arial"/>
                <w:sz w:val="17"/>
                <w:szCs w:val="17"/>
                <w:color w:val="auto"/>
              </w:rPr>
              <w:t>0</w:t>
            </w:r>
          </w:p>
        </w:tc>
        <w:tc>
          <w:tcPr>
            <w:tcW w:w="4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6"/>
                <w:szCs w:val="16"/>
                <w:color w:val="auto"/>
              </w:rPr>
            </w:pPr>
          </w:p>
        </w:tc>
      </w:tr>
      <w:tr>
        <w:trPr>
          <w:trHeight w:val="195"/>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M. Webster</w:t>
            </w:r>
          </w:p>
        </w:tc>
        <w:tc>
          <w:tcPr>
            <w:tcW w:w="140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rPr>
              <w:t>8,120</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7"/>
                <w:szCs w:val="17"/>
                <w:color w:val="auto"/>
              </w:rPr>
              <w:t>$184,811</w:t>
            </w:r>
          </w:p>
        </w:tc>
        <w:tc>
          <w:tcPr>
            <w:tcW w:w="15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6"/>
                <w:szCs w:val="16"/>
                <w:color w:val="auto"/>
              </w:rPr>
            </w:pPr>
          </w:p>
        </w:tc>
      </w:tr>
      <w:tr>
        <w:trPr>
          <w:trHeight w:val="195"/>
        </w:trPr>
        <w:tc>
          <w:tcPr>
            <w:tcW w:w="5360" w:type="dxa"/>
            <w:vAlign w:val="bottom"/>
            <w:gridSpan w:val="2"/>
          </w:tcPr>
          <w:p>
            <w:pPr>
              <w:spacing w:after="0"/>
              <w:rPr>
                <w:sz w:val="20"/>
                <w:szCs w:val="20"/>
                <w:color w:val="auto"/>
              </w:rPr>
            </w:pPr>
            <w:r>
              <w:rPr>
                <w:rFonts w:ascii="Arial" w:cs="Arial" w:eastAsia="Arial" w:hAnsi="Arial"/>
                <w:sz w:val="17"/>
                <w:szCs w:val="17"/>
                <w:color w:val="auto"/>
              </w:rPr>
              <w:t>C. Scott Greene</w:t>
            </w:r>
          </w:p>
        </w:tc>
        <w:tc>
          <w:tcPr>
            <w:tcW w:w="1400" w:type="dxa"/>
            <w:vAlign w:val="bottom"/>
          </w:tcPr>
          <w:p>
            <w:pPr>
              <w:jc w:val="right"/>
              <w:ind w:right="401"/>
              <w:spacing w:after="0"/>
              <w:rPr>
                <w:sz w:val="20"/>
                <w:szCs w:val="20"/>
                <w:color w:val="auto"/>
              </w:rPr>
            </w:pPr>
            <w:r>
              <w:rPr>
                <w:rFonts w:ascii="Arial" w:cs="Arial" w:eastAsia="Arial" w:hAnsi="Arial"/>
                <w:sz w:val="17"/>
                <w:szCs w:val="17"/>
                <w:color w:val="auto"/>
              </w:rPr>
              <w:t>2,133</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Arial" w:cs="Arial" w:eastAsia="Arial" w:hAnsi="Arial"/>
                <w:sz w:val="17"/>
                <w:szCs w:val="17"/>
                <w:color w:val="auto"/>
              </w:rPr>
              <w:t>35,994</w:t>
            </w:r>
          </w:p>
        </w:tc>
        <w:tc>
          <w:tcPr>
            <w:tcW w:w="1580" w:type="dxa"/>
            <w:vAlign w:val="bottom"/>
            <w:gridSpan w:val="2"/>
          </w:tcPr>
          <w:p>
            <w:pPr>
              <w:jc w:val="right"/>
              <w:ind w:right="411"/>
              <w:spacing w:after="0"/>
              <w:rPr>
                <w:sz w:val="20"/>
                <w:szCs w:val="20"/>
                <w:color w:val="auto"/>
              </w:rPr>
            </w:pPr>
            <w:r>
              <w:rPr>
                <w:rFonts w:ascii="Arial" w:cs="Arial" w:eastAsia="Arial" w:hAnsi="Arial"/>
                <w:sz w:val="17"/>
                <w:szCs w:val="17"/>
                <w:color w:val="auto"/>
              </w:rPr>
              <w:t>0</w:t>
            </w:r>
          </w:p>
        </w:tc>
        <w:tc>
          <w:tcPr>
            <w:tcW w:w="4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6"/>
                <w:szCs w:val="16"/>
                <w:color w:val="auto"/>
              </w:rPr>
            </w:pPr>
          </w:p>
        </w:tc>
      </w:tr>
      <w:tr>
        <w:trPr>
          <w:trHeight w:val="195"/>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W. Lees</w:t>
            </w:r>
          </w:p>
        </w:tc>
        <w:tc>
          <w:tcPr>
            <w:tcW w:w="140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rPr>
              <w:t>2,890</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7"/>
                <w:szCs w:val="17"/>
                <w:color w:val="auto"/>
              </w:rPr>
              <w:t>61,212</w:t>
            </w:r>
          </w:p>
        </w:tc>
        <w:tc>
          <w:tcPr>
            <w:tcW w:w="15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3061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4" w:lineRule="exact"/>
        <w:rPr>
          <w:sz w:val="20"/>
          <w:szCs w:val="20"/>
          <w:color w:val="auto"/>
        </w:rPr>
      </w:pPr>
    </w:p>
    <w:p>
      <w:pPr>
        <w:ind w:left="480" w:hanging="476"/>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difference between the exercise price and the fair market value of the common stock on the date of exercise.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126" w:lineRule="exact"/>
        <w:rPr>
          <w:sz w:val="20"/>
          <w:szCs w:val="20"/>
          <w:color w:val="auto"/>
        </w:rPr>
      </w:pPr>
    </w:p>
    <w:p>
      <w:pPr>
        <w:ind w:right="440"/>
        <w:spacing w:after="0" w:line="256" w:lineRule="auto"/>
        <w:rPr>
          <w:sz w:val="20"/>
          <w:szCs w:val="20"/>
          <w:color w:val="auto"/>
        </w:rPr>
      </w:pPr>
      <w:r>
        <w:rPr>
          <w:rFonts w:ascii="Arial" w:cs="Arial" w:eastAsia="Arial" w:hAnsi="Arial"/>
          <w:sz w:val="17"/>
          <w:szCs w:val="17"/>
          <w:color w:val="auto"/>
        </w:rPr>
        <w:t>The following table provides certain information relating to each deferred compensation plan that provides for the deferral of compensation on a basis that is not tax qualified. The aggregate balance amounts are based entirely on employee deferrals and earnings on these deferrals.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Executive</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color w:val="auto"/>
              </w:rPr>
              <w:t>Aggregate</w:t>
            </w:r>
          </w:p>
        </w:tc>
        <w:tc>
          <w:tcPr>
            <w:tcW w:w="4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Aggregate</w:t>
            </w:r>
          </w:p>
        </w:tc>
        <w:tc>
          <w:tcPr>
            <w:tcW w:w="4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Aggregate</w:t>
            </w:r>
          </w:p>
        </w:tc>
      </w:tr>
      <w:tr>
        <w:trPr>
          <w:trHeight w:val="156"/>
        </w:trPr>
        <w:tc>
          <w:tcPr>
            <w:tcW w:w="3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4"/>
                <w:szCs w:val="14"/>
                <w:color w:val="auto"/>
                <w:w w:val="99"/>
              </w:rPr>
              <w:t>Contributions</w:t>
            </w:r>
          </w:p>
        </w:tc>
        <w:tc>
          <w:tcPr>
            <w:tcW w:w="4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rPr>
              <w:t>Company</w:t>
            </w:r>
          </w:p>
        </w:tc>
        <w:tc>
          <w:tcPr>
            <w:tcW w:w="440" w:type="dxa"/>
            <w:vAlign w:val="bottom"/>
          </w:tcPr>
          <w:p>
            <w:pPr>
              <w:spacing w:after="0"/>
              <w:rPr>
                <w:sz w:val="13"/>
                <w:szCs w:val="13"/>
                <w:color w:val="auto"/>
              </w:rPr>
            </w:pPr>
          </w:p>
        </w:tc>
        <w:tc>
          <w:tcPr>
            <w:tcW w:w="1220" w:type="dxa"/>
            <w:vAlign w:val="bottom"/>
          </w:tcPr>
          <w:p>
            <w:pPr>
              <w:jc w:val="right"/>
              <w:ind w:right="191"/>
              <w:spacing w:after="0" w:line="156" w:lineRule="exact"/>
              <w:rPr>
                <w:sz w:val="20"/>
                <w:szCs w:val="20"/>
                <w:color w:val="auto"/>
              </w:rPr>
            </w:pPr>
            <w:r>
              <w:rPr>
                <w:rFonts w:ascii="Arial" w:cs="Arial" w:eastAsia="Arial" w:hAnsi="Arial"/>
                <w:sz w:val="14"/>
                <w:szCs w:val="14"/>
                <w:color w:val="auto"/>
              </w:rPr>
              <w:t>Earnings in</w:t>
            </w:r>
          </w:p>
        </w:tc>
        <w:tc>
          <w:tcPr>
            <w:tcW w:w="46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7"/>
              </w:rPr>
              <w:t>Withdrawals /</w:t>
            </w:r>
          </w:p>
        </w:tc>
        <w:tc>
          <w:tcPr>
            <w:tcW w:w="46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9"/>
              </w:rPr>
              <w:t>Balance at</w:t>
            </w:r>
          </w:p>
        </w:tc>
      </w:tr>
      <w:tr>
        <w:trPr>
          <w:trHeight w:val="156"/>
        </w:trPr>
        <w:tc>
          <w:tcPr>
            <w:tcW w:w="3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4"/>
                <w:szCs w:val="14"/>
                <w:color w:val="auto"/>
              </w:rPr>
              <w:t>in 2010</w:t>
            </w:r>
          </w:p>
        </w:tc>
        <w:tc>
          <w:tcPr>
            <w:tcW w:w="460" w:type="dxa"/>
            <w:vAlign w:val="bottom"/>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Arial" w:cs="Arial" w:eastAsia="Arial" w:hAnsi="Arial"/>
                <w:sz w:val="14"/>
                <w:szCs w:val="14"/>
                <w:color w:val="auto"/>
                <w:w w:val="96"/>
              </w:rPr>
              <w:t>Contributions</w:t>
            </w:r>
          </w:p>
        </w:tc>
        <w:tc>
          <w:tcPr>
            <w:tcW w:w="1660" w:type="dxa"/>
            <w:vAlign w:val="bottom"/>
            <w:gridSpan w:val="2"/>
          </w:tcPr>
          <w:p>
            <w:pPr>
              <w:jc w:val="right"/>
              <w:ind w:right="391"/>
              <w:spacing w:after="0" w:line="156"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7"/>
              </w:rPr>
              <w:t>Distributions in</w:t>
            </w:r>
          </w:p>
        </w:tc>
        <w:tc>
          <w:tcPr>
            <w:tcW w:w="46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7"/>
              </w:rPr>
              <w:t>December 25,</w:t>
            </w:r>
          </w:p>
        </w:tc>
      </w:tr>
      <w:tr>
        <w:trPr>
          <w:trHeight w:val="152"/>
        </w:trPr>
        <w:tc>
          <w:tcPr>
            <w:tcW w:w="370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Names</w:t>
            </w:r>
          </w:p>
        </w:tc>
        <w:tc>
          <w:tcPr>
            <w:tcW w:w="46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5"/>
              </w:rPr>
              <w:t>in 2010</w:t>
            </w:r>
          </w:p>
        </w:tc>
        <w:tc>
          <w:tcPr>
            <w:tcW w:w="440" w:type="dxa"/>
            <w:vAlign w:val="bottom"/>
          </w:tcPr>
          <w:p>
            <w:pPr>
              <w:spacing w:after="0"/>
              <w:rPr>
                <w:sz w:val="13"/>
                <w:szCs w:val="13"/>
                <w:color w:val="auto"/>
              </w:rPr>
            </w:pPr>
          </w:p>
        </w:tc>
        <w:tc>
          <w:tcPr>
            <w:tcW w:w="1220" w:type="dxa"/>
            <w:vAlign w:val="bottom"/>
            <w:tcBorders>
              <w:bottom w:val="single" w:sz="8" w:color="auto"/>
            </w:tcBorders>
          </w:tcPr>
          <w:p>
            <w:pPr>
              <w:jc w:val="right"/>
              <w:ind w:right="451"/>
              <w:spacing w:after="0" w:line="152" w:lineRule="exact"/>
              <w:rPr>
                <w:sz w:val="20"/>
                <w:szCs w:val="20"/>
                <w:color w:val="auto"/>
              </w:rPr>
            </w:pPr>
            <w:r>
              <w:rPr>
                <w:rFonts w:ascii="Arial" w:cs="Arial" w:eastAsia="Arial" w:hAnsi="Arial"/>
                <w:sz w:val="14"/>
                <w:szCs w:val="14"/>
                <w:color w:val="auto"/>
              </w:rPr>
              <w:t>(2)</w:t>
            </w:r>
          </w:p>
        </w:tc>
        <w:tc>
          <w:tcPr>
            <w:tcW w:w="46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6"/>
              </w:rPr>
              <w:t>2010</w:t>
            </w:r>
          </w:p>
        </w:tc>
        <w:tc>
          <w:tcPr>
            <w:tcW w:w="46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6"/>
              </w:rPr>
              <w:t>2010</w:t>
            </w:r>
          </w:p>
        </w:tc>
      </w:tr>
      <w:tr>
        <w:trPr>
          <w:trHeight w:val="188"/>
        </w:trPr>
        <w:tc>
          <w:tcPr>
            <w:tcW w:w="3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Michael B. Glenn</w:t>
            </w:r>
          </w:p>
        </w:tc>
        <w:tc>
          <w:tcPr>
            <w:tcW w:w="1700" w:type="dxa"/>
            <w:vAlign w:val="bottom"/>
            <w:gridSpan w:val="2"/>
            <w:shd w:val="clear" w:color="auto" w:fill="CCEEFF"/>
          </w:tcPr>
          <w:p>
            <w:pPr>
              <w:jc w:val="right"/>
              <w:ind w:right="251"/>
              <w:spacing w:after="0" w:line="189" w:lineRule="exact"/>
              <w:rPr>
                <w:sz w:val="20"/>
                <w:szCs w:val="20"/>
                <w:color w:val="auto"/>
              </w:rPr>
            </w:pPr>
            <w:r>
              <w:rPr>
                <w:rFonts w:ascii="Arial" w:cs="Arial" w:eastAsia="Arial" w:hAnsi="Arial"/>
                <w:sz w:val="17"/>
                <w:szCs w:val="17"/>
                <w:color w:val="auto"/>
              </w:rPr>
              <w:t>0</w:t>
            </w:r>
          </w:p>
        </w:tc>
        <w:tc>
          <w:tcPr>
            <w:tcW w:w="1280" w:type="dxa"/>
            <w:vAlign w:val="bottom"/>
            <w:gridSpan w:val="2"/>
            <w:shd w:val="clear" w:color="auto" w:fill="CCEEFF"/>
          </w:tcPr>
          <w:p>
            <w:pPr>
              <w:jc w:val="center"/>
              <w:ind w:left="373"/>
              <w:spacing w:after="0" w:line="189" w:lineRule="exact"/>
              <w:rPr>
                <w:sz w:val="20"/>
                <w:szCs w:val="20"/>
                <w:color w:val="auto"/>
              </w:rPr>
            </w:pPr>
            <w:r>
              <w:rPr>
                <w:rFonts w:ascii="Arial" w:cs="Arial" w:eastAsia="Arial" w:hAnsi="Arial"/>
                <w:sz w:val="17"/>
                <w:szCs w:val="17"/>
                <w:color w:val="auto"/>
              </w:rPr>
              <w:t>0</w:t>
            </w:r>
          </w:p>
        </w:tc>
        <w:tc>
          <w:tcPr>
            <w:tcW w:w="1660" w:type="dxa"/>
            <w:vAlign w:val="bottom"/>
            <w:gridSpan w:val="2"/>
            <w:shd w:val="clear" w:color="auto" w:fill="CCEEFF"/>
          </w:tcPr>
          <w:p>
            <w:pPr>
              <w:jc w:val="right"/>
              <w:ind w:right="211"/>
              <w:spacing w:after="0" w:line="189" w:lineRule="exact"/>
              <w:rPr>
                <w:sz w:val="20"/>
                <w:szCs w:val="20"/>
                <w:color w:val="auto"/>
              </w:rPr>
            </w:pPr>
            <w:r>
              <w:rPr>
                <w:rFonts w:ascii="Arial" w:cs="Arial" w:eastAsia="Arial" w:hAnsi="Arial"/>
                <w:sz w:val="17"/>
                <w:szCs w:val="17"/>
                <w:color w:val="auto"/>
              </w:rPr>
              <w:t>$ 34,977</w:t>
            </w:r>
          </w:p>
        </w:tc>
        <w:tc>
          <w:tcPr>
            <w:tcW w:w="1360" w:type="dxa"/>
            <w:vAlign w:val="bottom"/>
            <w:gridSpan w:val="2"/>
            <w:shd w:val="clear" w:color="auto" w:fill="CCEEFF"/>
          </w:tcPr>
          <w:p>
            <w:pPr>
              <w:jc w:val="center"/>
              <w:ind w:left="413"/>
              <w:spacing w:after="0" w:line="189" w:lineRule="exact"/>
              <w:rPr>
                <w:sz w:val="20"/>
                <w:szCs w:val="20"/>
                <w:color w:val="auto"/>
              </w:rPr>
            </w:pPr>
            <w:r>
              <w:rPr>
                <w:rFonts w:ascii="Arial" w:cs="Arial" w:eastAsia="Arial" w:hAnsi="Arial"/>
                <w:sz w:val="17"/>
                <w:szCs w:val="17"/>
                <w:color w:val="auto"/>
              </w:rPr>
              <w:t>0</w:t>
            </w:r>
          </w:p>
        </w:tc>
        <w:tc>
          <w:tcPr>
            <w:tcW w:w="1720" w:type="dxa"/>
            <w:vAlign w:val="bottom"/>
            <w:gridSpan w:val="2"/>
            <w:shd w:val="clear" w:color="auto" w:fill="CCEEFF"/>
          </w:tcPr>
          <w:p>
            <w:pPr>
              <w:jc w:val="right"/>
              <w:ind w:right="31"/>
              <w:spacing w:after="0" w:line="189" w:lineRule="exact"/>
              <w:rPr>
                <w:sz w:val="20"/>
                <w:szCs w:val="20"/>
                <w:color w:val="auto"/>
              </w:rPr>
            </w:pPr>
            <w:r>
              <w:rPr>
                <w:rFonts w:ascii="Arial" w:cs="Arial" w:eastAsia="Arial" w:hAnsi="Arial"/>
                <w:sz w:val="17"/>
                <w:szCs w:val="17"/>
                <w:color w:val="auto"/>
              </w:rPr>
              <w:t>$731,509(3)</w:t>
            </w:r>
          </w:p>
        </w:tc>
      </w:tr>
      <w:tr>
        <w:trPr>
          <w:trHeight w:val="195"/>
        </w:trPr>
        <w:tc>
          <w:tcPr>
            <w:tcW w:w="3700" w:type="dxa"/>
            <w:vAlign w:val="bottom"/>
          </w:tcPr>
          <w:p>
            <w:pPr>
              <w:spacing w:after="0"/>
              <w:rPr>
                <w:sz w:val="20"/>
                <w:szCs w:val="20"/>
                <w:color w:val="auto"/>
              </w:rPr>
            </w:pPr>
            <w:r>
              <w:rPr>
                <w:rFonts w:ascii="Arial" w:cs="Arial" w:eastAsia="Arial" w:hAnsi="Arial"/>
                <w:sz w:val="17"/>
                <w:szCs w:val="17"/>
                <w:color w:val="auto"/>
              </w:rPr>
              <w:t>Michael R. Cole</w:t>
            </w:r>
          </w:p>
        </w:tc>
        <w:tc>
          <w:tcPr>
            <w:tcW w:w="1700" w:type="dxa"/>
            <w:vAlign w:val="bottom"/>
            <w:gridSpan w:val="2"/>
          </w:tcPr>
          <w:p>
            <w:pPr>
              <w:jc w:val="right"/>
              <w:ind w:right="251"/>
              <w:spacing w:after="0"/>
              <w:rPr>
                <w:sz w:val="20"/>
                <w:szCs w:val="20"/>
                <w:color w:val="auto"/>
              </w:rPr>
            </w:pPr>
            <w:r>
              <w:rPr>
                <w:rFonts w:ascii="Arial" w:cs="Arial" w:eastAsia="Arial" w:hAnsi="Arial"/>
                <w:sz w:val="17"/>
                <w:szCs w:val="17"/>
                <w:color w:val="auto"/>
              </w:rPr>
              <w:t>0</w:t>
            </w:r>
          </w:p>
        </w:tc>
        <w:tc>
          <w:tcPr>
            <w:tcW w:w="1280" w:type="dxa"/>
            <w:vAlign w:val="bottom"/>
            <w:gridSpan w:val="2"/>
          </w:tcPr>
          <w:p>
            <w:pPr>
              <w:jc w:val="center"/>
              <w:ind w:left="373"/>
              <w:spacing w:after="0"/>
              <w:rPr>
                <w:sz w:val="20"/>
                <w:szCs w:val="20"/>
                <w:color w:val="auto"/>
              </w:rPr>
            </w:pPr>
            <w:r>
              <w:rPr>
                <w:rFonts w:ascii="Arial" w:cs="Arial" w:eastAsia="Arial" w:hAnsi="Arial"/>
                <w:sz w:val="17"/>
                <w:szCs w:val="17"/>
                <w:color w:val="auto"/>
              </w:rPr>
              <w:t>0</w:t>
            </w:r>
          </w:p>
        </w:tc>
        <w:tc>
          <w:tcPr>
            <w:tcW w:w="1660" w:type="dxa"/>
            <w:vAlign w:val="bottom"/>
            <w:gridSpan w:val="2"/>
          </w:tcPr>
          <w:p>
            <w:pPr>
              <w:jc w:val="right"/>
              <w:ind w:right="211"/>
              <w:spacing w:after="0"/>
              <w:rPr>
                <w:sz w:val="20"/>
                <w:szCs w:val="20"/>
                <w:color w:val="auto"/>
              </w:rPr>
            </w:pPr>
            <w:r>
              <w:rPr>
                <w:rFonts w:ascii="Arial" w:cs="Arial" w:eastAsia="Arial" w:hAnsi="Arial"/>
                <w:sz w:val="17"/>
                <w:szCs w:val="17"/>
                <w:color w:val="auto"/>
              </w:rPr>
              <w:t>317</w:t>
            </w:r>
          </w:p>
        </w:tc>
        <w:tc>
          <w:tcPr>
            <w:tcW w:w="1360" w:type="dxa"/>
            <w:vAlign w:val="bottom"/>
            <w:gridSpan w:val="2"/>
          </w:tcPr>
          <w:p>
            <w:pPr>
              <w:jc w:val="center"/>
              <w:ind w:left="413"/>
              <w:spacing w:after="0"/>
              <w:rPr>
                <w:sz w:val="20"/>
                <w:szCs w:val="20"/>
                <w:color w:val="auto"/>
              </w:rPr>
            </w:pPr>
            <w:r>
              <w:rPr>
                <w:rFonts w:ascii="Arial" w:cs="Arial" w:eastAsia="Arial" w:hAnsi="Arial"/>
                <w:sz w:val="17"/>
                <w:szCs w:val="17"/>
                <w:color w:val="auto"/>
              </w:rPr>
              <w:t>0</w:t>
            </w:r>
          </w:p>
        </w:tc>
        <w:tc>
          <w:tcPr>
            <w:tcW w:w="1720" w:type="dxa"/>
            <w:vAlign w:val="bottom"/>
            <w:gridSpan w:val="2"/>
          </w:tcPr>
          <w:p>
            <w:pPr>
              <w:jc w:val="right"/>
              <w:ind w:right="251"/>
              <w:spacing w:after="0"/>
              <w:rPr>
                <w:sz w:val="20"/>
                <w:szCs w:val="20"/>
                <w:color w:val="auto"/>
              </w:rPr>
            </w:pPr>
            <w:r>
              <w:rPr>
                <w:rFonts w:ascii="Arial" w:cs="Arial" w:eastAsia="Arial" w:hAnsi="Arial"/>
                <w:sz w:val="17"/>
                <w:szCs w:val="17"/>
                <w:color w:val="auto"/>
              </w:rPr>
              <w:t>73,225</w:t>
            </w:r>
          </w:p>
        </w:tc>
      </w:tr>
      <w:tr>
        <w:trPr>
          <w:trHeight w:val="195"/>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Patrick M. Webster</w:t>
            </w:r>
          </w:p>
        </w:tc>
        <w:tc>
          <w:tcPr>
            <w:tcW w:w="17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$109,240(4)</w:t>
            </w:r>
          </w:p>
        </w:tc>
        <w:tc>
          <w:tcPr>
            <w:tcW w:w="1280" w:type="dxa"/>
            <w:vAlign w:val="bottom"/>
            <w:gridSpan w:val="2"/>
            <w:shd w:val="clear" w:color="auto" w:fill="CCEEFF"/>
          </w:tcPr>
          <w:p>
            <w:pPr>
              <w:jc w:val="center"/>
              <w:ind w:left="373"/>
              <w:spacing w:after="0"/>
              <w:rPr>
                <w:sz w:val="20"/>
                <w:szCs w:val="20"/>
                <w:color w:val="auto"/>
              </w:rPr>
            </w:pPr>
            <w:r>
              <w:rPr>
                <w:rFonts w:ascii="Arial" w:cs="Arial" w:eastAsia="Arial" w:hAnsi="Arial"/>
                <w:sz w:val="17"/>
                <w:szCs w:val="17"/>
                <w:color w:val="auto"/>
              </w:rPr>
              <w:t>0</w:t>
            </w:r>
          </w:p>
        </w:tc>
        <w:tc>
          <w:tcPr>
            <w:tcW w:w="16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16,456</w:t>
            </w:r>
          </w:p>
        </w:tc>
        <w:tc>
          <w:tcPr>
            <w:tcW w:w="1360" w:type="dxa"/>
            <w:vAlign w:val="bottom"/>
            <w:gridSpan w:val="2"/>
            <w:shd w:val="clear" w:color="auto" w:fill="CCEEFF"/>
          </w:tcPr>
          <w:p>
            <w:pPr>
              <w:jc w:val="center"/>
              <w:ind w:left="413"/>
              <w:spacing w:after="0"/>
              <w:rPr>
                <w:sz w:val="20"/>
                <w:szCs w:val="20"/>
                <w:color w:val="auto"/>
              </w:rPr>
            </w:pPr>
            <w:r>
              <w:rPr>
                <w:rFonts w:ascii="Arial" w:cs="Arial" w:eastAsia="Arial" w:hAnsi="Arial"/>
                <w:sz w:val="17"/>
                <w:szCs w:val="17"/>
                <w:color w:val="auto"/>
              </w:rPr>
              <w:t>0</w:t>
            </w:r>
          </w:p>
        </w:tc>
        <w:tc>
          <w:tcPr>
            <w:tcW w:w="1720" w:type="dxa"/>
            <w:vAlign w:val="bottom"/>
            <w:gridSpan w:val="2"/>
            <w:shd w:val="clear" w:color="auto" w:fill="CCEEFF"/>
          </w:tcPr>
          <w:p>
            <w:pPr>
              <w:jc w:val="right"/>
              <w:ind w:right="251"/>
              <w:spacing w:after="0"/>
              <w:rPr>
                <w:sz w:val="20"/>
                <w:szCs w:val="20"/>
                <w:color w:val="auto"/>
              </w:rPr>
            </w:pPr>
            <w:r>
              <w:rPr>
                <w:rFonts w:ascii="Arial" w:cs="Arial" w:eastAsia="Arial" w:hAnsi="Arial"/>
                <w:sz w:val="17"/>
                <w:szCs w:val="17"/>
                <w:color w:val="auto"/>
              </w:rPr>
              <w:t>928,959</w:t>
            </w:r>
          </w:p>
        </w:tc>
      </w:tr>
      <w:tr>
        <w:trPr>
          <w:trHeight w:val="195"/>
        </w:trPr>
        <w:tc>
          <w:tcPr>
            <w:tcW w:w="3700" w:type="dxa"/>
            <w:vAlign w:val="bottom"/>
          </w:tcPr>
          <w:p>
            <w:pPr>
              <w:spacing w:after="0"/>
              <w:rPr>
                <w:sz w:val="20"/>
                <w:szCs w:val="20"/>
                <w:color w:val="auto"/>
              </w:rPr>
            </w:pPr>
            <w:r>
              <w:rPr>
                <w:rFonts w:ascii="Arial" w:cs="Arial" w:eastAsia="Arial" w:hAnsi="Arial"/>
                <w:sz w:val="17"/>
                <w:szCs w:val="17"/>
                <w:color w:val="auto"/>
              </w:rPr>
              <w:t>C. Scott Greene</w:t>
            </w:r>
          </w:p>
        </w:tc>
        <w:tc>
          <w:tcPr>
            <w:tcW w:w="1700" w:type="dxa"/>
            <w:vAlign w:val="bottom"/>
            <w:gridSpan w:val="2"/>
          </w:tcPr>
          <w:p>
            <w:pPr>
              <w:jc w:val="right"/>
              <w:ind w:right="251"/>
              <w:spacing w:after="0"/>
              <w:rPr>
                <w:sz w:val="20"/>
                <w:szCs w:val="20"/>
                <w:color w:val="auto"/>
              </w:rPr>
            </w:pPr>
            <w:r>
              <w:rPr>
                <w:rFonts w:ascii="Arial" w:cs="Arial" w:eastAsia="Arial" w:hAnsi="Arial"/>
                <w:sz w:val="17"/>
                <w:szCs w:val="17"/>
                <w:color w:val="auto"/>
              </w:rPr>
              <w:t>0</w:t>
            </w:r>
          </w:p>
        </w:tc>
        <w:tc>
          <w:tcPr>
            <w:tcW w:w="1280" w:type="dxa"/>
            <w:vAlign w:val="bottom"/>
            <w:gridSpan w:val="2"/>
          </w:tcPr>
          <w:p>
            <w:pPr>
              <w:jc w:val="center"/>
              <w:ind w:left="373"/>
              <w:spacing w:after="0"/>
              <w:rPr>
                <w:sz w:val="20"/>
                <w:szCs w:val="20"/>
                <w:color w:val="auto"/>
              </w:rPr>
            </w:pPr>
            <w:r>
              <w:rPr>
                <w:rFonts w:ascii="Arial" w:cs="Arial" w:eastAsia="Arial" w:hAnsi="Arial"/>
                <w:sz w:val="17"/>
                <w:szCs w:val="17"/>
                <w:color w:val="auto"/>
              </w:rPr>
              <w:t>0</w:t>
            </w:r>
          </w:p>
        </w:tc>
        <w:tc>
          <w:tcPr>
            <w:tcW w:w="1660" w:type="dxa"/>
            <w:vAlign w:val="bottom"/>
            <w:gridSpan w:val="2"/>
          </w:tcPr>
          <w:p>
            <w:pPr>
              <w:jc w:val="right"/>
              <w:ind w:right="211"/>
              <w:spacing w:after="0"/>
              <w:rPr>
                <w:sz w:val="20"/>
                <w:szCs w:val="20"/>
                <w:color w:val="auto"/>
              </w:rPr>
            </w:pPr>
            <w:r>
              <w:rPr>
                <w:rFonts w:ascii="Arial" w:cs="Arial" w:eastAsia="Arial" w:hAnsi="Arial"/>
                <w:sz w:val="17"/>
                <w:szCs w:val="17"/>
                <w:color w:val="auto"/>
              </w:rPr>
              <w:t>4,135</w:t>
            </w:r>
          </w:p>
        </w:tc>
        <w:tc>
          <w:tcPr>
            <w:tcW w:w="1360" w:type="dxa"/>
            <w:vAlign w:val="bottom"/>
            <w:gridSpan w:val="2"/>
          </w:tcPr>
          <w:p>
            <w:pPr>
              <w:jc w:val="center"/>
              <w:ind w:left="413"/>
              <w:spacing w:after="0"/>
              <w:rPr>
                <w:sz w:val="20"/>
                <w:szCs w:val="20"/>
                <w:color w:val="auto"/>
              </w:rPr>
            </w:pPr>
            <w:r>
              <w:rPr>
                <w:rFonts w:ascii="Arial" w:cs="Arial" w:eastAsia="Arial" w:hAnsi="Arial"/>
                <w:sz w:val="17"/>
                <w:szCs w:val="17"/>
                <w:color w:val="auto"/>
              </w:rPr>
              <w:t>0</w:t>
            </w:r>
          </w:p>
        </w:tc>
        <w:tc>
          <w:tcPr>
            <w:tcW w:w="1720" w:type="dxa"/>
            <w:vAlign w:val="bottom"/>
            <w:gridSpan w:val="2"/>
          </w:tcPr>
          <w:p>
            <w:pPr>
              <w:jc w:val="right"/>
              <w:ind w:right="251"/>
              <w:spacing w:after="0"/>
              <w:rPr>
                <w:sz w:val="20"/>
                <w:szCs w:val="20"/>
                <w:color w:val="auto"/>
              </w:rPr>
            </w:pPr>
            <w:r>
              <w:rPr>
                <w:rFonts w:ascii="Arial" w:cs="Arial" w:eastAsia="Arial" w:hAnsi="Arial"/>
                <w:sz w:val="17"/>
                <w:szCs w:val="17"/>
                <w:color w:val="auto"/>
              </w:rPr>
              <w:t>950,693</w:t>
            </w:r>
          </w:p>
        </w:tc>
      </w:tr>
      <w:tr>
        <w:trPr>
          <w:trHeight w:val="195"/>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Robert W. Lees</w:t>
            </w:r>
          </w:p>
        </w:tc>
        <w:tc>
          <w:tcPr>
            <w:tcW w:w="17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43,217(4)</w:t>
            </w:r>
          </w:p>
        </w:tc>
        <w:tc>
          <w:tcPr>
            <w:tcW w:w="1280" w:type="dxa"/>
            <w:vAlign w:val="bottom"/>
            <w:gridSpan w:val="2"/>
            <w:shd w:val="clear" w:color="auto" w:fill="CCEEFF"/>
          </w:tcPr>
          <w:p>
            <w:pPr>
              <w:jc w:val="center"/>
              <w:ind w:left="373"/>
              <w:spacing w:after="0"/>
              <w:rPr>
                <w:sz w:val="20"/>
                <w:szCs w:val="20"/>
                <w:color w:val="auto"/>
              </w:rPr>
            </w:pPr>
            <w:r>
              <w:rPr>
                <w:rFonts w:ascii="Arial" w:cs="Arial" w:eastAsia="Arial" w:hAnsi="Arial"/>
                <w:sz w:val="17"/>
                <w:szCs w:val="17"/>
                <w:color w:val="auto"/>
              </w:rPr>
              <w:t>0</w:t>
            </w:r>
          </w:p>
        </w:tc>
        <w:tc>
          <w:tcPr>
            <w:tcW w:w="16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122,689</w:t>
            </w:r>
          </w:p>
        </w:tc>
        <w:tc>
          <w:tcPr>
            <w:tcW w:w="1360" w:type="dxa"/>
            <w:vAlign w:val="bottom"/>
            <w:gridSpan w:val="2"/>
            <w:shd w:val="clear" w:color="auto" w:fill="CCEEFF"/>
          </w:tcPr>
          <w:p>
            <w:pPr>
              <w:jc w:val="center"/>
              <w:ind w:left="413"/>
              <w:spacing w:after="0"/>
              <w:rPr>
                <w:sz w:val="20"/>
                <w:szCs w:val="20"/>
                <w:color w:val="auto"/>
              </w:rPr>
            </w:pPr>
            <w:r>
              <w:rPr>
                <w:rFonts w:ascii="Arial" w:cs="Arial" w:eastAsia="Arial" w:hAnsi="Arial"/>
                <w:sz w:val="17"/>
                <w:szCs w:val="17"/>
                <w:color w:val="auto"/>
              </w:rPr>
              <w:t>0</w:t>
            </w:r>
          </w:p>
        </w:tc>
        <w:tc>
          <w:tcPr>
            <w:tcW w:w="172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992,387(3)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1306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31" w:lineRule="exact"/>
        <w:rPr>
          <w:sz w:val="20"/>
          <w:szCs w:val="20"/>
          <w:color w:val="auto"/>
        </w:rPr>
      </w:pPr>
    </w:p>
    <w:p>
      <w:pPr>
        <w:ind w:left="480" w:right="900" w:hanging="476"/>
        <w:spacing w:after="0" w:line="25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of the amounts reported in this column are also reported as non-equity incentive plan compensation or salary in the Summary Compensation Table.</w:t>
      </w:r>
    </w:p>
    <w:p>
      <w:pPr>
        <w:spacing w:after="0" w:line="38" w:lineRule="exact"/>
        <w:rPr>
          <w:rFonts w:ascii="Arial" w:cs="Arial" w:eastAsia="Arial" w:hAnsi="Arial"/>
          <w:sz w:val="17"/>
          <w:szCs w:val="17"/>
          <w:color w:val="auto"/>
        </w:rPr>
      </w:pPr>
    </w:p>
    <w:p>
      <w:pPr>
        <w:ind w:left="480" w:right="600" w:hanging="476"/>
        <w:spacing w:after="0" w:line="25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Amounts shown are credited to the Named Executive’s deferred compensation account(s). The amounts reflect the earnings on various investments in the account(s), including investments in our common stock.</w:t>
      </w:r>
    </w:p>
    <w:p>
      <w:pPr>
        <w:spacing w:after="0" w:line="38" w:lineRule="exact"/>
        <w:rPr>
          <w:rFonts w:ascii="Arial" w:cs="Arial" w:eastAsia="Arial" w:hAnsi="Arial"/>
          <w:sz w:val="17"/>
          <w:szCs w:val="17"/>
          <w:color w:val="auto"/>
        </w:rPr>
      </w:pPr>
    </w:p>
    <w:p>
      <w:pPr>
        <w:ind w:left="480" w:right="240" w:hanging="476"/>
        <w:spacing w:after="0" w:line="248"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Amounts deferred by Messrs. Glenn and Lees for a 1985 deferral plan were used to purchase a life insurance policy to fund the benefit. The amount in this column includes cash surrender values for Messrs. Glenn and Lees of $384,966 and $193,768, respectively, for the 1985 deferral plan.</w:t>
      </w:r>
    </w:p>
    <w:p>
      <w:pPr>
        <w:spacing w:after="0" w:line="45" w:lineRule="exact"/>
        <w:rPr>
          <w:rFonts w:ascii="Arial" w:cs="Arial" w:eastAsia="Arial" w:hAnsi="Arial"/>
          <w:sz w:val="17"/>
          <w:szCs w:val="17"/>
          <w:color w:val="auto"/>
        </w:rPr>
      </w:pPr>
    </w:p>
    <w:p>
      <w:pPr>
        <w:ind w:left="480" w:right="40" w:hanging="476"/>
        <w:spacing w:after="0" w:line="25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deferrals under our Deferred Compensation Plan from the annual bonus earned for 2009 and monthly salary for 2010 for Mr. Webster of $100,000 and $9,240, respectively, and for Mr. Lees of $33,217 and $10,000, respectively.</w:t>
      </w:r>
    </w:p>
    <w:p>
      <w:pPr>
        <w:spacing w:after="0" w:line="7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Our Deferred Compensation Plan allows key employees to defer a portion of their incentive bonus and base salary. The maximum amount a Named Executive can defer is $100,000</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40"/>
          </w:cols>
          <w:pgMar w:left="240" w:top="408" w:right="2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from incentive compensation and $10,000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Potential Post-Employment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Agreements</w:t>
      </w:r>
    </w:p>
    <w:p>
      <w:pPr>
        <w:spacing w:after="0" w:line="12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Mr. Currie retired from our Company on July 21, 2009. Under the terms of his Consulting and Non-Compete Agreement with our Company, we agreed to pay Mr. Currie $117,763 per month for his services to our Company during the three-year period that expires July 21, 2012. This amount is based upon the average of Mr. Currie’s salary and bonus during the five-year period of 2004 through 2008. He also receives a stipend for the purchase of health insurance during the contract term.</w:t>
      </w:r>
    </w:p>
    <w:p>
      <w:pPr>
        <w:spacing w:after="0" w:line="87"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On October 14, 2010, the Committee approved an Executive Retirement Plan for officers with 20 years of service to the Company and 10 years of service as an officer. The Plan provides for a retirement benefit at age 62 or later of 150% of base salary paid over three years after retirement, death, or disability, together with a stipend toward the purchase of health insurance during the three year period.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08"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Death, Disability, Retirement, or Change in Control</w:t>
      </w:r>
    </w:p>
    <w:p>
      <w:pPr>
        <w:spacing w:after="0" w:line="126"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The following table quantifies the incremental amounts that would have been vested and become payable on December 25, 2010 to each Named Executive in the event of death, permanent disability, retirement, or change in control.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Change in</w:t>
            </w:r>
          </w:p>
        </w:tc>
      </w:tr>
      <w:tr>
        <w:trPr>
          <w:trHeight w:val="156"/>
        </w:trPr>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251"/>
              <w:spacing w:after="0" w:line="156" w:lineRule="exact"/>
              <w:rPr>
                <w:sz w:val="20"/>
                <w:szCs w:val="20"/>
                <w:color w:val="auto"/>
              </w:rPr>
            </w:pPr>
            <w:r>
              <w:rPr>
                <w:rFonts w:ascii="Arial" w:cs="Arial" w:eastAsia="Arial" w:hAnsi="Arial"/>
                <w:sz w:val="14"/>
                <w:szCs w:val="14"/>
                <w:color w:val="auto"/>
              </w:rPr>
              <w:t>Retirement</w:t>
            </w:r>
          </w:p>
        </w:tc>
        <w:tc>
          <w:tcPr>
            <w:tcW w:w="400" w:type="dxa"/>
            <w:vAlign w:val="bottom"/>
          </w:tcPr>
          <w:p>
            <w:pPr>
              <w:spacing w:after="0"/>
              <w:rPr>
                <w:sz w:val="13"/>
                <w:szCs w:val="13"/>
                <w:color w:val="auto"/>
              </w:rPr>
            </w:pPr>
          </w:p>
        </w:tc>
        <w:tc>
          <w:tcPr>
            <w:tcW w:w="1300" w:type="dxa"/>
            <w:vAlign w:val="bottom"/>
          </w:tcPr>
          <w:p>
            <w:pPr>
              <w:jc w:val="center"/>
              <w:spacing w:after="0" w:line="156" w:lineRule="exact"/>
              <w:rPr>
                <w:sz w:val="20"/>
                <w:szCs w:val="20"/>
                <w:color w:val="auto"/>
              </w:rPr>
            </w:pPr>
            <w:r>
              <w:rPr>
                <w:rFonts w:ascii="Arial" w:cs="Arial" w:eastAsia="Arial" w:hAnsi="Arial"/>
                <w:sz w:val="14"/>
                <w:szCs w:val="14"/>
                <w:color w:val="auto"/>
              </w:rPr>
              <w:t>Control</w:t>
            </w:r>
          </w:p>
        </w:tc>
      </w:tr>
      <w:tr>
        <w:trPr>
          <w:trHeight w:val="152"/>
        </w:trPr>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tcBorders>
              <w:bottom w:val="single" w:sz="8" w:color="auto"/>
            </w:tcBorders>
          </w:tcPr>
          <w:p>
            <w:pPr>
              <w:ind w:left="1040"/>
              <w:spacing w:after="0" w:line="152" w:lineRule="exact"/>
              <w:rPr>
                <w:sz w:val="20"/>
                <w:szCs w:val="20"/>
                <w:color w:val="auto"/>
              </w:rPr>
            </w:pPr>
            <w:r>
              <w:rPr>
                <w:rFonts w:ascii="Arial" w:cs="Arial" w:eastAsia="Arial" w:hAnsi="Arial"/>
                <w:sz w:val="14"/>
                <w:szCs w:val="14"/>
                <w:color w:val="auto"/>
              </w:rPr>
              <w:t>Benefit</w:t>
            </w:r>
          </w:p>
        </w:tc>
        <w:tc>
          <w:tcPr>
            <w:tcW w:w="380" w:type="dxa"/>
            <w:vAlign w:val="bottom"/>
          </w:tcPr>
          <w:p>
            <w:pPr>
              <w:spacing w:after="0"/>
              <w:rPr>
                <w:sz w:val="13"/>
                <w:szCs w:val="13"/>
                <w:color w:val="auto"/>
              </w:rPr>
            </w:pPr>
          </w:p>
        </w:tc>
        <w:tc>
          <w:tcPr>
            <w:tcW w:w="1300" w:type="dxa"/>
            <w:vAlign w:val="bottom"/>
            <w:tcBorders>
              <w:bottom w:val="single" w:sz="8" w:color="auto"/>
            </w:tcBorders>
          </w:tcPr>
          <w:p>
            <w:pPr>
              <w:jc w:val="right"/>
              <w:ind w:right="391"/>
              <w:spacing w:after="0" w:line="152" w:lineRule="exact"/>
              <w:rPr>
                <w:sz w:val="20"/>
                <w:szCs w:val="20"/>
                <w:color w:val="auto"/>
              </w:rPr>
            </w:pPr>
            <w:r>
              <w:rPr>
                <w:rFonts w:ascii="Arial" w:cs="Arial" w:eastAsia="Arial" w:hAnsi="Arial"/>
                <w:sz w:val="14"/>
                <w:szCs w:val="14"/>
                <w:color w:val="auto"/>
              </w:rPr>
              <w:t>Death</w:t>
            </w:r>
          </w:p>
        </w:tc>
        <w:tc>
          <w:tcPr>
            <w:tcW w:w="420" w:type="dxa"/>
            <w:vAlign w:val="bottom"/>
          </w:tcPr>
          <w:p>
            <w:pPr>
              <w:spacing w:after="0"/>
              <w:rPr>
                <w:sz w:val="13"/>
                <w:szCs w:val="13"/>
                <w:color w:val="auto"/>
              </w:rPr>
            </w:pPr>
          </w:p>
        </w:tc>
        <w:tc>
          <w:tcPr>
            <w:tcW w:w="1300" w:type="dxa"/>
            <w:vAlign w:val="bottom"/>
            <w:tcBorders>
              <w:bottom w:val="single" w:sz="8" w:color="auto"/>
            </w:tcBorders>
          </w:tcPr>
          <w:p>
            <w:pPr>
              <w:jc w:val="right"/>
              <w:ind w:right="311"/>
              <w:spacing w:after="0" w:line="152" w:lineRule="exact"/>
              <w:rPr>
                <w:sz w:val="20"/>
                <w:szCs w:val="20"/>
                <w:color w:val="auto"/>
              </w:rPr>
            </w:pPr>
            <w:r>
              <w:rPr>
                <w:rFonts w:ascii="Arial" w:cs="Arial" w:eastAsia="Arial" w:hAnsi="Arial"/>
                <w:sz w:val="14"/>
                <w:szCs w:val="14"/>
                <w:color w:val="auto"/>
              </w:rPr>
              <w:t>Disability</w:t>
            </w:r>
          </w:p>
        </w:tc>
        <w:tc>
          <w:tcPr>
            <w:tcW w:w="400" w:type="dxa"/>
            <w:vAlign w:val="bottom"/>
          </w:tcPr>
          <w:p>
            <w:pPr>
              <w:spacing w:after="0"/>
              <w:rPr>
                <w:sz w:val="13"/>
                <w:szCs w:val="13"/>
                <w:color w:val="auto"/>
              </w:rPr>
            </w:pPr>
          </w:p>
        </w:tc>
        <w:tc>
          <w:tcPr>
            <w:tcW w:w="1300" w:type="dxa"/>
            <w:vAlign w:val="bottom"/>
            <w:tcBorders>
              <w:bottom w:val="single" w:sz="8" w:color="auto"/>
            </w:tcBorders>
          </w:tcPr>
          <w:p>
            <w:pPr>
              <w:jc w:val="right"/>
              <w:ind w:right="491"/>
              <w:spacing w:after="0" w:line="152"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3"/>
                <w:szCs w:val="13"/>
                <w:color w:val="auto"/>
              </w:rPr>
            </w:pPr>
          </w:p>
        </w:tc>
        <w:tc>
          <w:tcPr>
            <w:tcW w:w="13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rPr>
              <w:t>(2)</w:t>
            </w:r>
          </w:p>
        </w:tc>
      </w:tr>
      <w:tr>
        <w:trPr>
          <w:trHeight w:val="188"/>
        </w:trPr>
        <w:tc>
          <w:tcPr>
            <w:tcW w:w="1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Michael B. Glenn (3)</w:t>
            </w:r>
          </w:p>
        </w:tc>
        <w:tc>
          <w:tcPr>
            <w:tcW w:w="27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Cash Severance (4)</w:t>
            </w:r>
          </w:p>
        </w:tc>
        <w:tc>
          <w:tcPr>
            <w:tcW w:w="1680" w:type="dxa"/>
            <w:vAlign w:val="bottom"/>
            <w:gridSpan w:val="2"/>
            <w:shd w:val="clear" w:color="auto" w:fill="CCEEFF"/>
          </w:tcPr>
          <w:p>
            <w:pPr>
              <w:jc w:val="right"/>
              <w:ind w:right="171"/>
              <w:spacing w:after="0" w:line="189" w:lineRule="exact"/>
              <w:rPr>
                <w:sz w:val="20"/>
                <w:szCs w:val="20"/>
                <w:color w:val="auto"/>
              </w:rPr>
            </w:pPr>
            <w:r>
              <w:rPr>
                <w:rFonts w:ascii="Arial" w:cs="Arial" w:eastAsia="Arial" w:hAnsi="Arial"/>
                <w:sz w:val="17"/>
                <w:szCs w:val="17"/>
                <w:color w:val="auto"/>
              </w:rPr>
              <w:t>$  890,966</w:t>
            </w:r>
          </w:p>
        </w:tc>
        <w:tc>
          <w:tcPr>
            <w:tcW w:w="1720" w:type="dxa"/>
            <w:vAlign w:val="bottom"/>
            <w:gridSpan w:val="2"/>
            <w:shd w:val="clear" w:color="auto" w:fill="CCEEFF"/>
          </w:tcPr>
          <w:p>
            <w:pPr>
              <w:jc w:val="right"/>
              <w:ind w:right="191"/>
              <w:spacing w:after="0" w:line="189" w:lineRule="exact"/>
              <w:rPr>
                <w:sz w:val="20"/>
                <w:szCs w:val="20"/>
                <w:color w:val="auto"/>
              </w:rPr>
            </w:pPr>
            <w:r>
              <w:rPr>
                <w:rFonts w:ascii="Arial" w:cs="Arial" w:eastAsia="Arial" w:hAnsi="Arial"/>
                <w:sz w:val="17"/>
                <w:szCs w:val="17"/>
                <w:color w:val="auto"/>
              </w:rPr>
              <w:t>$  890,966</w:t>
            </w:r>
          </w:p>
        </w:tc>
        <w:tc>
          <w:tcPr>
            <w:tcW w:w="1700" w:type="dxa"/>
            <w:vAlign w:val="bottom"/>
            <w:gridSpan w:val="2"/>
            <w:shd w:val="clear" w:color="auto" w:fill="CCEEFF"/>
          </w:tcPr>
          <w:p>
            <w:pPr>
              <w:jc w:val="right"/>
              <w:ind w:right="171"/>
              <w:spacing w:after="0" w:line="189" w:lineRule="exact"/>
              <w:rPr>
                <w:sz w:val="20"/>
                <w:szCs w:val="20"/>
                <w:color w:val="auto"/>
              </w:rPr>
            </w:pPr>
            <w:r>
              <w:rPr>
                <w:rFonts w:ascii="Arial" w:cs="Arial" w:eastAsia="Arial" w:hAnsi="Arial"/>
                <w:sz w:val="17"/>
                <w:szCs w:val="17"/>
                <w:color w:val="auto"/>
              </w:rPr>
              <w:t>$  890,966</w:t>
            </w:r>
          </w:p>
        </w:tc>
        <w:tc>
          <w:tcPr>
            <w:tcW w:w="1700" w:type="dxa"/>
            <w:vAlign w:val="bottom"/>
            <w:gridSpan w:val="2"/>
            <w:shd w:val="clear" w:color="auto" w:fill="CCEEFF"/>
          </w:tcPr>
          <w:p>
            <w:pPr>
              <w:jc w:val="right"/>
              <w:ind w:right="171"/>
              <w:spacing w:after="0" w:line="189" w:lineRule="exact"/>
              <w:rPr>
                <w:sz w:val="20"/>
                <w:szCs w:val="20"/>
                <w:color w:val="auto"/>
              </w:rPr>
            </w:pPr>
            <w:r>
              <w:rPr>
                <w:rFonts w:ascii="Arial" w:cs="Arial" w:eastAsia="Arial" w:hAnsi="Arial"/>
                <w:sz w:val="17"/>
                <w:szCs w:val="17"/>
                <w:color w:val="auto"/>
              </w:rPr>
              <w:t>$ 1,781,931</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Equity: (5)</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 Restricted Stock</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167,024</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167,024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167,024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167,024</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 Unexercisable Options</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859,000</w:t>
            </w: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Health and Welfare</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1,938,632</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1,938,632</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1,938,632</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2,829,598</w:t>
            </w:r>
          </w:p>
        </w:tc>
      </w:tr>
      <w:tr>
        <w:trPr>
          <w:trHeight w:val="195"/>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Michael R. Cole</w:t>
            </w: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Cash Severance (4)</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7,492</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7,492</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0</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285,179</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Equity: (5)</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 Restricted Stock</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91,104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 Unexercisable Options</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191,310</w:t>
            </w: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Health and Welfare</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311,549</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311,549</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304,057</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589,236</w:t>
            </w:r>
          </w:p>
        </w:tc>
      </w:tr>
      <w:tr>
        <w:trPr>
          <w:trHeight w:val="195"/>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Patrick M. Webster</w:t>
            </w: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Cash Severance (4)</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525,269</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525,269</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525,269</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700,358</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Equity: (5)</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 Restricted Stock</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129,064</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129,064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129,064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129,064</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 Unexercisable Options</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67,500</w:t>
            </w: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Health and Welfare</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743,475</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743,475</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743,475</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918,565</w:t>
            </w:r>
          </w:p>
        </w:tc>
      </w:tr>
      <w:tr>
        <w:trPr>
          <w:trHeight w:val="195"/>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C. Scott Greene</w:t>
            </w: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Cash Severance (4)</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25,630</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25,630</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0</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680,358</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Equity: (5)</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 Restricted Stock</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91,104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 Unexercisable Options</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102,560</w:t>
            </w: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Health and Welfare</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240,937</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240,937</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215,307</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895,665</w:t>
            </w:r>
          </w:p>
        </w:tc>
      </w:tr>
      <w:tr>
        <w:trPr>
          <w:trHeight w:val="195"/>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Robert W. Lees</w:t>
            </w: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Cash Severance (4)</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397,769</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397,769</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397,769</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530,358</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Equity: (5)</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 Restricted Stock</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91,104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91,104</w:t>
            </w:r>
          </w:p>
        </w:tc>
      </w:tr>
      <w:tr>
        <w:trPr>
          <w:trHeight w:val="195"/>
        </w:trPr>
        <w:tc>
          <w:tcPr>
            <w:tcW w:w="1860" w:type="dxa"/>
            <w:vAlign w:val="bottom"/>
          </w:tcPr>
          <w:p>
            <w:pPr>
              <w:spacing w:after="0"/>
              <w:rPr>
                <w:sz w:val="16"/>
                <w:szCs w:val="16"/>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 Unexercisable Options</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0</w:t>
            </w:r>
          </w:p>
        </w:tc>
      </w:tr>
      <w:tr>
        <w:trPr>
          <w:trHeight w:val="195"/>
        </w:trPr>
        <w:tc>
          <w:tcPr>
            <w:tcW w:w="18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Health and Welfare</w:t>
            </w:r>
          </w:p>
        </w:tc>
        <w:tc>
          <w:tcPr>
            <w:tcW w:w="16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21,643</w:t>
            </w:r>
          </w:p>
        </w:tc>
      </w:tr>
      <w:tr>
        <w:trPr>
          <w:trHeight w:val="209"/>
        </w:trPr>
        <w:tc>
          <w:tcPr>
            <w:tcW w:w="186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1680" w:type="dxa"/>
            <w:vAlign w:val="bottom"/>
            <w:gridSpan w:val="2"/>
          </w:tcPr>
          <w:p>
            <w:pPr>
              <w:jc w:val="right"/>
              <w:ind w:right="171"/>
              <w:spacing w:after="0"/>
              <w:rPr>
                <w:sz w:val="20"/>
                <w:szCs w:val="20"/>
                <w:color w:val="auto"/>
              </w:rPr>
            </w:pPr>
            <w:r>
              <w:rPr>
                <w:rFonts w:ascii="Arial" w:cs="Arial" w:eastAsia="Arial" w:hAnsi="Arial"/>
                <w:sz w:val="17"/>
                <w:szCs w:val="17"/>
                <w:color w:val="auto"/>
              </w:rPr>
              <w:t>510,515</w:t>
            </w:r>
          </w:p>
        </w:tc>
        <w:tc>
          <w:tcPr>
            <w:tcW w:w="1720" w:type="dxa"/>
            <w:vAlign w:val="bottom"/>
            <w:gridSpan w:val="2"/>
          </w:tcPr>
          <w:p>
            <w:pPr>
              <w:jc w:val="right"/>
              <w:ind w:right="191"/>
              <w:spacing w:after="0"/>
              <w:rPr>
                <w:sz w:val="20"/>
                <w:szCs w:val="20"/>
                <w:color w:val="auto"/>
              </w:rPr>
            </w:pPr>
            <w:r>
              <w:rPr>
                <w:rFonts w:ascii="Arial" w:cs="Arial" w:eastAsia="Arial" w:hAnsi="Arial"/>
                <w:sz w:val="17"/>
                <w:szCs w:val="17"/>
                <w:color w:val="auto"/>
              </w:rPr>
              <w:t>510,515</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510,515</w:t>
            </w:r>
          </w:p>
        </w:tc>
        <w:tc>
          <w:tcPr>
            <w:tcW w:w="1700" w:type="dxa"/>
            <w:vAlign w:val="bottom"/>
            <w:gridSpan w:val="2"/>
          </w:tcPr>
          <w:p>
            <w:pPr>
              <w:jc w:val="right"/>
              <w:ind w:right="171"/>
              <w:spacing w:after="0"/>
              <w:rPr>
                <w:sz w:val="20"/>
                <w:szCs w:val="20"/>
                <w:color w:val="auto"/>
              </w:rPr>
            </w:pPr>
            <w:r>
              <w:rPr>
                <w:rFonts w:ascii="Arial" w:cs="Arial" w:eastAsia="Arial" w:hAnsi="Arial"/>
                <w:sz w:val="17"/>
                <w:szCs w:val="17"/>
                <w:color w:val="auto"/>
              </w:rPr>
              <w:t>643,105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13061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30" w:lineRule="exact"/>
        <w:rPr>
          <w:sz w:val="20"/>
          <w:szCs w:val="20"/>
          <w:color w:val="auto"/>
        </w:rPr>
      </w:pPr>
    </w:p>
    <w:p>
      <w:pPr>
        <w:ind w:left="480" w:hanging="476"/>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Accounts of the Named Executives in deferred compensation plans and 401(k) plans are not included.</w:t>
      </w:r>
    </w:p>
    <w:p>
      <w:pPr>
        <w:spacing w:after="0" w:line="64" w:lineRule="exact"/>
        <w:rPr>
          <w:rFonts w:ascii="Arial" w:cs="Arial" w:eastAsia="Arial" w:hAnsi="Arial"/>
          <w:sz w:val="17"/>
          <w:szCs w:val="17"/>
          <w:color w:val="auto"/>
        </w:rPr>
      </w:pPr>
    </w:p>
    <w:p>
      <w:pPr>
        <w:ind w:left="480" w:right="100" w:hanging="476"/>
        <w:spacing w:after="0" w:line="248"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Company has a change in control policy which provides payments to certain executives who would likely be subject to job loss or significant change in job duties upon a change in control. Mr. Glenn would have received three years of salary, Messrs. Webster, Greene, and Lees would have received two years of salary, and Mr. Cole would have received one year of salary.</w:t>
      </w:r>
    </w:p>
    <w:p>
      <w:pPr>
        <w:spacing w:after="0" w:line="45" w:lineRule="exact"/>
        <w:rPr>
          <w:rFonts w:ascii="Arial" w:cs="Arial" w:eastAsia="Arial" w:hAnsi="Arial"/>
          <w:sz w:val="17"/>
          <w:szCs w:val="17"/>
          <w:color w:val="auto"/>
        </w:rPr>
      </w:pPr>
    </w:p>
    <w:p>
      <w:pPr>
        <w:ind w:left="480" w:right="240" w:hanging="476"/>
        <w:spacing w:after="0" w:line="256"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accordance with our Company’s practice, Mr. Glenn and the Committee will determine an appropriate severance package commensurate with his service to the Company at an appropriate time. Amounts listed for Mr. Glenn are based on the Executive Retirement Plan format.</w:t>
      </w:r>
    </w:p>
    <w:p>
      <w:pPr>
        <w:spacing w:after="0" w:line="38" w:lineRule="exact"/>
        <w:rPr>
          <w:rFonts w:ascii="Arial" w:cs="Arial" w:eastAsia="Arial" w:hAnsi="Arial"/>
          <w:sz w:val="17"/>
          <w:szCs w:val="17"/>
          <w:color w:val="auto"/>
        </w:rPr>
      </w:pPr>
    </w:p>
    <w:p>
      <w:pPr>
        <w:ind w:left="480" w:right="60" w:hanging="476"/>
        <w:spacing w:after="0" w:line="248"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None of our Named Executives has an employment agreement with our Company. In lieu of severance, our Board has approved an Executive Retirement Plan for officers who have been employed by our Company for 20 years and officers for 10 years. Upon death, permanent disability, or retirement at age 62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81" w:lineRule="exact"/>
        <w:rPr>
          <w:sz w:val="20"/>
          <w:szCs w:val="20"/>
          <w:color w:val="auto"/>
        </w:rPr>
      </w:pPr>
    </w:p>
    <w:p>
      <w:pPr>
        <w:jc w:val="both"/>
        <w:ind w:left="480" w:right="180"/>
        <w:spacing w:after="0" w:line="245" w:lineRule="auto"/>
        <w:rPr>
          <w:sz w:val="20"/>
          <w:szCs w:val="20"/>
          <w:color w:val="auto"/>
        </w:rPr>
      </w:pPr>
      <w:r>
        <w:rPr>
          <w:rFonts w:ascii="Arial" w:cs="Arial" w:eastAsia="Arial" w:hAnsi="Arial"/>
          <w:sz w:val="17"/>
          <w:szCs w:val="17"/>
          <w:color w:val="auto"/>
        </w:rPr>
        <w:t>or later, Named Executives will receive three annual cash payments, with each payment equal to one-half the base salary for the period prior to the separation, plus payments for COBRA coverage or its equivalent for 36 months. The payments for COBRA are listed in the Health and Welfare line in the table. Messrs. Cole and Greene have not yet met the service requirements of the policy. The Committee retains discretion to award severance to an officer with 20 years of service and 10 years as an officer who does not meet the age requirements for retirement.</w:t>
      </w:r>
    </w:p>
    <w:p>
      <w:pPr>
        <w:spacing w:after="0" w:line="48" w:lineRule="exact"/>
        <w:rPr>
          <w:sz w:val="20"/>
          <w:szCs w:val="20"/>
          <w:color w:val="auto"/>
        </w:rPr>
      </w:pPr>
    </w:p>
    <w:p>
      <w:pPr>
        <w:ind w:left="480" w:right="260" w:hanging="476"/>
        <w:spacing w:after="0" w:line="256"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Stock awards and stock options which are already vested are not included in the table. Earned but unpaid cash bonuses are not included in the table. Unexercisable stock options are shown at the market value on December 25, 2010, less the exercise price.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2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following table sets forth certain information regarding the compensation earned by or awarded to each independent director who served on our Board in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Fees Earned</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4"/>
                <w:szCs w:val="14"/>
                <w:color w:val="auto"/>
                <w:w w:val="97"/>
              </w:rPr>
              <w:t>or Paid in</w:t>
            </w:r>
          </w:p>
        </w:tc>
        <w:tc>
          <w:tcPr>
            <w:tcW w:w="42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color w:val="auto"/>
                <w:w w:val="96"/>
              </w:rPr>
              <w:t>Stock</w:t>
            </w:r>
          </w:p>
        </w:tc>
        <w:tc>
          <w:tcPr>
            <w:tcW w:w="440" w:type="dxa"/>
            <w:vAlign w:val="bottom"/>
          </w:tcPr>
          <w:p>
            <w:pPr>
              <w:spacing w:after="0"/>
              <w:rPr>
                <w:sz w:val="13"/>
                <w:szCs w:val="13"/>
                <w:color w:val="auto"/>
              </w:rPr>
            </w:pPr>
          </w:p>
        </w:tc>
        <w:tc>
          <w:tcPr>
            <w:tcW w:w="1300" w:type="dxa"/>
            <w:vAlign w:val="bottom"/>
            <w:gridSpan w:val="2"/>
          </w:tcPr>
          <w:p>
            <w:pPr>
              <w:jc w:val="center"/>
              <w:ind w:right="440"/>
              <w:spacing w:after="0" w:line="156" w:lineRule="exact"/>
              <w:rPr>
                <w:sz w:val="20"/>
                <w:szCs w:val="20"/>
                <w:color w:val="auto"/>
              </w:rPr>
            </w:pPr>
            <w:r>
              <w:rPr>
                <w:rFonts w:ascii="Arial" w:cs="Arial" w:eastAsia="Arial" w:hAnsi="Arial"/>
                <w:sz w:val="14"/>
                <w:szCs w:val="14"/>
                <w:color w:val="auto"/>
              </w:rPr>
              <w:t>Non-Equity</w:t>
            </w:r>
          </w:p>
        </w:tc>
        <w:tc>
          <w:tcPr>
            <w:tcW w:w="1320" w:type="dxa"/>
            <w:vAlign w:val="bottom"/>
          </w:tcPr>
          <w:p>
            <w:pPr>
              <w:jc w:val="center"/>
              <w:spacing w:after="0" w:line="156" w:lineRule="exact"/>
              <w:rPr>
                <w:sz w:val="20"/>
                <w:szCs w:val="20"/>
                <w:color w:val="auto"/>
              </w:rPr>
            </w:pPr>
            <w:r>
              <w:rPr>
                <w:rFonts w:ascii="Arial" w:cs="Arial" w:eastAsia="Arial" w:hAnsi="Arial"/>
                <w:sz w:val="14"/>
                <w:szCs w:val="14"/>
                <w:color w:val="auto"/>
                <w:w w:val="99"/>
              </w:rPr>
              <w:t>All Other</w:t>
            </w: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4"/>
                <w:szCs w:val="14"/>
                <w:color w:val="auto"/>
                <w:w w:val="97"/>
              </w:rPr>
              <w:t>Cash</w:t>
            </w:r>
          </w:p>
        </w:tc>
        <w:tc>
          <w:tcPr>
            <w:tcW w:w="42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color w:val="auto"/>
                <w:w w:val="98"/>
              </w:rPr>
              <w:t>Awards</w:t>
            </w:r>
          </w:p>
        </w:tc>
        <w:tc>
          <w:tcPr>
            <w:tcW w:w="440" w:type="dxa"/>
            <w:vAlign w:val="bottom"/>
          </w:tcPr>
          <w:p>
            <w:pPr>
              <w:spacing w:after="0"/>
              <w:rPr>
                <w:sz w:val="13"/>
                <w:szCs w:val="13"/>
                <w:color w:val="auto"/>
              </w:rPr>
            </w:pPr>
          </w:p>
        </w:tc>
        <w:tc>
          <w:tcPr>
            <w:tcW w:w="1300" w:type="dxa"/>
            <w:vAlign w:val="bottom"/>
            <w:gridSpan w:val="2"/>
          </w:tcPr>
          <w:p>
            <w:pPr>
              <w:jc w:val="center"/>
              <w:ind w:right="440"/>
              <w:spacing w:after="0" w:line="156" w:lineRule="exact"/>
              <w:rPr>
                <w:sz w:val="20"/>
                <w:szCs w:val="20"/>
                <w:color w:val="auto"/>
              </w:rPr>
            </w:pPr>
            <w:r>
              <w:rPr>
                <w:rFonts w:ascii="Arial" w:cs="Arial" w:eastAsia="Arial" w:hAnsi="Arial"/>
                <w:sz w:val="14"/>
                <w:szCs w:val="14"/>
                <w:color w:val="auto"/>
                <w:w w:val="97"/>
              </w:rPr>
              <w:t>Incentive Plan</w:t>
            </w:r>
          </w:p>
        </w:tc>
        <w:tc>
          <w:tcPr>
            <w:tcW w:w="1320" w:type="dxa"/>
            <w:vAlign w:val="bottom"/>
          </w:tcPr>
          <w:p>
            <w:pPr>
              <w:jc w:val="center"/>
              <w:spacing w:after="0" w:line="156" w:lineRule="exact"/>
              <w:rPr>
                <w:sz w:val="20"/>
                <w:szCs w:val="20"/>
                <w:color w:val="auto"/>
              </w:rPr>
            </w:pPr>
            <w:r>
              <w:rPr>
                <w:rFonts w:ascii="Arial" w:cs="Arial" w:eastAsia="Arial" w:hAnsi="Arial"/>
                <w:sz w:val="14"/>
                <w:szCs w:val="14"/>
                <w:color w:val="auto"/>
                <w:w w:val="97"/>
              </w:rPr>
              <w:t>Compensation</w:t>
            </w: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2"/>
        </w:trPr>
        <w:tc>
          <w:tcPr>
            <w:tcW w:w="3500" w:type="dxa"/>
            <w:vAlign w:val="bottom"/>
          </w:tcPr>
          <w:p>
            <w:pPr>
              <w:spacing w:after="0" w:line="152" w:lineRule="exact"/>
              <w:rPr>
                <w:sz w:val="20"/>
                <w:szCs w:val="20"/>
                <w:color w:val="auto"/>
              </w:rPr>
            </w:pPr>
            <w:r>
              <w:rPr>
                <w:rFonts w:ascii="Arial" w:cs="Arial" w:eastAsia="Arial" w:hAnsi="Arial"/>
                <w:sz w:val="14"/>
                <w:szCs w:val="14"/>
                <w:color w:val="auto"/>
              </w:rPr>
              <w:t>Names</w:t>
            </w:r>
          </w:p>
        </w:tc>
        <w:tc>
          <w:tcPr>
            <w:tcW w:w="420" w:type="dxa"/>
            <w:vAlign w:val="bottom"/>
          </w:tcPr>
          <w:p>
            <w:pPr>
              <w:spacing w:after="0"/>
              <w:rPr>
                <w:sz w:val="13"/>
                <w:szCs w:val="13"/>
                <w:color w:val="auto"/>
              </w:rPr>
            </w:pPr>
          </w:p>
        </w:tc>
        <w:tc>
          <w:tcPr>
            <w:tcW w:w="1200" w:type="dxa"/>
            <w:vAlign w:val="bottom"/>
          </w:tcPr>
          <w:p>
            <w:pPr>
              <w:jc w:val="center"/>
              <w:spacing w:after="0" w:line="152" w:lineRule="exact"/>
              <w:rPr>
                <w:sz w:val="20"/>
                <w:szCs w:val="20"/>
                <w:color w:val="auto"/>
              </w:rPr>
            </w:pPr>
            <w:r>
              <w:rPr>
                <w:rFonts w:ascii="Arial" w:cs="Arial" w:eastAsia="Arial" w:hAnsi="Arial"/>
                <w:sz w:val="14"/>
                <w:szCs w:val="14"/>
                <w:color w:val="auto"/>
                <w:w w:val="93"/>
              </w:rPr>
              <w:t>(1)</w:t>
            </w:r>
          </w:p>
        </w:tc>
        <w:tc>
          <w:tcPr>
            <w:tcW w:w="42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color w:val="auto"/>
              </w:rPr>
              <w:t>(2)</w:t>
            </w:r>
          </w:p>
        </w:tc>
        <w:tc>
          <w:tcPr>
            <w:tcW w:w="1740" w:type="dxa"/>
            <w:vAlign w:val="bottom"/>
            <w:gridSpan w:val="3"/>
          </w:tcPr>
          <w:p>
            <w:pPr>
              <w:jc w:val="center"/>
              <w:spacing w:after="0" w:line="152" w:lineRule="exact"/>
              <w:rPr>
                <w:sz w:val="20"/>
                <w:szCs w:val="20"/>
                <w:color w:val="auto"/>
              </w:rPr>
            </w:pPr>
            <w:r>
              <w:rPr>
                <w:rFonts w:ascii="Arial" w:cs="Arial" w:eastAsia="Arial" w:hAnsi="Arial"/>
                <w:sz w:val="14"/>
                <w:szCs w:val="14"/>
                <w:color w:val="auto"/>
                <w:w w:val="99"/>
              </w:rPr>
              <w:t>Compensation</w:t>
            </w:r>
          </w:p>
        </w:tc>
        <w:tc>
          <w:tcPr>
            <w:tcW w:w="1320" w:type="dxa"/>
            <w:vAlign w:val="bottom"/>
          </w:tcPr>
          <w:p>
            <w:pPr>
              <w:jc w:val="center"/>
              <w:spacing w:after="0" w:line="152" w:lineRule="exact"/>
              <w:rPr>
                <w:sz w:val="20"/>
                <w:szCs w:val="20"/>
                <w:color w:val="auto"/>
              </w:rPr>
            </w:pPr>
            <w:r>
              <w:rPr>
                <w:rFonts w:ascii="Arial" w:cs="Arial" w:eastAsia="Arial" w:hAnsi="Arial"/>
                <w:sz w:val="14"/>
                <w:szCs w:val="14"/>
                <w:color w:val="auto"/>
                <w:w w:val="93"/>
              </w:rPr>
              <w:t>(3)</w:t>
            </w:r>
          </w:p>
        </w:tc>
        <w:tc>
          <w:tcPr>
            <w:tcW w:w="440" w:type="dxa"/>
            <w:vAlign w:val="bottom"/>
          </w:tcPr>
          <w:p>
            <w:pPr>
              <w:spacing w:after="0"/>
              <w:rPr>
                <w:sz w:val="13"/>
                <w:szCs w:val="13"/>
                <w:color w:val="auto"/>
              </w:rPr>
            </w:pPr>
          </w:p>
        </w:tc>
        <w:tc>
          <w:tcPr>
            <w:tcW w:w="1320" w:type="dxa"/>
            <w:vAlign w:val="bottom"/>
          </w:tcPr>
          <w:p>
            <w:pPr>
              <w:jc w:val="right"/>
              <w:ind w:right="442"/>
              <w:spacing w:after="0" w:line="152" w:lineRule="exact"/>
              <w:rPr>
                <w:sz w:val="20"/>
                <w:szCs w:val="20"/>
                <w:color w:val="auto"/>
              </w:rPr>
            </w:pPr>
            <w:r>
              <w:rPr>
                <w:rFonts w:ascii="Arial" w:cs="Arial" w:eastAsia="Arial" w:hAnsi="Arial"/>
                <w:sz w:val="14"/>
                <w:szCs w:val="14"/>
                <w:color w:val="auto"/>
              </w:rPr>
              <w:t>Total</w:t>
            </w:r>
          </w:p>
        </w:tc>
      </w:tr>
      <w:tr>
        <w:trPr>
          <w:trHeight w:val="188"/>
        </w:trPr>
        <w:tc>
          <w:tcPr>
            <w:tcW w:w="3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William G. Currie</w:t>
            </w:r>
          </w:p>
        </w:tc>
        <w:tc>
          <w:tcPr>
            <w:tcW w:w="42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267"/>
              <w:spacing w:after="0" w:line="189" w:lineRule="exact"/>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186"/>
              <w:spacing w:after="0" w:line="189" w:lineRule="exact"/>
              <w:rPr>
                <w:sz w:val="20"/>
                <w:szCs w:val="20"/>
                <w:color w:val="auto"/>
              </w:rPr>
            </w:pPr>
            <w:r>
              <w:rPr>
                <w:rFonts w:ascii="Arial" w:cs="Arial" w:eastAsia="Arial" w:hAnsi="Arial"/>
                <w:sz w:val="17"/>
                <w:szCs w:val="17"/>
                <w:color w:val="auto"/>
              </w:rPr>
              <w:t>0</w:t>
            </w:r>
          </w:p>
        </w:tc>
        <w:tc>
          <w:tcPr>
            <w:tcW w:w="4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0</w:t>
            </w:r>
          </w:p>
        </w:tc>
        <w:tc>
          <w:tcPr>
            <w:tcW w:w="44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78"/>
              <w:spacing w:after="0" w:line="189" w:lineRule="exact"/>
              <w:rPr>
                <w:sz w:val="20"/>
                <w:szCs w:val="20"/>
                <w:color w:val="auto"/>
              </w:rPr>
            </w:pPr>
            <w:r>
              <w:rPr>
                <w:rFonts w:ascii="Arial" w:cs="Arial" w:eastAsia="Arial" w:hAnsi="Arial"/>
                <w:sz w:val="17"/>
                <w:szCs w:val="17"/>
                <w:color w:val="auto"/>
              </w:rPr>
              <w:t>$1,514,944</w:t>
            </w:r>
          </w:p>
        </w:tc>
        <w:tc>
          <w:tcPr>
            <w:tcW w:w="44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82"/>
              <w:spacing w:after="0" w:line="189" w:lineRule="exact"/>
              <w:rPr>
                <w:sz w:val="20"/>
                <w:szCs w:val="20"/>
                <w:color w:val="auto"/>
              </w:rPr>
            </w:pPr>
            <w:r>
              <w:rPr>
                <w:rFonts w:ascii="Arial" w:cs="Arial" w:eastAsia="Arial" w:hAnsi="Arial"/>
                <w:sz w:val="17"/>
                <w:szCs w:val="17"/>
                <w:color w:val="auto"/>
              </w:rPr>
              <w:t>$1,514,944</w:t>
            </w:r>
          </w:p>
        </w:tc>
      </w:tr>
      <w:tr>
        <w:trPr>
          <w:trHeight w:val="195"/>
        </w:trPr>
        <w:tc>
          <w:tcPr>
            <w:tcW w:w="3500" w:type="dxa"/>
            <w:vAlign w:val="bottom"/>
          </w:tcPr>
          <w:p>
            <w:pPr>
              <w:spacing w:after="0"/>
              <w:rPr>
                <w:sz w:val="20"/>
                <w:szCs w:val="20"/>
                <w:color w:val="auto"/>
              </w:rPr>
            </w:pPr>
            <w:r>
              <w:rPr>
                <w:rFonts w:ascii="Arial" w:cs="Arial" w:eastAsia="Arial" w:hAnsi="Arial"/>
                <w:sz w:val="17"/>
                <w:szCs w:val="17"/>
                <w:color w:val="auto"/>
              </w:rPr>
              <w:t>Dan M. Dutton (4)(5)</w:t>
            </w:r>
          </w:p>
        </w:tc>
        <w:tc>
          <w:tcPr>
            <w:tcW w:w="1620" w:type="dxa"/>
            <w:vAlign w:val="bottom"/>
            <w:gridSpan w:val="2"/>
          </w:tcPr>
          <w:p>
            <w:pPr>
              <w:jc w:val="right"/>
              <w:ind w:right="267"/>
              <w:spacing w:after="0"/>
              <w:rPr>
                <w:sz w:val="20"/>
                <w:szCs w:val="20"/>
                <w:color w:val="auto"/>
              </w:rPr>
            </w:pPr>
            <w:r>
              <w:rPr>
                <w:rFonts w:ascii="Arial" w:cs="Arial" w:eastAsia="Arial" w:hAnsi="Arial"/>
                <w:sz w:val="17"/>
                <w:szCs w:val="17"/>
                <w:color w:val="auto"/>
              </w:rPr>
              <w:t>$89,375</w:t>
            </w:r>
          </w:p>
        </w:tc>
        <w:tc>
          <w:tcPr>
            <w:tcW w:w="1480" w:type="dxa"/>
            <w:vAlign w:val="bottom"/>
            <w:gridSpan w:val="2"/>
          </w:tcPr>
          <w:p>
            <w:pPr>
              <w:jc w:val="right"/>
              <w:ind w:right="186"/>
              <w:spacing w:after="0"/>
              <w:rPr>
                <w:sz w:val="20"/>
                <w:szCs w:val="20"/>
                <w:color w:val="auto"/>
              </w:rPr>
            </w:pPr>
            <w:r>
              <w:rPr>
                <w:rFonts w:ascii="Arial" w:cs="Arial" w:eastAsia="Arial" w:hAnsi="Arial"/>
                <w:sz w:val="17"/>
                <w:szCs w:val="17"/>
                <w:color w:val="auto"/>
              </w:rPr>
              <w:t>$47,586</w:t>
            </w:r>
          </w:p>
        </w:tc>
        <w:tc>
          <w:tcPr>
            <w:tcW w:w="1300" w:type="dxa"/>
            <w:vAlign w:val="bottom"/>
            <w:gridSpan w:val="2"/>
          </w:tcPr>
          <w:p>
            <w:pPr>
              <w:jc w:val="center"/>
              <w:ind w:left="395"/>
              <w:spacing w:after="0"/>
              <w:rPr>
                <w:sz w:val="20"/>
                <w:szCs w:val="20"/>
                <w:color w:val="auto"/>
              </w:rPr>
            </w:pPr>
            <w:r>
              <w:rPr>
                <w:rFonts w:ascii="Arial" w:cs="Arial" w:eastAsia="Arial" w:hAnsi="Arial"/>
                <w:sz w:val="17"/>
                <w:szCs w:val="17"/>
                <w:color w:val="auto"/>
              </w:rPr>
              <w:t>0</w:t>
            </w:r>
          </w:p>
        </w:tc>
        <w:tc>
          <w:tcPr>
            <w:tcW w:w="440" w:type="dxa"/>
            <w:vAlign w:val="bottom"/>
          </w:tcPr>
          <w:p>
            <w:pPr>
              <w:spacing w:after="0"/>
              <w:rPr>
                <w:sz w:val="16"/>
                <w:szCs w:val="16"/>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0</w:t>
            </w:r>
          </w:p>
        </w:tc>
        <w:tc>
          <w:tcPr>
            <w:tcW w:w="1760" w:type="dxa"/>
            <w:vAlign w:val="bottom"/>
            <w:gridSpan w:val="2"/>
          </w:tcPr>
          <w:p>
            <w:pPr>
              <w:jc w:val="right"/>
              <w:ind w:right="182"/>
              <w:spacing w:after="0"/>
              <w:rPr>
                <w:sz w:val="20"/>
                <w:szCs w:val="20"/>
                <w:color w:val="auto"/>
              </w:rPr>
            </w:pPr>
            <w:r>
              <w:rPr>
                <w:rFonts w:ascii="Arial" w:cs="Arial" w:eastAsia="Arial" w:hAnsi="Arial"/>
                <w:sz w:val="17"/>
                <w:szCs w:val="17"/>
                <w:color w:val="auto"/>
              </w:rPr>
              <w:t>136,961</w:t>
            </w:r>
          </w:p>
        </w:tc>
      </w:t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John M. Engler</w:t>
            </w:r>
          </w:p>
        </w:tc>
        <w:tc>
          <w:tcPr>
            <w:tcW w:w="162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$60,000</w:t>
            </w:r>
          </w:p>
        </w:tc>
        <w:tc>
          <w:tcPr>
            <w:tcW w:w="148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47,586</w:t>
            </w:r>
          </w:p>
        </w:tc>
        <w:tc>
          <w:tcPr>
            <w:tcW w:w="1300" w:type="dxa"/>
            <w:vAlign w:val="bottom"/>
            <w:gridSpan w:val="2"/>
            <w:shd w:val="clear" w:color="auto" w:fill="CCEEFF"/>
          </w:tcPr>
          <w:p>
            <w:pPr>
              <w:jc w:val="center"/>
              <w:ind w:left="395"/>
              <w:spacing w:after="0"/>
              <w:rPr>
                <w:sz w:val="20"/>
                <w:szCs w:val="20"/>
                <w:color w:val="auto"/>
              </w:rPr>
            </w:pPr>
            <w:r>
              <w:rPr>
                <w:rFonts w:ascii="Arial" w:cs="Arial" w:eastAsia="Arial" w:hAnsi="Arial"/>
                <w:sz w:val="17"/>
                <w:szCs w:val="17"/>
                <w:color w:val="auto"/>
              </w:rPr>
              <w:t>0</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0</w:t>
            </w:r>
          </w:p>
        </w:tc>
        <w:tc>
          <w:tcPr>
            <w:tcW w:w="1760" w:type="dxa"/>
            <w:vAlign w:val="bottom"/>
            <w:gridSpan w:val="2"/>
            <w:shd w:val="clear" w:color="auto" w:fill="CCEEFF"/>
          </w:tcPr>
          <w:p>
            <w:pPr>
              <w:jc w:val="right"/>
              <w:ind w:right="182"/>
              <w:spacing w:after="0"/>
              <w:rPr>
                <w:sz w:val="20"/>
                <w:szCs w:val="20"/>
                <w:color w:val="auto"/>
              </w:rPr>
            </w:pPr>
            <w:r>
              <w:rPr>
                <w:rFonts w:ascii="Arial" w:cs="Arial" w:eastAsia="Arial" w:hAnsi="Arial"/>
                <w:sz w:val="17"/>
                <w:szCs w:val="17"/>
                <w:color w:val="auto"/>
              </w:rPr>
              <w:t>107,586</w:t>
            </w:r>
          </w:p>
        </w:tc>
      </w:tr>
      <w:tr>
        <w:trPr>
          <w:trHeight w:val="195"/>
        </w:trPr>
        <w:tc>
          <w:tcPr>
            <w:tcW w:w="3500" w:type="dxa"/>
            <w:vAlign w:val="bottom"/>
          </w:tcPr>
          <w:p>
            <w:pPr>
              <w:spacing w:after="0"/>
              <w:rPr>
                <w:sz w:val="20"/>
                <w:szCs w:val="20"/>
                <w:color w:val="auto"/>
              </w:rPr>
            </w:pPr>
            <w:r>
              <w:rPr>
                <w:rFonts w:ascii="Arial" w:cs="Arial" w:eastAsia="Arial" w:hAnsi="Arial"/>
                <w:sz w:val="17"/>
                <w:szCs w:val="17"/>
                <w:color w:val="auto"/>
              </w:rPr>
              <w:t>John W. Garside (5)</w:t>
            </w:r>
          </w:p>
        </w:tc>
        <w:tc>
          <w:tcPr>
            <w:tcW w:w="1620" w:type="dxa"/>
            <w:vAlign w:val="bottom"/>
            <w:gridSpan w:val="2"/>
          </w:tcPr>
          <w:p>
            <w:pPr>
              <w:jc w:val="right"/>
              <w:ind w:right="267"/>
              <w:spacing w:after="0"/>
              <w:rPr>
                <w:sz w:val="20"/>
                <w:szCs w:val="20"/>
                <w:color w:val="auto"/>
              </w:rPr>
            </w:pPr>
            <w:r>
              <w:rPr>
                <w:rFonts w:ascii="Arial" w:cs="Arial" w:eastAsia="Arial" w:hAnsi="Arial"/>
                <w:sz w:val="17"/>
                <w:szCs w:val="17"/>
                <w:color w:val="auto"/>
              </w:rPr>
              <w:t>69,300</w:t>
            </w:r>
          </w:p>
        </w:tc>
        <w:tc>
          <w:tcPr>
            <w:tcW w:w="1480" w:type="dxa"/>
            <w:vAlign w:val="bottom"/>
            <w:gridSpan w:val="2"/>
          </w:tcPr>
          <w:p>
            <w:pPr>
              <w:jc w:val="right"/>
              <w:ind w:right="186"/>
              <w:spacing w:after="0"/>
              <w:rPr>
                <w:sz w:val="20"/>
                <w:szCs w:val="20"/>
                <w:color w:val="auto"/>
              </w:rPr>
            </w:pPr>
            <w:r>
              <w:rPr>
                <w:rFonts w:ascii="Arial" w:cs="Arial" w:eastAsia="Arial" w:hAnsi="Arial"/>
                <w:sz w:val="17"/>
                <w:szCs w:val="17"/>
                <w:color w:val="auto"/>
              </w:rPr>
              <w:t>47,586</w:t>
            </w:r>
          </w:p>
        </w:tc>
        <w:tc>
          <w:tcPr>
            <w:tcW w:w="1300" w:type="dxa"/>
            <w:vAlign w:val="bottom"/>
            <w:gridSpan w:val="2"/>
          </w:tcPr>
          <w:p>
            <w:pPr>
              <w:jc w:val="center"/>
              <w:ind w:left="395"/>
              <w:spacing w:after="0"/>
              <w:rPr>
                <w:sz w:val="20"/>
                <w:szCs w:val="20"/>
                <w:color w:val="auto"/>
              </w:rPr>
            </w:pPr>
            <w:r>
              <w:rPr>
                <w:rFonts w:ascii="Arial" w:cs="Arial" w:eastAsia="Arial" w:hAnsi="Arial"/>
                <w:sz w:val="17"/>
                <w:szCs w:val="17"/>
                <w:color w:val="auto"/>
              </w:rPr>
              <w:t>0</w:t>
            </w:r>
          </w:p>
        </w:tc>
        <w:tc>
          <w:tcPr>
            <w:tcW w:w="440" w:type="dxa"/>
            <w:vAlign w:val="bottom"/>
          </w:tcPr>
          <w:p>
            <w:pPr>
              <w:spacing w:after="0"/>
              <w:rPr>
                <w:sz w:val="16"/>
                <w:szCs w:val="16"/>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0</w:t>
            </w:r>
          </w:p>
        </w:tc>
        <w:tc>
          <w:tcPr>
            <w:tcW w:w="1760" w:type="dxa"/>
            <w:vAlign w:val="bottom"/>
            <w:gridSpan w:val="2"/>
          </w:tcPr>
          <w:p>
            <w:pPr>
              <w:jc w:val="right"/>
              <w:ind w:right="182"/>
              <w:spacing w:after="0"/>
              <w:rPr>
                <w:sz w:val="20"/>
                <w:szCs w:val="20"/>
                <w:color w:val="auto"/>
              </w:rPr>
            </w:pPr>
            <w:r>
              <w:rPr>
                <w:rFonts w:ascii="Arial" w:cs="Arial" w:eastAsia="Arial" w:hAnsi="Arial"/>
                <w:sz w:val="17"/>
                <w:szCs w:val="17"/>
                <w:color w:val="auto"/>
              </w:rPr>
              <w:t>116,886</w:t>
            </w:r>
          </w:p>
        </w:tc>
      </w:t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Gary F. Goode (6)</w:t>
            </w:r>
          </w:p>
        </w:tc>
        <w:tc>
          <w:tcPr>
            <w:tcW w:w="162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88,000</w:t>
            </w:r>
          </w:p>
        </w:tc>
        <w:tc>
          <w:tcPr>
            <w:tcW w:w="148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47,586</w:t>
            </w:r>
          </w:p>
        </w:tc>
        <w:tc>
          <w:tcPr>
            <w:tcW w:w="1300" w:type="dxa"/>
            <w:vAlign w:val="bottom"/>
            <w:gridSpan w:val="2"/>
            <w:shd w:val="clear" w:color="auto" w:fill="CCEEFF"/>
          </w:tcPr>
          <w:p>
            <w:pPr>
              <w:jc w:val="center"/>
              <w:ind w:left="395"/>
              <w:spacing w:after="0"/>
              <w:rPr>
                <w:sz w:val="20"/>
                <w:szCs w:val="20"/>
                <w:color w:val="auto"/>
              </w:rPr>
            </w:pPr>
            <w:r>
              <w:rPr>
                <w:rFonts w:ascii="Arial" w:cs="Arial" w:eastAsia="Arial" w:hAnsi="Arial"/>
                <w:sz w:val="17"/>
                <w:szCs w:val="17"/>
                <w:color w:val="auto"/>
              </w:rPr>
              <w:t>0</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0</w:t>
            </w:r>
          </w:p>
        </w:tc>
        <w:tc>
          <w:tcPr>
            <w:tcW w:w="1760" w:type="dxa"/>
            <w:vAlign w:val="bottom"/>
            <w:gridSpan w:val="2"/>
            <w:shd w:val="clear" w:color="auto" w:fill="CCEEFF"/>
          </w:tcPr>
          <w:p>
            <w:pPr>
              <w:jc w:val="right"/>
              <w:ind w:right="182"/>
              <w:spacing w:after="0"/>
              <w:rPr>
                <w:sz w:val="20"/>
                <w:szCs w:val="20"/>
                <w:color w:val="auto"/>
              </w:rPr>
            </w:pPr>
            <w:r>
              <w:rPr>
                <w:rFonts w:ascii="Arial" w:cs="Arial" w:eastAsia="Arial" w:hAnsi="Arial"/>
                <w:sz w:val="17"/>
                <w:szCs w:val="17"/>
                <w:color w:val="auto"/>
              </w:rPr>
              <w:t>135,586</w:t>
            </w:r>
          </w:p>
        </w:tc>
      </w:tr>
      <w:tr>
        <w:trPr>
          <w:trHeight w:val="195"/>
        </w:trPr>
        <w:tc>
          <w:tcPr>
            <w:tcW w:w="3500" w:type="dxa"/>
            <w:vAlign w:val="bottom"/>
          </w:tcPr>
          <w:p>
            <w:pPr>
              <w:spacing w:after="0"/>
              <w:rPr>
                <w:sz w:val="20"/>
                <w:szCs w:val="20"/>
                <w:color w:val="auto"/>
              </w:rPr>
            </w:pPr>
            <w:r>
              <w:rPr>
                <w:rFonts w:ascii="Arial" w:cs="Arial" w:eastAsia="Arial" w:hAnsi="Arial"/>
                <w:sz w:val="17"/>
                <w:szCs w:val="17"/>
                <w:color w:val="auto"/>
              </w:rPr>
              <w:t>Bruce A. Merino</w:t>
            </w:r>
          </w:p>
        </w:tc>
        <w:tc>
          <w:tcPr>
            <w:tcW w:w="1620" w:type="dxa"/>
            <w:vAlign w:val="bottom"/>
            <w:gridSpan w:val="2"/>
          </w:tcPr>
          <w:p>
            <w:pPr>
              <w:jc w:val="right"/>
              <w:ind w:right="267"/>
              <w:spacing w:after="0"/>
              <w:rPr>
                <w:sz w:val="20"/>
                <w:szCs w:val="20"/>
                <w:color w:val="auto"/>
              </w:rPr>
            </w:pPr>
            <w:r>
              <w:rPr>
                <w:rFonts w:ascii="Arial" w:cs="Arial" w:eastAsia="Arial" w:hAnsi="Arial"/>
                <w:sz w:val="17"/>
                <w:szCs w:val="17"/>
                <w:color w:val="auto"/>
              </w:rPr>
              <w:t>59,000</w:t>
            </w:r>
          </w:p>
        </w:tc>
        <w:tc>
          <w:tcPr>
            <w:tcW w:w="1480" w:type="dxa"/>
            <w:vAlign w:val="bottom"/>
            <w:gridSpan w:val="2"/>
          </w:tcPr>
          <w:p>
            <w:pPr>
              <w:jc w:val="right"/>
              <w:ind w:right="186"/>
              <w:spacing w:after="0"/>
              <w:rPr>
                <w:sz w:val="20"/>
                <w:szCs w:val="20"/>
                <w:color w:val="auto"/>
              </w:rPr>
            </w:pPr>
            <w:r>
              <w:rPr>
                <w:rFonts w:ascii="Arial" w:cs="Arial" w:eastAsia="Arial" w:hAnsi="Arial"/>
                <w:sz w:val="17"/>
                <w:szCs w:val="17"/>
                <w:color w:val="auto"/>
              </w:rPr>
              <w:t>37,389</w:t>
            </w:r>
          </w:p>
        </w:tc>
        <w:tc>
          <w:tcPr>
            <w:tcW w:w="1300" w:type="dxa"/>
            <w:vAlign w:val="bottom"/>
            <w:gridSpan w:val="2"/>
          </w:tcPr>
          <w:p>
            <w:pPr>
              <w:jc w:val="center"/>
              <w:ind w:left="395"/>
              <w:spacing w:after="0"/>
              <w:rPr>
                <w:sz w:val="20"/>
                <w:szCs w:val="20"/>
                <w:color w:val="auto"/>
              </w:rPr>
            </w:pPr>
            <w:r>
              <w:rPr>
                <w:rFonts w:ascii="Arial" w:cs="Arial" w:eastAsia="Arial" w:hAnsi="Arial"/>
                <w:sz w:val="17"/>
                <w:szCs w:val="17"/>
                <w:color w:val="auto"/>
              </w:rPr>
              <w:t>0</w:t>
            </w:r>
          </w:p>
        </w:tc>
        <w:tc>
          <w:tcPr>
            <w:tcW w:w="440" w:type="dxa"/>
            <w:vAlign w:val="bottom"/>
          </w:tcPr>
          <w:p>
            <w:pPr>
              <w:spacing w:after="0"/>
              <w:rPr>
                <w:sz w:val="16"/>
                <w:szCs w:val="16"/>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0</w:t>
            </w:r>
          </w:p>
        </w:tc>
        <w:tc>
          <w:tcPr>
            <w:tcW w:w="1760" w:type="dxa"/>
            <w:vAlign w:val="bottom"/>
            <w:gridSpan w:val="2"/>
          </w:tcPr>
          <w:p>
            <w:pPr>
              <w:jc w:val="right"/>
              <w:ind w:right="182"/>
              <w:spacing w:after="0"/>
              <w:rPr>
                <w:sz w:val="20"/>
                <w:szCs w:val="20"/>
                <w:color w:val="auto"/>
              </w:rPr>
            </w:pPr>
            <w:r>
              <w:rPr>
                <w:rFonts w:ascii="Arial" w:cs="Arial" w:eastAsia="Arial" w:hAnsi="Arial"/>
                <w:sz w:val="17"/>
                <w:szCs w:val="17"/>
                <w:color w:val="auto"/>
              </w:rPr>
              <w:t>96,389</w:t>
            </w:r>
          </w:p>
        </w:tc>
      </w:t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Mark A. Murray (5)</w:t>
            </w:r>
          </w:p>
        </w:tc>
        <w:tc>
          <w:tcPr>
            <w:tcW w:w="162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72,325</w:t>
            </w:r>
          </w:p>
        </w:tc>
        <w:tc>
          <w:tcPr>
            <w:tcW w:w="148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47,586</w:t>
            </w:r>
          </w:p>
        </w:tc>
        <w:tc>
          <w:tcPr>
            <w:tcW w:w="1300" w:type="dxa"/>
            <w:vAlign w:val="bottom"/>
            <w:gridSpan w:val="2"/>
            <w:shd w:val="clear" w:color="auto" w:fill="CCEEFF"/>
          </w:tcPr>
          <w:p>
            <w:pPr>
              <w:jc w:val="center"/>
              <w:ind w:left="395"/>
              <w:spacing w:after="0"/>
              <w:rPr>
                <w:sz w:val="20"/>
                <w:szCs w:val="20"/>
                <w:color w:val="auto"/>
              </w:rPr>
            </w:pPr>
            <w:r>
              <w:rPr>
                <w:rFonts w:ascii="Arial" w:cs="Arial" w:eastAsia="Arial" w:hAnsi="Arial"/>
                <w:sz w:val="17"/>
                <w:szCs w:val="17"/>
                <w:color w:val="auto"/>
              </w:rPr>
              <w:t>0</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0</w:t>
            </w:r>
          </w:p>
        </w:tc>
        <w:tc>
          <w:tcPr>
            <w:tcW w:w="1760" w:type="dxa"/>
            <w:vAlign w:val="bottom"/>
            <w:gridSpan w:val="2"/>
            <w:shd w:val="clear" w:color="auto" w:fill="CCEEFF"/>
          </w:tcPr>
          <w:p>
            <w:pPr>
              <w:jc w:val="right"/>
              <w:ind w:right="182"/>
              <w:spacing w:after="0"/>
              <w:rPr>
                <w:sz w:val="20"/>
                <w:szCs w:val="20"/>
                <w:color w:val="auto"/>
              </w:rPr>
            </w:pPr>
            <w:r>
              <w:rPr>
                <w:rFonts w:ascii="Arial" w:cs="Arial" w:eastAsia="Arial" w:hAnsi="Arial"/>
                <w:sz w:val="17"/>
                <w:szCs w:val="17"/>
                <w:color w:val="auto"/>
              </w:rPr>
              <w:t>119,911</w:t>
            </w:r>
          </w:p>
        </w:tc>
      </w:tr>
      <w:tr>
        <w:trPr>
          <w:trHeight w:val="195"/>
        </w:trPr>
        <w:tc>
          <w:tcPr>
            <w:tcW w:w="3500" w:type="dxa"/>
            <w:vAlign w:val="bottom"/>
          </w:tcPr>
          <w:p>
            <w:pPr>
              <w:spacing w:after="0"/>
              <w:rPr>
                <w:sz w:val="20"/>
                <w:szCs w:val="20"/>
                <w:color w:val="auto"/>
              </w:rPr>
            </w:pPr>
            <w:r>
              <w:rPr>
                <w:rFonts w:ascii="Arial" w:cs="Arial" w:eastAsia="Arial" w:hAnsi="Arial"/>
                <w:sz w:val="17"/>
                <w:szCs w:val="17"/>
                <w:color w:val="auto"/>
              </w:rPr>
              <w:t>William R. Payne</w:t>
            </w:r>
          </w:p>
        </w:tc>
        <w:tc>
          <w:tcPr>
            <w:tcW w:w="1620" w:type="dxa"/>
            <w:vAlign w:val="bottom"/>
            <w:gridSpan w:val="2"/>
          </w:tcPr>
          <w:p>
            <w:pPr>
              <w:jc w:val="right"/>
              <w:ind w:right="267"/>
              <w:spacing w:after="0"/>
              <w:rPr>
                <w:sz w:val="20"/>
                <w:szCs w:val="20"/>
                <w:color w:val="auto"/>
              </w:rPr>
            </w:pPr>
            <w:r>
              <w:rPr>
                <w:rFonts w:ascii="Arial" w:cs="Arial" w:eastAsia="Arial" w:hAnsi="Arial"/>
                <w:sz w:val="17"/>
                <w:szCs w:val="17"/>
                <w:color w:val="auto"/>
              </w:rPr>
              <w:t>64,900</w:t>
            </w:r>
          </w:p>
        </w:tc>
        <w:tc>
          <w:tcPr>
            <w:tcW w:w="1480" w:type="dxa"/>
            <w:vAlign w:val="bottom"/>
            <w:gridSpan w:val="2"/>
          </w:tcPr>
          <w:p>
            <w:pPr>
              <w:jc w:val="right"/>
              <w:ind w:right="186"/>
              <w:spacing w:after="0"/>
              <w:rPr>
                <w:sz w:val="20"/>
                <w:szCs w:val="20"/>
                <w:color w:val="auto"/>
              </w:rPr>
            </w:pPr>
            <w:r>
              <w:rPr>
                <w:rFonts w:ascii="Arial" w:cs="Arial" w:eastAsia="Arial" w:hAnsi="Arial"/>
                <w:sz w:val="17"/>
                <w:szCs w:val="17"/>
                <w:color w:val="auto"/>
              </w:rPr>
              <w:t>47,586</w:t>
            </w:r>
          </w:p>
        </w:tc>
        <w:tc>
          <w:tcPr>
            <w:tcW w:w="1300" w:type="dxa"/>
            <w:vAlign w:val="bottom"/>
            <w:gridSpan w:val="2"/>
          </w:tcPr>
          <w:p>
            <w:pPr>
              <w:jc w:val="center"/>
              <w:ind w:left="395"/>
              <w:spacing w:after="0"/>
              <w:rPr>
                <w:sz w:val="20"/>
                <w:szCs w:val="20"/>
                <w:color w:val="auto"/>
              </w:rPr>
            </w:pPr>
            <w:r>
              <w:rPr>
                <w:rFonts w:ascii="Arial" w:cs="Arial" w:eastAsia="Arial" w:hAnsi="Arial"/>
                <w:sz w:val="17"/>
                <w:szCs w:val="17"/>
                <w:color w:val="auto"/>
              </w:rPr>
              <w:t>0</w:t>
            </w:r>
          </w:p>
        </w:tc>
        <w:tc>
          <w:tcPr>
            <w:tcW w:w="440" w:type="dxa"/>
            <w:vAlign w:val="bottom"/>
          </w:tcPr>
          <w:p>
            <w:pPr>
              <w:spacing w:after="0"/>
              <w:rPr>
                <w:sz w:val="16"/>
                <w:szCs w:val="16"/>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0</w:t>
            </w:r>
          </w:p>
        </w:tc>
        <w:tc>
          <w:tcPr>
            <w:tcW w:w="1760" w:type="dxa"/>
            <w:vAlign w:val="bottom"/>
            <w:gridSpan w:val="2"/>
          </w:tcPr>
          <w:p>
            <w:pPr>
              <w:jc w:val="right"/>
              <w:ind w:right="182"/>
              <w:spacing w:after="0"/>
              <w:rPr>
                <w:sz w:val="20"/>
                <w:szCs w:val="20"/>
                <w:color w:val="auto"/>
              </w:rPr>
            </w:pPr>
            <w:r>
              <w:rPr>
                <w:rFonts w:ascii="Arial" w:cs="Arial" w:eastAsia="Arial" w:hAnsi="Arial"/>
                <w:sz w:val="17"/>
                <w:szCs w:val="17"/>
                <w:color w:val="auto"/>
              </w:rPr>
              <w:t>112,486</w:t>
            </w:r>
          </w:p>
        </w:tc>
      </w:t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Louis A. Smith</w:t>
            </w:r>
          </w:p>
        </w:tc>
        <w:tc>
          <w:tcPr>
            <w:tcW w:w="162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69,300</w:t>
            </w:r>
          </w:p>
        </w:tc>
        <w:tc>
          <w:tcPr>
            <w:tcW w:w="148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47,586</w:t>
            </w:r>
          </w:p>
        </w:tc>
        <w:tc>
          <w:tcPr>
            <w:tcW w:w="1300" w:type="dxa"/>
            <w:vAlign w:val="bottom"/>
            <w:gridSpan w:val="2"/>
            <w:shd w:val="clear" w:color="auto" w:fill="CCEEFF"/>
          </w:tcPr>
          <w:p>
            <w:pPr>
              <w:jc w:val="center"/>
              <w:ind w:left="395"/>
              <w:spacing w:after="0"/>
              <w:rPr>
                <w:sz w:val="20"/>
                <w:szCs w:val="20"/>
                <w:color w:val="auto"/>
              </w:rPr>
            </w:pPr>
            <w:r>
              <w:rPr>
                <w:rFonts w:ascii="Arial" w:cs="Arial" w:eastAsia="Arial" w:hAnsi="Arial"/>
                <w:sz w:val="17"/>
                <w:szCs w:val="17"/>
                <w:color w:val="auto"/>
              </w:rPr>
              <w:t>0</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0</w:t>
            </w:r>
          </w:p>
        </w:tc>
        <w:tc>
          <w:tcPr>
            <w:tcW w:w="1760" w:type="dxa"/>
            <w:vAlign w:val="bottom"/>
            <w:gridSpan w:val="2"/>
            <w:shd w:val="clear" w:color="auto" w:fill="CCEEFF"/>
          </w:tcPr>
          <w:p>
            <w:pPr>
              <w:jc w:val="right"/>
              <w:ind w:right="182"/>
              <w:spacing w:after="0"/>
              <w:rPr>
                <w:sz w:val="20"/>
                <w:szCs w:val="20"/>
                <w:color w:val="auto"/>
              </w:rPr>
            </w:pPr>
            <w:r>
              <w:rPr>
                <w:rFonts w:ascii="Arial" w:cs="Arial" w:eastAsia="Arial" w:hAnsi="Arial"/>
                <w:sz w:val="17"/>
                <w:szCs w:val="17"/>
                <w:color w:val="auto"/>
              </w:rPr>
              <w:t>116,886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306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4" w:lineRule="exact"/>
        <w:rPr>
          <w:sz w:val="20"/>
          <w:szCs w:val="20"/>
          <w:color w:val="auto"/>
        </w:rPr>
      </w:pPr>
    </w:p>
    <w:p>
      <w:pPr>
        <w:ind w:left="480" w:hanging="476"/>
        <w:spacing w:after="0" w:line="242"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independent director receives a $50,000 annual retainer fee, $1,000 for attendance at each regular and special meeting of the Board, and $1,000 for each committee meeting they attend. Each independent director may participate in the Director Retainer Stock Plan (the “DRSP”). The DRSP provides that the director may elect to receive Company stock, on a deferred basis, at a rate of 110% of their deferred director fees, in lieu of cash compensation for the director’s retainer and meeting fees. The fees listed for Messrs. Dutton, Garside, Goode, Murray, Payne, and Smith, who participate in the DRSP, are stated at 110% of the cash value actually earned. They were allocated shares of Company stock, in lieu of cash fees, in the following respective amounts during 2010: 2,681 shares, 2,176 shares, 2,753 shares, 2,230 shares, 1,956 shares, and 2,083 shares.</w:t>
      </w:r>
    </w:p>
    <w:p>
      <w:pPr>
        <w:spacing w:after="0" w:line="249" w:lineRule="exact"/>
        <w:rPr>
          <w:rFonts w:ascii="Arial" w:cs="Arial" w:eastAsia="Arial" w:hAnsi="Arial"/>
          <w:sz w:val="17"/>
          <w:szCs w:val="17"/>
          <w:color w:val="auto"/>
        </w:rPr>
      </w:pPr>
    </w:p>
    <w:p>
      <w:pPr>
        <w:ind w:left="480" w:right="120" w:hanging="476"/>
        <w:spacing w:after="0" w:line="243"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independent director receives 1,000 shares per year, plus 100 shares of common stock for each Board meeting they attend, up to a maximum of 400 shares per year. Messrs. Dutton, Engler, Garside, Goode, Murray, Payne, and Smith each received 400 shares on February 1, 2010, and Mr. Merino received 100 shares. The amount set forth in this column represents the aggregate fair value of the awards as of the grant date, computed in accordance with FASB ASC Topic 718, “Compensation-Stock Compensation.” The assumptions used in calculating these amounts are set forth in Note J in our Company’s consolidated financial statements for the year-ended December 25, 2010.</w:t>
      </w:r>
    </w:p>
    <w:p>
      <w:pPr>
        <w:spacing w:after="0" w:line="52" w:lineRule="exact"/>
        <w:rPr>
          <w:rFonts w:ascii="Arial" w:cs="Arial" w:eastAsia="Arial" w:hAnsi="Arial"/>
          <w:sz w:val="17"/>
          <w:szCs w:val="17"/>
          <w:color w:val="auto"/>
        </w:rPr>
      </w:pPr>
    </w:p>
    <w:p>
      <w:pPr>
        <w:ind w:left="480" w:right="300" w:hanging="476"/>
        <w:spacing w:after="0" w:line="256"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Currie received $1,413,157 pursuant to his consulting and non-compete agreement, $101,787 as a payout on a deferred compensation plan from amounts deferred in prior years.</w:t>
      </w:r>
    </w:p>
    <w:p>
      <w:pPr>
        <w:spacing w:after="0" w:line="38" w:lineRule="exact"/>
        <w:rPr>
          <w:rFonts w:ascii="Arial" w:cs="Arial" w:eastAsia="Arial" w:hAnsi="Arial"/>
          <w:sz w:val="17"/>
          <w:szCs w:val="17"/>
          <w:color w:val="auto"/>
        </w:rPr>
      </w:pPr>
    </w:p>
    <w:p>
      <w:pPr>
        <w:ind w:left="480" w:hanging="476"/>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Dutton is Lead Director and receives an additional $20,000 per year for serving in that capacity.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81" w:lineRule="exact"/>
        <w:rPr>
          <w:sz w:val="20"/>
          <w:szCs w:val="20"/>
          <w:color w:val="auto"/>
        </w:rPr>
      </w:pPr>
    </w:p>
    <w:p>
      <w:pPr>
        <w:ind w:left="480" w:hanging="476"/>
        <w:spacing w:after="0" w:line="245"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Chairman of the Nominating and Corporate Governance Committee receives an additional $5,000 per year for serving in that capacity. Mr. Dutton served as Chairman of that Committee for the January 2010 meeting, and Mr. Murray served as Chairman for the remainder of the year. Mr. Garside served as Chairman of the Personnel and Compensation Committee for 2010, and received an additional $5,000 per year for serving in that capacity.</w:t>
      </w:r>
    </w:p>
    <w:p>
      <w:pPr>
        <w:spacing w:after="0" w:line="48" w:lineRule="exact"/>
        <w:rPr>
          <w:rFonts w:ascii="Arial" w:cs="Arial" w:eastAsia="Arial" w:hAnsi="Arial"/>
          <w:sz w:val="17"/>
          <w:szCs w:val="17"/>
          <w:color w:val="auto"/>
        </w:rPr>
      </w:pPr>
    </w:p>
    <w:p>
      <w:pPr>
        <w:ind w:left="480" w:hanging="476"/>
        <w:spacing w:after="0"/>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Goode is Chairman of the Audit Committee and receives an additional $20,000 per year for serving in that capacity.</w:t>
      </w:r>
    </w:p>
    <w:p>
      <w:pPr>
        <w:spacing w:after="0" w:line="104"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Each director is also entitled to reimbursement for his or her reasonable out-of-pocket expenses incurred in connection with travel to and from, and attendance at, meetings of our Board or its committees and related activities, including director education courses and materials. Each director is required to own a minimum of 2,500 shares of our Company stock within two years of joining our Board.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6" w:lineRule="exact"/>
        <w:rPr>
          <w:sz w:val="20"/>
          <w:szCs w:val="20"/>
          <w:color w:val="auto"/>
        </w:rPr>
      </w:pPr>
    </w:p>
    <w:p>
      <w:pPr>
        <w:jc w:val="both"/>
        <w:ind w:right="640"/>
        <w:spacing w:after="0" w:line="248" w:lineRule="auto"/>
        <w:rPr>
          <w:sz w:val="20"/>
          <w:szCs w:val="20"/>
          <w:color w:val="auto"/>
        </w:rPr>
      </w:pPr>
      <w:r>
        <w:rPr>
          <w:rFonts w:ascii="Arial" w:cs="Arial" w:eastAsia="Arial" w:hAnsi="Arial"/>
          <w:sz w:val="17"/>
          <w:szCs w:val="17"/>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25, 2010.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Number of</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w w:val="98"/>
              </w:rPr>
              <w:t>Number of shares</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color w:val="auto"/>
                <w:w w:val="98"/>
              </w:rPr>
              <w:t>shares to be</w:t>
            </w:r>
          </w:p>
        </w:tc>
        <w:tc>
          <w:tcPr>
            <w:tcW w:w="40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4"/>
                <w:szCs w:val="14"/>
                <w:color w:val="auto"/>
                <w:w w:val="97"/>
              </w:rPr>
              <w:t>Weighted</w:t>
            </w:r>
          </w:p>
        </w:tc>
        <w:tc>
          <w:tcPr>
            <w:tcW w:w="420" w:type="dxa"/>
            <w:vAlign w:val="bottom"/>
          </w:tcPr>
          <w:p>
            <w:pPr>
              <w:spacing w:after="0"/>
              <w:rPr>
                <w:sz w:val="13"/>
                <w:szCs w:val="13"/>
                <w:color w:val="auto"/>
              </w:rPr>
            </w:pPr>
          </w:p>
        </w:tc>
        <w:tc>
          <w:tcPr>
            <w:tcW w:w="2180" w:type="dxa"/>
            <w:vAlign w:val="bottom"/>
          </w:tcPr>
          <w:p>
            <w:pPr>
              <w:jc w:val="center"/>
              <w:spacing w:after="0" w:line="156" w:lineRule="exact"/>
              <w:rPr>
                <w:sz w:val="20"/>
                <w:szCs w:val="20"/>
                <w:color w:val="auto"/>
              </w:rPr>
            </w:pPr>
            <w:r>
              <w:rPr>
                <w:rFonts w:ascii="Arial" w:cs="Arial" w:eastAsia="Arial" w:hAnsi="Arial"/>
                <w:sz w:val="14"/>
                <w:szCs w:val="14"/>
                <w:color w:val="auto"/>
                <w:w w:val="97"/>
              </w:rPr>
              <w:t>remaining available for</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color w:val="auto"/>
                <w:w w:val="97"/>
              </w:rPr>
              <w:t>issued upon</w:t>
            </w:r>
          </w:p>
        </w:tc>
        <w:tc>
          <w:tcPr>
            <w:tcW w:w="40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4"/>
                <w:szCs w:val="14"/>
                <w:color w:val="auto"/>
                <w:w w:val="98"/>
              </w:rPr>
              <w:t>average</w:t>
            </w:r>
          </w:p>
        </w:tc>
        <w:tc>
          <w:tcPr>
            <w:tcW w:w="420" w:type="dxa"/>
            <w:vAlign w:val="bottom"/>
          </w:tcPr>
          <w:p>
            <w:pPr>
              <w:spacing w:after="0"/>
              <w:rPr>
                <w:sz w:val="13"/>
                <w:szCs w:val="13"/>
                <w:color w:val="auto"/>
              </w:rPr>
            </w:pPr>
          </w:p>
        </w:tc>
        <w:tc>
          <w:tcPr>
            <w:tcW w:w="2180" w:type="dxa"/>
            <w:vAlign w:val="bottom"/>
          </w:tcPr>
          <w:p>
            <w:pPr>
              <w:jc w:val="center"/>
              <w:spacing w:after="0" w:line="156" w:lineRule="exact"/>
              <w:rPr>
                <w:sz w:val="20"/>
                <w:szCs w:val="20"/>
                <w:color w:val="auto"/>
              </w:rPr>
            </w:pPr>
            <w:r>
              <w:rPr>
                <w:rFonts w:ascii="Arial" w:cs="Arial" w:eastAsia="Arial" w:hAnsi="Arial"/>
                <w:sz w:val="14"/>
                <w:szCs w:val="14"/>
                <w:color w:val="auto"/>
                <w:w w:val="99"/>
              </w:rPr>
              <w:t>future issuance under</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color w:val="auto"/>
                <w:w w:val="97"/>
              </w:rPr>
              <w:t>exercise of</w:t>
            </w:r>
          </w:p>
        </w:tc>
        <w:tc>
          <w:tcPr>
            <w:tcW w:w="40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4"/>
                <w:szCs w:val="14"/>
                <w:color w:val="auto"/>
                <w:w w:val="99"/>
              </w:rPr>
              <w:t>exercise price</w:t>
            </w:r>
          </w:p>
        </w:tc>
        <w:tc>
          <w:tcPr>
            <w:tcW w:w="420" w:type="dxa"/>
            <w:vAlign w:val="bottom"/>
          </w:tcPr>
          <w:p>
            <w:pPr>
              <w:spacing w:after="0"/>
              <w:rPr>
                <w:sz w:val="13"/>
                <w:szCs w:val="13"/>
                <w:color w:val="auto"/>
              </w:rPr>
            </w:pPr>
          </w:p>
        </w:tc>
        <w:tc>
          <w:tcPr>
            <w:tcW w:w="2180" w:type="dxa"/>
            <w:vAlign w:val="bottom"/>
          </w:tcPr>
          <w:p>
            <w:pPr>
              <w:jc w:val="center"/>
              <w:spacing w:after="0" w:line="156" w:lineRule="exact"/>
              <w:rPr>
                <w:sz w:val="20"/>
                <w:szCs w:val="20"/>
                <w:color w:val="auto"/>
              </w:rPr>
            </w:pPr>
            <w:r>
              <w:rPr>
                <w:rFonts w:ascii="Arial" w:cs="Arial" w:eastAsia="Arial" w:hAnsi="Arial"/>
                <w:sz w:val="14"/>
                <w:szCs w:val="14"/>
                <w:color w:val="auto"/>
              </w:rPr>
              <w:t>equity compensation plans</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9"/>
              </w:rPr>
              <w:t>outstanding</w:t>
            </w:r>
          </w:p>
        </w:tc>
        <w:tc>
          <w:tcPr>
            <w:tcW w:w="4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7"/>
              </w:rPr>
              <w:t>of outstanding</w:t>
            </w:r>
          </w:p>
        </w:tc>
        <w:tc>
          <w:tcPr>
            <w:tcW w:w="4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color w:val="auto"/>
                <w:w w:val="99"/>
              </w:rPr>
              <w:t>[excluding shares reflected</w:t>
            </w:r>
          </w:p>
        </w:tc>
        <w:tc>
          <w:tcPr>
            <w:tcW w:w="0" w:type="dxa"/>
            <w:vAlign w:val="bottom"/>
          </w:tcPr>
          <w:p>
            <w:pPr>
              <w:spacing w:after="0"/>
              <w:rPr>
                <w:sz w:val="1"/>
                <w:szCs w:val="1"/>
                <w:color w:val="auto"/>
              </w:rPr>
            </w:pPr>
          </w:p>
        </w:tc>
      </w:tr>
      <w:tr>
        <w:trPr>
          <w:trHeight w:val="163"/>
        </w:trPr>
        <w:tc>
          <w:tcPr>
            <w:tcW w:w="59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options</w:t>
            </w:r>
          </w:p>
        </w:tc>
        <w:tc>
          <w:tcPr>
            <w:tcW w:w="4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options</w:t>
            </w:r>
          </w:p>
        </w:tc>
        <w:tc>
          <w:tcPr>
            <w:tcW w:w="420" w:type="dxa"/>
            <w:vAlign w:val="bottom"/>
          </w:tcPr>
          <w:p>
            <w:pPr>
              <w:spacing w:after="0"/>
              <w:rPr>
                <w:sz w:val="14"/>
                <w:szCs w:val="14"/>
                <w:color w:val="auto"/>
              </w:rPr>
            </w:pPr>
          </w:p>
        </w:tc>
        <w:tc>
          <w:tcPr>
            <w:tcW w:w="2180" w:type="dxa"/>
            <w:vAlign w:val="bottom"/>
          </w:tcPr>
          <w:p>
            <w:pPr>
              <w:jc w:val="center"/>
              <w:spacing w:after="0" w:line="164" w:lineRule="exact"/>
              <w:rPr>
                <w:sz w:val="20"/>
                <w:szCs w:val="20"/>
                <w:color w:val="auto"/>
              </w:rPr>
            </w:pPr>
            <w:r>
              <w:rPr>
                <w:rFonts w:ascii="Arial" w:cs="Arial" w:eastAsia="Arial" w:hAnsi="Arial"/>
                <w:sz w:val="11"/>
                <w:szCs w:val="11"/>
                <w:color w:val="auto"/>
              </w:rPr>
              <w:t xml:space="preserve">in column (a)]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52"/>
        </w:trPr>
        <w:tc>
          <w:tcPr>
            <w:tcW w:w="5920" w:type="dxa"/>
            <w:vAlign w:val="bottom"/>
            <w:vMerge w:val="restart"/>
          </w:tcPr>
          <w:p>
            <w:pPr>
              <w:spacing w:after="0"/>
              <w:rPr>
                <w:sz w:val="20"/>
                <w:szCs w:val="20"/>
                <w:color w:val="auto"/>
              </w:rPr>
            </w:pPr>
            <w:r>
              <w:rPr>
                <w:rFonts w:ascii="Arial" w:cs="Arial" w:eastAsia="Arial" w:hAnsi="Arial"/>
                <w:sz w:val="17"/>
                <w:szCs w:val="17"/>
                <w:color w:val="auto"/>
              </w:rPr>
              <w:t>Equity compensation plans approved by security holders</w:t>
            </w:r>
          </w:p>
        </w:tc>
        <w:tc>
          <w:tcPr>
            <w:tcW w:w="13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rPr>
              <w:t>(a)</w:t>
            </w:r>
          </w:p>
        </w:tc>
        <w:tc>
          <w:tcPr>
            <w:tcW w:w="40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rPr>
              <w:t>(b)</w:t>
            </w:r>
          </w:p>
        </w:tc>
        <w:tc>
          <w:tcPr>
            <w:tcW w:w="420" w:type="dxa"/>
            <w:vAlign w:val="bottom"/>
          </w:tcPr>
          <w:p>
            <w:pPr>
              <w:spacing w:after="0"/>
              <w:rPr>
                <w:sz w:val="13"/>
                <w:szCs w:val="13"/>
                <w:color w:val="auto"/>
              </w:rPr>
            </w:pPr>
          </w:p>
        </w:tc>
        <w:tc>
          <w:tcPr>
            <w:tcW w:w="21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88"/>
        </w:trPr>
        <w:tc>
          <w:tcPr>
            <w:tcW w:w="5920" w:type="dxa"/>
            <w:vAlign w:val="bottom"/>
            <w:vMerge w:val="continue"/>
          </w:tcPr>
          <w:p>
            <w:pPr>
              <w:spacing w:after="0"/>
              <w:rPr>
                <w:sz w:val="16"/>
                <w:szCs w:val="16"/>
                <w:color w:val="auto"/>
              </w:rPr>
            </w:pPr>
          </w:p>
        </w:tc>
        <w:tc>
          <w:tcPr>
            <w:tcW w:w="1320" w:type="dxa"/>
            <w:vAlign w:val="bottom"/>
          </w:tcPr>
          <w:p>
            <w:pPr>
              <w:jc w:val="center"/>
              <w:spacing w:after="0" w:line="188" w:lineRule="exact"/>
              <w:rPr>
                <w:sz w:val="20"/>
                <w:szCs w:val="20"/>
                <w:color w:val="auto"/>
              </w:rPr>
            </w:pPr>
            <w:r>
              <w:rPr>
                <w:rFonts w:ascii="Arial" w:cs="Arial" w:eastAsia="Arial" w:hAnsi="Arial"/>
                <w:sz w:val="17"/>
                <w:szCs w:val="17"/>
                <w:color w:val="auto"/>
              </w:rPr>
              <w:t>359,997</w:t>
            </w:r>
          </w:p>
        </w:tc>
        <w:tc>
          <w:tcPr>
            <w:tcW w:w="400" w:type="dxa"/>
            <w:vAlign w:val="bottom"/>
          </w:tcPr>
          <w:p>
            <w:pPr>
              <w:spacing w:after="0"/>
              <w:rPr>
                <w:sz w:val="16"/>
                <w:szCs w:val="16"/>
                <w:color w:val="auto"/>
              </w:rPr>
            </w:pPr>
          </w:p>
        </w:tc>
        <w:tc>
          <w:tcPr>
            <w:tcW w:w="1180" w:type="dxa"/>
            <w:vAlign w:val="bottom"/>
          </w:tcPr>
          <w:p>
            <w:pPr>
              <w:jc w:val="right"/>
              <w:ind w:right="288"/>
              <w:spacing w:after="0" w:line="188" w:lineRule="exact"/>
              <w:rPr>
                <w:sz w:val="20"/>
                <w:szCs w:val="20"/>
                <w:color w:val="auto"/>
              </w:rPr>
            </w:pPr>
            <w:r>
              <w:rPr>
                <w:rFonts w:ascii="Arial" w:cs="Arial" w:eastAsia="Arial" w:hAnsi="Arial"/>
                <w:sz w:val="17"/>
                <w:szCs w:val="17"/>
                <w:color w:val="auto"/>
              </w:rPr>
              <w:t>$24.04</w:t>
            </w:r>
          </w:p>
        </w:tc>
        <w:tc>
          <w:tcPr>
            <w:tcW w:w="420" w:type="dxa"/>
            <w:vAlign w:val="bottom"/>
          </w:tcPr>
          <w:p>
            <w:pPr>
              <w:spacing w:after="0"/>
              <w:rPr>
                <w:sz w:val="16"/>
                <w:szCs w:val="16"/>
                <w:color w:val="auto"/>
              </w:rPr>
            </w:pPr>
          </w:p>
        </w:tc>
        <w:tc>
          <w:tcPr>
            <w:tcW w:w="2180" w:type="dxa"/>
            <w:vAlign w:val="bottom"/>
          </w:tcPr>
          <w:p>
            <w:pPr>
              <w:jc w:val="center"/>
              <w:spacing w:after="0" w:line="188" w:lineRule="exact"/>
              <w:rPr>
                <w:sz w:val="20"/>
                <w:szCs w:val="20"/>
                <w:color w:val="auto"/>
              </w:rPr>
            </w:pPr>
            <w:r>
              <w:rPr>
                <w:rFonts w:ascii="Arial" w:cs="Arial" w:eastAsia="Arial" w:hAnsi="Arial"/>
                <w:sz w:val="17"/>
                <w:szCs w:val="17"/>
                <w:color w:val="auto"/>
              </w:rPr>
              <w:t>2,706,160</w:t>
            </w: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1320" w:type="dxa"/>
            <w:vAlign w:val="bottom"/>
          </w:tcPr>
          <w:p>
            <w:pPr>
              <w:jc w:val="center"/>
              <w:spacing w:after="0"/>
              <w:rPr>
                <w:sz w:val="20"/>
                <w:szCs w:val="20"/>
                <w:color w:val="auto"/>
              </w:rPr>
            </w:pPr>
            <w:r>
              <w:rPr>
                <w:rFonts w:ascii="Arial" w:cs="Arial" w:eastAsia="Arial" w:hAnsi="Arial"/>
                <w:sz w:val="17"/>
                <w:szCs w:val="17"/>
                <w:color w:val="auto"/>
              </w:rPr>
              <w:t>none</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13061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31" w:lineRule="exact"/>
        <w:rPr>
          <w:sz w:val="20"/>
          <w:szCs w:val="20"/>
          <w:color w:val="auto"/>
        </w:rPr>
      </w:pPr>
    </w:p>
    <w:p>
      <w:pPr>
        <w:ind w:left="480" w:hanging="476"/>
        <w:spacing w:after="0" w:line="243"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shares remaining available for future issuance under equity compensation plans, excluding options, warrants, or similar rights, as of December 25, 2010, is as follows: 165,383 shares for our Employee Stock Purchase Plan, 58,501 shares for our Directors Retainer Stock Plan, and 2,501 shares for our Stock Gift Program. In addition, the remaining 2,479,775 shares available for future issuance under our Long-Term Stock Incentive Plan, may be made in the form of options as well as stock appreciation rights, restricted stock, performance shares, or other stock-based awards.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PERSONNEL AND COMPENSATION COMMITTEE REPORT</w:t>
      </w:r>
    </w:p>
    <w:p>
      <w:pPr>
        <w:spacing w:after="0" w:line="126"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The primary purpose of the Personnel and Compensation Committee of our Board of Directors is to assist the Board in discharging its responsibilities related to the compensation of our Company’s executives. The Committee’s responsibilities are more fully described in its Charter, which is available on our website.</w:t>
      </w:r>
    </w:p>
    <w:p>
      <w:pPr>
        <w:spacing w:after="0" w:line="84"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At the meeting of the Personnel and Compensation Committee on January 20, 2011, the Committee reviewed and generally discussed our Compensation Discussion and Analysis. By written consent dated February 23, 2011, the Committee approved the Compensation Discussion and Analysis which is included in our Proxy Statement relative to our 2011 Annual Meeting of Shareholders.</w:t>
      </w:r>
    </w:p>
    <w:p>
      <w:pPr>
        <w:spacing w:after="0" w:line="8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Bruce A. Merino, Chairman</w:t>
      </w:r>
    </w:p>
    <w:p>
      <w:pPr>
        <w:ind w:left="5720"/>
        <w:spacing w:after="0"/>
        <w:rPr>
          <w:sz w:val="20"/>
          <w:szCs w:val="20"/>
          <w:color w:val="auto"/>
        </w:rPr>
      </w:pPr>
      <w:r>
        <w:rPr>
          <w:rFonts w:ascii="Arial" w:cs="Arial" w:eastAsia="Arial" w:hAnsi="Arial"/>
          <w:sz w:val="17"/>
          <w:szCs w:val="17"/>
          <w:color w:val="auto"/>
        </w:rPr>
        <w:t>John M. Engler</w:t>
      </w:r>
    </w:p>
    <w:p>
      <w:pPr>
        <w:ind w:left="5720"/>
        <w:spacing w:after="0"/>
        <w:rPr>
          <w:sz w:val="20"/>
          <w:szCs w:val="20"/>
          <w:color w:val="auto"/>
        </w:rPr>
      </w:pPr>
      <w:r>
        <w:rPr>
          <w:rFonts w:ascii="Arial" w:cs="Arial" w:eastAsia="Arial" w:hAnsi="Arial"/>
          <w:sz w:val="17"/>
          <w:szCs w:val="17"/>
          <w:color w:val="auto"/>
        </w:rPr>
        <w:t>John W. Garside</w:t>
      </w:r>
    </w:p>
    <w:p>
      <w:pPr>
        <w:ind w:left="5720"/>
        <w:spacing w:after="0"/>
        <w:rPr>
          <w:sz w:val="20"/>
          <w:szCs w:val="20"/>
          <w:color w:val="auto"/>
        </w:rPr>
      </w:pPr>
      <w:r>
        <w:rPr>
          <w:rFonts w:ascii="Arial" w:cs="Arial" w:eastAsia="Arial" w:hAnsi="Arial"/>
          <w:sz w:val="17"/>
          <w:szCs w:val="17"/>
          <w:color w:val="auto"/>
        </w:rPr>
        <w:t>William R. Payne</w:t>
      </w:r>
    </w:p>
    <w:p>
      <w:pPr>
        <w:ind w:left="5720"/>
        <w:spacing w:after="0"/>
        <w:rPr>
          <w:sz w:val="20"/>
          <w:szCs w:val="20"/>
          <w:color w:val="auto"/>
        </w:rPr>
      </w:pPr>
      <w:r>
        <w:rPr>
          <w:rFonts w:ascii="Arial" w:cs="Arial" w:eastAsia="Arial" w:hAnsi="Arial"/>
          <w:sz w:val="17"/>
          <w:szCs w:val="17"/>
          <w:color w:val="auto"/>
        </w:rPr>
        <w:t>Louis A. Smith</w:t>
      </w:r>
    </w:p>
    <w:p>
      <w:pPr>
        <w:spacing w:after="0" w:line="29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AUDIT COMMITTEE REPORT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On February 21, 2011, the Audit Committee submitted to the Board of Directors the following report:</w:t>
      </w:r>
    </w:p>
    <w:p>
      <w:pPr>
        <w:spacing w:after="0" w:line="10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The Committee has reviewed and discussed with management and E&amp;Y our Company’s audited financial statements as of and for the year ended December 25, 2010.</w:t>
      </w:r>
    </w:p>
    <w:p>
      <w:pPr>
        <w:spacing w:after="0" w:line="78" w:lineRule="exact"/>
        <w:rPr>
          <w:sz w:val="20"/>
          <w:szCs w:val="20"/>
          <w:color w:val="auto"/>
        </w:rPr>
      </w:pPr>
    </w:p>
    <w:p>
      <w:pPr>
        <w:ind w:right="440"/>
        <w:spacing w:after="0" w:line="256" w:lineRule="auto"/>
        <w:rPr>
          <w:sz w:val="20"/>
          <w:szCs w:val="20"/>
          <w:color w:val="auto"/>
        </w:rPr>
      </w:pPr>
      <w:r>
        <w:rPr>
          <w:rFonts w:ascii="Arial" w:cs="Arial" w:eastAsia="Arial" w:hAnsi="Arial"/>
          <w:sz w:val="17"/>
          <w:szCs w:val="17"/>
          <w:color w:val="auto"/>
        </w:rPr>
        <w:t xml:space="preserve">The Committee has discussed with the independent auditors the matters required to be discussed by Statement on Auditing Standards No. 61,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as amended and adopted, by the Public Company Accounting Oversight Board.</w:t>
      </w:r>
    </w:p>
    <w:p>
      <w:pPr>
        <w:spacing w:after="0" w:line="7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Committee has received from E&amp;Y the written disclosures and letter required by the applicable requirements of the Public Company Accounting Oversight Board regarding E&amp;Y’s communications with the Audit Committee concerning independence, and has discussed with E&amp;Y their independence.</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Based on the reviews and discussions referred to above, the Committee recommends to the Board of Directors that the financial statements referred to above be included in our Company’s Annual Report on Form 10-K for the year ended December 25, 2010.</w:t>
      </w:r>
    </w:p>
    <w:p>
      <w:pPr>
        <w:spacing w:after="0" w:line="7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Gary M. Goode, Chairman</w:t>
      </w:r>
    </w:p>
    <w:p>
      <w:pPr>
        <w:ind w:left="5720"/>
        <w:spacing w:after="0"/>
        <w:rPr>
          <w:sz w:val="20"/>
          <w:szCs w:val="20"/>
          <w:color w:val="auto"/>
        </w:rPr>
      </w:pPr>
      <w:r>
        <w:rPr>
          <w:rFonts w:ascii="Arial" w:cs="Arial" w:eastAsia="Arial" w:hAnsi="Arial"/>
          <w:sz w:val="17"/>
          <w:szCs w:val="17"/>
          <w:color w:val="auto"/>
        </w:rPr>
        <w:t>Dan M. Dutton</w:t>
      </w:r>
    </w:p>
    <w:p>
      <w:pPr>
        <w:ind w:left="5720"/>
        <w:spacing w:after="0"/>
        <w:rPr>
          <w:sz w:val="20"/>
          <w:szCs w:val="20"/>
          <w:color w:val="auto"/>
        </w:rPr>
      </w:pPr>
      <w:r>
        <w:rPr>
          <w:rFonts w:ascii="Arial" w:cs="Arial" w:eastAsia="Arial" w:hAnsi="Arial"/>
          <w:sz w:val="17"/>
          <w:szCs w:val="17"/>
          <w:color w:val="auto"/>
        </w:rPr>
        <w:t>Mark A. Murray</w:t>
      </w:r>
    </w:p>
    <w:p>
      <w:pPr>
        <w:ind w:left="5720"/>
        <w:spacing w:after="0"/>
        <w:rPr>
          <w:sz w:val="20"/>
          <w:szCs w:val="20"/>
          <w:color w:val="auto"/>
        </w:rPr>
      </w:pPr>
      <w:r>
        <w:rPr>
          <w:rFonts w:ascii="Arial" w:cs="Arial" w:eastAsia="Arial" w:hAnsi="Arial"/>
          <w:sz w:val="17"/>
          <w:szCs w:val="17"/>
          <w:color w:val="auto"/>
        </w:rPr>
        <w:t>Louis A. Smith</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08" w:right="2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440"/>
        <w:spacing w:after="0" w:line="248" w:lineRule="auto"/>
        <w:rPr>
          <w:sz w:val="20"/>
          <w:szCs w:val="20"/>
          <w:color w:val="auto"/>
        </w:rPr>
      </w:pPr>
      <w:r>
        <w:rPr>
          <w:rFonts w:ascii="Arial" w:cs="Arial" w:eastAsia="Arial" w:hAnsi="Arial"/>
          <w:sz w:val="17"/>
          <w:szCs w:val="17"/>
          <w:color w:val="auto"/>
        </w:rPr>
        <w:t>The reports of the Audit Committee and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2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complied with except for Mr. Currie who filed two late reports and Messrs. Cole and Webster who each filed one late report.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RELATED PARTY TRANSACTIONS</w:t>
      </w:r>
    </w:p>
    <w:p>
      <w:pPr>
        <w:spacing w:after="0" w:line="12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Audit Committee has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on the basis of what is fair to our Company and is in the best interest of our shareholders. Our Company had no reportable related party transactions during 2010.</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AVAILABILITY OF FORM 10-K</w:t>
      </w:r>
    </w:p>
    <w:p>
      <w:pPr>
        <w:spacing w:after="0" w:line="12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Shares of our common stock are traded under the symbol UFPI on The Nasdaq Stock Market. Our Form 10-K filed with the Securities and Exchange Commission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SHAREHOLDER PROPOSALS</w:t>
      </w:r>
    </w:p>
    <w:p>
      <w:pPr>
        <w:spacing w:after="0" w:line="12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Shareholders who intend to submit a proposal for inclusion in our proxy materials for our 2012 Annual Meeting of Shareholders may do so by following the procedures described in SEC Rule 14a-8. To be eligible for inclusion, shareholder proposals must be received by our Secretary no later than November 12, 2011. Proposals of shareholders should be addressed to the attention of Secretary, 2801 East Beltline NE, Grand Rapids, MI 49525. In addition, under our Bylaws, no business may be brought before an annual meeting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08"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30 days prior to the date of the originally scheduled meeting. This requirement is separate from and in addition to the Securities and Exchange Commission’s requirements that a shareholder must meet in order to have a shareholder proposal included in our proxy materials. For any proposal that is not submitted for inclusion in next year’s Proxy Statement, but is instead sought to be presented directly at the 2012 Annual Shareholder meeting, the SEC rules permit management to vote proxies at its discretion if we (i) receive notice of the proposal before the close of business on January 15, 2012, and advise shareholders in the 2012 Proxy Statement about the nature of the matter and how management intends to vote on such matter, or (ii) do not receive a notice of the proposal prior to the close of business on January 15, 2012.</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HOUSEHOLDING OF PROXY MATERIALS</w:t>
      </w:r>
    </w:p>
    <w:p>
      <w:pPr>
        <w:spacing w:after="0" w:line="126" w:lineRule="exact"/>
        <w:rPr>
          <w:sz w:val="20"/>
          <w:szCs w:val="20"/>
          <w:color w:val="auto"/>
        </w:rPr>
      </w:pPr>
    </w:p>
    <w:p>
      <w:pPr>
        <w:jc w:val="both"/>
        <w:ind w:right="60"/>
        <w:spacing w:after="0" w:line="248" w:lineRule="auto"/>
        <w:rPr>
          <w:sz w:val="20"/>
          <w:szCs w:val="20"/>
          <w:color w:val="auto"/>
        </w:rPr>
      </w:pPr>
      <w:r>
        <w:rPr>
          <w:rFonts w:ascii="Arial" w:cs="Arial" w:eastAsia="Arial" w:hAnsi="Arial"/>
          <w:sz w:val="17"/>
          <w:szCs w:val="17"/>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2801 East Beltline NE, Grand Rapids, MI 49525, or call 800-598-9663.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March 2, 2011</w:t>
      </w:r>
    </w:p>
    <w:p>
      <w:pPr>
        <w:spacing w:after="0" w:line="39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635</wp:posOffset>
            </wp:positionV>
            <wp:extent cx="1736090" cy="512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36090"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Matthew J. Missad, Secretary</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08" w:right="29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347980</wp:posOffset>
            </wp:positionV>
            <wp:extent cx="462915" cy="421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2915" cy="421640"/>
                    </a:xfrm>
                    <a:prstGeom prst="rect">
                      <a:avLst/>
                    </a:prstGeom>
                    <a:noFill/>
                  </pic:spPr>
                </pic:pic>
              </a:graphicData>
            </a:graphic>
          </wp:anchor>
        </w:drawing>
      </w:r>
    </w:p>
    <w:p>
      <w:pPr>
        <w:sectPr>
          <w:pgSz w:w="11900" w:h="16838" w:orient="portrait"/>
          <w:cols w:equalWidth="0" w:num="1">
            <w:col w:w="11520"/>
          </w:cols>
          <w:pgMar w:left="240" w:top="40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UNIVERSAL FOREST PRODUCTS, INC.</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ATTN: MATTHEW MISSAD</w:t>
      </w:r>
    </w:p>
    <w:p>
      <w:pPr>
        <w:ind w:left="240"/>
        <w:spacing w:after="0" w:line="237" w:lineRule="auto"/>
        <w:rPr>
          <w:sz w:val="20"/>
          <w:szCs w:val="20"/>
          <w:color w:val="auto"/>
        </w:rPr>
      </w:pPr>
      <w:r>
        <w:rPr>
          <w:rFonts w:ascii="Arial" w:cs="Arial" w:eastAsia="Arial" w:hAnsi="Arial"/>
          <w:sz w:val="16"/>
          <w:szCs w:val="16"/>
          <w:b w:val="1"/>
          <w:bCs w:val="1"/>
          <w:i w:val="1"/>
          <w:iCs w:val="1"/>
          <w:color w:val="auto"/>
        </w:rPr>
        <w:t>2801 EAST BELTLINE AVE, NE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GRAND RAPIDS, MI 49525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6" w:lineRule="exact"/>
        <w:rPr>
          <w:sz w:val="20"/>
          <w:szCs w:val="20"/>
          <w:color w:val="auto"/>
        </w:rPr>
      </w:pPr>
    </w:p>
    <w:p>
      <w:pPr>
        <w:jc w:val="both"/>
        <w:ind w:right="320"/>
        <w:spacing w:after="0" w:line="233"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6" w:lineRule="exact"/>
        <w:rPr>
          <w:sz w:val="20"/>
          <w:szCs w:val="20"/>
          <w:color w:val="auto"/>
        </w:rPr>
      </w:pPr>
    </w:p>
    <w:p>
      <w:pPr>
        <w:jc w:val="both"/>
        <w:ind w:right="320"/>
        <w:spacing w:after="0" w:line="23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6" w:lineRule="exact"/>
        <w:rPr>
          <w:sz w:val="20"/>
          <w:szCs w:val="20"/>
          <w:color w:val="auto"/>
        </w:rPr>
      </w:pPr>
    </w:p>
    <w:p>
      <w:pPr>
        <w:jc w:val="both"/>
        <w:ind w:right="320"/>
        <w:spacing w:after="0" w:line="235"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6" w:lineRule="exact"/>
        <w:rPr>
          <w:sz w:val="20"/>
          <w:szCs w:val="20"/>
          <w:color w:val="auto"/>
        </w:rPr>
      </w:pPr>
    </w:p>
    <w:p>
      <w:pPr>
        <w:jc w:val="both"/>
        <w:ind w:right="34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IN PERSON</w:t>
      </w:r>
    </w:p>
    <w:p>
      <w:pPr>
        <w:spacing w:after="0" w:line="6" w:lineRule="exact"/>
        <w:rPr>
          <w:sz w:val="20"/>
          <w:szCs w:val="20"/>
          <w:color w:val="auto"/>
        </w:rPr>
      </w:pPr>
    </w:p>
    <w:p>
      <w:pPr>
        <w:jc w:val="both"/>
        <w:ind w:right="320"/>
        <w:spacing w:after="0" w:line="235" w:lineRule="auto"/>
        <w:rPr>
          <w:sz w:val="20"/>
          <w:szCs w:val="20"/>
          <w:color w:val="auto"/>
        </w:rPr>
      </w:pPr>
      <w:r>
        <w:rPr>
          <w:rFonts w:ascii="Arial" w:cs="Arial" w:eastAsia="Arial" w:hAnsi="Arial"/>
          <w:sz w:val="12"/>
          <w:szCs w:val="12"/>
          <w:color w:val="auto"/>
        </w:rPr>
        <w:t>For directions to the meeting location and other special instructions for attending the meeting and voting in person, please review the proxy statement (available through the means noted above). At the meeting, you will need to request a ballot to vote these shares.</w:t>
      </w:r>
    </w:p>
    <w:p>
      <w:pPr>
        <w:spacing w:after="0" w:line="200" w:lineRule="exact"/>
        <w:rPr>
          <w:sz w:val="20"/>
          <w:szCs w:val="20"/>
          <w:color w:val="auto"/>
        </w:rPr>
      </w:pPr>
    </w:p>
    <w:p>
      <w:pPr>
        <w:sectPr>
          <w:pgSz w:w="11900" w:h="16838" w:orient="portrait"/>
          <w:cols w:equalWidth="0" w:num="2">
            <w:col w:w="5000" w:space="720"/>
            <w:col w:w="5800"/>
          </w:cols>
          <w:pgMar w:left="240" w:top="408"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80" w:type="dxa"/>
            <w:vAlign w:val="bottom"/>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3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380" w:type="dxa"/>
            <w:vAlign w:val="bottom"/>
          </w:tcPr>
          <w:p>
            <w:pPr>
              <w:ind w:left="7000"/>
              <w:spacing w:after="0"/>
              <w:rPr>
                <w:sz w:val="20"/>
                <w:szCs w:val="20"/>
                <w:color w:val="auto"/>
              </w:rPr>
            </w:pPr>
            <w:r>
              <w:rPr>
                <w:rFonts w:ascii="Arial" w:cs="Arial" w:eastAsia="Arial" w:hAnsi="Arial"/>
                <w:sz w:val="12"/>
                <w:szCs w:val="12"/>
                <w:color w:val="auto"/>
              </w:rPr>
              <w:t>M29963-P07479</w:t>
            </w:r>
          </w:p>
        </w:tc>
        <w:tc>
          <w:tcPr>
            <w:tcW w:w="3040" w:type="dxa"/>
            <w:vAlign w:val="bottom"/>
          </w:tcPr>
          <w:p>
            <w:pPr>
              <w:jc w:val="right"/>
              <w:spacing w:after="0"/>
              <w:rPr>
                <w:sz w:val="20"/>
                <w:szCs w:val="20"/>
                <w:color w:val="auto"/>
              </w:rPr>
            </w:pPr>
            <w:r>
              <w:rPr>
                <w:rFonts w:ascii="Arial" w:cs="Arial" w:eastAsia="Arial" w:hAnsi="Arial"/>
                <w:sz w:val="12"/>
                <w:szCs w:val="12"/>
                <w:color w:val="auto"/>
              </w:rPr>
              <w:t>KEEP THIS PORTION FOR YOUR RECORDS</w:t>
            </w:r>
          </w:p>
        </w:tc>
        <w:tc>
          <w:tcPr>
            <w:tcW w:w="0" w:type="dxa"/>
            <w:vAlign w:val="bottom"/>
          </w:tcPr>
          <w:p>
            <w:pPr>
              <w:spacing w:after="0"/>
              <w:rPr>
                <w:sz w:val="1"/>
                <w:szCs w:val="1"/>
                <w:color w:val="auto"/>
              </w:rPr>
            </w:pPr>
          </w:p>
        </w:tc>
      </w:tr>
      <w:tr>
        <w:trPr>
          <w:trHeight w:val="156"/>
        </w:trPr>
        <w:tc>
          <w:tcPr>
            <w:tcW w:w="8380" w:type="dxa"/>
            <w:vAlign w:val="bottom"/>
            <w:vMerge w:val="restart"/>
          </w:tcPr>
          <w:p>
            <w:pPr>
              <w:ind w:left="36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40" w:type="dxa"/>
            <w:vAlign w:val="bottom"/>
          </w:tcPr>
          <w:p>
            <w:pPr>
              <w:jc w:val="right"/>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r>
        <w:trPr>
          <w:trHeight w:val="95"/>
        </w:trPr>
        <w:tc>
          <w:tcPr>
            <w:tcW w:w="838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7310755" cy="3237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0755" cy="3237230"/>
                    </a:xfrm>
                    <a:prstGeom prst="rect">
                      <a:avLst/>
                    </a:prstGeom>
                    <a:noFill/>
                  </pic:spPr>
                </pic:pic>
              </a:graphicData>
            </a:graphic>
          </wp:anchor>
        </w:drawing>
      </w:r>
    </w:p>
    <w:p>
      <w:pPr>
        <w:sectPr>
          <w:pgSz w:w="11900" w:h="16838" w:orient="portrait"/>
          <w:cols w:equalWidth="0" w:num="1">
            <w:col w:w="11520"/>
          </w:cols>
          <w:pgMar w:left="240" w:top="408" w:right="139" w:bottom="1440" w:gutter="0" w:footer="0" w:header="0"/>
          <w:type w:val="continuous"/>
        </w:sectPr>
      </w:pPr>
    </w:p>
    <w:p>
      <w:pPr>
        <w:spacing w:after="0" w:line="188"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UNIVERSAL FOREST PRODUCTS, INC.</w:t>
      </w:r>
    </w:p>
    <w:p>
      <w:pPr>
        <w:spacing w:after="0" w:line="122" w:lineRule="exact"/>
        <w:rPr>
          <w:sz w:val="20"/>
          <w:szCs w:val="20"/>
          <w:color w:val="auto"/>
        </w:rPr>
      </w:pPr>
    </w:p>
    <w:p>
      <w:pPr>
        <w:ind w:left="300"/>
        <w:spacing w:after="0" w:line="264" w:lineRule="auto"/>
        <w:rPr>
          <w:sz w:val="20"/>
          <w:szCs w:val="20"/>
          <w:color w:val="auto"/>
        </w:rPr>
      </w:pPr>
      <w:r>
        <w:rPr>
          <w:rFonts w:ascii="Arial" w:cs="Arial" w:eastAsia="Arial" w:hAnsi="Arial"/>
          <w:sz w:val="12"/>
          <w:szCs w:val="12"/>
          <w:b w:val="1"/>
          <w:bCs w:val="1"/>
          <w:color w:val="auto"/>
        </w:rPr>
        <w:t>The Board of Directors recommends you vote FOR the following:</w:t>
      </w:r>
    </w:p>
    <w:p>
      <w:pPr>
        <w:spacing w:after="0" w:line="36" w:lineRule="exact"/>
        <w:rPr>
          <w:sz w:val="20"/>
          <w:szCs w:val="20"/>
          <w:color w:val="auto"/>
        </w:rPr>
      </w:pPr>
    </w:p>
    <w:p>
      <w:pPr>
        <w:ind w:left="700" w:hanging="396"/>
        <w:spacing w:after="0"/>
        <w:tabs>
          <w:tab w:leader="none" w:pos="7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69"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Nominees:</w:t>
      </w:r>
    </w:p>
    <w:p>
      <w:pPr>
        <w:spacing w:after="0" w:line="51" w:lineRule="exact"/>
        <w:rPr>
          <w:sz w:val="20"/>
          <w:szCs w:val="20"/>
          <w:color w:val="auto"/>
        </w:rPr>
      </w:pPr>
    </w:p>
    <w:p>
      <w:pPr>
        <w:ind w:left="1220" w:hanging="435"/>
        <w:spacing w:after="0"/>
        <w:tabs>
          <w:tab w:leader="none" w:pos="12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John W. Garside</w:t>
      </w:r>
    </w:p>
    <w:p>
      <w:pPr>
        <w:ind w:left="1220" w:hanging="435"/>
        <w:spacing w:after="0" w:line="226" w:lineRule="auto"/>
        <w:tabs>
          <w:tab w:leader="none" w:pos="12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Gary F. Goode</w:t>
      </w:r>
    </w:p>
    <w:p>
      <w:pPr>
        <w:ind w:left="1220" w:hanging="435"/>
        <w:spacing w:after="0"/>
        <w:tabs>
          <w:tab w:leader="none" w:pos="12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Mark A. Murray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jc w:val="center"/>
              <w:ind w:right="153"/>
              <w:spacing w:after="0"/>
              <w:rPr>
                <w:sz w:val="20"/>
                <w:szCs w:val="20"/>
                <w:color w:val="auto"/>
              </w:rPr>
            </w:pPr>
            <w:r>
              <w:rPr>
                <w:rFonts w:ascii="Arial" w:cs="Arial" w:eastAsia="Arial" w:hAnsi="Arial"/>
                <w:sz w:val="12"/>
                <w:szCs w:val="12"/>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Withhold</w:t>
            </w:r>
          </w:p>
        </w:tc>
        <w:tc>
          <w:tcPr>
            <w:tcW w:w="720" w:type="dxa"/>
            <w:vAlign w:val="bottom"/>
          </w:tcPr>
          <w:p>
            <w:pPr>
              <w:ind w:left="180"/>
              <w:spacing w:after="0"/>
              <w:rPr>
                <w:sz w:val="20"/>
                <w:szCs w:val="20"/>
                <w:color w:val="auto"/>
              </w:rPr>
            </w:pPr>
            <w:r>
              <w:rPr>
                <w:rFonts w:ascii="Arial" w:cs="Arial" w:eastAsia="Arial" w:hAnsi="Arial"/>
                <w:sz w:val="12"/>
                <w:szCs w:val="12"/>
                <w:b w:val="1"/>
                <w:bCs w:val="1"/>
                <w:color w:val="auto"/>
              </w:rPr>
              <w:t>For All</w:t>
            </w:r>
          </w:p>
        </w:tc>
        <w:tc>
          <w:tcPr>
            <w:tcW w:w="3160" w:type="dxa"/>
            <w:vAlign w:val="bottom"/>
            <w:gridSpan w:val="2"/>
          </w:tcPr>
          <w:p>
            <w:pPr>
              <w:ind w:left="140"/>
              <w:spacing w:after="0"/>
              <w:rPr>
                <w:sz w:val="20"/>
                <w:szCs w:val="20"/>
                <w:color w:val="auto"/>
              </w:rPr>
            </w:pPr>
            <w:r>
              <w:rPr>
                <w:rFonts w:ascii="Arial" w:cs="Arial" w:eastAsia="Arial" w:hAnsi="Arial"/>
                <w:sz w:val="12"/>
                <w:szCs w:val="12"/>
                <w:color w:val="auto"/>
              </w:rPr>
              <w:t>To withhold authority to vote for any individual</w:t>
            </w:r>
          </w:p>
        </w:tc>
      </w:tr>
      <w:tr>
        <w:trPr>
          <w:trHeight w:val="160"/>
        </w:trPr>
        <w:tc>
          <w:tcPr>
            <w:tcW w:w="420" w:type="dxa"/>
            <w:vAlign w:val="bottom"/>
          </w:tcPr>
          <w:p>
            <w:pPr>
              <w:jc w:val="center"/>
              <w:ind w:right="153"/>
              <w:spacing w:after="0"/>
              <w:rPr>
                <w:sz w:val="20"/>
                <w:szCs w:val="20"/>
                <w:color w:val="auto"/>
              </w:rPr>
            </w:pPr>
            <w:r>
              <w:rPr>
                <w:rFonts w:ascii="Arial" w:cs="Arial" w:eastAsia="Arial" w:hAnsi="Arial"/>
                <w:sz w:val="12"/>
                <w:szCs w:val="12"/>
                <w:b w:val="1"/>
                <w:bCs w:val="1"/>
                <w:color w:val="auto"/>
              </w:rPr>
              <w:t>All</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720" w:type="dxa"/>
            <w:vAlign w:val="bottom"/>
          </w:tcPr>
          <w:p>
            <w:pPr>
              <w:ind w:left="180"/>
              <w:spacing w:after="0"/>
              <w:rPr>
                <w:sz w:val="20"/>
                <w:szCs w:val="20"/>
                <w:color w:val="auto"/>
              </w:rPr>
            </w:pPr>
            <w:r>
              <w:rPr>
                <w:rFonts w:ascii="Arial" w:cs="Arial" w:eastAsia="Arial" w:hAnsi="Arial"/>
                <w:sz w:val="12"/>
                <w:szCs w:val="12"/>
                <w:b w:val="1"/>
                <w:bCs w:val="1"/>
                <w:color w:val="auto"/>
              </w:rPr>
              <w:t>Except</w:t>
            </w:r>
          </w:p>
        </w:tc>
        <w:tc>
          <w:tcPr>
            <w:tcW w:w="3160" w:type="dxa"/>
            <w:vAlign w:val="bottom"/>
            <w:gridSpan w:val="2"/>
          </w:tcPr>
          <w:p>
            <w:pPr>
              <w:ind w:left="140"/>
              <w:spacing w:after="0"/>
              <w:rPr>
                <w:sz w:val="20"/>
                <w:szCs w:val="20"/>
                <w:color w:val="auto"/>
              </w:rPr>
            </w:pPr>
            <w:r>
              <w:rPr>
                <w:rFonts w:ascii="Arial" w:cs="Arial" w:eastAsia="Arial" w:hAnsi="Arial"/>
                <w:sz w:val="12"/>
                <w:szCs w:val="12"/>
                <w:color w:val="auto"/>
              </w:rPr>
              <w:t>nominee(s), mark “For All Except” and write the</w:t>
            </w:r>
          </w:p>
        </w:tc>
      </w:tr>
      <w:tr>
        <w:trPr>
          <w:trHeight w:val="156"/>
        </w:trPr>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160" w:type="dxa"/>
            <w:vAlign w:val="bottom"/>
            <w:gridSpan w:val="2"/>
          </w:tcPr>
          <w:p>
            <w:pPr>
              <w:ind w:left="140"/>
              <w:spacing w:after="0"/>
              <w:rPr>
                <w:sz w:val="20"/>
                <w:szCs w:val="20"/>
                <w:color w:val="auto"/>
              </w:rPr>
            </w:pPr>
            <w:r>
              <w:rPr>
                <w:rFonts w:ascii="Arial" w:cs="Arial" w:eastAsia="Arial" w:hAnsi="Arial"/>
                <w:sz w:val="12"/>
                <w:szCs w:val="12"/>
                <w:color w:val="auto"/>
              </w:rPr>
              <w:t>number(s) of the nominee(s) on the line below.</w:t>
            </w:r>
          </w:p>
        </w:tc>
      </w:tr>
      <w:tr>
        <w:trPr>
          <w:trHeight w:val="263"/>
        </w:trPr>
        <w:tc>
          <w:tcPr>
            <w:tcW w:w="420" w:type="dxa"/>
            <w:vAlign w:val="bottom"/>
          </w:tcPr>
          <w:p>
            <w:pPr>
              <w:ind w:left="80"/>
              <w:spacing w:after="0"/>
              <w:rPr>
                <w:sz w:val="20"/>
                <w:szCs w:val="20"/>
                <w:color w:val="auto"/>
              </w:rPr>
            </w:pPr>
            <w:r>
              <w:rPr>
                <w:rFonts w:ascii="Arial" w:cs="Arial" w:eastAsia="Arial" w:hAnsi="Arial"/>
                <w:sz w:val="16"/>
                <w:szCs w:val="16"/>
                <w:color w:val="auto"/>
              </w:rPr>
              <w:t>o</w:t>
            </w:r>
          </w:p>
        </w:tc>
        <w:tc>
          <w:tcPr>
            <w:tcW w:w="940" w:type="dxa"/>
            <w:vAlign w:val="bottom"/>
          </w:tcPr>
          <w:p>
            <w:pPr>
              <w:ind w:left="480"/>
              <w:spacing w:after="0"/>
              <w:rPr>
                <w:sz w:val="20"/>
                <w:szCs w:val="20"/>
                <w:color w:val="auto"/>
              </w:rPr>
            </w:pPr>
            <w:r>
              <w:rPr>
                <w:rFonts w:ascii="Arial" w:cs="Arial" w:eastAsia="Arial" w:hAnsi="Arial"/>
                <w:sz w:val="16"/>
                <w:szCs w:val="16"/>
                <w:color w:val="auto"/>
              </w:rPr>
              <w:t>o</w:t>
            </w:r>
          </w:p>
        </w:tc>
        <w:tc>
          <w:tcPr>
            <w:tcW w:w="720" w:type="dxa"/>
            <w:vAlign w:val="bottom"/>
          </w:tcPr>
          <w:p>
            <w:pPr>
              <w:ind w:left="360"/>
              <w:spacing w:after="0"/>
              <w:rPr>
                <w:sz w:val="20"/>
                <w:szCs w:val="20"/>
                <w:color w:val="auto"/>
              </w:rPr>
            </w:pPr>
            <w:r>
              <w:rPr>
                <w:rFonts w:ascii="Arial" w:cs="Arial" w:eastAsia="Arial" w:hAnsi="Arial"/>
                <w:sz w:val="16"/>
                <w:szCs w:val="16"/>
                <w:color w:val="auto"/>
              </w:rPr>
              <w:t>o</w:t>
            </w:r>
          </w:p>
        </w:tc>
        <w:tc>
          <w:tcPr>
            <w:tcW w:w="140" w:type="dxa"/>
            <w:vAlign w:val="bottom"/>
          </w:tcPr>
          <w:p>
            <w:pPr>
              <w:spacing w:after="0"/>
              <w:rPr>
                <w:sz w:val="22"/>
                <w:szCs w:val="22"/>
                <w:color w:val="auto"/>
              </w:rPr>
            </w:pPr>
          </w:p>
        </w:tc>
        <w:tc>
          <w:tcPr>
            <w:tcW w:w="3020" w:type="dxa"/>
            <w:vAlign w:val="bottom"/>
            <w:tcBorders>
              <w:bottom w:val="single" w:sz="8" w:color="auto"/>
            </w:tcBorders>
          </w:tcPr>
          <w:p>
            <w:pPr>
              <w:spacing w:after="0"/>
              <w:rPr>
                <w:sz w:val="22"/>
                <w:szCs w:val="22"/>
                <w:color w:val="auto"/>
              </w:rPr>
            </w:pPr>
          </w:p>
        </w:tc>
      </w:tr>
    </w:tbl>
    <w:p>
      <w:pPr>
        <w:spacing w:after="0" w:line="866" w:lineRule="exact"/>
        <w:rPr>
          <w:sz w:val="20"/>
          <w:szCs w:val="20"/>
          <w:color w:val="auto"/>
        </w:rPr>
      </w:pPr>
    </w:p>
    <w:p>
      <w:pPr>
        <w:sectPr>
          <w:pgSz w:w="11900" w:h="16838" w:orient="portrait"/>
          <w:cols w:equalWidth="0" w:num="2">
            <w:col w:w="3240" w:space="700"/>
            <w:col w:w="7580"/>
          </w:cols>
          <w:pgMar w:left="240" w:top="408" w:right="139" w:bottom="1440" w:gutter="0" w:footer="0" w:header="0"/>
          <w:type w:val="continuous"/>
        </w:sectPr>
      </w:pPr>
    </w:p>
    <w:p>
      <w:pPr>
        <w:spacing w:after="0" w:line="143"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The Board of Directors recommends you vote FOR the following proposals:</w:t>
      </w:r>
    </w:p>
    <w:p>
      <w:pPr>
        <w:spacing w:after="0" w:line="123" w:lineRule="exact"/>
        <w:rPr>
          <w:sz w:val="20"/>
          <w:szCs w:val="20"/>
          <w:color w:val="auto"/>
        </w:rPr>
      </w:pPr>
    </w:p>
    <w:p>
      <w:pPr>
        <w:ind w:left="860" w:hanging="517"/>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Ratify the appointment of Ernst &amp; Young LLP as the Company’s independent registered public accounting firm for fiscal 2011.</w:t>
      </w:r>
    </w:p>
    <w:p>
      <w:pPr>
        <w:spacing w:after="0" w:line="122" w:lineRule="exact"/>
        <w:rPr>
          <w:rFonts w:ascii="Arial" w:cs="Arial" w:eastAsia="Arial" w:hAnsi="Arial"/>
          <w:sz w:val="12"/>
          <w:szCs w:val="12"/>
          <w:color w:val="auto"/>
        </w:rPr>
      </w:pPr>
    </w:p>
    <w:p>
      <w:pPr>
        <w:ind w:left="860" w:hanging="517"/>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To approve executive compensation. (This is an advisory vote.)</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The Board of Directors recommends you vote 3 years on the following proposal:</w:t>
      </w:r>
    </w:p>
    <w:p>
      <w:pPr>
        <w:spacing w:after="0" w:line="123" w:lineRule="exact"/>
        <w:rPr>
          <w:sz w:val="20"/>
          <w:szCs w:val="20"/>
          <w:color w:val="auto"/>
        </w:rPr>
      </w:pPr>
    </w:p>
    <w:p>
      <w:pPr>
        <w:ind w:left="860" w:hanging="517"/>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To recommend the frequency of shareholder votes on executive compensation. (This is an advisory vote.)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 meeting or any adjournment thereof.</w:t>
      </w:r>
    </w:p>
    <w:p>
      <w:pPr>
        <w:spacing w:after="0" w:line="200" w:lineRule="exact"/>
        <w:rPr>
          <w:sz w:val="20"/>
          <w:szCs w:val="20"/>
          <w:color w:val="auto"/>
        </w:rPr>
      </w:pPr>
    </w:p>
    <w:p>
      <w:pPr>
        <w:spacing w:after="0" w:line="275" w:lineRule="exact"/>
        <w:rPr>
          <w:sz w:val="20"/>
          <w:szCs w:val="20"/>
          <w:color w:val="auto"/>
        </w:rPr>
      </w:pPr>
    </w:p>
    <w:p>
      <w:pPr>
        <w:jc w:val="both"/>
        <w:ind w:left="100" w:right="2800"/>
        <w:spacing w:after="0"/>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ind w:left="660"/>
        <w:spacing w:after="0"/>
        <w:tabs>
          <w:tab w:leader="none" w:pos="122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 Abstain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71"/>
              </w:rPr>
              <w:t>o</w:t>
            </w:r>
          </w:p>
        </w:tc>
        <w:tc>
          <w:tcPr>
            <w:tcW w:w="620" w:type="dxa"/>
            <w:vAlign w:val="bottom"/>
          </w:tcPr>
          <w:p>
            <w:pPr>
              <w:ind w:left="320"/>
              <w:spacing w:after="0"/>
              <w:rPr>
                <w:sz w:val="20"/>
                <w:szCs w:val="20"/>
                <w:color w:val="auto"/>
              </w:rPr>
            </w:pPr>
            <w:r>
              <w:rPr>
                <w:rFonts w:ascii="Arial" w:cs="Arial" w:eastAsia="Arial" w:hAnsi="Arial"/>
                <w:sz w:val="16"/>
                <w:szCs w:val="16"/>
                <w:color w:val="auto"/>
              </w:rPr>
              <w:t>o</w:t>
            </w:r>
          </w:p>
        </w:tc>
        <w:tc>
          <w:tcPr>
            <w:tcW w:w="460" w:type="dxa"/>
            <w:vAlign w:val="bottom"/>
          </w:tcPr>
          <w:p>
            <w:pPr>
              <w:ind w:left="200"/>
              <w:spacing w:after="0"/>
              <w:rPr>
                <w:sz w:val="20"/>
                <w:szCs w:val="20"/>
                <w:color w:val="auto"/>
              </w:rPr>
            </w:pPr>
            <w:r>
              <w:rPr>
                <w:rFonts w:ascii="Arial" w:cs="Arial" w:eastAsia="Arial" w:hAnsi="Arial"/>
                <w:sz w:val="16"/>
                <w:szCs w:val="16"/>
                <w:color w:val="auto"/>
              </w:rPr>
              <w:t>o</w:t>
            </w:r>
          </w:p>
        </w:tc>
      </w:tr>
      <w:tr>
        <w:trPr>
          <w:trHeight w:val="260"/>
        </w:trPr>
        <w:tc>
          <w:tcPr>
            <w:tcW w:w="4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71"/>
              </w:rPr>
              <w:t>o</w:t>
            </w:r>
          </w:p>
        </w:tc>
        <w:tc>
          <w:tcPr>
            <w:tcW w:w="620" w:type="dxa"/>
            <w:vAlign w:val="bottom"/>
          </w:tcPr>
          <w:p>
            <w:pPr>
              <w:ind w:left="320"/>
              <w:spacing w:after="0"/>
              <w:rPr>
                <w:sz w:val="20"/>
                <w:szCs w:val="20"/>
                <w:color w:val="auto"/>
              </w:rPr>
            </w:pPr>
            <w:r>
              <w:rPr>
                <w:rFonts w:ascii="Arial" w:cs="Arial" w:eastAsia="Arial" w:hAnsi="Arial"/>
                <w:sz w:val="16"/>
                <w:szCs w:val="16"/>
                <w:color w:val="auto"/>
              </w:rPr>
              <w:t>o</w:t>
            </w:r>
          </w:p>
        </w:tc>
        <w:tc>
          <w:tcPr>
            <w:tcW w:w="460" w:type="dxa"/>
            <w:vAlign w:val="bottom"/>
          </w:tcPr>
          <w:p>
            <w:pPr>
              <w:ind w:left="200"/>
              <w:spacing w:after="0"/>
              <w:rPr>
                <w:sz w:val="20"/>
                <w:szCs w:val="20"/>
                <w:color w:val="auto"/>
              </w:rPr>
            </w:pPr>
            <w:r>
              <w:rPr>
                <w:rFonts w:ascii="Arial" w:cs="Arial" w:eastAsia="Arial" w:hAnsi="Arial"/>
                <w:sz w:val="16"/>
                <w:szCs w:val="16"/>
                <w:color w:val="auto"/>
              </w:rPr>
              <w:t>o</w:t>
            </w:r>
          </w:p>
        </w:tc>
      </w:tr>
      <w:tr>
        <w:trPr>
          <w:trHeight w:val="407"/>
        </w:trPr>
        <w:tc>
          <w:tcPr>
            <w:tcW w:w="440" w:type="dxa"/>
            <w:vAlign w:val="bottom"/>
          </w:tcPr>
          <w:p>
            <w:pPr>
              <w:jc w:val="center"/>
              <w:ind w:right="13"/>
              <w:spacing w:after="0"/>
              <w:rPr>
                <w:sz w:val="20"/>
                <w:szCs w:val="20"/>
                <w:color w:val="auto"/>
              </w:rPr>
            </w:pPr>
            <w:r>
              <w:rPr>
                <w:rFonts w:ascii="Arial" w:cs="Arial" w:eastAsia="Arial" w:hAnsi="Arial"/>
                <w:sz w:val="12"/>
                <w:szCs w:val="12"/>
                <w:b w:val="1"/>
                <w:bCs w:val="1"/>
                <w:color w:val="auto"/>
                <w:w w:val="99"/>
              </w:rPr>
              <w:t>1 Year</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8"/>
              </w:rPr>
              <w:t>2 Years</w:t>
            </w:r>
          </w:p>
        </w:tc>
        <w:tc>
          <w:tcPr>
            <w:tcW w:w="1080" w:type="dxa"/>
            <w:vAlign w:val="bottom"/>
            <w:gridSpan w:val="2"/>
          </w:tcPr>
          <w:p>
            <w:pPr>
              <w:ind w:left="160"/>
              <w:spacing w:after="0"/>
              <w:rPr>
                <w:sz w:val="20"/>
                <w:szCs w:val="20"/>
                <w:color w:val="auto"/>
              </w:rPr>
            </w:pPr>
            <w:r>
              <w:rPr>
                <w:rFonts w:ascii="Arial" w:cs="Arial" w:eastAsia="Arial" w:hAnsi="Arial"/>
                <w:sz w:val="12"/>
                <w:szCs w:val="12"/>
                <w:b w:val="1"/>
                <w:bCs w:val="1"/>
                <w:color w:val="auto"/>
                <w:w w:val="99"/>
              </w:rPr>
              <w:t>3 Years Abstain</w:t>
            </w:r>
          </w:p>
        </w:tc>
      </w:tr>
      <w:tr>
        <w:trPr>
          <w:trHeight w:val="296"/>
        </w:trPr>
        <w:tc>
          <w:tcPr>
            <w:tcW w:w="440" w:type="dxa"/>
            <w:vAlign w:val="bottom"/>
          </w:tcPr>
          <w:p>
            <w:pPr>
              <w:jc w:val="center"/>
              <w:spacing w:after="0"/>
              <w:rPr>
                <w:sz w:val="20"/>
                <w:szCs w:val="20"/>
                <w:color w:val="auto"/>
              </w:rPr>
            </w:pPr>
            <w:r>
              <w:rPr>
                <w:rFonts w:ascii="Arial" w:cs="Arial" w:eastAsia="Arial" w:hAnsi="Arial"/>
                <w:sz w:val="15"/>
                <w:szCs w:val="15"/>
                <w:color w:val="auto"/>
                <w:w w:val="71"/>
              </w:rPr>
              <w:t>o</w:t>
            </w:r>
          </w:p>
        </w:tc>
        <w:tc>
          <w:tcPr>
            <w:tcW w:w="660" w:type="dxa"/>
            <w:vAlign w:val="bottom"/>
          </w:tcPr>
          <w:p>
            <w:pPr>
              <w:jc w:val="center"/>
              <w:spacing w:after="0"/>
              <w:rPr>
                <w:sz w:val="20"/>
                <w:szCs w:val="20"/>
                <w:color w:val="auto"/>
              </w:rPr>
            </w:pPr>
            <w:r>
              <w:rPr>
                <w:rFonts w:ascii="Arial" w:cs="Arial" w:eastAsia="Arial" w:hAnsi="Arial"/>
                <w:sz w:val="15"/>
                <w:szCs w:val="15"/>
                <w:color w:val="auto"/>
                <w:w w:val="71"/>
              </w:rPr>
              <w:t>o</w:t>
            </w:r>
          </w:p>
        </w:tc>
        <w:tc>
          <w:tcPr>
            <w:tcW w:w="620" w:type="dxa"/>
            <w:vAlign w:val="bottom"/>
          </w:tcPr>
          <w:p>
            <w:pPr>
              <w:ind w:left="320"/>
              <w:spacing w:after="0"/>
              <w:rPr>
                <w:sz w:val="20"/>
                <w:szCs w:val="20"/>
                <w:color w:val="auto"/>
              </w:rPr>
            </w:pPr>
            <w:r>
              <w:rPr>
                <w:rFonts w:ascii="Arial" w:cs="Arial" w:eastAsia="Arial" w:hAnsi="Arial"/>
                <w:sz w:val="16"/>
                <w:szCs w:val="16"/>
                <w:color w:val="auto"/>
              </w:rPr>
              <w:t>o</w:t>
            </w:r>
          </w:p>
        </w:tc>
        <w:tc>
          <w:tcPr>
            <w:tcW w:w="460" w:type="dxa"/>
            <w:vAlign w:val="bottom"/>
          </w:tcPr>
          <w:p>
            <w:pPr>
              <w:ind w:left="200"/>
              <w:spacing w:after="0"/>
              <w:rPr>
                <w:sz w:val="20"/>
                <w:szCs w:val="20"/>
                <w:color w:val="auto"/>
              </w:rPr>
            </w:pPr>
            <w:r>
              <w:rPr>
                <w:rFonts w:ascii="Arial" w:cs="Arial" w:eastAsia="Arial" w:hAnsi="Arial"/>
                <w:sz w:val="16"/>
                <w:szCs w:val="16"/>
                <w:color w:val="auto"/>
              </w:rPr>
              <w:t>o</w:t>
            </w:r>
          </w:p>
        </w:tc>
      </w:tr>
    </w:tbl>
    <w:p>
      <w:pPr>
        <w:spacing w:after="0" w:line="1265" w:lineRule="exact"/>
        <w:rPr>
          <w:sz w:val="20"/>
          <w:szCs w:val="20"/>
          <w:color w:val="auto"/>
        </w:rPr>
      </w:pPr>
    </w:p>
    <w:p>
      <w:pPr>
        <w:sectPr>
          <w:pgSz w:w="11900" w:h="16838" w:orient="portrait"/>
          <w:cols w:equalWidth="0" w:num="2">
            <w:col w:w="8620" w:space="720"/>
            <w:col w:w="2180"/>
          </w:cols>
          <w:pgMar w:left="240" w:top="408" w:right="139" w:bottom="1440" w:gutter="0" w:footer="0" w:header="0"/>
          <w:type w:val="continuous"/>
        </w:sectPr>
      </w:pPr>
    </w:p>
    <w:p>
      <w:pPr>
        <w:spacing w:after="0" w:line="337" w:lineRule="exact"/>
        <w:rPr>
          <w:sz w:val="20"/>
          <w:szCs w:val="20"/>
          <w:color w:val="auto"/>
        </w:rPr>
      </w:pPr>
    </w:p>
    <w:p>
      <w:pPr>
        <w:ind w:left="100"/>
        <w:spacing w:after="0"/>
        <w:tabs>
          <w:tab w:leader="none" w:pos="3000" w:val="left"/>
          <w:tab w:leader="none" w:pos="6060" w:val="left"/>
          <w:tab w:leader="none" w:pos="938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434975</wp:posOffset>
            </wp:positionV>
            <wp:extent cx="725614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520"/>
          </w:cols>
          <w:pgMar w:left="240" w:top="408" w:right="139" w:bottom="1440" w:gutter="0" w:footer="0" w:header="0"/>
          <w:type w:val="continuous"/>
        </w:sectPr>
      </w:pPr>
    </w:p>
    <w:bookmarkStart w:id="38" w:name="page39"/>
    <w:bookmarkEnd w:id="3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280"/>
        <w:spacing w:after="0"/>
        <w:rPr>
          <w:sz w:val="20"/>
          <w:szCs w:val="20"/>
          <w:color w:val="auto"/>
        </w:rPr>
      </w:pPr>
      <w:r>
        <w:rPr>
          <w:rFonts w:ascii="Arial" w:cs="Arial" w:eastAsia="Arial" w:hAnsi="Arial"/>
          <w:sz w:val="12"/>
          <w:szCs w:val="12"/>
          <w:color w:val="auto"/>
        </w:rPr>
        <w:t>M29964-P07479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310755" cy="2543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0755" cy="2543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left="520"/>
        <w:spacing w:after="0"/>
        <w:rPr>
          <w:sz w:val="20"/>
          <w:szCs w:val="20"/>
          <w:color w:val="auto"/>
        </w:rPr>
      </w:pPr>
      <w:r>
        <w:rPr>
          <w:rFonts w:ascii="Arial" w:cs="Arial" w:eastAsia="Arial" w:hAnsi="Arial"/>
          <w:sz w:val="21"/>
          <w:szCs w:val="21"/>
          <w:b w:val="1"/>
          <w:bCs w:val="1"/>
          <w:color w:val="auto"/>
        </w:rPr>
        <w:t>UNIVERSAL FOREST PRODUCTS, INC.</w:t>
      </w:r>
    </w:p>
    <w:p>
      <w:pPr>
        <w:spacing w:after="0" w:line="24" w:lineRule="exact"/>
        <w:rPr>
          <w:sz w:val="20"/>
          <w:szCs w:val="20"/>
          <w:color w:val="auto"/>
        </w:rPr>
      </w:pPr>
    </w:p>
    <w:p>
      <w:pPr>
        <w:jc w:val="center"/>
        <w:ind w:left="520"/>
        <w:spacing w:after="0"/>
        <w:rPr>
          <w:sz w:val="20"/>
          <w:szCs w:val="20"/>
          <w:color w:val="auto"/>
        </w:rPr>
      </w:pPr>
      <w:r>
        <w:rPr>
          <w:rFonts w:ascii="Arial" w:cs="Arial" w:eastAsia="Arial" w:hAnsi="Arial"/>
          <w:sz w:val="17"/>
          <w:szCs w:val="17"/>
          <w:b w:val="1"/>
          <w:bCs w:val="1"/>
          <w:color w:val="auto"/>
        </w:rPr>
        <w:t>Annual Meeting of Shareholders</w:t>
      </w:r>
    </w:p>
    <w:p>
      <w:pPr>
        <w:jc w:val="center"/>
        <w:ind w:left="520"/>
        <w:spacing w:after="0"/>
        <w:rPr>
          <w:sz w:val="20"/>
          <w:szCs w:val="20"/>
          <w:color w:val="auto"/>
        </w:rPr>
      </w:pPr>
      <w:r>
        <w:rPr>
          <w:rFonts w:ascii="Arial" w:cs="Arial" w:eastAsia="Arial" w:hAnsi="Arial"/>
          <w:sz w:val="17"/>
          <w:szCs w:val="17"/>
          <w:b w:val="1"/>
          <w:bCs w:val="1"/>
          <w:color w:val="auto"/>
        </w:rPr>
        <w:t>April 13, 2011 8:30 AM</w:t>
      </w:r>
    </w:p>
    <w:p>
      <w:pPr>
        <w:spacing w:after="0" w:line="177" w:lineRule="exact"/>
        <w:rPr>
          <w:sz w:val="20"/>
          <w:szCs w:val="20"/>
          <w:color w:val="auto"/>
        </w:rPr>
      </w:pPr>
    </w:p>
    <w:p>
      <w:pPr>
        <w:jc w:val="center"/>
        <w:ind w:left="520"/>
        <w:spacing w:after="0"/>
        <w:rPr>
          <w:sz w:val="20"/>
          <w:szCs w:val="20"/>
          <w:color w:val="auto"/>
        </w:rPr>
      </w:pPr>
      <w:r>
        <w:rPr>
          <w:rFonts w:ascii="Arial" w:cs="Arial" w:eastAsia="Arial" w:hAnsi="Arial"/>
          <w:sz w:val="21"/>
          <w:szCs w:val="21"/>
          <w:b w:val="1"/>
          <w:bCs w:val="1"/>
          <w:color w:val="auto"/>
        </w:rPr>
        <w:t>This proxy is solicited by the Board of Directors</w:t>
      </w:r>
    </w:p>
    <w:p>
      <w:pPr>
        <w:spacing w:after="0" w:line="207" w:lineRule="exact"/>
        <w:rPr>
          <w:sz w:val="20"/>
          <w:szCs w:val="20"/>
          <w:color w:val="auto"/>
        </w:rPr>
      </w:pPr>
    </w:p>
    <w:p>
      <w:pPr>
        <w:jc w:val="both"/>
        <w:ind w:left="260"/>
        <w:spacing w:after="0" w:line="248" w:lineRule="auto"/>
        <w:rPr>
          <w:sz w:val="20"/>
          <w:szCs w:val="20"/>
          <w:color w:val="auto"/>
        </w:rPr>
      </w:pPr>
      <w:r>
        <w:rPr>
          <w:rFonts w:ascii="Arial" w:cs="Arial" w:eastAsia="Arial" w:hAnsi="Arial"/>
          <w:sz w:val="17"/>
          <w:szCs w:val="17"/>
          <w:color w:val="auto"/>
        </w:rPr>
        <w:t>The undersigned hereby appoints William G. Currie and Matthew J. Missad as Proxies, each with the power to appoint his substitute, and here authorizes them to represent and to vote, as designated on the reverse side, all the shares of Common Stock of Universal Forest Products, Inc. he of record by the undersigned on February 15, 2011 at the Annual Meeting of Shareholders to be held April 13, 2011, and at any adjournment there</w:t>
      </w:r>
    </w:p>
    <w:p>
      <w:pPr>
        <w:spacing w:after="0" w:line="231" w:lineRule="exact"/>
        <w:rPr>
          <w:sz w:val="20"/>
          <w:szCs w:val="20"/>
          <w:color w:val="auto"/>
        </w:rPr>
      </w:pPr>
    </w:p>
    <w:p>
      <w:pPr>
        <w:jc w:val="both"/>
        <w:ind w:left="260" w:right="40"/>
        <w:spacing w:after="0" w:line="261" w:lineRule="auto"/>
        <w:rPr>
          <w:sz w:val="20"/>
          <w:szCs w:val="20"/>
          <w:color w:val="auto"/>
        </w:rPr>
      </w:pPr>
      <w:r>
        <w:rPr>
          <w:rFonts w:ascii="Arial" w:cs="Arial" w:eastAsia="Arial" w:hAnsi="Arial"/>
          <w:sz w:val="17"/>
          <w:szCs w:val="17"/>
          <w:b w:val="1"/>
          <w:bCs w:val="1"/>
          <w:color w:val="auto"/>
        </w:rPr>
        <w:t>This proxy, when properly executed, will be voted in the manner directed herein. If no such direction is made, this proxy will be voted accordance with the Board of Directors’ recommendations. The shares represented by this proxy will be voted in the discretion of t proxies on any other matters that may come before the meeting.</w:t>
      </w:r>
    </w:p>
    <w:p>
      <w:pPr>
        <w:spacing w:after="0" w:line="147"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633730</wp:posOffset>
            </wp:positionV>
            <wp:extent cx="725614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520"/>
          </w:cols>
          <w:pgMar w:left="240" w:top="408" w:right="1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ind w:right="-699"/>
        <w:spacing w:after="0"/>
        <w:rPr>
          <w:sz w:val="20"/>
          <w:szCs w:val="20"/>
          <w:color w:val="auto"/>
        </w:rPr>
      </w:pPr>
      <w:r>
        <w:rPr>
          <w:rFonts w:ascii="Arial" w:cs="Arial" w:eastAsia="Arial" w:hAnsi="Arial"/>
          <w:sz w:val="28"/>
          <w:szCs w:val="28"/>
          <w:b w:val="1"/>
          <w:bCs w:val="1"/>
          <w:color w:val="auto"/>
        </w:rPr>
        <w:t xml:space="preserve">*** Exercise Your </w:t>
      </w:r>
      <w:r>
        <w:rPr>
          <w:rFonts w:ascii="Arial" w:cs="Arial" w:eastAsia="Arial" w:hAnsi="Arial"/>
          <w:sz w:val="28"/>
          <w:szCs w:val="28"/>
          <w:b w:val="1"/>
          <w:bCs w:val="1"/>
          <w:i w:val="1"/>
          <w:iCs w:val="1"/>
          <w:color w:val="auto"/>
        </w:rPr>
        <w:t>Right</w:t>
      </w:r>
      <w:r>
        <w:rPr>
          <w:rFonts w:ascii="Arial" w:cs="Arial" w:eastAsia="Arial" w:hAnsi="Arial"/>
          <w:sz w:val="28"/>
          <w:szCs w:val="28"/>
          <w:b w:val="1"/>
          <w:bCs w:val="1"/>
          <w:color w:val="auto"/>
        </w:rPr>
        <w:t xml:space="preserve"> to Vote ***</w:t>
      </w:r>
    </w:p>
    <w:p>
      <w:pPr>
        <w:spacing w:after="0" w:line="55"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30"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Shareholder Meeting to Be Held on April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261620</wp:posOffset>
            </wp:positionV>
            <wp:extent cx="3094355" cy="13500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94355" cy="1350010"/>
                    </a:xfrm>
                    <a:prstGeom prst="rect">
                      <a:avLst/>
                    </a:prstGeom>
                    <a:noFill/>
                  </pic:spPr>
                </pic:pic>
              </a:graphicData>
            </a:graphic>
          </wp:anchor>
        </w:drawing>
      </w:r>
    </w:p>
    <w:p>
      <w:pPr>
        <w:sectPr>
          <w:pgSz w:w="11900" w:h="16838" w:orient="portrait"/>
          <w:cols w:equalWidth="0" w:num="1">
            <w:col w:w="10500"/>
          </w:cols>
          <w:pgMar w:left="240" w:top="40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800735</wp:posOffset>
            </wp:positionV>
            <wp:extent cx="462915" cy="421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2915" cy="421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80"/>
        <w:spacing w:after="0"/>
        <w:rPr>
          <w:sz w:val="20"/>
          <w:szCs w:val="20"/>
          <w:color w:val="auto"/>
        </w:rPr>
      </w:pPr>
      <w:r>
        <w:rPr>
          <w:rFonts w:ascii="Arial" w:cs="Arial" w:eastAsia="Arial" w:hAnsi="Arial"/>
          <w:sz w:val="10"/>
          <w:szCs w:val="10"/>
          <w:i w:val="1"/>
          <w:iCs w:val="1"/>
          <w:color w:val="auto"/>
        </w:rPr>
        <w:t>UNIVERSAL FOREST PRODUCTS, INC.</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0"/>
          <w:szCs w:val="10"/>
          <w:i w:val="1"/>
          <w:iCs w:val="1"/>
          <w:color w:val="auto"/>
        </w:rPr>
        <w:t>ATTN: MATTHEW MISSAD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0"/>
          <w:szCs w:val="10"/>
          <w:i w:val="1"/>
          <w:iCs w:val="1"/>
          <w:color w:val="auto"/>
        </w:rPr>
        <w:t>2801 EAST BELTLINE AVE, NE</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0"/>
          <w:szCs w:val="10"/>
          <w:i w:val="1"/>
          <w:iCs w:val="1"/>
          <w:color w:val="auto"/>
        </w:rPr>
        <w:t>GRAND RAPIDS, MI 49525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954405</wp:posOffset>
            </wp:positionV>
            <wp:extent cx="1736090" cy="512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36090" cy="512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1540"/>
        <w:spacing w:after="0"/>
        <w:rPr>
          <w:sz w:val="20"/>
          <w:szCs w:val="20"/>
          <w:color w:val="auto"/>
        </w:rPr>
      </w:pPr>
      <w:r>
        <w:rPr>
          <w:rFonts w:ascii="Arial" w:cs="Arial" w:eastAsia="Arial" w:hAnsi="Arial"/>
          <w:sz w:val="19"/>
          <w:szCs w:val="19"/>
          <w:b w:val="1"/>
          <w:bCs w:val="1"/>
          <w:u w:val="single" w:color="auto"/>
          <w:color w:val="auto"/>
        </w:rPr>
        <w:t>Meeting Information</w:t>
      </w:r>
    </w:p>
    <w:p>
      <w:pPr>
        <w:spacing w:after="0" w:line="125" w:lineRule="exact"/>
        <w:rPr>
          <w:sz w:val="20"/>
          <w:szCs w:val="20"/>
          <w:color w:val="auto"/>
        </w:rPr>
      </w:pPr>
    </w:p>
    <w:p>
      <w:pPr>
        <w:ind w:left="100"/>
        <w:spacing w:after="0"/>
        <w:tabs>
          <w:tab w:leader="none" w:pos="1480" w:val="left"/>
        </w:tabs>
        <w:rPr>
          <w:sz w:val="20"/>
          <w:szCs w:val="20"/>
          <w:color w:val="auto"/>
        </w:rPr>
      </w:pPr>
      <w:r>
        <w:rPr>
          <w:rFonts w:ascii="Arial" w:cs="Arial" w:eastAsia="Arial" w:hAnsi="Arial"/>
          <w:sz w:val="17"/>
          <w:szCs w:val="17"/>
          <w:b w:val="1"/>
          <w:bCs w:val="1"/>
          <w:color w:val="auto"/>
        </w:rPr>
        <w:t>Meeting Type:</w:t>
      </w:r>
      <w:r>
        <w:rPr>
          <w:sz w:val="20"/>
          <w:szCs w:val="20"/>
          <w:color w:val="auto"/>
        </w:rPr>
        <w:tab/>
      </w:r>
      <w:r>
        <w:rPr>
          <w:rFonts w:ascii="Arial" w:cs="Arial" w:eastAsia="Arial" w:hAnsi="Arial"/>
          <w:sz w:val="17"/>
          <w:szCs w:val="17"/>
          <w:color w:val="auto"/>
        </w:rPr>
        <w:t>Annual Meeting</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For holders as of:  </w:t>
      </w:r>
      <w:r>
        <w:rPr>
          <w:rFonts w:ascii="Arial" w:cs="Arial" w:eastAsia="Arial" w:hAnsi="Arial"/>
          <w:sz w:val="17"/>
          <w:szCs w:val="17"/>
          <w:color w:val="auto"/>
        </w:rPr>
        <w:t>February 15, 2011</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April 13, 2011</w:t>
      </w:r>
      <w:r>
        <w:rPr>
          <w:rFonts w:ascii="Arial" w:cs="Arial" w:eastAsia="Arial" w:hAnsi="Arial"/>
          <w:sz w:val="17"/>
          <w:szCs w:val="17"/>
          <w:b w:val="1"/>
          <w:bCs w:val="1"/>
          <w:color w:val="auto"/>
        </w:rPr>
        <w:t xml:space="preserve">  Time:  </w:t>
      </w:r>
      <w:r>
        <w:rPr>
          <w:rFonts w:ascii="Arial" w:cs="Arial" w:eastAsia="Arial" w:hAnsi="Arial"/>
          <w:sz w:val="17"/>
          <w:szCs w:val="17"/>
          <w:color w:val="auto"/>
        </w:rPr>
        <w:t>8:30 AM</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Location: </w:t>
      </w:r>
      <w:r>
        <w:rPr>
          <w:rFonts w:ascii="Arial" w:cs="Arial" w:eastAsia="Arial" w:hAnsi="Arial"/>
          <w:sz w:val="17"/>
          <w:szCs w:val="17"/>
          <w:color w:val="auto"/>
        </w:rPr>
        <w:t>Universal Forest Products, Inc</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Technology and Training Bldg.</w:t>
      </w:r>
    </w:p>
    <w:p>
      <w:pPr>
        <w:ind w:left="940"/>
        <w:spacing w:after="0"/>
        <w:rPr>
          <w:sz w:val="20"/>
          <w:szCs w:val="20"/>
          <w:color w:val="auto"/>
        </w:rPr>
      </w:pPr>
      <w:r>
        <w:rPr>
          <w:rFonts w:ascii="Arial" w:cs="Arial" w:eastAsia="Arial" w:hAnsi="Arial"/>
          <w:sz w:val="17"/>
          <w:szCs w:val="17"/>
          <w:color w:val="auto"/>
        </w:rPr>
        <w:t>2880 East Beltline Lane NE</w:t>
      </w:r>
    </w:p>
    <w:p>
      <w:pPr>
        <w:ind w:left="940"/>
        <w:spacing w:after="0"/>
        <w:rPr>
          <w:sz w:val="20"/>
          <w:szCs w:val="20"/>
          <w:color w:val="auto"/>
        </w:rPr>
      </w:pPr>
      <w:r>
        <w:rPr>
          <w:rFonts w:ascii="Arial" w:cs="Arial" w:eastAsia="Arial" w:hAnsi="Arial"/>
          <w:sz w:val="17"/>
          <w:szCs w:val="17"/>
          <w:color w:val="auto"/>
        </w:rPr>
        <w:t>Grand Rapids, MI 49525</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You are receiving this communication because you hold shares in the above named company.</w:t>
      </w:r>
    </w:p>
    <w:p>
      <w:pPr>
        <w:spacing w:after="0" w:line="7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 xml:space="preserve">www.proxyvote.com </w:t>
      </w:r>
      <w:r>
        <w:rPr>
          <w:rFonts w:ascii="Arial" w:cs="Arial" w:eastAsia="Arial" w:hAnsi="Arial"/>
          <w:sz w:val="17"/>
          <w:szCs w:val="17"/>
          <w:color w:val="auto"/>
        </w:rPr>
        <w:t>or easily request a paper copy (see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side).</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993390" cy="3308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93390" cy="330835"/>
                    </a:xfrm>
                    <a:prstGeom prst="rect">
                      <a:avLst/>
                    </a:prstGeom>
                    <a:noFill/>
                  </pic:spPr>
                </pic:pic>
              </a:graphicData>
            </a:graphic>
          </wp:anchor>
        </w:drawing>
      </w:r>
    </w:p>
    <w:p>
      <w:pPr>
        <w:spacing w:after="0" w:line="10" w:lineRule="exact"/>
        <w:rPr>
          <w:sz w:val="20"/>
          <w:szCs w:val="20"/>
          <w:color w:val="auto"/>
        </w:rPr>
      </w:pPr>
    </w:p>
    <w:p>
      <w:pPr>
        <w:ind w:left="60" w:right="540"/>
        <w:spacing w:after="0" w:line="283" w:lineRule="auto"/>
        <w:rPr>
          <w:sz w:val="20"/>
          <w:szCs w:val="20"/>
          <w:color w:val="auto"/>
        </w:rPr>
      </w:pPr>
      <w:r>
        <w:rPr>
          <w:rFonts w:ascii="Arial" w:cs="Arial" w:eastAsia="Arial" w:hAnsi="Arial"/>
          <w:sz w:val="17"/>
          <w:szCs w:val="17"/>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827405</wp:posOffset>
            </wp:positionV>
            <wp:extent cx="725614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2">
            <w:col w:w="5080" w:space="720"/>
            <w:col w:w="4700"/>
          </w:cols>
          <w:pgMar w:left="240" w:top="408" w:right="1159" w:bottom="1440" w:gutter="0" w:footer="0" w:header="0"/>
          <w:type w:val="continuous"/>
        </w:sectPr>
      </w:pPr>
    </w:p>
    <w:bookmarkStart w:id="40" w:name="page41"/>
    <w:bookmarkEnd w:id="4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4140"/>
        <w:spacing w:after="0"/>
        <w:rPr>
          <w:sz w:val="20"/>
          <w:szCs w:val="20"/>
          <w:color w:val="auto"/>
        </w:rPr>
      </w:pPr>
      <w:r>
        <w:rPr>
          <w:rFonts w:ascii="Arial" w:cs="Arial" w:eastAsia="Arial" w:hAnsi="Arial"/>
          <w:sz w:val="30"/>
          <w:szCs w:val="30"/>
          <w:b w:val="1"/>
          <w:bCs w:val="1"/>
          <w:color w:val="auto"/>
        </w:rPr>
        <w:t>— Before You Vote —</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59690</wp:posOffset>
            </wp:positionV>
            <wp:extent cx="6236970" cy="2292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36970" cy="2292350"/>
                    </a:xfrm>
                    <a:prstGeom prst="rect">
                      <a:avLst/>
                    </a:prstGeom>
                    <a:noFill/>
                  </pic:spPr>
                </pic:pic>
              </a:graphicData>
            </a:graphic>
          </wp:anchor>
        </w:drawing>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Proxy Materials Available to VIEW or RECEIVE:</w:t>
      </w:r>
    </w:p>
    <w:p>
      <w:pPr>
        <w:spacing w:after="0" w:line="126" w:lineRule="exact"/>
        <w:rPr>
          <w:sz w:val="20"/>
          <w:szCs w:val="20"/>
          <w:color w:val="auto"/>
        </w:rPr>
      </w:pPr>
    </w:p>
    <w:p>
      <w:pPr>
        <w:ind w:left="1080"/>
        <w:spacing w:after="0"/>
        <w:tabs>
          <w:tab w:leader="none" w:pos="4280" w:val="left"/>
        </w:tabs>
        <w:rPr>
          <w:sz w:val="20"/>
          <w:szCs w:val="20"/>
          <w:color w:val="auto"/>
        </w:rPr>
      </w:pPr>
      <w:r>
        <w:rPr>
          <w:rFonts w:ascii="Arial" w:cs="Arial" w:eastAsia="Arial" w:hAnsi="Arial"/>
          <w:sz w:val="17"/>
          <w:szCs w:val="17"/>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How to View Online:</w:t>
      </w:r>
    </w:p>
    <w:p>
      <w:pPr>
        <w:spacing w:after="0" w:line="10" w:lineRule="exact"/>
        <w:rPr>
          <w:sz w:val="20"/>
          <w:szCs w:val="20"/>
          <w:color w:val="auto"/>
        </w:rPr>
      </w:pPr>
    </w:p>
    <w:p>
      <w:pPr>
        <w:ind w:left="1080" w:right="80"/>
        <w:spacing w:after="0" w:line="260" w:lineRule="auto"/>
        <w:rPr>
          <w:sz w:val="20"/>
          <w:szCs w:val="20"/>
          <w:color w:val="auto"/>
        </w:rPr>
      </w:pPr>
      <w:r>
        <w:rPr>
          <w:rFonts w:ascii="Arial" w:cs="Arial" w:eastAsia="Arial" w:hAnsi="Arial"/>
          <w:sz w:val="17"/>
          <w:szCs w:val="17"/>
          <w:color w:val="auto"/>
        </w:rPr>
        <w:t xml:space="preserve">Have the information that is printed in the box marked by the arrow </w:t>
      </w:r>
      <w:r>
        <w:rPr>
          <w:rFonts w:ascii="Arial" w:cs="Arial" w:eastAsia="Arial" w:hAnsi="Arial"/>
          <w:sz w:val="20"/>
          <w:szCs w:val="20"/>
          <w:b w:val="1"/>
          <w:bCs w:val="1"/>
          <w:color w:val="auto"/>
        </w:rPr>
        <w:t>à</w:t>
      </w:r>
      <w:r>
        <w:rPr>
          <w:rFonts w:ascii="Arial" w:cs="Arial" w:eastAsia="Arial" w:hAnsi="Arial"/>
          <w:sz w:val="17"/>
          <w:szCs w:val="17"/>
          <w:color w:val="auto"/>
        </w:rPr>
        <w:t xml:space="preserve"> XXXX XXXX XXXX (located on the following page) and visit: </w:t>
      </w:r>
      <w:r>
        <w:rPr>
          <w:rFonts w:ascii="Arial" w:cs="Arial" w:eastAsia="Arial" w:hAnsi="Arial"/>
          <w:sz w:val="17"/>
          <w:szCs w:val="17"/>
          <w:i w:val="1"/>
          <w:iCs w:val="1"/>
          <w:color w:val="auto"/>
        </w:rPr>
        <w:t>www.proxyvote.com.</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How to Request and Receive a PAPER or E-MAIL Copy:</w:t>
      </w:r>
    </w:p>
    <w:p>
      <w:pPr>
        <w:spacing w:after="0" w:line="35" w:lineRule="exact"/>
        <w:rPr>
          <w:sz w:val="20"/>
          <w:szCs w:val="20"/>
          <w:color w:val="auto"/>
        </w:rPr>
      </w:pPr>
    </w:p>
    <w:p>
      <w:pPr>
        <w:ind w:left="1080" w:right="80"/>
        <w:spacing w:after="0" w:line="252" w:lineRule="auto"/>
        <w:rPr>
          <w:sz w:val="20"/>
          <w:szCs w:val="20"/>
          <w:color w:val="auto"/>
        </w:rPr>
      </w:pPr>
      <w:r>
        <w:rPr>
          <w:rFonts w:ascii="Arial" w:cs="Arial" w:eastAsia="Arial" w:hAnsi="Arial"/>
          <w:sz w:val="17"/>
          <w:szCs w:val="17"/>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p>
      <w:pPr>
        <w:ind w:left="2900"/>
        <w:spacing w:after="0"/>
        <w:tabs>
          <w:tab w:leader="none" w:pos="4900" w:val="left"/>
        </w:tabs>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BY INTERNET</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www.proxyvote.com</w:t>
      </w:r>
    </w:p>
    <w:p>
      <w:pPr>
        <w:spacing w:after="0" w:line="18" w:lineRule="exact"/>
        <w:rPr>
          <w:sz w:val="20"/>
          <w:szCs w:val="20"/>
          <w:color w:val="auto"/>
        </w:rPr>
      </w:pPr>
    </w:p>
    <w:p>
      <w:pPr>
        <w:ind w:left="3100" w:hanging="194"/>
        <w:spacing w:after="0"/>
        <w:tabs>
          <w:tab w:leader="none" w:pos="3100"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:1-800-579-1639</w:t>
      </w:r>
    </w:p>
    <w:p>
      <w:pPr>
        <w:ind w:left="3100" w:hanging="194"/>
        <w:spacing w:after="0"/>
        <w:tabs>
          <w:tab w:leader="none" w:pos="3100"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BY E-MAIL*</w:t>
      </w:r>
      <w:r>
        <w:rPr>
          <w:rFonts w:ascii="Arial" w:cs="Arial" w:eastAsia="Arial" w:hAnsi="Arial"/>
          <w:sz w:val="17"/>
          <w:szCs w:val="17"/>
          <w:color w:val="auto"/>
        </w:rPr>
        <w:t>:sendmaterial@proxyvote.com</w:t>
      </w:r>
    </w:p>
    <w:p>
      <w:pPr>
        <w:spacing w:after="0" w:line="38" w:lineRule="exact"/>
        <w:rPr>
          <w:rFonts w:ascii="Arial" w:cs="Arial" w:eastAsia="Arial" w:hAnsi="Arial"/>
          <w:sz w:val="17"/>
          <w:szCs w:val="17"/>
          <w:color w:val="auto"/>
        </w:rPr>
      </w:pPr>
    </w:p>
    <w:p>
      <w:pPr>
        <w:ind w:left="1080" w:right="80"/>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 If requesting materials by e-mail, please send a blank e-mail with the information that is printed in the box marked by the arrow </w:t>
      </w:r>
      <w:r>
        <w:rPr>
          <w:rFonts w:ascii="Arial" w:cs="Arial" w:eastAsia="Arial" w:hAnsi="Arial"/>
          <w:sz w:val="20"/>
          <w:szCs w:val="20"/>
          <w:b w:val="1"/>
          <w:bCs w:val="1"/>
          <w:color w:val="auto"/>
        </w:rPr>
        <w:t>à</w:t>
      </w:r>
      <w:r>
        <w:rPr>
          <w:rFonts w:ascii="Arial" w:cs="Arial" w:eastAsia="Arial" w:hAnsi="Arial"/>
          <w:sz w:val="17"/>
          <w:szCs w:val="17"/>
          <w:color w:val="auto"/>
        </w:rPr>
        <w:t xml:space="preserve"> XXXX XXXX XXXX (located on the following page) in the subject line.</w:t>
      </w:r>
    </w:p>
    <w:p>
      <w:pPr>
        <w:spacing w:after="0" w:line="1" w:lineRule="exact"/>
        <w:rPr>
          <w:rFonts w:ascii="Arial" w:cs="Arial" w:eastAsia="Arial" w:hAnsi="Arial"/>
          <w:sz w:val="17"/>
          <w:szCs w:val="17"/>
          <w:color w:val="auto"/>
        </w:rPr>
      </w:pPr>
    </w:p>
    <w:p>
      <w:pPr>
        <w:ind w:left="1080" w:right="80"/>
        <w:spacing w:after="0" w:line="256" w:lineRule="auto"/>
        <w:rPr>
          <w:rFonts w:ascii="Arial" w:cs="Arial" w:eastAsia="Arial" w:hAnsi="Arial"/>
          <w:sz w:val="17"/>
          <w:szCs w:val="17"/>
          <w:color w:val="auto"/>
        </w:rPr>
      </w:pPr>
      <w:r>
        <w:rPr>
          <w:rFonts w:ascii="Arial" w:cs="Arial" w:eastAsia="Arial" w:hAnsi="Arial"/>
          <w:sz w:val="17"/>
          <w:szCs w:val="17"/>
          <w:color w:val="auto"/>
        </w:rPr>
        <w:t>Requests, instructions and other inquiries sent to this e -mail address will NOT be forwarded to your investment advisor. Please make the request as instructed above on or before April 1, 2011 to facilitate timely delivery.</w:t>
      </w:r>
    </w:p>
    <w:p>
      <w:pPr>
        <w:spacing w:after="0" w:line="381" w:lineRule="exact"/>
        <w:rPr>
          <w:sz w:val="20"/>
          <w:szCs w:val="20"/>
          <w:color w:val="auto"/>
        </w:rPr>
      </w:pPr>
    </w:p>
    <w:p>
      <w:pPr>
        <w:jc w:val="center"/>
        <w:ind w:right="-539"/>
        <w:spacing w:after="0"/>
        <w:rPr>
          <w:sz w:val="20"/>
          <w:szCs w:val="20"/>
          <w:color w:val="auto"/>
        </w:rPr>
      </w:pPr>
      <w:r>
        <w:rPr>
          <w:rFonts w:ascii="Arial" w:cs="Arial" w:eastAsia="Arial" w:hAnsi="Arial"/>
          <w:sz w:val="30"/>
          <w:szCs w:val="30"/>
          <w:b w:val="1"/>
          <w:bCs w:val="1"/>
          <w:color w:val="auto"/>
        </w:rPr>
        <w:t>— How To Vote —</w:t>
      </w:r>
    </w:p>
    <w:p>
      <w:pPr>
        <w:spacing w:after="0" w:line="66"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26670</wp:posOffset>
            </wp:positionV>
            <wp:extent cx="6336030" cy="1101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36030" cy="1101725"/>
                    </a:xfrm>
                    <a:prstGeom prst="rect">
                      <a:avLst/>
                    </a:prstGeom>
                    <a:noFill/>
                  </pic:spPr>
                </pic:pic>
              </a:graphicData>
            </a:graphic>
          </wp:anchor>
        </w:drawing>
      </w:r>
    </w:p>
    <w:p>
      <w:pPr>
        <w:spacing w:after="0" w:line="211" w:lineRule="exact"/>
        <w:rPr>
          <w:sz w:val="20"/>
          <w:szCs w:val="20"/>
          <w:color w:val="auto"/>
        </w:rPr>
      </w:pPr>
    </w:p>
    <w:p>
      <w:pPr>
        <w:jc w:val="both"/>
        <w:ind w:left="1060"/>
        <w:spacing w:after="0" w:line="261" w:lineRule="auto"/>
        <w:rPr>
          <w:sz w:val="20"/>
          <w:szCs w:val="20"/>
          <w:color w:val="auto"/>
        </w:rPr>
      </w:pPr>
      <w:r>
        <w:rPr>
          <w:rFonts w:ascii="Arial" w:cs="Arial" w:eastAsia="Arial" w:hAnsi="Arial"/>
          <w:sz w:val="17"/>
          <w:szCs w:val="17"/>
          <w:b w:val="1"/>
          <w:bCs w:val="1"/>
          <w:color w:val="auto"/>
        </w:rPr>
        <w:t xml:space="preserve">Vote In Person: </w:t>
      </w:r>
      <w:r>
        <w:rPr>
          <w:rFonts w:ascii="Arial" w:cs="Arial" w:eastAsia="Arial" w:hAnsi="Arial"/>
          <w:sz w:val="17"/>
          <w:szCs w:val="17"/>
          <w:color w:val="auto"/>
        </w:rPr>
        <w:t>Many shareholder meetings have attendance requirements including, but not limited to, the possession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 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165100" cy="686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5100" cy="686435"/>
                    </a:xfrm>
                    <a:prstGeom prst="rect">
                      <a:avLst/>
                    </a:prstGeom>
                    <a:noFill/>
                  </pic:spPr>
                </pic:pic>
              </a:graphicData>
            </a:graphic>
          </wp:anchor>
        </w:drawing>
      </w:r>
    </w:p>
    <w:p>
      <w:pPr>
        <w:jc w:val="both"/>
        <w:ind w:left="1060"/>
        <w:spacing w:after="0" w:line="271" w:lineRule="auto"/>
        <w:rPr>
          <w:sz w:val="20"/>
          <w:szCs w:val="20"/>
          <w:color w:val="auto"/>
        </w:rPr>
      </w:pPr>
      <w:r>
        <w:rPr>
          <w:rFonts w:ascii="Arial" w:cs="Arial" w:eastAsia="Arial" w:hAnsi="Arial"/>
          <w:sz w:val="17"/>
          <w:szCs w:val="17"/>
          <w:b w:val="1"/>
          <w:bCs w:val="1"/>
          <w:color w:val="auto"/>
        </w:rPr>
        <w:t xml:space="preserve">Vote By Internet: </w:t>
      </w:r>
      <w:r>
        <w:rPr>
          <w:rFonts w:ascii="Arial" w:cs="Arial" w:eastAsia="Arial" w:hAnsi="Arial"/>
          <w:sz w:val="17"/>
          <w:szCs w:val="17"/>
          <w:color w:val="auto"/>
        </w:rPr>
        <w:t>To vote now by Internet, 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information that is printed in the box marked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the arrow </w:t>
      </w:r>
      <w:r>
        <w:rPr>
          <w:rFonts w:ascii="Arial" w:cs="Arial" w:eastAsia="Arial" w:hAnsi="Arial"/>
          <w:sz w:val="20"/>
          <w:szCs w:val="20"/>
          <w:b w:val="1"/>
          <w:bCs w:val="1"/>
          <w:color w:val="auto"/>
        </w:rPr>
        <w:t>à</w:t>
      </w:r>
      <w:r>
        <w:rPr>
          <w:rFonts w:ascii="Arial" w:cs="Arial" w:eastAsia="Arial" w:hAnsi="Arial"/>
          <w:sz w:val="17"/>
          <w:szCs w:val="17"/>
          <w:color w:val="auto"/>
        </w:rPr>
        <w:t xml:space="preserve"> XXXX XXXX XXXX available and follow the instructions.</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Vote By Mail: </w:t>
      </w:r>
      <w:r>
        <w:rPr>
          <w:rFonts w:ascii="Arial" w:cs="Arial" w:eastAsia="Arial" w:hAnsi="Arial"/>
          <w:sz w:val="17"/>
          <w:szCs w:val="17"/>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657225</wp:posOffset>
            </wp:positionV>
            <wp:extent cx="725614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60"/>
          </w:cols>
          <w:pgMar w:left="240" w:top="408" w:right="9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306705</wp:posOffset>
            </wp:positionV>
            <wp:extent cx="2600960" cy="136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0960" cy="13652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300355</wp:posOffset>
            </wp:positionV>
            <wp:extent cx="446405" cy="281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6405" cy="2813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Voting Items</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The Board of Directors recommends you</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vote FOR the following:</w:t>
      </w:r>
    </w:p>
    <w:p>
      <w:pPr>
        <w:spacing w:after="0" w:line="60" w:lineRule="exact"/>
        <w:rPr>
          <w:sz w:val="20"/>
          <w:szCs w:val="20"/>
          <w:color w:val="auto"/>
        </w:rPr>
      </w:pPr>
    </w:p>
    <w:p>
      <w:pPr>
        <w:ind w:left="1000" w:hanging="309"/>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44"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6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4"/>
          <w:szCs w:val="14"/>
          <w:color w:val="auto"/>
        </w:rPr>
        <w:t>01)</w:t>
      </w:r>
      <w:r>
        <w:rPr>
          <w:sz w:val="20"/>
          <w:szCs w:val="20"/>
          <w:color w:val="auto"/>
        </w:rPr>
        <w:tab/>
      </w:r>
      <w:r>
        <w:rPr>
          <w:rFonts w:ascii="Arial" w:cs="Arial" w:eastAsia="Arial" w:hAnsi="Arial"/>
          <w:sz w:val="13"/>
          <w:szCs w:val="13"/>
          <w:color w:val="auto"/>
        </w:rPr>
        <w:t>John W. Garside</w:t>
      </w:r>
    </w:p>
    <w:p>
      <w:pPr>
        <w:spacing w:after="0" w:line="21"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4"/>
          <w:szCs w:val="14"/>
          <w:color w:val="auto"/>
        </w:rPr>
        <w:t>02)</w:t>
      </w:r>
      <w:r>
        <w:rPr>
          <w:sz w:val="20"/>
          <w:szCs w:val="20"/>
          <w:color w:val="auto"/>
        </w:rPr>
        <w:tab/>
      </w:r>
      <w:r>
        <w:rPr>
          <w:rFonts w:ascii="Arial" w:cs="Arial" w:eastAsia="Arial" w:hAnsi="Arial"/>
          <w:sz w:val="13"/>
          <w:szCs w:val="13"/>
          <w:color w:val="auto"/>
        </w:rPr>
        <w:t>Gary F. Goode</w:t>
      </w:r>
    </w:p>
    <w:p>
      <w:pPr>
        <w:spacing w:after="0" w:line="21"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4"/>
          <w:szCs w:val="14"/>
          <w:color w:val="auto"/>
        </w:rPr>
        <w:t>03)</w:t>
        <w:tab/>
        <w:t>Mark A. Murray</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168" w:lineRule="exact"/>
        <w:rPr>
          <w:sz w:val="20"/>
          <w:szCs w:val="20"/>
          <w:color w:val="auto"/>
        </w:rPr>
      </w:pPr>
    </w:p>
    <w:p>
      <w:pPr>
        <w:ind w:left="1000" w:hanging="309"/>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Ratify the appointment of Ernst &amp; Young LLP as the Company’s independent registered public accounting firm for fiscal 2011.</w:t>
      </w:r>
    </w:p>
    <w:p>
      <w:pPr>
        <w:spacing w:after="0" w:line="163" w:lineRule="exact"/>
        <w:rPr>
          <w:rFonts w:ascii="Arial" w:cs="Arial" w:eastAsia="Arial" w:hAnsi="Arial"/>
          <w:sz w:val="13"/>
          <w:szCs w:val="13"/>
          <w:color w:val="auto"/>
        </w:rPr>
      </w:pPr>
    </w:p>
    <w:p>
      <w:pPr>
        <w:ind w:left="1000" w:hanging="309"/>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 approve executive compensation. (This is an advisory vote.)</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The Board of Directors recommends you vote 3 years on the following proposal:</w:t>
      </w:r>
    </w:p>
    <w:p>
      <w:pPr>
        <w:spacing w:after="0" w:line="168" w:lineRule="exact"/>
        <w:rPr>
          <w:sz w:val="20"/>
          <w:szCs w:val="20"/>
          <w:color w:val="auto"/>
        </w:rPr>
      </w:pPr>
    </w:p>
    <w:p>
      <w:pPr>
        <w:ind w:left="1000" w:hanging="309"/>
        <w:spacing w:after="0"/>
        <w:tabs>
          <w:tab w:leader="none" w:pos="1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To recommend the frequency of shareholder votes on executive compensation. (This is an advisory vote.)</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979805</wp:posOffset>
            </wp:positionV>
            <wp:extent cx="165100" cy="678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5100" cy="678180"/>
                    </a:xfrm>
                    <a:prstGeom prst="rect">
                      <a:avLst/>
                    </a:prstGeom>
                    <a:noFill/>
                  </pic:spPr>
                </pic:pic>
              </a:graphicData>
            </a:graphic>
          </wp:anchor>
        </w:drawing>
      </w:r>
    </w:p>
    <w:sectPr>
      <w:pgSz w:w="11900" w:h="16838" w:orient="portrait"/>
      <w:cols w:equalWidth="0" w:num="1">
        <w:col w:w="10219"/>
      </w:cols>
      <w:pgMar w:left="240" w:top="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o"/>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o"/>
      <w:numFmt w:val="bullet"/>
      <w:start w:val="1"/>
    </w:lvl>
    <w:lvl w:ilvl="1">
      <w:lvlJc w:val="left"/>
      <w:lvlText w:val="%2)"/>
      <w:numFmt w:val="decimal"/>
      <w:start w:val="1"/>
    </w:lvl>
  </w:abstractNum>
  <w:abstractNum w:abstractNumId="3">
    <w:nsid w:val="257130A3"/>
    <w:multiLevelType w:val="hybridMultilevel"/>
    <w:lvl w:ilvl="0">
      <w:lvlJc w:val="left"/>
      <w:lvlText w:val="o"/>
      <w:numFmt w:val="bullet"/>
      <w:start w:val="1"/>
    </w:lvl>
    <w:lvl w:ilvl="1">
      <w:lvlJc w:val="left"/>
      <w:lvlText w:val="%2)"/>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4"/>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5"/>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5"/>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1)"/>
      <w:numFmt w:val="decimal"/>
      <w:start w:val="3"/>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1."/>
      <w:numFmt w:val="decimal"/>
      <w:start w:val="4"/>
    </w:lvl>
  </w:abstractNum>
  <w:abstractNum w:abstractNumId="31">
    <w:nsid w:val="3006C83E"/>
    <w:multiLevelType w:val="hybridMultilevel"/>
    <w:lvl w:ilvl="0">
      <w:lvlJc w:val="left"/>
      <w:lvlText w:val="*"/>
      <w:numFmt w:val="bullet"/>
      <w:start w:val="1"/>
    </w:lvl>
    <w:lvl w:ilvl="1">
      <w:lvlJc w:val="left"/>
      <w:lvlText w:val="%2)"/>
      <w:numFmt w:val="decimal"/>
      <w:start w:val="2"/>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2"/>
    </w:lvl>
  </w:abstractNum>
  <w:abstractNum w:abstractNumId="34">
    <w:nsid w:val="5577F8E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2019-12-10T12:05:44Z</dcterms:created>
  <dcterms:modified xsi:type="dcterms:W3CDTF">2019-12-10T12:05:44Z</dcterms:modified>
</cp:coreProperties>
</file>