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15, 2012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Universal Forest Products,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06" w:right="25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Michigan</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0-22684</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38-1465835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00"/>
          </w:cols>
          <w:pgMar w:left="240" w:top="306" w:right="259" w:bottom="1440" w:gutter="0" w:footer="0" w:header="0"/>
          <w:type w:val="continuous"/>
        </w:sectPr>
      </w:pPr>
    </w:p>
    <w:p>
      <w:pPr>
        <w:spacing w:after="0" w:line="4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2801 East Beltline, NE</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Grand Rapids, Michigan</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49525</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306"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On February 15, 2012, the Registrant issued a press release announcing its financial results for the quarter ended December 31, 2011. A copy of the Registrant’s press release is attached as Exhibit 99(a) to this Current Report.</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56" w:lineRule="exact"/>
        <w:rPr>
          <w:sz w:val="20"/>
          <w:szCs w:val="20"/>
          <w:color w:val="auto"/>
        </w:rPr>
      </w:pPr>
    </w:p>
    <w:p>
      <w:pPr>
        <w:ind w:left="1960" w:hanging="655"/>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February 15, 2012.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February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R. Cole, Chief Financial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Treasurer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Number</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Document</w:t>
            </w:r>
          </w:p>
        </w:tc>
        <w:tc>
          <w:tcPr>
            <w:tcW w:w="2080" w:type="dxa"/>
            <w:vAlign w:val="bottom"/>
          </w:tcPr>
          <w:p>
            <w:pPr>
              <w:spacing w:after="0"/>
              <w:rPr>
                <w:sz w:val="17"/>
                <w:szCs w:val="17"/>
                <w:color w:val="auto"/>
              </w:rPr>
            </w:pPr>
          </w:p>
        </w:tc>
      </w:tr>
      <w:tr>
        <w:trPr>
          <w:trHeight w:val="412"/>
        </w:trPr>
        <w:tc>
          <w:tcPr>
            <w:tcW w:w="4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9"/>
              </w:rPr>
              <w:t>99(a)</w:t>
            </w:r>
          </w:p>
        </w:tc>
        <w:tc>
          <w:tcPr>
            <w:tcW w:w="1000" w:type="dxa"/>
            <w:vAlign w:val="bottom"/>
            <w:gridSpan w:val="2"/>
          </w:tcPr>
          <w:p>
            <w:pPr>
              <w:spacing w:after="0"/>
              <w:rPr>
                <w:sz w:val="24"/>
                <w:szCs w:val="24"/>
                <w:color w:val="auto"/>
              </w:rPr>
            </w:pPr>
          </w:p>
        </w:tc>
        <w:tc>
          <w:tcPr>
            <w:tcW w:w="3120" w:type="dxa"/>
            <w:vAlign w:val="bottom"/>
            <w:gridSpan w:val="3"/>
          </w:tcPr>
          <w:p>
            <w:pPr>
              <w:ind w:left="280"/>
              <w:spacing w:after="0"/>
              <w:rPr>
                <w:sz w:val="20"/>
                <w:szCs w:val="20"/>
                <w:color w:val="auto"/>
              </w:rPr>
            </w:pPr>
            <w:r>
              <w:rPr>
                <w:rFonts w:ascii="Arial" w:cs="Arial" w:eastAsia="Arial" w:hAnsi="Arial"/>
                <w:sz w:val="18"/>
                <w:szCs w:val="18"/>
                <w:color w:val="auto"/>
                <w:w w:val="86"/>
              </w:rPr>
              <w:t>Press Release dated February 15, 2012.</w:t>
            </w:r>
          </w:p>
        </w:tc>
      </w:tr>
    </w:tbl>
    <w:p>
      <w:pPr>
        <w:spacing w:after="0" w:line="200" w:lineRule="exact"/>
        <w:rPr>
          <w:sz w:val="20"/>
          <w:szCs w:val="20"/>
          <w:color w:val="auto"/>
        </w:rPr>
      </w:pPr>
    </w:p>
    <w:p>
      <w:pPr>
        <w:spacing w:after="0" w:line="26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ind w:left="998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172720</wp:posOffset>
            </wp:positionV>
            <wp:extent cx="2504440" cy="943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February 15, 2012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UFPI reports an 11.4 percent increase in fourth quarter 2011 net sales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--Sales grow in four of five markets; by double-digits in three--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--Excluding noncash adjustments, earnings improve by $1.8 million--</w:t>
      </w:r>
    </w:p>
    <w:p>
      <w:pPr>
        <w:spacing w:after="0" w:line="23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GRAND RAPIDS, Mich., Wed., Feb. 15, 2012 – Universal Forest Products, Inc. (Nasdaq: UFPI) today announced 2011 fourth-quarter results that included net sales of $422.0 million, up 11.4 percent over fourth-quarter 2010 net sales of $378.7 million. For the fourth quarter of 2011, the Company saw a loss of $1.7 million, or ($.09) per diluted share, compared to 2010 fourth-quarter earnings of $124,000, or $0.01 per diluted share.</w:t>
      </w:r>
    </w:p>
    <w:p>
      <w:pPr>
        <w:spacing w:after="0" w:line="19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Fourth-quarter earnings for 2011 were negatively impacted by $2.7 million and for 2010 by $0.5 million in noncash impairment charges for closed facilities. In addition, fourth-quarter 2010 results benefited from a $2.3 million noncash tax benefit associated with removing a valuation allowance against a deferred tax asset. Excluding the after-tax impact of these noncash adjustments in both periods, the Company had a profit of $26,000 in the fourth quarter of 2011 and a net loss of $1.8 million in the fourth quarter of 2010. </w:t>
      </w:r>
      <w:r>
        <w:rPr>
          <w:rFonts w:ascii="Arial" w:cs="Arial" w:eastAsia="Arial" w:hAnsi="Arial"/>
          <w:sz w:val="16"/>
          <w:szCs w:val="16"/>
          <w:i w:val="1"/>
          <w:iCs w:val="1"/>
          <w:color w:val="auto"/>
        </w:rPr>
        <w:t>(See table, “Reconciliation of Reported Net Earnings to Pro Forma Net Earnings,” page 3.)</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Annual net sales for 2011 were $1.82 billion, down 3.6 percent from 2010 annual net sales of $1.89 billion. Annual net earnings for 2011 were $0.23 per diluted share compared with annual net earnings of $0.89 per diluted share for 2010.</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encouraged by the sales growth in the fourth quarter as well as the impact of our cost reductions on our bottom line,” said CEO Matthew J. Missad. “I’m very proud of the way our people climbed out of the hole we were in after the first six months of the year. The results from our continuing operations trended much better in the fourth quarter.”</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balance sheet remains very strong,” Missad added. “We have the business model we need for growth and a strong capital structure to fund our growth. Most importantly, our people are energized and eager to achieve our goals.”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results also were impacted by an additional week in the reporting period and the year (a 14-week fourth quarter and 53-week year in 2011, compared to a 13-week fourth quarter and 52-week year in 2010). This additional week saw $16 million in sales (which, due to seasonal factors and three holiday non-work days in the week is less than half the average weekly sales volume for the year), and an estimated net loss of $1.5 million, due to the low sales volume from the shortened work week.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 market, the Company posted the following 2011 fourth-quarter gross sales results:</w:t>
      </w:r>
    </w:p>
    <w:p>
      <w:pPr>
        <w:spacing w:after="0" w:line="248"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b w:val="1"/>
          <w:bCs w:val="1"/>
          <w:color w:val="auto"/>
        </w:rPr>
        <w:t xml:space="preserve">Retail building materials: $165.3 million, an increase of 7.7 percent over the same period of 2010. </w:t>
      </w:r>
      <w:r>
        <w:rPr>
          <w:rFonts w:ascii="Arial" w:cs="Arial" w:eastAsia="Arial" w:hAnsi="Arial"/>
          <w:sz w:val="18"/>
          <w:szCs w:val="18"/>
          <w:color w:val="auto"/>
        </w:rPr>
        <w:t>Universal continued to execute on strategies to</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diversify by adding more independent retail customers, to provide a broader mix of products to big box and independent retailers alike, and to focus on profitable business opportunities.</w:t>
      </w:r>
    </w:p>
    <w:p>
      <w:pPr>
        <w:spacing w:after="0" w:line="203"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Industrial packaging/components: $128.6 million, up 22.4 percent over the fourth quarter of 2010. </w:t>
      </w:r>
      <w:r>
        <w:rPr>
          <w:rFonts w:ascii="Arial" w:cs="Arial" w:eastAsia="Arial" w:hAnsi="Arial"/>
          <w:sz w:val="16"/>
          <w:szCs w:val="16"/>
          <w:color w:val="auto"/>
        </w:rPr>
        <w:t>The Company grew sales at a time when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in the United States rose at an annual rate of 3.1 percent (fourth quarter 2011 over fourth quarter 2010). The Company continues to focus on adding customers and products, on expanding its reach into non-wood packaging materials and on providing complete packaging solutions.</w:t>
      </w:r>
    </w:p>
    <w:p>
      <w:pPr>
        <w:spacing w:after="0" w:line="16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Manufactured housing: $67.3 million, an increase of 35.1 percent over the same period of 2010. </w:t>
      </w:r>
      <w:r>
        <w:rPr>
          <w:rFonts w:ascii="Arial" w:cs="Arial" w:eastAsia="Arial" w:hAnsi="Arial"/>
          <w:sz w:val="17"/>
          <w:szCs w:val="17"/>
          <w:color w:val="auto"/>
        </w:rPr>
        <w:t>Unit sales to this market increased due to a rise in</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production of HUD-code homes related to orders from FEMA and strong demand for temporary housing in some areas of the country related to shale oil and gas development. In addition, Universal’s distribution business continued to add product lines and expand share. Shipments of HUD-code homes in October 2011 and November 2011 were up 41.5 percent and 53.1 percent, respectively, compared to the same months of 2010.</w:t>
      </w:r>
    </w:p>
    <w:p>
      <w:pPr>
        <w:spacing w:after="0" w:line="192" w:lineRule="exact"/>
        <w:rPr>
          <w:sz w:val="20"/>
          <w:szCs w:val="20"/>
          <w:color w:val="auto"/>
        </w:rPr>
      </w:pPr>
    </w:p>
    <w:p>
      <w:pPr>
        <w:jc w:val="both"/>
        <w:ind w:right="320"/>
        <w:spacing w:after="0" w:line="303" w:lineRule="auto"/>
        <w:rPr>
          <w:sz w:val="20"/>
          <w:szCs w:val="20"/>
          <w:color w:val="auto"/>
        </w:rPr>
      </w:pPr>
      <w:r>
        <w:rPr>
          <w:rFonts w:ascii="Arial" w:cs="Arial" w:eastAsia="Arial" w:hAnsi="Arial"/>
          <w:sz w:val="16"/>
          <w:szCs w:val="16"/>
          <w:b w:val="1"/>
          <w:bCs w:val="1"/>
          <w:color w:val="auto"/>
        </w:rPr>
        <w:t xml:space="preserve">Residential construction: $46.6 million, down 19.2 percent from the same period of 2010. </w:t>
      </w:r>
      <w:r>
        <w:rPr>
          <w:rFonts w:ascii="Arial" w:cs="Arial" w:eastAsia="Arial" w:hAnsi="Arial"/>
          <w:sz w:val="16"/>
          <w:szCs w:val="16"/>
          <w:color w:val="auto"/>
        </w:rPr>
        <w:t>The Company saw a unit sales decline of approximately 21</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in the fourth quarter of 2011 from the same period of 2010, due primarily to plant closures and to the Company’s focus on doing its best to accept only business that will enhance its results and bottom line. Total housing starts were up 17.9 percent September to November 2011 compared to the same period of 2010, including a 2.1 percent decrease in single-family starts and an increase of 88.3 percent in multifamily starts.</w:t>
      </w:r>
    </w:p>
    <w:p>
      <w:pPr>
        <w:spacing w:after="0" w:line="17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Commercial construction and concrete forming: $20.9 million, an increase of 16.8 percent over 2010. </w:t>
      </w:r>
      <w:r>
        <w:rPr>
          <w:rFonts w:ascii="Arial" w:cs="Arial" w:eastAsia="Arial" w:hAnsi="Arial"/>
          <w:sz w:val="18"/>
          <w:szCs w:val="18"/>
          <w:color w:val="auto"/>
        </w:rPr>
        <w:t>The Company has expanded its sales reach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penetration and has had new success with designed component offerings. Universal continues to see opportunities in the concrete forming business, in which it manufactures and/or supplies forms and other materials for concrete construction projects. This highly fragmented market capitalizes on Universal’s engineering and manufacturing capabilities and nationwide presence.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REPORTED NET EARNINGS TO PRO FORMA NET EARNINGS</w:t>
            </w:r>
          </w:p>
        </w:tc>
        <w:tc>
          <w:tcPr>
            <w:tcW w:w="240" w:type="dxa"/>
            <w:vAlign w:val="bottom"/>
          </w:tcPr>
          <w:p>
            <w:pPr>
              <w:spacing w:after="0"/>
              <w:rPr>
                <w:sz w:val="20"/>
                <w:szCs w:val="20"/>
                <w:color w:val="auto"/>
              </w:rPr>
            </w:pPr>
          </w:p>
        </w:tc>
        <w:tc>
          <w:tcPr>
            <w:tcW w:w="2380" w:type="dxa"/>
            <w:vAlign w:val="bottom"/>
            <w:gridSpan w:val="6"/>
            <w:vMerge w:val="restart"/>
          </w:tcPr>
          <w:p>
            <w:pPr>
              <w:jc w:val="right"/>
              <w:ind w:right="840"/>
              <w:spacing w:after="0"/>
              <w:rPr>
                <w:sz w:val="20"/>
                <w:szCs w:val="20"/>
                <w:color w:val="auto"/>
              </w:rPr>
            </w:pPr>
            <w:r>
              <w:rPr>
                <w:rFonts w:ascii="Arial" w:cs="Arial" w:eastAsia="Arial" w:hAnsi="Arial"/>
                <w:sz w:val="18"/>
                <w:szCs w:val="18"/>
                <w:color w:val="auto"/>
              </w:rPr>
              <w:t>Quarter Period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Noncash adjustments: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Impairment charges, net of tax benefit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tax asset valuation allowance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 (loss) attributable to controlling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The Company believes continued challenging economic conditions and uncertainties in the housing market limit its ability to provide meaningful guidance for ranges of likely financial performance; therefore, the Company will not resume the practice of providing guidance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Universal Forest Products will conduct a conference call to discuss information included in this news release and related matters at 8:30 a.m. ET on Thursday, February 16, 2012. The call will be hosted by CEO Matthew J. Missad and CFO Michael Cole, and will be available for analysts and institutional investors domestically at 800.299.8538 or internationally at 617.786.2902. Use conference pass code 25728380. The call will be available simultaneously and in its entirety to all interested investors and news media through a webcast at http://www.ufpi.com. A replay of the call will be available through Friday, March 16, 2012, domestically at 888-286-8010 or internationally at 617-801-6888. Use replay pass code 45278892.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residential and commercial construction, specialty wood packaging and components for various industries,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construction market. Founded in 1955, Universal Forest Products is headquartered in Grand Rapids, Mich., with operations throughout North America. For more about Universal Forest Products, go to </w:t>
      </w:r>
      <w:r>
        <w:rPr>
          <w:rFonts w:ascii="Arial" w:cs="Arial" w:eastAsia="Arial" w:hAnsi="Arial"/>
          <w:sz w:val="16"/>
          <w:szCs w:val="16"/>
          <w:u w:val="single" w:color="auto"/>
          <w:color w:val="auto"/>
        </w:rPr>
        <w:t>www.ufpi.com</w:t>
      </w:r>
      <w:r>
        <w:rPr>
          <w:rFonts w:ascii="Arial" w:cs="Arial" w:eastAsia="Arial" w:hAnsi="Arial"/>
          <w:sz w:val="16"/>
          <w:szCs w:val="16"/>
          <w:color w:val="auto"/>
        </w:rPr>
        <w:t>.</w:t>
      </w:r>
    </w:p>
    <w:p>
      <w:pPr>
        <w:spacing w:after="0" w:line="1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gridSpan w:val="19"/>
          </w:tcPr>
          <w:p>
            <w:pPr>
              <w:jc w:val="right"/>
              <w:ind w:right="500"/>
              <w:spacing w:after="0"/>
              <w:rPr>
                <w:sz w:val="20"/>
                <w:szCs w:val="20"/>
                <w:color w:val="auto"/>
              </w:rPr>
            </w:pPr>
            <w:r>
              <w:rPr>
                <w:rFonts w:ascii="Arial" w:cs="Arial" w:eastAsia="Arial" w:hAnsi="Arial"/>
                <w:sz w:val="18"/>
                <w:szCs w:val="18"/>
                <w:b w:val="1"/>
                <w:bCs w:val="1"/>
                <w:color w:val="auto"/>
              </w:rPr>
              <w:t>FOR THE THREE AND TWELVE MONTHS ENDED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10"/>
          </w:tcPr>
          <w:p>
            <w:pPr>
              <w:jc w:val="right"/>
              <w:ind w:right="480"/>
              <w:spacing w:after="0"/>
              <w:rPr>
                <w:sz w:val="20"/>
                <w:szCs w:val="20"/>
                <w:color w:val="auto"/>
              </w:rPr>
            </w:pPr>
            <w:r>
              <w:rPr>
                <w:rFonts w:ascii="Arial" w:cs="Arial" w:eastAsia="Arial" w:hAnsi="Arial"/>
                <w:sz w:val="18"/>
                <w:szCs w:val="18"/>
                <w:b w:val="1"/>
                <w:bCs w:val="1"/>
                <w:color w:val="auto"/>
                <w:w w:val="99"/>
              </w:rPr>
              <w:t>DECEMBER 2011/2010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rPr>
              <w:t>Quarter Period</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9"/>
          </w:tcPr>
          <w:p>
            <w:pPr>
              <w:jc w:val="right"/>
              <w:ind w:right="940"/>
              <w:spacing w:after="0"/>
              <w:rPr>
                <w:sz w:val="20"/>
                <w:szCs w:val="20"/>
                <w:color w:val="auto"/>
              </w:rPr>
            </w:pPr>
            <w:r>
              <w:rPr>
                <w:rFonts w:ascii="Arial" w:cs="Arial" w:eastAsia="Arial" w:hAnsi="Arial"/>
                <w:sz w:val="18"/>
                <w:szCs w:val="18"/>
                <w:b w:val="1"/>
                <w:bCs w:val="1"/>
                <w:color w:val="auto"/>
              </w:rPr>
              <w:t>Year to Date</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00" w:type="dxa"/>
            <w:vAlign w:val="bottom"/>
            <w:gridSpan w:val="7"/>
          </w:tcPr>
          <w:p>
            <w:pPr>
              <w:spacing w:after="0" w:line="198" w:lineRule="exact"/>
              <w:rPr>
                <w:sz w:val="20"/>
                <w:szCs w:val="20"/>
                <w:color w:val="auto"/>
              </w:rPr>
            </w:pPr>
            <w:r>
              <w:rPr>
                <w:rFonts w:ascii="Arial" w:cs="Arial" w:eastAsia="Arial" w:hAnsi="Arial"/>
                <w:sz w:val="18"/>
                <w:szCs w:val="18"/>
                <w:b w:val="1"/>
                <w:bCs w:val="1"/>
                <w:color w:val="auto"/>
                <w:w w:val="95"/>
              </w:rPr>
              <w:t>(In thousands, except per share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w w:val="98"/>
              </w:rPr>
              <w:t>422,023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378,685</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1,822,336</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$ 1,890,851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w w:val="98"/>
              </w:rPr>
              <w:t>374,655</w:t>
            </w:r>
          </w:p>
        </w:tc>
        <w:tc>
          <w:tcPr>
            <w:tcW w:w="8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332,664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1,622,609</w:t>
            </w:r>
          </w:p>
        </w:tc>
        <w:tc>
          <w:tcPr>
            <w:tcW w:w="2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1,660,896</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47,368</w:t>
            </w:r>
          </w:p>
        </w:tc>
        <w:tc>
          <w:tcPr>
            <w:tcW w:w="8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46,021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199,727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229,955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SELLING,  GENERAL AND</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ADMINISTRATIVE EXPENSES</w:t>
            </w:r>
          </w:p>
        </w:tc>
        <w:tc>
          <w:tcPr>
            <w:tcW w:w="10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45,534</w:t>
            </w:r>
          </w:p>
        </w:tc>
        <w:tc>
          <w:tcPr>
            <w:tcW w:w="8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47,802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181,363</w:t>
            </w:r>
          </w:p>
        </w:tc>
        <w:tc>
          <w:tcPr>
            <w:tcW w:w="2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197,617</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8"/>
          </w:tcPr>
          <w:p>
            <w:pPr>
              <w:spacing w:after="0" w:line="198" w:lineRule="exact"/>
              <w:rPr>
                <w:sz w:val="20"/>
                <w:szCs w:val="20"/>
                <w:color w:val="auto"/>
              </w:rPr>
            </w:pPr>
            <w:r>
              <w:rPr>
                <w:rFonts w:ascii="Arial" w:cs="Arial" w:eastAsia="Arial" w:hAnsi="Arial"/>
                <w:sz w:val="18"/>
                <w:szCs w:val="18"/>
                <w:b w:val="1"/>
                <w:bCs w:val="1"/>
                <w:color w:val="auto"/>
              </w:rPr>
              <w:t>NET LOSS ON DISPOSITION OF</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ASSETS,EARLY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spacing w:after="0"/>
              <w:rPr>
                <w:sz w:val="20"/>
                <w:szCs w:val="20"/>
                <w:color w:val="auto"/>
              </w:rPr>
            </w:pPr>
            <w:r>
              <w:rPr>
                <w:rFonts w:ascii="Arial" w:cs="Arial" w:eastAsia="Arial" w:hAnsi="Arial"/>
                <w:sz w:val="18"/>
                <w:szCs w:val="18"/>
                <w:b w:val="1"/>
                <w:bCs w:val="1"/>
                <w:color w:val="auto"/>
              </w:rPr>
              <w:t>RETIREMENT, AND 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IMPAIRMENT AND EXIT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CHARGES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250"/>
              <w:spacing w:after="0"/>
              <w:rPr>
                <w:sz w:val="20"/>
                <w:szCs w:val="20"/>
                <w:color w:val="auto"/>
              </w:rPr>
            </w:pPr>
            <w:r>
              <w:rPr>
                <w:rFonts w:ascii="Arial" w:cs="Arial" w:eastAsia="Arial" w:hAnsi="Arial"/>
                <w:sz w:val="18"/>
                <w:szCs w:val="18"/>
                <w:color w:val="auto"/>
              </w:rPr>
              <w:t>2,657</w:t>
            </w:r>
          </w:p>
        </w:tc>
        <w:tc>
          <w:tcPr>
            <w:tcW w:w="820" w:type="dxa"/>
            <w:vAlign w:val="bottom"/>
            <w:gridSpan w:val="3"/>
          </w:tcPr>
          <w:p>
            <w:pPr>
              <w:jc w:val="right"/>
              <w:ind w:right="9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528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6,353</w:t>
            </w:r>
          </w:p>
        </w:tc>
        <w:tc>
          <w:tcPr>
            <w:tcW w:w="28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2,049</w:t>
            </w:r>
          </w:p>
        </w:tc>
        <w:tc>
          <w:tcPr>
            <w:tcW w:w="2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EARNINGS (LOSS) FROM</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OPERATIONS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(823)</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(2,309)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12,011</w:t>
            </w:r>
          </w:p>
        </w:tc>
        <w:tc>
          <w:tcPr>
            <w:tcW w:w="28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30,289</w:t>
            </w:r>
          </w:p>
        </w:tc>
        <w:tc>
          <w:tcPr>
            <w:tcW w:w="2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INTEREST,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ind w:right="250"/>
              <w:spacing w:after="0"/>
              <w:rPr>
                <w:sz w:val="20"/>
                <w:szCs w:val="20"/>
                <w:color w:val="auto"/>
              </w:rPr>
            </w:pPr>
            <w:r>
              <w:rPr>
                <w:rFonts w:ascii="Arial" w:cs="Arial" w:eastAsia="Arial" w:hAnsi="Arial"/>
                <w:sz w:val="18"/>
                <w:szCs w:val="18"/>
                <w:color w:val="auto"/>
              </w:rPr>
              <w:t>877</w:t>
            </w:r>
          </w:p>
        </w:tc>
        <w:tc>
          <w:tcPr>
            <w:tcW w:w="820" w:type="dxa"/>
            <w:vAlign w:val="bottom"/>
            <w:gridSpan w:val="3"/>
          </w:tcPr>
          <w:p>
            <w:pPr>
              <w:jc w:val="right"/>
              <w:ind w:right="9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872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3,166</w:t>
            </w:r>
          </w:p>
        </w:tc>
        <w:tc>
          <w:tcPr>
            <w:tcW w:w="28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3,248</w:t>
            </w:r>
          </w:p>
        </w:tc>
        <w:tc>
          <w:tcPr>
            <w:tcW w:w="2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8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rPr>
              <w:t>EARNINGS (LOSS) BEFORE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(1,700)</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(3,181)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8,845</w:t>
            </w:r>
          </w:p>
        </w:tc>
        <w:tc>
          <w:tcPr>
            <w:tcW w:w="28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27,041</w:t>
            </w:r>
          </w:p>
        </w:tc>
        <w:tc>
          <w:tcPr>
            <w:tcW w:w="2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INCOME TAXES (BENEFIT)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(634)</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(3,636)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2,874</w:t>
            </w:r>
          </w:p>
        </w:tc>
        <w:tc>
          <w:tcPr>
            <w:tcW w:w="28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7,200</w:t>
            </w:r>
          </w:p>
        </w:tc>
        <w:tc>
          <w:tcPr>
            <w:tcW w:w="2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NET EARNINGS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(1,066)</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455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5,971</w:t>
            </w:r>
          </w:p>
        </w:tc>
        <w:tc>
          <w:tcPr>
            <w:tcW w:w="2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19,841</w:t>
            </w: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8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rPr>
              <w:t>LESS NET (EARNINGS) LOSS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ATTRIBUTABLE TO</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NONCONTROLLING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(608)</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(331)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(1,422)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(2,430)</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NET EARNINGS (LOSS)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ATTRIBUTABLE TO</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spacing w:after="0"/>
              <w:rPr>
                <w:sz w:val="20"/>
                <w:szCs w:val="20"/>
                <w:color w:val="auto"/>
              </w:rPr>
            </w:pPr>
            <w:r>
              <w:rPr>
                <w:rFonts w:ascii="Arial" w:cs="Arial" w:eastAsia="Arial" w:hAnsi="Arial"/>
                <w:sz w:val="18"/>
                <w:szCs w:val="18"/>
                <w:b w:val="1"/>
                <w:bCs w:val="1"/>
                <w:color w:val="auto"/>
              </w:rPr>
              <w:t>CONTROLLING INTEREST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(1,674)</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4,549</w:t>
            </w:r>
          </w:p>
        </w:tc>
        <w:tc>
          <w:tcPr>
            <w:tcW w:w="28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17,411</w:t>
            </w:r>
          </w:p>
        </w:tc>
        <w:tc>
          <w:tcPr>
            <w:tcW w:w="2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gridSpan w:val="8"/>
          </w:tcPr>
          <w:p>
            <w:pPr>
              <w:spacing w:after="0" w:line="198" w:lineRule="exact"/>
              <w:rPr>
                <w:sz w:val="20"/>
                <w:szCs w:val="20"/>
                <w:color w:val="auto"/>
              </w:rPr>
            </w:pPr>
            <w:r>
              <w:rPr>
                <w:rFonts w:ascii="Arial" w:cs="Arial" w:eastAsia="Arial" w:hAnsi="Arial"/>
                <w:sz w:val="18"/>
                <w:szCs w:val="18"/>
                <w:b w:val="1"/>
                <w:bCs w:val="1"/>
                <w:color w:val="auto"/>
              </w:rPr>
              <w:t>EARNINGS (LOSS) PER SHARE -</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gridSpan w:val="8"/>
          </w:tcPr>
          <w:p>
            <w:pPr>
              <w:spacing w:after="0" w:line="198" w:lineRule="exact"/>
              <w:rPr>
                <w:sz w:val="20"/>
                <w:szCs w:val="20"/>
                <w:color w:val="auto"/>
              </w:rPr>
            </w:pPr>
            <w:r>
              <w:rPr>
                <w:rFonts w:ascii="Arial" w:cs="Arial" w:eastAsia="Arial" w:hAnsi="Arial"/>
                <w:sz w:val="18"/>
                <w:szCs w:val="18"/>
                <w:b w:val="1"/>
                <w:bCs w:val="1"/>
                <w:color w:val="auto"/>
              </w:rPr>
              <w:t>EARNINGS (LOSS) PER SHARE -</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90"/>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0.89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gridSpan w:val="8"/>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spacing w:after="0"/>
              <w:rPr>
                <w:sz w:val="20"/>
                <w:szCs w:val="20"/>
                <w:color w:val="auto"/>
              </w:rPr>
            </w:pPr>
            <w:r>
              <w:rPr>
                <w:rFonts w:ascii="Arial" w:cs="Arial" w:eastAsia="Arial" w:hAnsi="Arial"/>
                <w:sz w:val="18"/>
                <w:szCs w:val="18"/>
                <w:b w:val="1"/>
                <w:bCs w:val="1"/>
                <w:color w:val="auto"/>
              </w:rPr>
              <w:t>OUTSTANDING FOR BASIC</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EARNINGS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250"/>
              <w:spacing w:after="0"/>
              <w:rPr>
                <w:sz w:val="20"/>
                <w:szCs w:val="20"/>
                <w:color w:val="auto"/>
              </w:rPr>
            </w:pPr>
            <w:r>
              <w:rPr>
                <w:rFonts w:ascii="Arial" w:cs="Arial" w:eastAsia="Arial" w:hAnsi="Arial"/>
                <w:sz w:val="18"/>
                <w:szCs w:val="18"/>
                <w:color w:val="auto"/>
              </w:rPr>
              <w:t>19,472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19,210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19,409</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19,232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gridSpan w:val="8"/>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8"/>
                <w:szCs w:val="18"/>
                <w:b w:val="1"/>
                <w:bCs w:val="1"/>
                <w:color w:val="auto"/>
              </w:rPr>
              <w:t>OUTSTANDING FOR DILUTED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rPr>
              <w:t>EARNINGS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250"/>
              <w:spacing w:after="0"/>
              <w:rPr>
                <w:sz w:val="20"/>
                <w:szCs w:val="20"/>
                <w:color w:val="auto"/>
              </w:rPr>
            </w:pPr>
            <w:r>
              <w:rPr>
                <w:rFonts w:ascii="Arial" w:cs="Arial" w:eastAsia="Arial" w:hAnsi="Arial"/>
                <w:sz w:val="18"/>
                <w:szCs w:val="18"/>
                <w:color w:val="auto"/>
              </w:rPr>
              <w:t>19,472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19,443</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19,535</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19,476</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360" w:type="dxa"/>
            <w:vAlign w:val="bottom"/>
            <w:gridSpan w:val="6"/>
          </w:tcPr>
          <w:p>
            <w:pPr>
              <w:spacing w:after="0"/>
              <w:rPr>
                <w:sz w:val="20"/>
                <w:szCs w:val="20"/>
                <w:color w:val="auto"/>
              </w:rPr>
            </w:pPr>
            <w:r>
              <w:rPr>
                <w:rFonts w:ascii="Arial" w:cs="Arial" w:eastAsia="Arial" w:hAnsi="Arial"/>
                <w:sz w:val="18"/>
                <w:szCs w:val="18"/>
                <w:b w:val="1"/>
                <w:bCs w:val="1"/>
                <w:color w:val="auto"/>
              </w:rPr>
              <w:t>SUPPLEMENTAL SALES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DATA</w:t>
            </w:r>
          </w:p>
        </w:tc>
        <w:tc>
          <w:tcPr>
            <w:tcW w:w="2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9"/>
            <w:vMerge w:val="restart"/>
          </w:tcPr>
          <w:p>
            <w:pPr>
              <w:jc w:val="right"/>
              <w:ind w:right="1000"/>
              <w:spacing w:after="0"/>
              <w:rPr>
                <w:sz w:val="20"/>
                <w:szCs w:val="20"/>
                <w:color w:val="auto"/>
              </w:rPr>
            </w:pPr>
            <w:r>
              <w:rPr>
                <w:rFonts w:ascii="Arial" w:cs="Arial" w:eastAsia="Arial" w:hAnsi="Arial"/>
                <w:sz w:val="18"/>
                <w:szCs w:val="18"/>
                <w:b w:val="1"/>
                <w:bCs w:val="1"/>
                <w:color w:val="auto"/>
              </w:rPr>
              <w:t>Quarter Period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9"/>
            <w:vMerge w:val="restart"/>
          </w:tcPr>
          <w:p>
            <w:pPr>
              <w:jc w:val="right"/>
              <w:ind w:right="1020"/>
              <w:spacing w:after="0"/>
              <w:rPr>
                <w:sz w:val="20"/>
                <w:szCs w:val="20"/>
                <w:color w:val="auto"/>
              </w:rPr>
            </w:pPr>
            <w:r>
              <w:rPr>
                <w:rFonts w:ascii="Arial" w:cs="Arial" w:eastAsia="Arial" w:hAnsi="Arial"/>
                <w:sz w:val="18"/>
                <w:szCs w:val="18"/>
                <w:b w:val="1"/>
                <w:bCs w:val="1"/>
                <w:color w:val="auto"/>
              </w:rPr>
              <w:t>Year to Date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9"/>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9"/>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60" w:type="dxa"/>
            <w:vAlign w:val="bottom"/>
            <w:gridSpan w:val="6"/>
          </w:tcPr>
          <w:p>
            <w:pPr>
              <w:spacing w:after="0"/>
              <w:rPr>
                <w:sz w:val="20"/>
                <w:szCs w:val="20"/>
                <w:color w:val="auto"/>
              </w:rPr>
            </w:pPr>
            <w:r>
              <w:rPr>
                <w:rFonts w:ascii="Arial" w:cs="Arial" w:eastAsia="Arial" w:hAnsi="Arial"/>
                <w:sz w:val="18"/>
                <w:szCs w:val="18"/>
                <w:b w:val="1"/>
                <w:bCs w:val="1"/>
                <w:color w:val="auto"/>
              </w:rPr>
              <w:t>Market Classification</w:t>
            </w:r>
          </w:p>
        </w:tc>
        <w:tc>
          <w:tcPr>
            <w:tcW w:w="2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2011</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4"/>
              </w:rPr>
              <w:t>2010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Retail Building Materials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165,300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38%  $</w:t>
            </w:r>
          </w:p>
        </w:tc>
        <w:tc>
          <w:tcPr>
            <w:tcW w:w="9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8"/>
              </w:rPr>
              <w:t>153,540</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  $</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838,994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916,469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Residential Construction</w:t>
            </w:r>
          </w:p>
        </w:tc>
        <w:tc>
          <w:tcPr>
            <w:tcW w:w="24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46,619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57,718</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203,217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241,314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Commercial Construction</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and Concrete Forming</w:t>
            </w:r>
          </w:p>
        </w:tc>
        <w:tc>
          <w:tcPr>
            <w:tcW w:w="24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20,874</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17,878</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77,503</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68,183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Industrial</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128,646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w w:val="98"/>
              </w:rPr>
              <w:t>105,130</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493,038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450,407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Manufactured Housing</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67,301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49,828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244,662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245,769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Total Gross Sales</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428,740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w w:val="98"/>
              </w:rPr>
              <w:t>384,094</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1,857,414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1,922,142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40" w:type="dxa"/>
            <w:vAlign w:val="bottom"/>
            <w:gridSpan w:val="5"/>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Sales Allowances</w:t>
            </w:r>
          </w:p>
        </w:tc>
        <w:tc>
          <w:tcPr>
            <w:tcW w:w="2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(6,717)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w w:val="94"/>
              </w:rPr>
              <w:t>(5,409)</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(35,078)</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(31,291)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13"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3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80" w:type="dxa"/>
            <w:vAlign w:val="bottom"/>
            <w:shd w:val="clear" w:color="auto" w:fill="CCEEFF"/>
          </w:tcPr>
          <w:p>
            <w:pPr>
              <w:spacing w:after="0"/>
              <w:rPr>
                <w:sz w:val="2"/>
                <w:szCs w:val="2"/>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Total Net Sales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422,023</w:t>
            </w:r>
          </w:p>
        </w:tc>
        <w:tc>
          <w:tcPr>
            <w:tcW w:w="13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   378,685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$ 1,822,336</w:t>
            </w:r>
          </w:p>
        </w:tc>
        <w:tc>
          <w:tcPr>
            <w:tcW w:w="3580" w:type="dxa"/>
            <w:vAlign w:val="bottom"/>
            <w:gridSpan w:val="3"/>
          </w:tcPr>
          <w:p>
            <w:pPr>
              <w:jc w:val="right"/>
              <w:ind w:right="1280"/>
              <w:spacing w:after="0"/>
              <w:rPr>
                <w:sz w:val="20"/>
                <w:szCs w:val="20"/>
                <w:color w:val="auto"/>
              </w:rPr>
            </w:pPr>
            <w:r>
              <w:rPr>
                <w:rFonts w:ascii="Arial" w:cs="Arial" w:eastAsia="Arial" w:hAnsi="Arial"/>
                <w:sz w:val="18"/>
                <w:szCs w:val="18"/>
                <w:color w:val="auto"/>
              </w:rPr>
              <w:t>$ 1,890,851</w:t>
            </w:r>
          </w:p>
        </w:tc>
      </w:tr>
      <w:tr>
        <w:trPr>
          <w:trHeight w:val="21"/>
        </w:trPr>
        <w:tc>
          <w:tcPr>
            <w:tcW w:w="2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52"/>
        </w:trPr>
        <w:tc>
          <w:tcPr>
            <w:tcW w:w="23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2011/2010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ind w:left="6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43,363</w:t>
            </w: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126,780</w:t>
            </w:r>
          </w:p>
        </w:tc>
        <w:tc>
          <w:tcPr>
            <w:tcW w:w="32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190,390</w:t>
            </w: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Pr>
          <w:p>
            <w:pPr>
              <w:ind w:left="220"/>
              <w:spacing w:after="0" w:line="201" w:lineRule="exact"/>
              <w:rPr>
                <w:sz w:val="20"/>
                <w:szCs w:val="20"/>
                <w:color w:val="auto"/>
              </w:rPr>
            </w:pPr>
            <w:r>
              <w:rPr>
                <w:rFonts w:ascii="Arial" w:cs="Arial" w:eastAsia="Arial" w:hAnsi="Arial"/>
                <w:sz w:val="18"/>
                <w:szCs w:val="18"/>
                <w:color w:val="auto"/>
              </w:rPr>
              <w:t>Current portion of long-term debt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2,446</w:t>
            </w:r>
          </w:p>
        </w:tc>
        <w:tc>
          <w:tcPr>
            <w:tcW w:w="3240" w:type="dxa"/>
            <w:vAlign w:val="bottom"/>
          </w:tcPr>
          <w:p>
            <w:pPr>
              <w:ind w:left="38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19,836</w:t>
            </w:r>
          </w:p>
        </w:tc>
        <w:tc>
          <w:tcPr>
            <w:tcW w:w="3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382,815</w:t>
            </w:r>
          </w:p>
        </w:tc>
        <w:tc>
          <w:tcPr>
            <w:tcW w:w="3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40" w:type="dxa"/>
            <w:vAlign w:val="bottom"/>
            <w:shd w:val="clear" w:color="auto" w:fill="CCEEFF"/>
          </w:tcPr>
          <w:p>
            <w:pPr>
              <w:ind w:left="60"/>
              <w:spacing w:after="0" w:line="198" w:lineRule="exact"/>
              <w:rPr>
                <w:sz w:val="20"/>
                <w:szCs w:val="20"/>
                <w:color w:val="auto"/>
              </w:rPr>
            </w:pPr>
            <w:r>
              <w:rPr>
                <w:rFonts w:ascii="Arial" w:cs="Arial" w:eastAsia="Arial" w:hAnsi="Arial"/>
                <w:sz w:val="18"/>
                <w:szCs w:val="18"/>
                <w:b w:val="1"/>
                <w:bCs w:val="1"/>
                <w:color w:val="auto"/>
              </w:rPr>
              <w:t>LONG-TERM DEBT AND CAPITAL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LEASE OBLIGATIONS, less current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11,455</w:t>
            </w: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portion</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172,975</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PROPERTY, PLANT AND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EQUIPMENT, NET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222,151</w:t>
            </w:r>
          </w:p>
        </w:tc>
        <w:tc>
          <w:tcPr>
            <w:tcW w:w="3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582,599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581,176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764,007</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789,396</w:t>
            </w:r>
          </w:p>
        </w:tc>
        <w:tc>
          <w:tcPr>
            <w:tcW w:w="3240" w:type="dxa"/>
            <w:vAlign w:val="bottom"/>
          </w:tcPr>
          <w:p>
            <w:pPr>
              <w:ind w:left="6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764,007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THE TWELVE MONTHS ENDED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DECEMBER 2011/2010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538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earnings attributable to controlling interest to net cash from operating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30,804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Expense associated with share-based compensation arrangements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share-based compensation arrangements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Expense associated with stock grant plans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(credit)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earnings attributable to noncontrolling interest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loss on sale or impairment of assets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Changes in:</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Accrued liabilities and other</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 of patents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Advances of notes receivable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Collections of notes receivable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(repayments) borrowings under revolving credit facilities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Purchase of additional noncontrolling interest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Capital contribution from noncontrolling interest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2019-12-09T11:16:00Z</dcterms:created>
  <dcterms:modified xsi:type="dcterms:W3CDTF">2019-12-09T11:16:00Z</dcterms:modified>
</cp:coreProperties>
</file>