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377190</wp:posOffset>
            </wp:positionV>
            <wp:extent cx="649795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2" w:lineRule="exact"/>
        <w:rPr>
          <w:sz w:val="24"/>
          <w:szCs w:val="24"/>
          <w:color w:val="auto"/>
        </w:rPr>
      </w:pPr>
    </w:p>
    <w:p>
      <w:pPr>
        <w:ind w:left="280" w:hanging="270"/>
        <w:spacing w:after="0"/>
        <w:tabs>
          <w:tab w:leader="none" w:pos="28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March 26, 2022</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39" w:lineRule="exact"/>
        <w:rPr>
          <w:sz w:val="24"/>
          <w:szCs w:val="24"/>
          <w:color w:val="auto"/>
        </w:rPr>
      </w:pPr>
    </w:p>
    <w:p>
      <w:pPr>
        <w:ind w:left="3860" w:right="1280" w:hanging="3850"/>
        <w:spacing w:after="0" w:line="396" w:lineRule="auto"/>
        <w:tabs>
          <w:tab w:leader="none" w:pos="273"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u w:val="single" w:color="auto"/>
          <w:color w:val="auto"/>
        </w:rPr>
        <w:t>0-22684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UFP INDUSTRIES,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4"/>
          <w:szCs w:val="24"/>
          <w:color w:val="auto"/>
        </w:rPr>
      </w:pPr>
    </w:p>
    <w:tbl>
      <w:tblPr>
        <w:tblLayout w:type="fixed"/>
        <w:tblInd w:w="520" w:type="dxa"/>
        <w:tblCellMar>
          <w:top w:w="0" w:type="dxa"/>
          <w:left w:w="0" w:type="dxa"/>
          <w:bottom w:w="0" w:type="dxa"/>
          <w:right w:w="0" w:type="dxa"/>
        </w:tblCellMar>
      </w:tblPr>
      <w:tr>
        <w:trPr>
          <w:trHeight w:val="241"/>
        </w:trPr>
        <w:tc>
          <w:tcPr>
            <w:tcW w:w="532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color w:val="auto"/>
              </w:rPr>
              <w:t>Michigan</w:t>
            </w:r>
          </w:p>
        </w:tc>
        <w:tc>
          <w:tcPr>
            <w:tcW w:w="392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38-1465835</w:t>
            </w:r>
          </w:p>
        </w:tc>
      </w:tr>
      <w:tr>
        <w:trPr>
          <w:trHeight w:val="198"/>
        </w:trPr>
        <w:tc>
          <w:tcPr>
            <w:tcW w:w="41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jc w:val="center"/>
              <w:ind w:right="210"/>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532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9"/>
              </w:rPr>
              <w:t>organization)</w:t>
            </w:r>
          </w:p>
        </w:tc>
        <w:tc>
          <w:tcPr>
            <w:tcW w:w="3920" w:type="dxa"/>
            <w:vAlign w:val="bottom"/>
          </w:tcPr>
          <w:p>
            <w:pPr>
              <w:spacing w:after="0"/>
              <w:rPr>
                <w:sz w:val="20"/>
                <w:szCs w:val="20"/>
                <w:color w:val="auto"/>
              </w:rPr>
            </w:pPr>
          </w:p>
        </w:tc>
      </w:tr>
      <w:tr>
        <w:trPr>
          <w:trHeight w:val="439"/>
        </w:trPr>
        <w:tc>
          <w:tcPr>
            <w:tcW w:w="532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9"/>
              </w:rPr>
              <w:t>2801 East Beltline NE, Grand Rapids, Michigan</w:t>
            </w:r>
          </w:p>
        </w:tc>
        <w:tc>
          <w:tcPr>
            <w:tcW w:w="392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49525</w:t>
            </w:r>
          </w:p>
        </w:tc>
      </w:tr>
      <w:tr>
        <w:trPr>
          <w:trHeight w:val="234"/>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(Zip Code)</w:t>
            </w:r>
          </w:p>
        </w:tc>
      </w:tr>
      <w:tr>
        <w:trPr>
          <w:trHeight w:val="360"/>
        </w:trPr>
        <w:tc>
          <w:tcPr>
            <w:tcW w:w="532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(616) 364-6161</w:t>
            </w:r>
          </w:p>
        </w:tc>
        <w:tc>
          <w:tcPr>
            <w:tcW w:w="392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22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17145</wp:posOffset>
            </wp:positionV>
            <wp:extent cx="29914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jc w:val="both"/>
        <w:ind w:left="20"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71" w:lineRule="exact"/>
        <w:rPr>
          <w:sz w:val="24"/>
          <w:szCs w:val="24"/>
          <w:color w:val="auto"/>
        </w:rPr>
      </w:pPr>
    </w:p>
    <w:p>
      <w:pPr>
        <w:jc w:val="both"/>
        <w:ind w:left="20"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71" w:lineRule="exact"/>
        <w:rPr>
          <w:sz w:val="24"/>
          <w:szCs w:val="24"/>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688" w:right="819" w:bottom="1440" w:gutter="0" w:footer="0" w:header="0"/>
        </w:sectPr>
      </w:pPr>
    </w:p>
    <w:p>
      <w:pPr>
        <w:spacing w:after="0" w:line="53" w:lineRule="exact"/>
        <w:rPr>
          <w:sz w:val="24"/>
          <w:szCs w:val="24"/>
          <w:color w:val="auto"/>
        </w:rPr>
      </w:pPr>
    </w:p>
    <w:p>
      <w:pPr>
        <w:ind w:left="54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both"/>
        <w:ind w:right="800"/>
        <w:spacing w:after="0" w:line="250"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Emerging Growth Company </w:t>
      </w:r>
      <w:r>
        <w:rPr>
          <w:rFonts w:ascii="Arial Unicode MS" w:cs="Arial Unicode MS" w:eastAsia="Arial Unicode MS" w:hAnsi="Arial Unicode MS"/>
          <w:sz w:val="18"/>
          <w:szCs w:val="18"/>
          <w:color w:val="auto"/>
        </w:rPr>
        <w:t>☐</w:t>
      </w:r>
    </w:p>
    <w:p>
      <w:pPr>
        <w:spacing w:after="0" w:line="30" w:lineRule="exact"/>
        <w:rPr>
          <w:sz w:val="24"/>
          <w:szCs w:val="24"/>
          <w:color w:val="auto"/>
        </w:rPr>
      </w:pPr>
    </w:p>
    <w:p>
      <w:pPr>
        <w:sectPr>
          <w:pgSz w:w="11900" w:h="16838" w:orient="portrait"/>
          <w:cols w:equalWidth="0" w:num="4">
            <w:col w:w="2500" w:space="660"/>
            <w:col w:w="1440" w:space="280"/>
            <w:col w:w="1820" w:space="480"/>
            <w:col w:w="3080"/>
          </w:cols>
          <w:pgMar w:left="820" w:top="688" w:right="819" w:bottom="1440" w:gutter="0" w:footer="0" w:header="0"/>
          <w:type w:val="continuous"/>
        </w:sectPr>
      </w:pPr>
    </w:p>
    <w:p>
      <w:pPr>
        <w:ind w:left="20" w:right="2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43" w:lineRule="exact"/>
        <w:rPr>
          <w:sz w:val="24"/>
          <w:szCs w:val="24"/>
          <w:color w:val="auto"/>
        </w:rPr>
      </w:pPr>
    </w:p>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by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1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41"/>
        </w:trPr>
        <w:tc>
          <w:tcPr>
            <w:tcW w:w="510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7"/>
              </w:rPr>
              <w:t>Class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 as of March 26, 2022</w:t>
            </w:r>
          </w:p>
        </w:tc>
      </w:tr>
      <w:tr>
        <w:trPr>
          <w:trHeight w:val="234"/>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$1 par value</w:t>
            </w:r>
          </w:p>
        </w:tc>
        <w:tc>
          <w:tcPr>
            <w:tcW w:w="980" w:type="dxa"/>
            <w:vAlign w:val="bottom"/>
          </w:tcPr>
          <w:p>
            <w:pPr>
              <w:spacing w:after="0"/>
              <w:rPr>
                <w:sz w:val="20"/>
                <w:szCs w:val="20"/>
                <w:color w:val="auto"/>
              </w:rPr>
            </w:pPr>
          </w:p>
        </w:tc>
        <w:tc>
          <w:tcPr>
            <w:tcW w:w="4140" w:type="dxa"/>
            <w:vAlign w:val="bottom"/>
            <w:tcBorders>
              <w:top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rPr>
              <w:t>62,734,161</w:t>
            </w:r>
          </w:p>
        </w:tc>
      </w:tr>
    </w:tbl>
    <w:p>
      <w:pPr>
        <w:spacing w:after="0" w:line="1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5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20" w:type="dxa"/>
            <w:vAlign w:val="bottom"/>
            <w:tcBorders>
              <w:bottom w:val="single" w:sz="8" w:color="auto"/>
            </w:tcBorders>
            <w:shd w:val="clear" w:color="auto" w:fill="000000"/>
          </w:tcPr>
          <w:p>
            <w:pPr>
              <w:spacing w:after="0"/>
              <w:rPr>
                <w:sz w:val="18"/>
                <w:szCs w:val="18"/>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no par value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UFPI</w:t>
            </w:r>
          </w:p>
        </w:tc>
        <w:tc>
          <w:tcPr>
            <w:tcW w:w="5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r>
        <w:trPr>
          <w:trHeight w:val="149"/>
        </w:trPr>
        <w:tc>
          <w:tcPr>
            <w:tcW w:w="20" w:type="dxa"/>
            <w:vAlign w:val="bottom"/>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5260" w:type="dxa"/>
            <w:vAlign w:val="bottom"/>
            <w:tcBorders>
              <w:bottom w:val="single" w:sz="8" w:color="auto"/>
            </w:tcBorders>
          </w:tcPr>
          <w:p>
            <w:pPr>
              <w:spacing w:after="0"/>
              <w:rPr>
                <w:sz w:val="12"/>
                <w:szCs w:val="12"/>
                <w:color w:val="auto"/>
              </w:rPr>
            </w:pPr>
          </w:p>
        </w:tc>
      </w:tr>
      <w:tr>
        <w:trPr>
          <w:trHeight w:val="95"/>
        </w:trPr>
        <w:tc>
          <w:tcPr>
            <w:tcW w:w="20" w:type="dxa"/>
            <w:vAlign w:val="bottom"/>
          </w:tcPr>
          <w:p>
            <w:pPr>
              <w:spacing w:after="0"/>
              <w:rPr>
                <w:sz w:val="8"/>
                <w:szCs w:val="8"/>
                <w:color w:val="auto"/>
              </w:rPr>
            </w:pPr>
          </w:p>
        </w:tc>
        <w:tc>
          <w:tcPr>
            <w:tcW w:w="2860" w:type="dxa"/>
            <w:vAlign w:val="bottom"/>
            <w:tcBorders>
              <w:left w:val="single" w:sz="8" w:color="auto"/>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5260" w:type="dxa"/>
            <w:vAlign w:val="bottom"/>
            <w:tcBorders>
              <w:bottom w:val="single" w:sz="8" w:color="auto"/>
              <w:right w:val="single" w:sz="8" w:color="auto"/>
            </w:tcBorders>
          </w:tcPr>
          <w:p>
            <w:pPr>
              <w:spacing w:after="0"/>
              <w:rPr>
                <w:sz w:val="8"/>
                <w:szCs w:val="8"/>
                <w:color w:val="auto"/>
              </w:rPr>
            </w:pPr>
          </w:p>
        </w:tc>
      </w:tr>
      <w:tr>
        <w:trPr>
          <w:trHeight w:val="574"/>
        </w:trPr>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688" w:right="819" w:bottom="144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790"/>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12"/>
          </w:tcPr>
          <w:p>
            <w:pPr>
              <w:ind w:left="120"/>
              <w:spacing w:after="0"/>
              <w:rPr>
                <w:sz w:val="20"/>
                <w:szCs w:val="20"/>
                <w:color w:val="auto"/>
              </w:rPr>
            </w:pPr>
            <w:r>
              <w:rPr>
                <w:rFonts w:ascii="Times New Roman" w:cs="Times New Roman" w:eastAsia="Times New Roman" w:hAnsi="Times New Roman"/>
                <w:sz w:val="18"/>
                <w:szCs w:val="18"/>
                <w:b w:val="1"/>
                <w:bCs w:val="1"/>
                <w:color w:val="auto"/>
              </w:rPr>
              <w:t>UFP INDUSTRIES, INC.</w:t>
            </w:r>
          </w:p>
        </w:tc>
        <w:tc>
          <w:tcPr>
            <w:tcW w:w="7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12"/>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4"/>
                <w:szCs w:val="24"/>
                <w:color w:val="auto"/>
              </w:rPr>
            </w:pPr>
          </w:p>
        </w:tc>
      </w:tr>
      <w:tr>
        <w:trPr>
          <w:trHeight w:val="452"/>
        </w:trPr>
        <w:tc>
          <w:tcPr>
            <w:tcW w:w="15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560" w:type="dxa"/>
            <w:vAlign w:val="bottom"/>
            <w:gridSpan w:val="16"/>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Page No.</w:t>
            </w:r>
          </w:p>
        </w:tc>
      </w:tr>
      <w:tr>
        <w:trPr>
          <w:trHeight w:val="432"/>
        </w:trPr>
        <w:tc>
          <w:tcPr>
            <w:tcW w:w="20" w:type="dxa"/>
            <w:vAlign w:val="bottom"/>
          </w:tcPr>
          <w:p>
            <w:pPr>
              <w:spacing w:after="0"/>
              <w:rPr>
                <w:sz w:val="24"/>
                <w:szCs w:val="24"/>
                <w:color w:val="auto"/>
              </w:rPr>
            </w:pPr>
          </w:p>
        </w:tc>
        <w:tc>
          <w:tcPr>
            <w:tcW w:w="1560" w:type="dxa"/>
            <w:vAlign w:val="bottom"/>
            <w:gridSpan w:val="5"/>
          </w:tcPr>
          <w:p>
            <w:pPr>
              <w:ind w:left="820"/>
              <w:spacing w:after="0"/>
              <w:rPr>
                <w:sz w:val="20"/>
                <w:szCs w:val="20"/>
                <w:color w:val="auto"/>
              </w:rPr>
            </w:pPr>
            <w:r>
              <w:rPr>
                <w:rFonts w:ascii="Times New Roman" w:cs="Times New Roman" w:eastAsia="Times New Roman" w:hAnsi="Times New Roman"/>
                <w:sz w:val="18"/>
                <w:szCs w:val="18"/>
                <w:color w:val="auto"/>
              </w:rPr>
              <w:t>Item 1.</w:t>
            </w:r>
          </w:p>
        </w:tc>
        <w:tc>
          <w:tcPr>
            <w:tcW w:w="656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7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at March 26, 2022, December 25, 2021 and</w:t>
            </w: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6"/>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March 27, 2021</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Earnings and Comprehensive Income for the</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Three Months Ended March 26, 2022 and March 27, 2021</w:t>
            </w:r>
          </w:p>
        </w:tc>
        <w:tc>
          <w:tcPr>
            <w:tcW w:w="60" w:type="dxa"/>
            <w:vAlign w:val="bottom"/>
            <w:tcBorders>
              <w:top w:val="single" w:sz="8" w:color="CCEEFF"/>
            </w:tcBorders>
            <w:gridSpan w:val="3"/>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40" w:type="dxa"/>
            <w:vAlign w:val="bottom"/>
            <w:tcBorders>
              <w:bottom w:val="single" w:sz="8" w:color="0000EE"/>
            </w:tcBorders>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 for the Three Months Ended</w:t>
            </w:r>
          </w:p>
        </w:tc>
        <w:tc>
          <w:tcPr>
            <w:tcW w:w="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6"/>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March 26, 2022 and March 27, 2021</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w:t>
            </w: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6"/>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26, 2022 and March 27, 2021</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r>
      <w:tr>
        <w:trPr>
          <w:trHeight w:val="216"/>
        </w:trPr>
        <w:tc>
          <w:tcPr>
            <w:tcW w:w="840" w:type="dxa"/>
            <w:vAlign w:val="bottom"/>
            <w:tcBorders>
              <w:top w:val="single" w:sz="8" w:color="CCEEFF"/>
            </w:tcBorders>
            <w:gridSpan w:val="2"/>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15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5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1.</w:t>
            </w:r>
          </w:p>
        </w:tc>
        <w:tc>
          <w:tcPr>
            <w:tcW w:w="65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Proceedings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Risk Factors - NONE</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3.</w:t>
            </w:r>
          </w:p>
        </w:tc>
        <w:tc>
          <w:tcPr>
            <w:tcW w:w="65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4.</w:t>
            </w:r>
          </w:p>
        </w:tc>
        <w:tc>
          <w:tcPr>
            <w:tcW w:w="65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 Safety Disclosures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 – NONE</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March 26,</w:t>
            </w:r>
          </w:p>
        </w:tc>
        <w:tc>
          <w:tcPr>
            <w:tcW w:w="220" w:type="dxa"/>
            <w:vAlign w:val="bottom"/>
          </w:tcPr>
          <w:p>
            <w:pPr>
              <w:spacing w:after="0"/>
              <w:rPr>
                <w:sz w:val="16"/>
                <w:szCs w:val="16"/>
                <w:color w:val="auto"/>
              </w:rPr>
            </w:pP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0" w:type="dxa"/>
            <w:vAlign w:val="bottom"/>
          </w:tcPr>
          <w:p>
            <w:pPr>
              <w:spacing w:after="0"/>
              <w:rPr>
                <w:sz w:val="1"/>
                <w:szCs w:val="1"/>
                <w:color w:val="auto"/>
              </w:rPr>
            </w:pPr>
          </w:p>
        </w:tc>
      </w:tr>
      <w:tr>
        <w:trPr>
          <w:trHeight w:val="107"/>
        </w:trPr>
        <w:tc>
          <w:tcPr>
            <w:tcW w:w="4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49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73,783</w:t>
            </w:r>
          </w:p>
        </w:tc>
        <w:tc>
          <w:tcPr>
            <w:tcW w:w="42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286,662</w:t>
            </w:r>
          </w:p>
        </w:tc>
        <w:tc>
          <w:tcPr>
            <w:tcW w:w="2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44,399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4,561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35,465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36,495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1,095,362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737,805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808,105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Raw materials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576,023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416,043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438,762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Finished goods</w:t>
            </w: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654,328</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547,277</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384,652</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94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inventories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1,230,351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963,320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823,414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Refundable income taxes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4,806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5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36,727</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39,827</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29,072</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2,472,417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2,073,476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1,737,058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INVESTMENTS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19,390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19,310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99,914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96,703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98,404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32,544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31,876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317,631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315,038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314,189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INDEFINITE-LIVED INTANGIBLE ASSETS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7,396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7,369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120,205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109,017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93,812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1,244,070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1,212,113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1,060,893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(643,191)</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(623,093)</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(572,526)</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940" w:type="dxa"/>
            <w:vAlign w:val="bottom"/>
            <w:tcBorders>
              <w:bottom w:val="single" w:sz="8" w:color="CCEEFF"/>
            </w:tcBorders>
          </w:tcPr>
          <w:p>
            <w:pPr>
              <w:ind w:left="400"/>
              <w:spacing w:after="0" w:line="136"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600,879</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589,020</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488,367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3,673,966</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3,245,271</w:t>
            </w: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2,786,088</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4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overdraft</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61,711</w:t>
            </w:r>
          </w:p>
        </w:tc>
        <w:tc>
          <w:tcPr>
            <w:tcW w:w="420" w:type="dxa"/>
            <w:vAlign w:val="bottom"/>
            <w:gridSpan w:val="2"/>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17,030</w:t>
            </w:r>
          </w:p>
        </w:tc>
        <w:tc>
          <w:tcPr>
            <w:tcW w:w="22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47,140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425,956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319,125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299,398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Compensation and benefits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189,509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289,196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137,208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54,682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102,434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84,853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78,560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liability</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26,015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23,155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42,895</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42,683</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4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CURRENT LIABILITIES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903,202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776,042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611,031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379,015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277,567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426,310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LIABILITY</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76,969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76,632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76,408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61,278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60,964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5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35,330</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37,497</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50,856</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LIABILITIES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1,455,794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1,228,702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1,199,545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Controlling interest shareholders’ equity:</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94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Preferred stock, no par value; shares authorized 1,000,000; issued and</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9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outstanding, none</w:t>
            </w:r>
          </w:p>
        </w:tc>
        <w:tc>
          <w:tcPr>
            <w:tcW w:w="62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94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Common stock, $1 par value; shares authorized 80,000,000; issued and</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62,734</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61,902</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61,838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outstanding, 62,734,161, 61,901,851 and 61,838,256</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266,544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243,995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231,111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1,851,784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1,678,121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1,276,722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5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(3,170)</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(5,405)</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(3,464)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controlling interest shareholders’ equity</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2,177,892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1,978,613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1,566,207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5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40,280</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37,956</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20,336</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SHAREHOLDERS’ EQUITY</w:t>
            </w: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2,218,172</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2,016,569</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1,586,543</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TOTAL LIABILITIES AND SHAREHOLDERS’ EQUITY</w:t>
            </w:r>
          </w:p>
        </w:tc>
        <w:tc>
          <w:tcPr>
            <w:tcW w:w="5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3,673,966</w:t>
            </w:r>
          </w:p>
        </w:tc>
        <w:tc>
          <w:tcPr>
            <w:tcW w:w="220" w:type="dxa"/>
            <w:vAlign w:val="bottom"/>
          </w:tcPr>
          <w:p>
            <w:pPr>
              <w:spacing w:after="0"/>
              <w:rPr>
                <w:sz w:val="11"/>
                <w:szCs w:val="11"/>
                <w:color w:val="auto"/>
              </w:rPr>
            </w:pPr>
          </w:p>
        </w:tc>
        <w:tc>
          <w:tcPr>
            <w:tcW w:w="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3,245,271</w:t>
            </w: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2,786,088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 (Unaudited)</w: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bl>
      <w:tblPr>
        <w:tblLayout w:type="fixed"/>
        <w:tblInd w:w="6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52"/>
              <w:spacing w:after="0" w:line="124"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32"/>
              <w:spacing w:after="0" w:line="124"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2,489,313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1,825,004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2,010,950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1,538,450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478,363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286,554</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GAINS, NET</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259,025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137,487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INVESTMENT LOSS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 EARNINGS OF INVESTEE</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193,131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104,251</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NET EARNINGS ATTRIBUTABLE TO NONCONTROLLING INTEREST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 ATTRIBUTABLE TO CONTROLLING INTEREST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189,703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 – BASIC</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SHARE – DILUTED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193,131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104,251</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GAIN (LOSS)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196,315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102,055</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ATTRIBUTABLE TO CONTROLLING INTEREST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191,938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bl>
      <w:tblPr>
        <w:tblLayout w:type="fixed"/>
        <w:tblInd w:w="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1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Controlling Interest Shareholders’ Equity</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on December 25, 2021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61,902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$ 243,995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$ 1,678,121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(5,405)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37,956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2,016,569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189,703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(2,053)</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purchase of noncontrolling interest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$0.20 per share - quarterly</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(12,541)</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(12,541)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9,734 shares under employee stock</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0"/>
                <w:szCs w:val="10"/>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purchase plan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787,045 shares under stock grant programs</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787</w:t>
            </w: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8,959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9,746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79,973 shares under deferred compensation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40" w:type="dxa"/>
            <w:vAlign w:val="bottom"/>
          </w:tcPr>
          <w:p>
            <w:pPr>
              <w:spacing w:after="0"/>
              <w:rPr>
                <w:sz w:val="10"/>
                <w:szCs w:val="10"/>
                <w:color w:val="auto"/>
              </w:rPr>
            </w:pPr>
          </w:p>
        </w:tc>
        <w:tc>
          <w:tcPr>
            <w:tcW w:w="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44,442 shares</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 compensation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6,883</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6,883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arrangements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Accrued expense under deferred compensation plans</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Balance on March 26, 2022</w:t>
            </w:r>
          </w:p>
        </w:tc>
        <w:tc>
          <w:tcPr>
            <w:tcW w:w="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62,734</w:t>
            </w: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$ 266,544</w:t>
            </w: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$ 1,851,784</w:t>
            </w: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(3,170)</w:t>
            </w:r>
          </w:p>
        </w:tc>
        <w:tc>
          <w:tcPr>
            <w:tcW w:w="1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40,280</w:t>
            </w: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2,218,172</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9"/>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40" w:type="dxa"/>
            <w:vAlign w:val="bottom"/>
            <w:gridSpan w:val="15"/>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Controlling Interest Shareholders’ Equity</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140" w:type="dxa"/>
            <w:vAlign w:val="bottom"/>
            <w:tcBorders>
              <w:bottom w:val="single" w:sz="8" w:color="auto"/>
            </w:tcBorders>
            <w:gridSpan w:val="15"/>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3"/>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340" w:type="dxa"/>
            <w:vAlign w:val="bottom"/>
            <w:tcBorders>
              <w:top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Balance on December 26, 2020</w:t>
            </w:r>
          </w:p>
        </w:tc>
        <w:tc>
          <w:tcPr>
            <w:tcW w:w="1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61,206</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$ 218,224</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$ 1,182,680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(1,794)</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22,836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1,483,152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103,311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104,251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(526)</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(2,914)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dividends - $0.15 per share - quarterly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4"/>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(9,274)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4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5,816 shares under employee stock</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plan</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4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Net issuance of 536,970 shares under stock grant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40" w:type="dxa"/>
            <w:vAlign w:val="bottom"/>
          </w:tcPr>
          <w:p>
            <w:pPr>
              <w:spacing w:after="0"/>
              <w:rPr>
                <w:sz w:val="10"/>
                <w:szCs w:val="10"/>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3,888</w:t>
            </w:r>
          </w:p>
        </w:tc>
        <w:tc>
          <w:tcPr>
            <w:tcW w:w="40" w:type="dxa"/>
            <w:vAlign w:val="bottom"/>
          </w:tcPr>
          <w:p>
            <w:pPr>
              <w:spacing w:after="0"/>
              <w:rPr>
                <w:sz w:val="10"/>
                <w:szCs w:val="10"/>
                <w:color w:val="auto"/>
              </w:rPr>
            </w:pP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4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89,690 shares under deferred</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40" w:type="dxa"/>
            <w:vAlign w:val="bottom"/>
            <w:shd w:val="clear" w:color="auto" w:fill="CCEEFF"/>
          </w:tcPr>
          <w:p>
            <w:pPr>
              <w:spacing w:after="0"/>
              <w:rPr>
                <w:sz w:val="10"/>
                <w:szCs w:val="10"/>
                <w:color w:val="auto"/>
              </w:rPr>
            </w:pPr>
          </w:p>
        </w:tc>
        <w:tc>
          <w:tcPr>
            <w:tcW w:w="82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gridSpan w:val="4"/>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4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 compensation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arrangements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expense under deferred compensation plans</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5,795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34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on March 27, 2021</w:t>
            </w: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61,838</w:t>
            </w: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$ 231,111</w:t>
            </w: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$ 1,276,722</w:t>
            </w: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(3,464)</w:t>
            </w: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20,336</w:t>
            </w: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1,586,543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6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68"/>
              <w:spacing w:after="0" w:line="124"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68"/>
              <w:spacing w:after="0" w:line="124"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193,131</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104,251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earnings to net cash from operating activities: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21,842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18,733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4,672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3,998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Expense associated with share-based and grant compensation arrangements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Unrealized loss (gain) on investments and other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Equity in earnings of investee</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gain on sale and disposition of assets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Changes in:</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(352,928)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(253,323)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(258,019)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(207,768)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 and cash overdraft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143,895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121,892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Borders>
              <w:bottom w:val="single" w:sz="8" w:color="CCEEFF"/>
            </w:tcBorders>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Accrued liabilities and other</w:t>
            </w: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(6,466)</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14,090</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80" w:type="dxa"/>
            <w:vAlign w:val="bottom"/>
          </w:tcPr>
          <w:p>
            <w:pPr>
              <w:ind w:left="80"/>
              <w:spacing w:after="0" w:line="136"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(245,031)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(196,660)</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(32,072)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(34,656)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Acquisitions and purchases of non-controlling interest, net of cash received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(24,571)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(261,133)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(6,030)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(8,738)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investments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3,381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(2,995)</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(414)</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80" w:type="dxa"/>
            <w:vAlign w:val="bottom"/>
          </w:tcPr>
          <w:p>
            <w:pPr>
              <w:ind w:left="80"/>
              <w:spacing w:after="0" w:line="136"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(59,736)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(296,498)</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Borrowings under revolving credit facilities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242,950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236,280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under revolving credit facilities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(141,438)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(121,570)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Repayments of debt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Contingent consideration payments and other</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shareholders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(12,541)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(9,274)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86,330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101,927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5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1,726</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(349)</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(216,711)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(391,580)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YEAR</w:t>
            </w:r>
          </w:p>
        </w:tc>
        <w:tc>
          <w:tcPr>
            <w:tcW w:w="5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291,223</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436,608</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74,512</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45,028</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286,662</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436,507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 beginning of period</w:t>
            </w:r>
          </w:p>
        </w:tc>
        <w:tc>
          <w:tcPr>
            <w:tcW w:w="5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4,561</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5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291,223</w:t>
            </w:r>
          </w:p>
        </w:tc>
        <w:tc>
          <w:tcPr>
            <w:tcW w:w="1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436,608</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0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73,783</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44,399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 end of period</w:t>
            </w:r>
          </w:p>
        </w:tc>
        <w:tc>
          <w:tcPr>
            <w:tcW w:w="5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729</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5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74,512</w:t>
            </w:r>
          </w:p>
        </w:tc>
        <w:tc>
          <w:tcPr>
            <w:tcW w:w="1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45,028</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0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SUPPLEMENTAL INFORMATION: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6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2,896</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ACTIVITIES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Capital expenditures included in accounts payable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Common stock issued under deferred compensation plans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5,359</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p>
      <w:pPr>
        <w:spacing w:after="0" w:line="203" w:lineRule="exact"/>
        <w:rPr>
          <w:sz w:val="20"/>
          <w:szCs w:val="20"/>
          <w:color w:val="auto"/>
        </w:rPr>
      </w:pPr>
    </w:p>
    <w:p>
      <w:pPr>
        <w:ind w:left="540" w:hanging="490"/>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187"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25, 2021.</w:t>
      </w:r>
    </w:p>
    <w:p>
      <w:pPr>
        <w:spacing w:after="0" w:line="18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March 27, 2021 balances in the accompanying unaudited condensed consolidated balance sheets.</w:t>
      </w:r>
    </w:p>
    <w:p>
      <w:pPr>
        <w:spacing w:after="0" w:line="179" w:lineRule="exact"/>
        <w:rPr>
          <w:sz w:val="20"/>
          <w:szCs w:val="20"/>
          <w:color w:val="auto"/>
        </w:rPr>
      </w:pPr>
    </w:p>
    <w:p>
      <w:pPr>
        <w:ind w:left="540" w:hanging="490"/>
        <w:spacing w:after="0"/>
        <w:tabs>
          <w:tab w:leader="none" w:pos="5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7" w:lineRule="exact"/>
        <w:rPr>
          <w:sz w:val="20"/>
          <w:szCs w:val="20"/>
          <w:color w:val="auto"/>
        </w:rPr>
      </w:pPr>
    </w:p>
    <w:p>
      <w:pPr>
        <w:ind w:left="60" w:right="59" w:firstLine="492"/>
        <w:spacing w:after="0" w:line="284" w:lineRule="auto"/>
        <w:rPr>
          <w:sz w:val="20"/>
          <w:szCs w:val="20"/>
          <w:color w:val="auto"/>
        </w:rPr>
      </w:pPr>
      <w:r>
        <w:rPr>
          <w:rFonts w:ascii="Times New Roman" w:cs="Times New Roman" w:eastAsia="Times New Roman" w:hAnsi="Times New Roman"/>
          <w:sz w:val="18"/>
          <w:szCs w:val="18"/>
          <w:color w:val="auto"/>
        </w:rPr>
        <w:t xml:space="preserve">We apply the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to assets and liabilities measured at fair value. Assets measured at fair value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26, 2022</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27, 2021</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9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9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9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9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5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15"/>
                <w:szCs w:val="15"/>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9,641</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9,659</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income funds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16,128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16,264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16,508</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Treasury securities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19,289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19,289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18,496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18,496</w:t>
            </w:r>
          </w:p>
        </w:tc>
        <w:tc>
          <w:tcPr>
            <w:tcW w:w="0" w:type="dxa"/>
            <w:vAlign w:val="bottom"/>
          </w:tcPr>
          <w:p>
            <w:pPr>
              <w:spacing w:after="0"/>
              <w:rPr>
                <w:sz w:val="1"/>
                <w:szCs w:val="1"/>
                <w:color w:val="auto"/>
              </w:rPr>
            </w:pPr>
          </w:p>
        </w:tc>
      </w:tr>
      <w:tr>
        <w:trPr>
          <w:trHeight w:val="181"/>
        </w:trPr>
        <w:tc>
          <w:tcPr>
            <w:tcW w:w="17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Domestic stock funds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9,388</w:t>
            </w:r>
          </w:p>
        </w:tc>
        <w:tc>
          <w:tcPr>
            <w:tcW w:w="0" w:type="dxa"/>
            <w:vAlign w:val="bottom"/>
          </w:tcPr>
          <w:p>
            <w:pPr>
              <w:spacing w:after="0"/>
              <w:rPr>
                <w:sz w:val="1"/>
                <w:szCs w:val="1"/>
                <w:color w:val="auto"/>
              </w:rPr>
            </w:pPr>
          </w:p>
        </w:tc>
      </w:tr>
      <w:tr>
        <w:trPr>
          <w:trHeight w:val="181"/>
        </w:trPr>
        <w:tc>
          <w:tcPr>
            <w:tcW w:w="176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International stock</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w:t>
            </w:r>
          </w:p>
        </w:tc>
        <w:tc>
          <w:tcPr>
            <w:tcW w:w="0" w:type="dxa"/>
            <w:vAlign w:val="bottom"/>
          </w:tcPr>
          <w:p>
            <w:pPr>
              <w:spacing w:after="0"/>
              <w:rPr>
                <w:sz w:val="1"/>
                <w:szCs w:val="1"/>
                <w:color w:val="auto"/>
              </w:rPr>
            </w:pPr>
          </w:p>
        </w:tc>
      </w:tr>
      <w:tr>
        <w:trPr>
          <w:trHeight w:val="204"/>
        </w:trPr>
        <w:tc>
          <w:tcPr>
            <w:tcW w:w="1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Target funds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03"/>
        </w:trPr>
        <w:tc>
          <w:tcPr>
            <w:tcW w:w="1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Bond funds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23"/>
        </w:trPr>
        <w:tc>
          <w:tcPr>
            <w:tcW w:w="1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Alternative funds</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0" w:type="dxa"/>
            <w:vAlign w:val="bottom"/>
          </w:tcPr>
          <w:p>
            <w:pPr>
              <w:spacing w:after="0"/>
              <w:rPr>
                <w:sz w:val="1"/>
                <w:szCs w:val="1"/>
                <w:color w:val="auto"/>
              </w:rPr>
            </w:pPr>
          </w:p>
        </w:tc>
      </w:tr>
      <w:tr>
        <w:trPr>
          <w:trHeight w:val="196"/>
        </w:trPr>
        <w:tc>
          <w:tcPr>
            <w:tcW w:w="1760" w:type="dxa"/>
            <w:vAlign w:val="bottom"/>
            <w:tcBorders>
              <w:top w:val="single" w:sz="8" w:color="CCEEFF"/>
              <w:bottom w:val="single" w:sz="8" w:color="CCEEFF"/>
            </w:tcBorders>
          </w:tcPr>
          <w:p>
            <w:pPr>
              <w:ind w:left="20"/>
              <w:spacing w:after="0" w:line="189" w:lineRule="exact"/>
              <w:rPr>
                <w:sz w:val="20"/>
                <w:szCs w:val="20"/>
                <w:color w:val="auto"/>
              </w:rPr>
            </w:pPr>
            <w:r>
              <w:rPr>
                <w:rFonts w:ascii="Times New Roman" w:cs="Times New Roman" w:eastAsia="Times New Roman" w:hAnsi="Times New Roman"/>
                <w:sz w:val="17"/>
                <w:szCs w:val="17"/>
                <w:color w:val="auto"/>
              </w:rPr>
              <w:t>Total mutual funds</w:t>
            </w: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12,861</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12,861</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11,445</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11,445</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34,789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64,522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30,204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17,391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49,721</w:t>
            </w:r>
          </w:p>
        </w:tc>
        <w:tc>
          <w:tcPr>
            <w:tcW w:w="0" w:type="dxa"/>
            <w:vAlign w:val="bottom"/>
          </w:tcPr>
          <w:p>
            <w:pPr>
              <w:spacing w:after="0"/>
              <w:rPr>
                <w:sz w:val="1"/>
                <w:szCs w:val="1"/>
                <w:color w:val="auto"/>
              </w:rPr>
            </w:pPr>
          </w:p>
        </w:tc>
      </w:tr>
      <w:tr>
        <w:trPr>
          <w:trHeight w:val="203"/>
        </w:trPr>
        <w:tc>
          <w:tcPr>
            <w:tcW w:w="1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Assets at fair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34,789</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25,769</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3,964</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64,522</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30,204</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17,391</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49,721</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From the assets measured at fair value as of March 26, 2022, listed in the table above, $35.4 million of mutual funds, equity securities, and alternative investments are held in Investments, $9.0 million of money market funds are held in Cash and Cash Equivalents, $0.7 million of money market and mutual funds are held in Other Assets for our deferred compensation plan, and $18.7 million of fixed income funds and $0.7 million of money markets funds are held in Restricted Investments.</w:t>
      </w:r>
    </w:p>
    <w:p>
      <w:pPr>
        <w:spacing w:after="0" w:line="18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 xml:space="preserve">We maintain money market, mutual funds, bonds, and/or equity securities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to any of our financial instruments except for those expressly required by U.S. GAAP.</w:t>
      </w:r>
    </w:p>
    <w:p>
      <w:pPr>
        <w:spacing w:after="0" w:line="183"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In accordance with our investment policy, our wholly-owned captive, Ardellis Insurance Ltd. (“Ardellis”), maintains an investment portfolio, totaling $54.2 million as of March 26, 2022, which has been included in the aforementioned table of total investments. This portfolio consists of domestic and international equity securities, alternative investments, and fixed income bonds.</w:t>
      </w:r>
    </w:p>
    <w:p>
      <w:pPr>
        <w:spacing w:after="0" w:line="180"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Ardellis’ available for sale investment portfolio, including funds held with the State of Michigan, consists of the following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8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March 26, 2022</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27, 2021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840" w:type="dxa"/>
            <w:vAlign w:val="bottom"/>
          </w:tcPr>
          <w:p>
            <w:pPr>
              <w:spacing w:after="0"/>
              <w:rPr>
                <w:sz w:val="10"/>
                <w:szCs w:val="10"/>
                <w:color w:val="auto"/>
              </w:rPr>
            </w:pPr>
          </w:p>
        </w:tc>
        <w:tc>
          <w:tcPr>
            <w:tcW w:w="7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0"/>
                <w:szCs w:val="10"/>
                <w:color w:val="auto"/>
              </w:rPr>
            </w:pPr>
          </w:p>
        </w:tc>
        <w:tc>
          <w:tcPr>
            <w:tcW w:w="84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0"/>
                <w:szCs w:val="10"/>
                <w:color w:val="auto"/>
              </w:rPr>
            </w:pPr>
          </w:p>
        </w:tc>
        <w:tc>
          <w:tcPr>
            <w:tcW w:w="6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0"/>
                <w:szCs w:val="10"/>
                <w:color w:val="auto"/>
              </w:rPr>
            </w:pPr>
          </w:p>
        </w:tc>
        <w:tc>
          <w:tcPr>
            <w:tcW w:w="880" w:type="dxa"/>
            <w:vAlign w:val="bottom"/>
            <w:gridSpan w:val="3"/>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38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$ 19,049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$ 18,407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$ 16,509</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18,496</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0" w:type="dxa"/>
            <w:vAlign w:val="bottom"/>
          </w:tcPr>
          <w:p>
            <w:pPr>
              <w:spacing w:after="0"/>
              <w:rPr>
                <w:sz w:val="1"/>
                <w:szCs w:val="1"/>
                <w:color w:val="auto"/>
              </w:rPr>
            </w:pPr>
          </w:p>
        </w:tc>
      </w:tr>
      <w:tr>
        <w:trPr>
          <w:trHeight w:val="236"/>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$ 47,158</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7,056</w:t>
            </w:r>
          </w:p>
        </w:tc>
        <w:tc>
          <w:tcPr>
            <w:tcW w:w="140" w:type="dxa"/>
            <w:vAlign w:val="bottom"/>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$ 54,214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41,229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6,720</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$ 47,949</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a private real estate income trust which is valued as a Level 3 asset. The net unrealized gain of the portfolio was $7.1 million. Carrying amounts above are recorded in the investments and restricted investments line items within the balance sheet as of March 26, 2022 and March 27, 2021.</w:t>
      </w:r>
    </w:p>
    <w:p>
      <w:pPr>
        <w:spacing w:after="0" w:line="183" w:lineRule="exact"/>
        <w:rPr>
          <w:sz w:val="20"/>
          <w:szCs w:val="20"/>
          <w:color w:val="auto"/>
        </w:rPr>
      </w:pPr>
    </w:p>
    <w:p>
      <w:pPr>
        <w:ind w:left="540" w:hanging="490"/>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Within the three primary segments (Retail, Industrial, and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89"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Certain customer products that we provide require installation by the Company or a third party. Installation revenue is recognized upon completion. If we use a third party for installation, the party will act as an agent to us until completion of the installation. Installation revenue represents an immaterial share of our total net sales.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We utilize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183"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relative to the total estimated costs. Under over time accounting using the units of delivery method, revenues and related earnings on construction contracts are measured by the relationships of actual units produced relative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88"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presents our net sales disaggregated by revenue source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220"/>
        </w:trPr>
        <w:tc>
          <w:tcPr>
            <w:tcW w:w="4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March 26,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93"/>
        </w:trPr>
        <w:tc>
          <w:tcPr>
            <w:tcW w:w="4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 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2,450,281</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1,797,399</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00" w:type="dxa"/>
            <w:vAlign w:val="bottom"/>
            <w:tcBorders>
              <w:top w:val="single" w:sz="8" w:color="CCEEFF"/>
            </w:tcBorders>
            <w:shd w:val="clear" w:color="auto" w:fill="CCEEFF"/>
          </w:tcPr>
          <w:p>
            <w:pPr>
              <w:spacing w:after="0"/>
              <w:rPr>
                <w:sz w:val="18"/>
                <w:szCs w:val="18"/>
                <w:color w:val="auto"/>
              </w:rPr>
            </w:pPr>
          </w:p>
        </w:tc>
      </w:tr>
      <w:tr>
        <w:trPr>
          <w:trHeight w:val="22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 Revenue</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39,032</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27,605</w:t>
            </w: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300" w:type="dxa"/>
            <w:vAlign w:val="bottom"/>
            <w:tcBorders>
              <w:bottom w:val="single" w:sz="8" w:color="CCEEFF"/>
            </w:tcBorders>
          </w:tcPr>
          <w:p>
            <w:pPr>
              <w:spacing w:after="0"/>
              <w:rPr>
                <w:sz w:val="19"/>
                <w:szCs w:val="19"/>
                <w:color w:val="auto"/>
              </w:rPr>
            </w:pPr>
          </w:p>
        </w:tc>
      </w:tr>
      <w:tr>
        <w:trPr>
          <w:trHeight w:val="216"/>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2,489,313</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1,825,004</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00" w:type="dxa"/>
            <w:vAlign w:val="bottom"/>
            <w:tcBorders>
              <w:bottom w:val="single" w:sz="8" w:color="CCEEFF"/>
            </w:tcBorders>
            <w:shd w:val="clear" w:color="auto" w:fill="CCEEFF"/>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Construction segment comprises the construction contract revenue shown above. Construction contract revenue is primarily made up of site-built and framing customers.</w:t>
      </w:r>
    </w:p>
    <w:p>
      <w:pPr>
        <w:spacing w:after="0" w:line="162"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over time accounting accounts which are included in “Other current assets” and “Accrued liabilities: Other”, respectively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26,</w:t>
            </w: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27,</w:t>
            </w:r>
          </w:p>
        </w:tc>
      </w:tr>
      <w:tr>
        <w:trPr>
          <w:trHeight w:val="180"/>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06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Earnings in Excess of Billings</w:t>
            </w:r>
          </w:p>
        </w:tc>
        <w:tc>
          <w:tcPr>
            <w:tcW w:w="2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6,759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200" w:type="dxa"/>
            <w:vAlign w:val="bottom"/>
            <w:tcBorders>
              <w:top w:val="single" w:sz="8" w:color="CCEEFF"/>
            </w:tcBorders>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 and Earnings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12,634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9,396</w:t>
            </w:r>
          </w:p>
        </w:tc>
        <w:tc>
          <w:tcPr>
            <w:tcW w:w="200" w:type="dxa"/>
            <w:vAlign w:val="bottom"/>
          </w:tcPr>
          <w:p>
            <w:pPr>
              <w:spacing w:after="0"/>
              <w:rPr>
                <w:sz w:val="20"/>
                <w:szCs w:val="20"/>
                <w:color w:val="auto"/>
              </w:rPr>
            </w:pPr>
          </w:p>
        </w:tc>
      </w:tr>
      <w:tr>
        <w:trPr>
          <w:trHeight w:val="859"/>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260" w:type="dxa"/>
            <w:vAlign w:val="bottom"/>
          </w:tcPr>
          <w:p>
            <w:pPr>
              <w:jc w:val="right"/>
              <w:ind w:right="1316"/>
              <w:spacing w:after="0"/>
              <w:rPr>
                <w:sz w:val="20"/>
                <w:szCs w:val="20"/>
                <w:color w:val="auto"/>
              </w:rPr>
            </w:pPr>
            <w:r>
              <w:rPr>
                <w:rFonts w:ascii="Times New Roman" w:cs="Times New Roman" w:eastAsia="Times New Roman" w:hAnsi="Times New Roman"/>
                <w:sz w:val="18"/>
                <w:szCs w:val="18"/>
                <w:color w:val="auto"/>
              </w:rPr>
              <w:t>9</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computation of earnings per share (“EPS”) is as follows (in thousands):</w:t>
      </w: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4"/>
        </w:trPr>
        <w:tc>
          <w:tcPr>
            <w:tcW w:w="5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34"/>
              <w:spacing w:after="0" w:line="124"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33"/>
              <w:spacing w:after="0" w:line="124"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00" w:type="dxa"/>
            <w:vAlign w:val="bottom"/>
          </w:tcPr>
          <w:p>
            <w:pPr>
              <w:spacing w:after="0"/>
              <w:rPr>
                <w:sz w:val="10"/>
                <w:szCs w:val="10"/>
                <w:color w:val="auto"/>
              </w:rPr>
            </w:pPr>
          </w:p>
        </w:tc>
      </w:tr>
      <w:tr>
        <w:trPr>
          <w:trHeight w:val="180"/>
        </w:trPr>
        <w:tc>
          <w:tcPr>
            <w:tcW w:w="58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189,703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103,311</w:t>
            </w:r>
          </w:p>
        </w:tc>
        <w:tc>
          <w:tcPr>
            <w:tcW w:w="200" w:type="dxa"/>
            <w:vAlign w:val="bottom"/>
          </w:tcPr>
          <w:p>
            <w:pPr>
              <w:spacing w:after="0"/>
              <w:rPr>
                <w:sz w:val="18"/>
                <w:szCs w:val="18"/>
                <w:color w:val="auto"/>
              </w:rPr>
            </w:pPr>
          </w:p>
        </w:tc>
      </w:tr>
      <w:tr>
        <w:trPr>
          <w:trHeight w:val="236"/>
        </w:trPr>
        <w:tc>
          <w:tcPr>
            <w:tcW w:w="5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 for earnings allocated to non-vested restricted common stock</w:t>
            </w:r>
          </w:p>
        </w:tc>
        <w:tc>
          <w:tcPr>
            <w:tcW w:w="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588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Net earnings for calculating EPS</w:t>
            </w:r>
          </w:p>
        </w:tc>
        <w:tc>
          <w:tcPr>
            <w:tcW w:w="5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182,897</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100,136</w:t>
            </w:r>
          </w:p>
        </w:tc>
        <w:tc>
          <w:tcPr>
            <w:tcW w:w="200" w:type="dxa"/>
            <w:vAlign w:val="bottom"/>
            <w:tcBorders>
              <w:bottom w:val="single" w:sz="8" w:color="CCEEFF"/>
            </w:tcBorders>
          </w:tcPr>
          <w:p>
            <w:pPr>
              <w:spacing w:after="0"/>
              <w:rPr>
                <w:sz w:val="21"/>
                <w:szCs w:val="21"/>
                <w:color w:val="auto"/>
              </w:rPr>
            </w:pPr>
          </w:p>
        </w:tc>
      </w:tr>
      <w:tr>
        <w:trPr>
          <w:trHeight w:val="197"/>
        </w:trPr>
        <w:tc>
          <w:tcPr>
            <w:tcW w:w="5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61,889</w:t>
            </w:r>
          </w:p>
        </w:tc>
        <w:tc>
          <w:tcPr>
            <w:tcW w:w="200" w:type="dxa"/>
            <w:vAlign w:val="bottom"/>
          </w:tcPr>
          <w:p>
            <w:pPr>
              <w:spacing w:after="0"/>
              <w:rPr>
                <w:sz w:val="18"/>
                <w:szCs w:val="18"/>
                <w:color w:val="auto"/>
              </w:rPr>
            </w:pPr>
          </w:p>
        </w:tc>
      </w:tr>
      <w:tr>
        <w:trPr>
          <w:trHeight w:val="236"/>
        </w:trPr>
        <w:tc>
          <w:tcPr>
            <w:tcW w:w="5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 for non-vested restricted common stock</w:t>
            </w:r>
          </w:p>
        </w:tc>
        <w:tc>
          <w:tcPr>
            <w:tcW w:w="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03"/>
        </w:trPr>
        <w:tc>
          <w:tcPr>
            <w:tcW w:w="588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basic EPS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60,748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59,987</w:t>
            </w:r>
          </w:p>
        </w:tc>
        <w:tc>
          <w:tcPr>
            <w:tcW w:w="200" w:type="dxa"/>
            <w:vAlign w:val="bottom"/>
          </w:tcPr>
          <w:p>
            <w:pPr>
              <w:spacing w:after="0"/>
              <w:rPr>
                <w:sz w:val="17"/>
                <w:szCs w:val="17"/>
                <w:color w:val="auto"/>
              </w:rPr>
            </w:pPr>
          </w:p>
        </w:tc>
      </w:tr>
      <w:tr>
        <w:trPr>
          <w:trHeight w:val="236"/>
        </w:trPr>
        <w:tc>
          <w:tcPr>
            <w:tcW w:w="5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dilutive restricted common stock</w:t>
            </w:r>
          </w:p>
        </w:tc>
        <w:tc>
          <w:tcPr>
            <w:tcW w:w="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588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diluted EPS</w:t>
            </w:r>
          </w:p>
        </w:tc>
        <w:tc>
          <w:tcPr>
            <w:tcW w:w="5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60,973</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60,015</w:t>
            </w:r>
          </w:p>
        </w:tc>
        <w:tc>
          <w:tcPr>
            <w:tcW w:w="200" w:type="dxa"/>
            <w:vAlign w:val="bottom"/>
            <w:tcBorders>
              <w:bottom w:val="single" w:sz="8" w:color="CCEEFF"/>
            </w:tcBorders>
          </w:tcPr>
          <w:p>
            <w:pPr>
              <w:spacing w:after="0"/>
              <w:rPr>
                <w:sz w:val="21"/>
                <w:szCs w:val="21"/>
                <w:color w:val="auto"/>
              </w:rPr>
            </w:pPr>
          </w:p>
        </w:tc>
      </w:tr>
      <w:tr>
        <w:trPr>
          <w:trHeight w:val="197"/>
        </w:trPr>
        <w:tc>
          <w:tcPr>
            <w:tcW w:w="5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earnings per share:</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18"/>
                <w:szCs w:val="18"/>
                <w:color w:val="auto"/>
              </w:rPr>
            </w:pPr>
          </w:p>
        </w:tc>
      </w:tr>
      <w:tr>
        <w:trPr>
          <w:trHeight w:val="216"/>
        </w:trPr>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CEEFF"/>
          </w:tcPr>
          <w:p>
            <w:pPr>
              <w:spacing w:after="0"/>
              <w:rPr>
                <w:sz w:val="18"/>
                <w:szCs w:val="18"/>
                <w:color w:val="auto"/>
              </w:rPr>
            </w:pPr>
          </w:p>
        </w:tc>
      </w:tr>
    </w:tbl>
    <w:p>
      <w:pPr>
        <w:spacing w:after="0" w:line="207" w:lineRule="exact"/>
        <w:rPr>
          <w:sz w:val="20"/>
          <w:szCs w:val="20"/>
          <w:color w:val="auto"/>
        </w:rPr>
      </w:pPr>
    </w:p>
    <w:p>
      <w:pPr>
        <w:ind w:left="540" w:hanging="490"/>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CONTINGENCIES, AND GUARANTEES</w:t>
      </w:r>
    </w:p>
    <w:p>
      <w:pPr>
        <w:spacing w:after="0" w:line="229"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62"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In addition, on March 26, 2022,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76"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On March 26, 2022, we had outstanding purchase commitments on commenced capital projects of approximately $68.7 million.</w:t>
      </w:r>
    </w:p>
    <w:p>
      <w:pPr>
        <w:spacing w:after="0" w:line="162"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We provide a variety of warranties for products we manufacture. Historically, warranty claims have not been material. We also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3"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March 26, 2022, we had approximately $30.0 million in outstanding payment and performance bonds for open projects. We had approximately $11.1 million in payment and performance bonds outstanding for completed projects which are still under warranty.</w:t>
      </w:r>
    </w:p>
    <w:p>
      <w:pPr>
        <w:spacing w:after="0" w:line="189"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On March 26, 2022, we had outstanding letters of credit totaling $51.7 million, primarily related to certain insurance contracts and industrial development revenue bonds described further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In lieu of cash deposits, we provide irrevocable letters of credit in favor of our insurers to guarantee our performance under certain insurance contracts. As of March 26, 2022, we have irrevocable letters of credit outstanding totaling approximately $44.6 million for these types of insurance arrangements. We have reserves recorded on our balance sheet, in accrued liabilities, that reflect our expected future liabilities under these insurance arrangements.</w:t>
      </w:r>
    </w:p>
    <w:p>
      <w:pPr>
        <w:spacing w:after="0" w:line="180" w:lineRule="exact"/>
        <w:rPr>
          <w:sz w:val="20"/>
          <w:szCs w:val="20"/>
          <w:color w:val="auto"/>
        </w:rPr>
      </w:pPr>
    </w:p>
    <w:p>
      <w:pPr>
        <w:jc w:val="both"/>
        <w:ind w:left="60" w:right="79" w:firstLine="492"/>
        <w:spacing w:after="0" w:line="258" w:lineRule="auto"/>
        <w:rPr>
          <w:sz w:val="20"/>
          <w:szCs w:val="20"/>
          <w:color w:val="auto"/>
        </w:rPr>
      </w:pPr>
      <w:r>
        <w:rPr>
          <w:rFonts w:ascii="Times New Roman" w:cs="Times New Roman" w:eastAsia="Times New Roman" w:hAnsi="Times New Roman"/>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$7.1 million related to our outstanding industrial development revenue bonds. These letters of credit have varying terms but may be renewed at the option of the issuing banks.</w:t>
      </w:r>
    </w:p>
    <w:p>
      <w:pPr>
        <w:spacing w:after="0" w:line="183"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Certain wholly owned domestic subsidiaries have guaranteed the indebtedness of UFP Industries, Inc. in certain debt agreements, including the Series 2012,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0"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did not enter into any new guarantee arrangements during the first quarter of 2022 which would require us to recognize a liability on our balance sheet.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500" w:hanging="450"/>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We completed the following acquisitions in fiscal 2022 and since the end of March 2021, which were accounted for using the purchase method. Dollars below are in thousands unless otherwise noted:</w:t>
      </w:r>
    </w:p>
    <w:p>
      <w:pPr>
        <w:spacing w:after="0" w:line="173" w:lineRule="exact"/>
        <w:rPr>
          <w:sz w:val="20"/>
          <w:szCs w:val="20"/>
          <w:color w:val="auto"/>
        </w:rPr>
      </w:pPr>
    </w:p>
    <w:tbl>
      <w:tblPr>
        <w:tblLayout w:type="fixed"/>
        <w:tblInd w:w="50" w:type="dxa"/>
        <w:tblCellMar>
          <w:top w:w="0" w:type="dxa"/>
          <w:left w:w="0" w:type="dxa"/>
          <w:bottom w:w="0" w:type="dxa"/>
          <w:right w:w="0" w:type="dxa"/>
        </w:tblCellMar>
      </w:tblPr>
      <w:tr>
        <w:trPr>
          <w:trHeight w:val="200"/>
        </w:trPr>
        <w:tc>
          <w:tcPr>
            <w:tcW w:w="2560" w:type="dxa"/>
            <w:vAlign w:val="bottom"/>
            <w:tcBorders>
              <w:top w:val="single" w:sz="8" w:color="auto"/>
              <w:left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Net</w:t>
            </w:r>
          </w:p>
        </w:tc>
        <w:tc>
          <w:tcPr>
            <w:tcW w:w="8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17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Intangible</w:t>
            </w:r>
          </w:p>
        </w:tc>
        <w:tc>
          <w:tcPr>
            <w:tcW w:w="160" w:type="dxa"/>
            <w:vAlign w:val="bottom"/>
          </w:tcPr>
          <w:p>
            <w:pPr>
              <w:spacing w:after="0"/>
              <w:rPr>
                <w:sz w:val="17"/>
                <w:szCs w:val="17"/>
                <w:color w:val="auto"/>
              </w:rPr>
            </w:pPr>
          </w:p>
        </w:tc>
        <w:tc>
          <w:tcPr>
            <w:tcW w:w="980" w:type="dxa"/>
            <w:vAlign w:val="bottom"/>
            <w:tcBorders>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Tangible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0" w:type="dxa"/>
            <w:vAlign w:val="bottom"/>
          </w:tcPr>
          <w:p>
            <w:pPr>
              <w:spacing w:after="0"/>
              <w:rPr>
                <w:sz w:val="1"/>
                <w:szCs w:val="1"/>
                <w:color w:val="auto"/>
              </w:rPr>
            </w:pPr>
          </w:p>
        </w:tc>
      </w:tr>
      <w:tr>
        <w:trPr>
          <w:trHeight w:val="225"/>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 Price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$24,571</w:t>
            </w:r>
          </w:p>
        </w:tc>
        <w:tc>
          <w:tcPr>
            <w:tcW w:w="12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6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560" w:type="dxa"/>
            <w:vAlign w:val="bottom"/>
            <w:tcBorders>
              <w:left w:val="single" w:sz="8" w:color="auto"/>
              <w:right w:val="single" w:sz="8" w:color="auto"/>
            </w:tcBorders>
            <w:shd w:val="clear" w:color="auto" w:fill="CCEBFF"/>
          </w:tcPr>
          <w:p>
            <w:pPr>
              <w:spacing w:after="0"/>
              <w:rPr>
                <w:sz w:val="22"/>
                <w:szCs w:val="22"/>
                <w:color w:val="auto"/>
              </w:rPr>
            </w:pPr>
          </w:p>
        </w:tc>
        <w:tc>
          <w:tcPr>
            <w:tcW w:w="14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December 27, 2021</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stock</w:t>
            </w:r>
          </w:p>
        </w:tc>
        <w:tc>
          <w:tcPr>
            <w:tcW w:w="120" w:type="dxa"/>
            <w:vAlign w:val="bottom"/>
            <w:shd w:val="clear" w:color="auto" w:fill="CCEB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15,959</w:t>
            </w:r>
          </w:p>
        </w:tc>
        <w:tc>
          <w:tcPr>
            <w:tcW w:w="1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8,612</w:t>
            </w:r>
          </w:p>
        </w:tc>
        <w:tc>
          <w:tcPr>
            <w:tcW w:w="8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Retail</w:t>
            </w:r>
          </w:p>
        </w:tc>
        <w:tc>
          <w:tcPr>
            <w:tcW w:w="0" w:type="dxa"/>
            <w:vAlign w:val="bottom"/>
          </w:tcPr>
          <w:p>
            <w:pPr>
              <w:spacing w:after="0"/>
              <w:rPr>
                <w:sz w:val="1"/>
                <w:szCs w:val="1"/>
                <w:color w:val="auto"/>
              </w:rPr>
            </w:pPr>
          </w:p>
        </w:tc>
      </w:tr>
      <w:tr>
        <w:trPr>
          <w:trHeight w:val="148"/>
        </w:trPr>
        <w:tc>
          <w:tcPr>
            <w:tcW w:w="2560" w:type="dxa"/>
            <w:vAlign w:val="bottom"/>
            <w:tcBorders>
              <w:left w:val="single" w:sz="8" w:color="auto"/>
              <w:right w:val="single" w:sz="8" w:color="auto"/>
            </w:tcBorders>
            <w:shd w:val="clear" w:color="auto" w:fill="CCEBFF"/>
          </w:tcPr>
          <w:p>
            <w:pPr>
              <w:spacing w:after="0"/>
              <w:rPr>
                <w:sz w:val="12"/>
                <w:szCs w:val="12"/>
                <w:color w:val="auto"/>
              </w:rPr>
            </w:pPr>
          </w:p>
        </w:tc>
        <w:tc>
          <w:tcPr>
            <w:tcW w:w="1460" w:type="dxa"/>
            <w:vAlign w:val="bottom"/>
            <w:tcBorders>
              <w:right w:val="single" w:sz="8" w:color="auto"/>
            </w:tcBorders>
            <w:shd w:val="clear" w:color="auto" w:fill="CCEBFF"/>
          </w:tcPr>
          <w:p>
            <w:pPr>
              <w:spacing w:after="0"/>
              <w:rPr>
                <w:sz w:val="12"/>
                <w:szCs w:val="12"/>
                <w:color w:val="auto"/>
              </w:rPr>
            </w:pPr>
          </w:p>
        </w:tc>
        <w:tc>
          <w:tcPr>
            <w:tcW w:w="1760" w:type="dxa"/>
            <w:vAlign w:val="bottom"/>
            <w:tcBorders>
              <w:right w:val="single" w:sz="8" w:color="auto"/>
            </w:tcBorders>
            <w:shd w:val="clear" w:color="auto" w:fill="CCEBFF"/>
          </w:tcPr>
          <w:p>
            <w:pPr>
              <w:jc w:val="center"/>
              <w:spacing w:after="0" w:line="148" w:lineRule="exact"/>
              <w:rPr>
                <w:sz w:val="20"/>
                <w:szCs w:val="20"/>
                <w:color w:val="auto"/>
              </w:rPr>
            </w:pPr>
            <w:r>
              <w:rPr>
                <w:rFonts w:ascii="Times New Roman" w:cs="Times New Roman" w:eastAsia="Times New Roman" w:hAnsi="Times New Roman"/>
                <w:sz w:val="16"/>
                <w:szCs w:val="16"/>
                <w:color w:val="auto"/>
              </w:rPr>
              <w:t>purchase, net of acquired</w:t>
            </w:r>
          </w:p>
        </w:tc>
        <w:tc>
          <w:tcPr>
            <w:tcW w:w="120" w:type="dxa"/>
            <w:vAlign w:val="bottom"/>
            <w:shd w:val="clear" w:color="auto" w:fill="CCEBFF"/>
          </w:tcPr>
          <w:p>
            <w:pPr>
              <w:spacing w:after="0"/>
              <w:rPr>
                <w:sz w:val="12"/>
                <w:szCs w:val="12"/>
                <w:color w:val="auto"/>
              </w:rPr>
            </w:pPr>
          </w:p>
        </w:tc>
        <w:tc>
          <w:tcPr>
            <w:tcW w:w="1020" w:type="dxa"/>
            <w:vAlign w:val="bottom"/>
            <w:tcBorders>
              <w:right w:val="single" w:sz="8" w:color="auto"/>
            </w:tcBorders>
            <w:shd w:val="clear" w:color="auto" w:fill="CCEBFF"/>
          </w:tcPr>
          <w:p>
            <w:pPr>
              <w:spacing w:after="0"/>
              <w:rPr>
                <w:sz w:val="12"/>
                <w:szCs w:val="12"/>
                <w:color w:val="auto"/>
              </w:rPr>
            </w:pPr>
          </w:p>
        </w:tc>
        <w:tc>
          <w:tcPr>
            <w:tcW w:w="160" w:type="dxa"/>
            <w:vAlign w:val="bottom"/>
            <w:shd w:val="clear" w:color="auto" w:fill="CCEBFF"/>
          </w:tcPr>
          <w:p>
            <w:pPr>
              <w:spacing w:after="0"/>
              <w:rPr>
                <w:sz w:val="12"/>
                <w:szCs w:val="12"/>
                <w:color w:val="auto"/>
              </w:rPr>
            </w:pPr>
          </w:p>
        </w:tc>
        <w:tc>
          <w:tcPr>
            <w:tcW w:w="980" w:type="dxa"/>
            <w:vAlign w:val="bottom"/>
            <w:tcBorders>
              <w:right w:val="single" w:sz="8" w:color="auto"/>
            </w:tcBorders>
            <w:shd w:val="clear" w:color="auto" w:fill="CCEBFF"/>
          </w:tcPr>
          <w:p>
            <w:pPr>
              <w:spacing w:after="0"/>
              <w:rPr>
                <w:sz w:val="12"/>
                <w:szCs w:val="12"/>
                <w:color w:val="auto"/>
              </w:rPr>
            </w:pPr>
          </w:p>
        </w:tc>
        <w:tc>
          <w:tcPr>
            <w:tcW w:w="860" w:type="dxa"/>
            <w:vAlign w:val="bottom"/>
            <w:tcBorders>
              <w:right w:val="single" w:sz="8" w:color="auto"/>
            </w:tcBorders>
            <w:shd w:val="clear" w:color="auto" w:fill="CCEB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56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Ultra Aluminum Manufacturing, Inc.</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w:t>
            </w:r>
          </w:p>
        </w:tc>
        <w:tc>
          <w:tcPr>
            <w:tcW w:w="12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560" w:type="dxa"/>
            <w:vAlign w:val="bottom"/>
            <w:tcBorders>
              <w:left w:val="single" w:sz="8" w:color="auto"/>
              <w:right w:val="single" w:sz="8" w:color="auto"/>
            </w:tcBorders>
            <w:vMerge w:val="continue"/>
            <w:shd w:val="clear" w:color="auto" w:fill="CCEBFF"/>
          </w:tcPr>
          <w:p>
            <w:pPr>
              <w:spacing w:after="0"/>
              <w:rPr>
                <w:sz w:val="14"/>
                <w:szCs w:val="14"/>
                <w:color w:val="auto"/>
              </w:rPr>
            </w:pPr>
          </w:p>
        </w:tc>
        <w:tc>
          <w:tcPr>
            <w:tcW w:w="6360" w:type="dxa"/>
            <w:vAlign w:val="bottom"/>
            <w:tcBorders>
              <w:right w:val="single" w:sz="8" w:color="auto"/>
            </w:tcBorders>
            <w:gridSpan w:val="7"/>
            <w:shd w:val="clear" w:color="auto" w:fill="CCEBFF"/>
          </w:tcPr>
          <w:p>
            <w:pPr>
              <w:spacing w:after="0" w:line="171" w:lineRule="exact"/>
              <w:rPr>
                <w:sz w:val="20"/>
                <w:szCs w:val="20"/>
                <w:color w:val="auto"/>
              </w:rPr>
            </w:pPr>
            <w:r>
              <w:rPr>
                <w:rFonts w:ascii="Times New Roman" w:cs="Times New Roman" w:eastAsia="Times New Roman" w:hAnsi="Times New Roman"/>
                <w:sz w:val="16"/>
                <w:szCs w:val="16"/>
                <w:color w:val="auto"/>
              </w:rPr>
              <w:t>Located in Howell, Michigan and founded in 1996, Ultra is a leading manufacturer of aluminum</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(Ultra)</w:t>
            </w: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fencing, gates and railing. The company designs and produces an extensive selection of</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ornamental aluminum fence and railing products for contractors, landscapers, fence dealers and</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5500" w:type="dxa"/>
            <w:vAlign w:val="bottom"/>
            <w:tcBorders>
              <w:bottom w:val="single" w:sz="8" w:color="auto"/>
              <w:right w:val="single" w:sz="8" w:color="CCEBFF"/>
            </w:tcBorders>
            <w:gridSpan w:val="6"/>
            <w:shd w:val="clear" w:color="auto" w:fill="CCEBFF"/>
          </w:tcPr>
          <w:p>
            <w:pPr>
              <w:spacing w:after="0"/>
              <w:rPr>
                <w:sz w:val="20"/>
                <w:szCs w:val="20"/>
                <w:color w:val="auto"/>
              </w:rPr>
            </w:pPr>
            <w:r>
              <w:rPr>
                <w:rFonts w:ascii="Times New Roman" w:cs="Times New Roman" w:eastAsia="Times New Roman" w:hAnsi="Times New Roman"/>
                <w:sz w:val="16"/>
                <w:szCs w:val="16"/>
                <w:color w:val="auto"/>
              </w:rPr>
              <w:t>wholesalers. The Company had sales of approximately $45 million in 2021.</w:t>
            </w:r>
          </w:p>
        </w:tc>
        <w:tc>
          <w:tcPr>
            <w:tcW w:w="8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$20,817</w:t>
            </w:r>
          </w:p>
        </w:tc>
        <w:tc>
          <w:tcPr>
            <w:tcW w:w="12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20, 2021</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cash paid for 100% stock</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9,337</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Industrial</w:t>
            </w:r>
          </w:p>
        </w:tc>
        <w:tc>
          <w:tcPr>
            <w:tcW w:w="0" w:type="dxa"/>
            <w:vAlign w:val="bottom"/>
          </w:tcPr>
          <w:p>
            <w:pPr>
              <w:spacing w:after="0"/>
              <w:rPr>
                <w:sz w:val="1"/>
                <w:szCs w:val="1"/>
                <w:color w:val="auto"/>
              </w:rPr>
            </w:pPr>
          </w:p>
        </w:tc>
      </w:tr>
      <w:tr>
        <w:trPr>
          <w:trHeight w:val="213"/>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Advantage Labels &amp; Packaging, Inc.</w:t>
            </w:r>
          </w:p>
        </w:tc>
        <w:tc>
          <w:tcPr>
            <w:tcW w:w="14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560" w:type="dxa"/>
            <w:vAlign w:val="bottom"/>
            <w:tcBorders>
              <w:left w:val="single" w:sz="8" w:color="auto"/>
              <w:right w:val="single" w:sz="8" w:color="auto"/>
            </w:tcBorders>
            <w:vMerge w:val="continue"/>
          </w:tcPr>
          <w:p>
            <w:pPr>
              <w:spacing w:after="0"/>
              <w:rPr>
                <w:sz w:val="14"/>
                <w:szCs w:val="14"/>
                <w:color w:val="auto"/>
              </w:rPr>
            </w:pPr>
          </w:p>
        </w:tc>
        <w:tc>
          <w:tcPr>
            <w:tcW w:w="6360" w:type="dxa"/>
            <w:vAlign w:val="bottom"/>
            <w:tcBorders>
              <w:right w:val="single" w:sz="8" w:color="auto"/>
            </w:tcBorders>
            <w:gridSpan w:val="7"/>
          </w:tcPr>
          <w:p>
            <w:pPr>
              <w:spacing w:after="0" w:line="171" w:lineRule="exact"/>
              <w:rPr>
                <w:sz w:val="20"/>
                <w:szCs w:val="20"/>
                <w:color w:val="auto"/>
              </w:rPr>
            </w:pPr>
            <w:r>
              <w:rPr>
                <w:rFonts w:ascii="Times New Roman" w:cs="Times New Roman" w:eastAsia="Times New Roman" w:hAnsi="Times New Roman"/>
                <w:sz w:val="16"/>
                <w:szCs w:val="16"/>
                <w:color w:val="auto"/>
              </w:rPr>
              <w:t>Based in Grand Rapids, Michigan, Advantage provides blank and customized labels, printers,</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(Advantage)</w:t>
            </w:r>
          </w:p>
        </w:tc>
        <w:tc>
          <w:tcPr>
            <w:tcW w:w="6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label applicators and other packaging supplies. Key industries served by the company include</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beer and beverage; body armor; food production and processing; greenhouse and nursery; hobby</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and craft; manufacturing; and automotive. The company had trailing 12-month sales through</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November 2021 of approximately $19.8 million.</w:t>
            </w: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$11,155</w:t>
            </w:r>
          </w:p>
        </w:tc>
        <w:tc>
          <w:tcPr>
            <w:tcW w:w="12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6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14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November 22, 2021</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70% stock</w:t>
            </w:r>
          </w:p>
        </w:tc>
        <w:tc>
          <w:tcPr>
            <w:tcW w:w="120" w:type="dxa"/>
            <w:vAlign w:val="bottom"/>
            <w:shd w:val="clear" w:color="auto" w:fill="CCEB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9,106</w:t>
            </w:r>
          </w:p>
        </w:tc>
        <w:tc>
          <w:tcPr>
            <w:tcW w:w="1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8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8"/>
              </w:rPr>
              <w:t>Other</w:t>
            </w:r>
          </w:p>
        </w:tc>
        <w:tc>
          <w:tcPr>
            <w:tcW w:w="0" w:type="dxa"/>
            <w:vAlign w:val="bottom"/>
          </w:tcPr>
          <w:p>
            <w:pPr>
              <w:spacing w:after="0"/>
              <w:rPr>
                <w:sz w:val="1"/>
                <w:szCs w:val="1"/>
                <w:color w:val="auto"/>
              </w:rPr>
            </w:pPr>
          </w:p>
        </w:tc>
      </w:tr>
      <w:tr>
        <w:trPr>
          <w:trHeight w:val="213"/>
        </w:trPr>
        <w:tc>
          <w:tcPr>
            <w:tcW w:w="256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Ficus Pax Private Limited (Ficus)</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56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Headquartered in Bangalore, India, Ficus manufactures mixed-material cases and crates, nail-less</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plywood boxes, wooden pallets and other packaging products through 10 facilities located in</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major industrial markets throughout southern India. Ficus also owns a majority stake in Wadpack,</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a manufacturer of corrugated fiber board containers, corrugated pallets and display solutions. The</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6360" w:type="dxa"/>
            <w:vAlign w:val="bottom"/>
            <w:tcBorders>
              <w:bottom w:val="single" w:sz="8" w:color="auto"/>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company had trailing 12-month sales through August 2021 of approximately $39 million USD.</w:t>
            </w: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$5,984</w:t>
            </w:r>
          </w:p>
        </w:tc>
        <w:tc>
          <w:tcPr>
            <w:tcW w:w="12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560" w:type="dxa"/>
            <w:vAlign w:val="bottom"/>
            <w:tcBorders>
              <w:left w:val="single" w:sz="8" w:color="auto"/>
              <w:right w:val="single" w:sz="8" w:color="auto"/>
            </w:tcBorders>
          </w:tcPr>
          <w:p>
            <w:pPr>
              <w:spacing w:after="0"/>
              <w:rPr>
                <w:sz w:val="22"/>
                <w:szCs w:val="22"/>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 2021</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Other</w:t>
            </w:r>
          </w:p>
        </w:tc>
        <w:tc>
          <w:tcPr>
            <w:tcW w:w="0" w:type="dxa"/>
            <w:vAlign w:val="bottom"/>
          </w:tcPr>
          <w:p>
            <w:pPr>
              <w:spacing w:after="0"/>
              <w:rPr>
                <w:sz w:val="1"/>
                <w:szCs w:val="1"/>
                <w:color w:val="auto"/>
              </w:rPr>
            </w:pPr>
          </w:p>
        </w:tc>
      </w:tr>
      <w:tr>
        <w:trPr>
          <w:trHeight w:val="148"/>
        </w:trPr>
        <w:tc>
          <w:tcPr>
            <w:tcW w:w="256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760" w:type="dxa"/>
            <w:vAlign w:val="bottom"/>
            <w:tcBorders>
              <w:right w:val="single" w:sz="8" w:color="auto"/>
            </w:tcBorders>
          </w:tcPr>
          <w:p>
            <w:pPr>
              <w:jc w:val="center"/>
              <w:spacing w:after="0" w:line="148" w:lineRule="exact"/>
              <w:rPr>
                <w:sz w:val="20"/>
                <w:szCs w:val="20"/>
                <w:color w:val="auto"/>
              </w:rPr>
            </w:pPr>
            <w:r>
              <w:rPr>
                <w:rFonts w:ascii="Times New Roman" w:cs="Times New Roman" w:eastAsia="Times New Roman" w:hAnsi="Times New Roman"/>
                <w:sz w:val="16"/>
                <w:szCs w:val="16"/>
                <w:color w:val="auto"/>
              </w:rPr>
              <w:t>purchase and estimated</w:t>
            </w:r>
          </w:p>
        </w:tc>
        <w:tc>
          <w:tcPr>
            <w:tcW w:w="1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Boxpack Packaging (Boxpack)</w:t>
            </w:r>
          </w:p>
        </w:tc>
        <w:tc>
          <w:tcPr>
            <w:tcW w:w="14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contingent consideration</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560" w:type="dxa"/>
            <w:vAlign w:val="bottom"/>
            <w:tcBorders>
              <w:left w:val="single" w:sz="8" w:color="auto"/>
              <w:right w:val="single" w:sz="8" w:color="auto"/>
            </w:tcBorders>
            <w:vMerge w:val="continue"/>
          </w:tcPr>
          <w:p>
            <w:pPr>
              <w:spacing w:after="0"/>
              <w:rPr>
                <w:sz w:val="16"/>
                <w:szCs w:val="16"/>
                <w:color w:val="auto"/>
              </w:rPr>
            </w:pPr>
          </w:p>
        </w:tc>
        <w:tc>
          <w:tcPr>
            <w:tcW w:w="6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Based near Melbourne, Australia, Boxpack specializes in flexographic and lithographic</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cardboard packaging, using the latest CAD design and finishing techniques. Boxpack serves</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multiple industries, including food and beverage, confectionary, pharmaceutical, industrial and</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agricultural. The company had trailing 12-month sales through June 30, 2021, of $8.2 million</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AUD.</w:t>
            </w:r>
          </w:p>
        </w:tc>
        <w:tc>
          <w:tcPr>
            <w:tcW w:w="1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$6,443</w:t>
            </w:r>
          </w:p>
        </w:tc>
        <w:tc>
          <w:tcPr>
            <w:tcW w:w="12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6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560" w:type="dxa"/>
            <w:vAlign w:val="bottom"/>
            <w:tcBorders>
              <w:left w:val="single" w:sz="8" w:color="auto"/>
              <w:right w:val="single" w:sz="8" w:color="auto"/>
            </w:tcBorders>
            <w:shd w:val="clear" w:color="auto" w:fill="CCEBFF"/>
          </w:tcPr>
          <w:p>
            <w:pPr>
              <w:spacing w:after="0"/>
              <w:rPr>
                <w:sz w:val="22"/>
                <w:szCs w:val="22"/>
                <w:color w:val="auto"/>
              </w:rPr>
            </w:pPr>
          </w:p>
        </w:tc>
        <w:tc>
          <w:tcPr>
            <w:tcW w:w="1460" w:type="dxa"/>
            <w:vAlign w:val="bottom"/>
            <w:tcBorders>
              <w:right w:val="single" w:sz="8" w:color="auto"/>
            </w:tcBorders>
            <w:shd w:val="clear" w:color="auto" w:fill="CCEBFF"/>
          </w:tcPr>
          <w:p>
            <w:pPr>
              <w:ind w:left="60"/>
              <w:spacing w:after="0"/>
              <w:rPr>
                <w:sz w:val="20"/>
                <w:szCs w:val="20"/>
                <w:color w:val="auto"/>
              </w:rPr>
            </w:pPr>
            <w:r>
              <w:rPr>
                <w:rFonts w:ascii="Times New Roman" w:cs="Times New Roman" w:eastAsia="Times New Roman" w:hAnsi="Times New Roman"/>
                <w:sz w:val="16"/>
                <w:szCs w:val="16"/>
                <w:color w:val="auto"/>
              </w:rPr>
              <w:t>September 27, 2021</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shd w:val="clear" w:color="auto" w:fill="CCEB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4,039</w:t>
            </w:r>
          </w:p>
        </w:tc>
        <w:tc>
          <w:tcPr>
            <w:tcW w:w="1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8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Construction</w:t>
            </w:r>
          </w:p>
        </w:tc>
        <w:tc>
          <w:tcPr>
            <w:tcW w:w="0" w:type="dxa"/>
            <w:vAlign w:val="bottom"/>
          </w:tcPr>
          <w:p>
            <w:pPr>
              <w:spacing w:after="0"/>
              <w:rPr>
                <w:sz w:val="1"/>
                <w:szCs w:val="1"/>
                <w:color w:val="auto"/>
              </w:rPr>
            </w:pPr>
          </w:p>
        </w:tc>
      </w:tr>
      <w:tr>
        <w:trPr>
          <w:trHeight w:val="148"/>
        </w:trPr>
        <w:tc>
          <w:tcPr>
            <w:tcW w:w="2560" w:type="dxa"/>
            <w:vAlign w:val="bottom"/>
            <w:tcBorders>
              <w:left w:val="single" w:sz="8" w:color="auto"/>
              <w:right w:val="single" w:sz="8" w:color="auto"/>
            </w:tcBorders>
            <w:shd w:val="clear" w:color="auto" w:fill="CCEBFF"/>
          </w:tcPr>
          <w:p>
            <w:pPr>
              <w:spacing w:after="0"/>
              <w:rPr>
                <w:sz w:val="12"/>
                <w:szCs w:val="12"/>
                <w:color w:val="auto"/>
              </w:rPr>
            </w:pPr>
          </w:p>
        </w:tc>
        <w:tc>
          <w:tcPr>
            <w:tcW w:w="1460" w:type="dxa"/>
            <w:vAlign w:val="bottom"/>
            <w:tcBorders>
              <w:right w:val="single" w:sz="8" w:color="auto"/>
            </w:tcBorders>
            <w:shd w:val="clear" w:color="auto" w:fill="CCEBFF"/>
          </w:tcPr>
          <w:p>
            <w:pPr>
              <w:spacing w:after="0"/>
              <w:rPr>
                <w:sz w:val="12"/>
                <w:szCs w:val="12"/>
                <w:color w:val="auto"/>
              </w:rPr>
            </w:pPr>
          </w:p>
        </w:tc>
        <w:tc>
          <w:tcPr>
            <w:tcW w:w="1760" w:type="dxa"/>
            <w:vAlign w:val="bottom"/>
            <w:tcBorders>
              <w:right w:val="single" w:sz="8" w:color="auto"/>
            </w:tcBorders>
            <w:shd w:val="clear" w:color="auto" w:fill="CCEBFF"/>
          </w:tcPr>
          <w:p>
            <w:pPr>
              <w:jc w:val="center"/>
              <w:spacing w:after="0" w:line="148" w:lineRule="exact"/>
              <w:rPr>
                <w:sz w:val="20"/>
                <w:szCs w:val="20"/>
                <w:color w:val="auto"/>
              </w:rPr>
            </w:pPr>
            <w:r>
              <w:rPr>
                <w:rFonts w:ascii="Times New Roman" w:cs="Times New Roman" w:eastAsia="Times New Roman" w:hAnsi="Times New Roman"/>
                <w:sz w:val="16"/>
                <w:szCs w:val="16"/>
                <w:color w:val="auto"/>
              </w:rPr>
              <w:t>purchase and estimated</w:t>
            </w:r>
          </w:p>
        </w:tc>
        <w:tc>
          <w:tcPr>
            <w:tcW w:w="120" w:type="dxa"/>
            <w:vAlign w:val="bottom"/>
            <w:shd w:val="clear" w:color="auto" w:fill="CCEBFF"/>
          </w:tcPr>
          <w:p>
            <w:pPr>
              <w:spacing w:after="0"/>
              <w:rPr>
                <w:sz w:val="12"/>
                <w:szCs w:val="12"/>
                <w:color w:val="auto"/>
              </w:rPr>
            </w:pPr>
          </w:p>
        </w:tc>
        <w:tc>
          <w:tcPr>
            <w:tcW w:w="1020" w:type="dxa"/>
            <w:vAlign w:val="bottom"/>
            <w:tcBorders>
              <w:right w:val="single" w:sz="8" w:color="auto"/>
            </w:tcBorders>
            <w:shd w:val="clear" w:color="auto" w:fill="CCEBFF"/>
          </w:tcPr>
          <w:p>
            <w:pPr>
              <w:spacing w:after="0"/>
              <w:rPr>
                <w:sz w:val="12"/>
                <w:szCs w:val="12"/>
                <w:color w:val="auto"/>
              </w:rPr>
            </w:pPr>
          </w:p>
        </w:tc>
        <w:tc>
          <w:tcPr>
            <w:tcW w:w="160" w:type="dxa"/>
            <w:vAlign w:val="bottom"/>
            <w:shd w:val="clear" w:color="auto" w:fill="CCEBFF"/>
          </w:tcPr>
          <w:p>
            <w:pPr>
              <w:spacing w:after="0"/>
              <w:rPr>
                <w:sz w:val="12"/>
                <w:szCs w:val="12"/>
                <w:color w:val="auto"/>
              </w:rPr>
            </w:pPr>
          </w:p>
        </w:tc>
        <w:tc>
          <w:tcPr>
            <w:tcW w:w="980" w:type="dxa"/>
            <w:vAlign w:val="bottom"/>
            <w:tcBorders>
              <w:right w:val="single" w:sz="8" w:color="auto"/>
            </w:tcBorders>
            <w:shd w:val="clear" w:color="auto" w:fill="CCEBFF"/>
          </w:tcPr>
          <w:p>
            <w:pPr>
              <w:spacing w:after="0"/>
              <w:rPr>
                <w:sz w:val="12"/>
                <w:szCs w:val="12"/>
                <w:color w:val="auto"/>
              </w:rPr>
            </w:pPr>
          </w:p>
        </w:tc>
        <w:tc>
          <w:tcPr>
            <w:tcW w:w="860" w:type="dxa"/>
            <w:vAlign w:val="bottom"/>
            <w:tcBorders>
              <w:right w:val="single" w:sz="8" w:color="auto"/>
            </w:tcBorders>
            <w:shd w:val="clear" w:color="auto" w:fill="CCEB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56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Shelter Products, Inc. (Shelter)</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contingent consideration</w:t>
            </w:r>
          </w:p>
        </w:tc>
        <w:tc>
          <w:tcPr>
            <w:tcW w:w="12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56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Based in Haleyville, Alabama, Shelter operates its distribution and logistics business from an</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87,800 sq.-ft. warehouse that specializes in manufactured housing industry customers. Shelter’s</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facility is adjacent to a UFP manufacturing facility that supplies trusses to manufactured housing</w:t>
            </w:r>
          </w:p>
        </w:tc>
        <w:tc>
          <w:tcPr>
            <w:tcW w:w="0" w:type="dxa"/>
            <w:vAlign w:val="bottom"/>
          </w:tcPr>
          <w:p>
            <w:pPr>
              <w:spacing w:after="0"/>
              <w:rPr>
                <w:sz w:val="1"/>
                <w:szCs w:val="1"/>
                <w:color w:val="auto"/>
              </w:rPr>
            </w:pPr>
          </w:p>
        </w:tc>
      </w:tr>
      <w:tr>
        <w:trPr>
          <w:trHeight w:val="202"/>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builders, and the proximity will enable additional operational synergies. The Company had sales</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340" w:type="dxa"/>
            <w:vAlign w:val="bottom"/>
            <w:tcBorders>
              <w:bottom w:val="single" w:sz="8" w:color="auto"/>
            </w:tcBorders>
            <w:gridSpan w:val="3"/>
            <w:shd w:val="clear" w:color="auto" w:fill="CCEBFF"/>
          </w:tcPr>
          <w:p>
            <w:pPr>
              <w:spacing w:after="0"/>
              <w:rPr>
                <w:sz w:val="20"/>
                <w:szCs w:val="20"/>
                <w:color w:val="auto"/>
              </w:rPr>
            </w:pPr>
            <w:r>
              <w:rPr>
                <w:rFonts w:ascii="Times New Roman" w:cs="Times New Roman" w:eastAsia="Times New Roman" w:hAnsi="Times New Roman"/>
                <w:sz w:val="16"/>
                <w:szCs w:val="16"/>
                <w:color w:val="auto"/>
              </w:rPr>
              <w:t>of approximately $11.4 million in 2020.</w:t>
            </w:r>
          </w:p>
        </w:tc>
        <w:tc>
          <w:tcPr>
            <w:tcW w:w="1020" w:type="dxa"/>
            <w:vAlign w:val="bottom"/>
            <w:tcBorders>
              <w:bottom w:val="single" w:sz="8" w:color="auto"/>
              <w:right w:val="single" w:sz="8" w:color="CCEBFF"/>
            </w:tcBorders>
            <w:shd w:val="clear" w:color="auto" w:fill="CCEBFF"/>
          </w:tcPr>
          <w:p>
            <w:pPr>
              <w:spacing w:after="0"/>
              <w:rPr>
                <w:sz w:val="19"/>
                <w:szCs w:val="19"/>
                <w:color w:val="auto"/>
              </w:rPr>
            </w:pPr>
          </w:p>
        </w:tc>
        <w:tc>
          <w:tcPr>
            <w:tcW w:w="160" w:type="dxa"/>
            <w:vAlign w:val="bottom"/>
            <w:tcBorders>
              <w:bottom w:val="single" w:sz="8" w:color="auto"/>
            </w:tcBorders>
            <w:shd w:val="clear" w:color="auto" w:fill="CCEBFF"/>
          </w:tcPr>
          <w:p>
            <w:pPr>
              <w:spacing w:after="0"/>
              <w:rPr>
                <w:sz w:val="19"/>
                <w:szCs w:val="19"/>
                <w:color w:val="auto"/>
              </w:rPr>
            </w:pP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8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230" w:lineRule="exact"/>
        <w:rPr>
          <w:sz w:val="20"/>
          <w:szCs w:val="20"/>
          <w:color w:val="auto"/>
        </w:rPr>
      </w:pPr>
    </w:p>
    <w:tbl>
      <w:tblPr>
        <w:tblLayout w:type="fixed"/>
        <w:tblInd w:w="50" w:type="dxa"/>
        <w:tblCellMar>
          <w:top w:w="0" w:type="dxa"/>
          <w:left w:w="0" w:type="dxa"/>
          <w:bottom w:w="0" w:type="dxa"/>
          <w:right w:w="0" w:type="dxa"/>
        </w:tblCellMar>
      </w:tblPr>
      <w:tr>
        <w:trPr>
          <w:trHeight w:val="214"/>
        </w:trPr>
        <w:tc>
          <w:tcPr>
            <w:tcW w:w="2560" w:type="dxa"/>
            <w:vAlign w:val="bottom"/>
            <w:tcBorders>
              <w:top w:val="single" w:sz="8" w:color="auto"/>
              <w:left w:val="single" w:sz="8" w:color="auto"/>
              <w:right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spacing w:after="0"/>
              <w:rPr>
                <w:sz w:val="18"/>
                <w:szCs w:val="18"/>
                <w:color w:val="auto"/>
              </w:rPr>
            </w:pPr>
          </w:p>
        </w:tc>
        <w:tc>
          <w:tcPr>
            <w:tcW w:w="176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Net</w:t>
            </w:r>
          </w:p>
        </w:tc>
        <w:tc>
          <w:tcPr>
            <w:tcW w:w="8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7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Intangible</w:t>
            </w:r>
          </w:p>
        </w:tc>
        <w:tc>
          <w:tcPr>
            <w:tcW w:w="160" w:type="dxa"/>
            <w:vAlign w:val="bottom"/>
          </w:tcPr>
          <w:p>
            <w:pPr>
              <w:spacing w:after="0"/>
              <w:rPr>
                <w:sz w:val="17"/>
                <w:szCs w:val="17"/>
                <w:color w:val="auto"/>
              </w:rPr>
            </w:pPr>
          </w:p>
        </w:tc>
        <w:tc>
          <w:tcPr>
            <w:tcW w:w="980" w:type="dxa"/>
            <w:vAlign w:val="bottom"/>
            <w:tcBorders>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Tangible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0" w:type="dxa"/>
            <w:vAlign w:val="bottom"/>
          </w:tcPr>
          <w:p>
            <w:pPr>
              <w:spacing w:after="0"/>
              <w:rPr>
                <w:sz w:val="1"/>
                <w:szCs w:val="1"/>
                <w:color w:val="auto"/>
              </w:rPr>
            </w:pPr>
          </w:p>
        </w:tc>
      </w:tr>
      <w:tr>
        <w:trPr>
          <w:trHeight w:val="225"/>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46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 Price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$10,129</w:t>
            </w:r>
          </w:p>
        </w:tc>
        <w:tc>
          <w:tcPr>
            <w:tcW w:w="12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6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1460" w:type="dxa"/>
            <w:vAlign w:val="bottom"/>
            <w:tcBorders>
              <w:right w:val="single" w:sz="8" w:color="auto"/>
            </w:tcBorders>
            <w:shd w:val="clear" w:color="auto" w:fill="CCEBFF"/>
          </w:tcPr>
          <w:p>
            <w:pPr>
              <w:ind w:left="240"/>
              <w:spacing w:after="0"/>
              <w:rPr>
                <w:sz w:val="20"/>
                <w:szCs w:val="20"/>
                <w:color w:val="auto"/>
              </w:rPr>
            </w:pPr>
            <w:r>
              <w:rPr>
                <w:rFonts w:ascii="Times New Roman" w:cs="Times New Roman" w:eastAsia="Times New Roman" w:hAnsi="Times New Roman"/>
                <w:sz w:val="16"/>
                <w:szCs w:val="16"/>
                <w:color w:val="auto"/>
              </w:rPr>
              <w:t>April 29, 2021</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shd w:val="clear" w:color="auto" w:fill="CCEB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7,099</w:t>
            </w:r>
          </w:p>
        </w:tc>
        <w:tc>
          <w:tcPr>
            <w:tcW w:w="1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8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Construction</w:t>
            </w:r>
          </w:p>
        </w:tc>
        <w:tc>
          <w:tcPr>
            <w:tcW w:w="0" w:type="dxa"/>
            <w:vAlign w:val="bottom"/>
          </w:tcPr>
          <w:p>
            <w:pPr>
              <w:spacing w:after="0"/>
              <w:rPr>
                <w:sz w:val="1"/>
                <w:szCs w:val="1"/>
                <w:color w:val="auto"/>
              </w:rPr>
            </w:pPr>
          </w:p>
        </w:tc>
      </w:tr>
      <w:tr>
        <w:trPr>
          <w:trHeight w:val="213"/>
        </w:trPr>
        <w:tc>
          <w:tcPr>
            <w:tcW w:w="256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Endurable Building Products, LLC</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560" w:type="dxa"/>
            <w:vAlign w:val="bottom"/>
            <w:tcBorders>
              <w:left w:val="single" w:sz="8" w:color="auto"/>
              <w:right w:val="single" w:sz="8" w:color="auto"/>
            </w:tcBorders>
            <w:vMerge w:val="continue"/>
            <w:shd w:val="clear" w:color="auto" w:fill="CCEBFF"/>
          </w:tcPr>
          <w:p>
            <w:pPr>
              <w:spacing w:after="0"/>
              <w:rPr>
                <w:sz w:val="14"/>
                <w:szCs w:val="14"/>
                <w:color w:val="auto"/>
              </w:rPr>
            </w:pPr>
          </w:p>
        </w:tc>
        <w:tc>
          <w:tcPr>
            <w:tcW w:w="6360" w:type="dxa"/>
            <w:vAlign w:val="bottom"/>
            <w:tcBorders>
              <w:right w:val="single" w:sz="8" w:color="auto"/>
            </w:tcBorders>
            <w:gridSpan w:val="7"/>
            <w:shd w:val="clear" w:color="auto" w:fill="CCEBFF"/>
          </w:tcPr>
          <w:p>
            <w:pPr>
              <w:spacing w:after="0" w:line="171" w:lineRule="exact"/>
              <w:rPr>
                <w:sz w:val="20"/>
                <w:szCs w:val="20"/>
                <w:color w:val="auto"/>
              </w:rPr>
            </w:pPr>
            <w:r>
              <w:rPr>
                <w:rFonts w:ascii="Times New Roman" w:cs="Times New Roman" w:eastAsia="Times New Roman" w:hAnsi="Times New Roman"/>
                <w:sz w:val="16"/>
                <w:szCs w:val="16"/>
                <w:color w:val="auto"/>
              </w:rPr>
              <w:t>Based near Minneapolis, Minnesota, Endurable is a leading manufacturer of customized</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(Endurable)</w:t>
            </w: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structural aluminum systems and products for exterior purposes, such as deck framing, balconies,</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sunshades, railings and stairs. The company’s trademarked alumiLAST aluminum deck and</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balcony systems are known for their low-maintenance design and ease of installation. Endurable</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serves general contractors in the multifamily market throughout the U.S. and had sales of</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340" w:type="dxa"/>
            <w:vAlign w:val="bottom"/>
            <w:tcBorders>
              <w:bottom w:val="single" w:sz="8" w:color="auto"/>
            </w:tcBorders>
            <w:gridSpan w:val="3"/>
            <w:shd w:val="clear" w:color="auto" w:fill="CCEBFF"/>
          </w:tcPr>
          <w:p>
            <w:pPr>
              <w:spacing w:after="0"/>
              <w:rPr>
                <w:sz w:val="20"/>
                <w:szCs w:val="20"/>
                <w:color w:val="auto"/>
              </w:rPr>
            </w:pPr>
            <w:r>
              <w:rPr>
                <w:rFonts w:ascii="Times New Roman" w:cs="Times New Roman" w:eastAsia="Times New Roman" w:hAnsi="Times New Roman"/>
                <w:sz w:val="16"/>
                <w:szCs w:val="16"/>
                <w:color w:val="auto"/>
              </w:rPr>
              <w:t>approximately $15 million in 2020.</w:t>
            </w:r>
          </w:p>
        </w:tc>
        <w:tc>
          <w:tcPr>
            <w:tcW w:w="1020" w:type="dxa"/>
            <w:vAlign w:val="bottom"/>
            <w:tcBorders>
              <w:bottom w:val="single" w:sz="8" w:color="auto"/>
              <w:right w:val="single" w:sz="8" w:color="CCEBFF"/>
            </w:tcBorders>
            <w:shd w:val="clear" w:color="auto" w:fill="CCEBFF"/>
          </w:tcPr>
          <w:p>
            <w:pPr>
              <w:spacing w:after="0"/>
              <w:rPr>
                <w:sz w:val="19"/>
                <w:szCs w:val="19"/>
                <w:color w:val="auto"/>
              </w:rPr>
            </w:pPr>
          </w:p>
        </w:tc>
        <w:tc>
          <w:tcPr>
            <w:tcW w:w="160" w:type="dxa"/>
            <w:vAlign w:val="bottom"/>
            <w:tcBorders>
              <w:bottom w:val="single" w:sz="8" w:color="auto"/>
            </w:tcBorders>
            <w:shd w:val="clear" w:color="auto" w:fill="CCEBFF"/>
          </w:tcPr>
          <w:p>
            <w:pPr>
              <w:spacing w:after="0"/>
              <w:rPr>
                <w:sz w:val="19"/>
                <w:szCs w:val="19"/>
                <w:color w:val="auto"/>
              </w:rPr>
            </w:pP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8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$8,549</w:t>
            </w:r>
          </w:p>
        </w:tc>
        <w:tc>
          <w:tcPr>
            <w:tcW w:w="12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14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April 19, 2021</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7,023</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Retail</w:t>
            </w:r>
          </w:p>
        </w:tc>
        <w:tc>
          <w:tcPr>
            <w:tcW w:w="0" w:type="dxa"/>
            <w:vAlign w:val="bottom"/>
          </w:tcPr>
          <w:p>
            <w:pPr>
              <w:spacing w:after="0"/>
              <w:rPr>
                <w:sz w:val="1"/>
                <w:szCs w:val="1"/>
                <w:color w:val="auto"/>
              </w:rPr>
            </w:pPr>
          </w:p>
        </w:tc>
      </w:tr>
      <w:tr>
        <w:trPr>
          <w:trHeight w:val="213"/>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Walnut Hollow Farm, Inc.</w:t>
            </w:r>
          </w:p>
        </w:tc>
        <w:tc>
          <w:tcPr>
            <w:tcW w:w="14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560" w:type="dxa"/>
            <w:vAlign w:val="bottom"/>
            <w:tcBorders>
              <w:left w:val="single" w:sz="8" w:color="auto"/>
              <w:right w:val="single" w:sz="8" w:color="auto"/>
            </w:tcBorders>
            <w:vMerge w:val="continue"/>
          </w:tcPr>
          <w:p>
            <w:pPr>
              <w:spacing w:after="0"/>
              <w:rPr>
                <w:sz w:val="16"/>
                <w:szCs w:val="16"/>
                <w:color w:val="auto"/>
              </w:rPr>
            </w:pPr>
          </w:p>
        </w:tc>
        <w:tc>
          <w:tcPr>
            <w:tcW w:w="55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Walnut Hollow Farm, located in Wisconsin, is engaged in the business of designing,</w:t>
            </w: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manufacturing, selling, and distributing wood products, tools, and accessories for the craft and</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hobby, outdoor sportsman art, personalized home décor, and hardware categories, with sales of</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approximately $11.6 million in 2020.</w:t>
            </w: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$153,462</w:t>
            </w:r>
          </w:p>
        </w:tc>
        <w:tc>
          <w:tcPr>
            <w:tcW w:w="12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6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1460" w:type="dxa"/>
            <w:vAlign w:val="bottom"/>
            <w:tcBorders>
              <w:right w:val="single" w:sz="8" w:color="auto"/>
            </w:tcBorders>
            <w:shd w:val="clear" w:color="auto" w:fill="CCEBFF"/>
          </w:tcPr>
          <w:p>
            <w:pPr>
              <w:ind w:left="240"/>
              <w:spacing w:after="0"/>
              <w:rPr>
                <w:sz w:val="20"/>
                <w:szCs w:val="20"/>
                <w:color w:val="auto"/>
              </w:rPr>
            </w:pPr>
            <w:r>
              <w:rPr>
                <w:rFonts w:ascii="Times New Roman" w:cs="Times New Roman" w:eastAsia="Times New Roman" w:hAnsi="Times New Roman"/>
                <w:sz w:val="16"/>
                <w:szCs w:val="16"/>
                <w:color w:val="auto"/>
              </w:rPr>
              <w:t>April 12, 2021</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shd w:val="clear" w:color="auto" w:fill="CCEB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153,462</w:t>
            </w:r>
          </w:p>
        </w:tc>
        <w:tc>
          <w:tcPr>
            <w:tcW w:w="8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Retail</w:t>
            </w:r>
          </w:p>
        </w:tc>
        <w:tc>
          <w:tcPr>
            <w:tcW w:w="0" w:type="dxa"/>
            <w:vAlign w:val="bottom"/>
          </w:tcPr>
          <w:p>
            <w:pPr>
              <w:spacing w:after="0"/>
              <w:rPr>
                <w:sz w:val="1"/>
                <w:szCs w:val="1"/>
                <w:color w:val="auto"/>
              </w:rPr>
            </w:pPr>
          </w:p>
        </w:tc>
      </w:tr>
      <w:tr>
        <w:trPr>
          <w:trHeight w:val="213"/>
        </w:trPr>
        <w:tc>
          <w:tcPr>
            <w:tcW w:w="256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Spartanburg Forest Products, Inc.</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56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Headquartered in Greer, South Carolina, Spartanburg Forest Products and its affiliates are a</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premier wood treating operation in the U.S., with approximately 150 employees and operations in</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five states. Its affiliates include Appalachian Forest Products, Innovative Design Industries, Blue</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Ridge Wood Preserving, Blue Ridge Wood Products, and Tidewater Wood Products and had</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4520" w:type="dxa"/>
            <w:vAlign w:val="bottom"/>
            <w:tcBorders>
              <w:bottom w:val="single" w:sz="8" w:color="auto"/>
            </w:tcBorders>
            <w:gridSpan w:val="5"/>
            <w:shd w:val="clear" w:color="auto" w:fill="CCEBFF"/>
          </w:tcPr>
          <w:p>
            <w:pPr>
              <w:spacing w:after="0"/>
              <w:rPr>
                <w:sz w:val="20"/>
                <w:szCs w:val="20"/>
                <w:color w:val="auto"/>
              </w:rPr>
            </w:pPr>
            <w:r>
              <w:rPr>
                <w:rFonts w:ascii="Times New Roman" w:cs="Times New Roman" w:eastAsia="Times New Roman" w:hAnsi="Times New Roman"/>
                <w:sz w:val="16"/>
                <w:szCs w:val="16"/>
                <w:color w:val="auto"/>
              </w:rPr>
              <w:t>combined sales of approximately $543.0 million in 2020.</w:t>
            </w: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8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The intangible assets for the above acquisitions have not been finalized and allocated to their respective identifiable asset and goodwill accounts. In aggregate, acquisitions completed since the end of March 2021 and not consolidated with other operations contributed approximately $124.6 million in net sales and $10.3 million in operating profits during the first three months of 2022.</w:t>
      </w:r>
    </w:p>
    <w:p>
      <w:pPr>
        <w:spacing w:after="0" w:line="176" w:lineRule="exact"/>
        <w:rPr>
          <w:sz w:val="20"/>
          <w:szCs w:val="20"/>
          <w:color w:val="auto"/>
        </w:rPr>
      </w:pPr>
    </w:p>
    <w:p>
      <w:pPr>
        <w:ind w:left="560" w:hanging="510"/>
        <w:spacing w:after="0"/>
        <w:tabs>
          <w:tab w:leader="none" w:pos="5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We operate manufacturing, treating and distribution facilities internationally, but primarily in the United States. Our business segments consist of UFP Retail Solutions, UFP Industrial and UFP Construction and align with the end markets we serve. This segment structure allows for a specialized and consistent sales approach among Company operations,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Industrial, and Construction segments. In the case of locations which serve multiple segments, results are allocated and accounted for by segment.</w:t>
      </w:r>
    </w:p>
    <w:p>
      <w:pPr>
        <w:spacing w:after="0" w:line="18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exception to this market-centered reporting and management structure is our International segment, which comprises our Mexico, Canada, Europe, India, and Australia operations and sales and buying offices in other parts of the world and our Ardellis segment, which represents our wholly owned fully licensed captive insurance company based in Bermuda. Our International and Ardellis segments do not meet the quantitative thresholds in order to be separately reported and accordingly, the International and Ardellis segments have been aggregated in the “All Other” segment for reporting purposes.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“Corporate” includes purchasing, transportation and administrative functions that serve our operating segments. Operating results of Corporate primarily consist of net sales to external customers initiated by UFP Purchasing and UFP Transportation and over (under) allocated costs. The operating results of UFP Real Estate, Inc., which owns and leases real estate, and UFP Transportation Ltd., which owns, leases and operates transportation equipment, are also included in the Corporate column. Inter-company lease and service charges are assessed to our operating segments for the use of these assets and services at fair market value rates. Total assets in the Corporate column include unallocated cash and cash equivalents, certain prepaid assets, certain property, equipment and other assets pertaining to the centralized activities of Corporate, UFP Real Estate, Inc., UFP Transportation, Inc., UFP Purchasing, Inc., and UFP RMS, LLC. The tables below are presented in thousands: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0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1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March 26, 2022</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55"/>
        </w:trPr>
        <w:tc>
          <w:tcPr>
            <w:tcW w:w="3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20" w:type="dxa"/>
            <w:vAlign w:val="bottom"/>
          </w:tcPr>
          <w:p>
            <w:pPr>
              <w:spacing w:after="0"/>
              <w:rPr>
                <w:sz w:val="13"/>
                <w:szCs w:val="13"/>
                <w:color w:val="auto"/>
              </w:rPr>
            </w:pPr>
          </w:p>
        </w:tc>
        <w:tc>
          <w:tcPr>
            <w:tcW w:w="760" w:type="dxa"/>
            <w:vAlign w:val="bottom"/>
          </w:tcPr>
          <w:p>
            <w:pPr>
              <w:jc w:val="right"/>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20" w:type="dxa"/>
            <w:vAlign w:val="bottom"/>
          </w:tcPr>
          <w:p>
            <w:pPr>
              <w:spacing w:after="0"/>
              <w:rPr>
                <w:sz w:val="13"/>
                <w:szCs w:val="13"/>
                <w:color w:val="auto"/>
              </w:rPr>
            </w:pPr>
          </w:p>
        </w:tc>
        <w:tc>
          <w:tcPr>
            <w:tcW w:w="7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3"/>
                <w:szCs w:val="13"/>
                <w:color w:val="auto"/>
              </w:rPr>
            </w:pPr>
          </w:p>
        </w:tc>
        <w:tc>
          <w:tcPr>
            <w:tcW w:w="82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$ 993,232</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$ 611,369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$ 786,471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95,567</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2,489,313</w:t>
            </w: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65,948</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22,173</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25,352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109,772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(223,245)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profit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82,391</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259,025</w:t>
            </w:r>
          </w:p>
        </w:tc>
      </w:tr>
      <w:tr>
        <w:trPr>
          <w:trHeight w:val="601"/>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March 27, 2021</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56"/>
        </w:trPr>
        <w:tc>
          <w:tcPr>
            <w:tcW w:w="3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20" w:type="dxa"/>
            <w:vAlign w:val="bottom"/>
          </w:tcPr>
          <w:p>
            <w:pPr>
              <w:spacing w:after="0"/>
              <w:rPr>
                <w:sz w:val="13"/>
                <w:szCs w:val="13"/>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20" w:type="dxa"/>
            <w:vAlign w:val="bottom"/>
          </w:tcPr>
          <w:p>
            <w:pPr>
              <w:spacing w:after="0"/>
              <w:rPr>
                <w:sz w:val="13"/>
                <w:szCs w:val="13"/>
                <w:color w:val="auto"/>
              </w:rPr>
            </w:pPr>
          </w:p>
        </w:tc>
        <w:tc>
          <w:tcPr>
            <w:tcW w:w="7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140" w:type="dxa"/>
            <w:vAlign w:val="bottom"/>
          </w:tcPr>
          <w:p>
            <w:pPr>
              <w:spacing w:after="0"/>
              <w:rPr>
                <w:sz w:val="13"/>
                <w:szCs w:val="13"/>
                <w:color w:val="auto"/>
              </w:rPr>
            </w:pPr>
          </w:p>
        </w:tc>
        <w:tc>
          <w:tcPr>
            <w:tcW w:w="82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$ 759,021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$ 448,874</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$ 559,530</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1,825,004</w:t>
            </w: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47,586</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17,906</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(177,349)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profit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40,410</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137,487</w:t>
            </w: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goodwill by segment as of March 26, 2022, and December 25, 2021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680" w:type="dxa"/>
            <w:vAlign w:val="bottom"/>
          </w:tcPr>
          <w:p>
            <w:pPr>
              <w:spacing w:after="0"/>
              <w:rPr>
                <w:sz w:val="15"/>
                <w:szCs w:val="15"/>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25,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$ 73,376</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$ 128,541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$ 24,121</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$ 315,038</w:t>
            </w: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Acquisitions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Purchase Accounting Adjustments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(5,715)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w:t>
            </w: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Net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26,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$ 81,681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$ 122,826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$ 24,642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$ 317,631</w:t>
            </w:r>
          </w:p>
        </w:tc>
      </w:tr>
      <w:tr>
        <w:trPr>
          <w:trHeight w:val="20"/>
        </w:trPr>
        <w:tc>
          <w:tcPr>
            <w:tcW w:w="3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total assets by segment as of March 26, 2022, and December 25, 2021 (in thousands).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0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w w:val="98"/>
              </w:rPr>
              <w:t>Total Assets by Segment</w:t>
            </w:r>
          </w:p>
        </w:tc>
        <w:tc>
          <w:tcPr>
            <w:tcW w:w="700" w:type="dxa"/>
            <w:vAlign w:val="bottom"/>
            <w:tcBorders>
              <w:bottom w:val="single" w:sz="8" w:color="auto"/>
            </w:tcBorders>
          </w:tcPr>
          <w:p>
            <w:pPr>
              <w:spacing w:after="0"/>
              <w:rPr>
                <w:sz w:val="15"/>
                <w:szCs w:val="15"/>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06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140" w:type="dxa"/>
            <w:vAlign w:val="bottom"/>
            <w:gridSpan w:val="3"/>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700" w:type="dxa"/>
            <w:vAlign w:val="bottom"/>
          </w:tcPr>
          <w:p>
            <w:pPr>
              <w:spacing w:after="0"/>
              <w:rPr>
                <w:sz w:val="13"/>
                <w:szCs w:val="13"/>
                <w:color w:val="auto"/>
              </w:rPr>
            </w:pPr>
          </w:p>
        </w:tc>
      </w:tr>
      <w:tr>
        <w:trPr>
          <w:trHeight w:val="173"/>
        </w:trPr>
        <w:tc>
          <w:tcPr>
            <w:tcW w:w="6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Segment Classification</w:t>
            </w:r>
          </w:p>
        </w:tc>
        <w:tc>
          <w:tcPr>
            <w:tcW w:w="9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CCEEFF"/>
              <w:right w:val="single" w:sz="8" w:color="auto"/>
            </w:tcBorders>
          </w:tcPr>
          <w:p>
            <w:pPr>
              <w:spacing w:after="0" w:line="20" w:lineRule="exact"/>
              <w:rPr>
                <w:sz w:val="1"/>
                <w:szCs w:val="1"/>
                <w:color w:val="auto"/>
              </w:rPr>
            </w:pPr>
          </w:p>
        </w:tc>
        <w:tc>
          <w:tcPr>
            <w:tcW w:w="700" w:type="dxa"/>
            <w:vAlign w:val="bottom"/>
            <w:tcBorders>
              <w:bottom w:val="single" w:sz="8" w:color="auto"/>
            </w:tcBorders>
            <w:shd w:val="clear" w:color="auto" w:fill="000000"/>
          </w:tcPr>
          <w:p>
            <w:pPr>
              <w:spacing w:after="0" w:line="20" w:lineRule="exact"/>
              <w:rPr>
                <w:sz w:val="1"/>
                <w:szCs w:val="1"/>
                <w:color w:val="auto"/>
              </w:rPr>
            </w:pPr>
          </w:p>
        </w:tc>
      </w:tr>
      <w:tr>
        <w:trPr>
          <w:trHeight w:val="203"/>
        </w:trPr>
        <w:tc>
          <w:tcPr>
            <w:tcW w:w="600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Retail</w:t>
            </w: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$ 1,205,382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844,189</w:t>
            </w:r>
          </w:p>
        </w:tc>
        <w:tc>
          <w:tcPr>
            <w:tcW w:w="2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42.8 %</w:t>
            </w:r>
          </w:p>
        </w:tc>
      </w:tr>
      <w:tr>
        <w:trPr>
          <w:trHeight w:val="216"/>
        </w:trPr>
        <w:tc>
          <w:tcPr>
            <w:tcW w:w="6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857,706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741,672</w:t>
            </w:r>
          </w:p>
        </w:tc>
        <w:tc>
          <w:tcPr>
            <w:tcW w:w="22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6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736,157</w:t>
            </w: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6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343,363</w:t>
            </w:r>
          </w:p>
        </w:tc>
        <w:tc>
          <w:tcPr>
            <w:tcW w:w="22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3.8</w:t>
            </w:r>
          </w:p>
        </w:tc>
      </w:tr>
      <w:tr>
        <w:trPr>
          <w:trHeight w:val="236"/>
        </w:trPr>
        <w:tc>
          <w:tcPr>
            <w:tcW w:w="6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395,409</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579,890</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(31.8)</w:t>
            </w:r>
          </w:p>
        </w:tc>
      </w:tr>
      <w:tr>
        <w:trPr>
          <w:trHeight w:val="203"/>
        </w:trPr>
        <w:tc>
          <w:tcPr>
            <w:tcW w:w="600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$ 3,673,966</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3,245,271</w:t>
            </w:r>
          </w:p>
        </w:tc>
        <w:tc>
          <w:tcPr>
            <w:tcW w:w="2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13.2 %</w:t>
            </w: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40" w:lineRule="exact"/>
        <w:rPr>
          <w:sz w:val="20"/>
          <w:szCs w:val="20"/>
          <w:color w:val="auto"/>
        </w:rPr>
      </w:pPr>
    </w:p>
    <w:p>
      <w:pPr>
        <w:ind w:left="560" w:hanging="510"/>
        <w:spacing w:after="0"/>
        <w:tabs>
          <w:tab w:leader="none" w:pos="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foreign, state and local income taxes and permanent tax differences. Our effective tax rate was 24.0% in the first quarter of 2022 compared to 23.3% for same period in 2021. The increase was primarily due to one-time tax credit refunds recorded as a discrete item in the first quarter of 2021 that are not available in 2022.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480" w:hanging="430"/>
        <w:spacing w:after="0"/>
        <w:tabs>
          <w:tab w:leader="none" w:pos="4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60" w:right="279" w:firstLine="492"/>
        <w:spacing w:after="0" w:line="282" w:lineRule="auto"/>
        <w:rPr>
          <w:sz w:val="20"/>
          <w:szCs w:val="20"/>
          <w:color w:val="auto"/>
        </w:rPr>
      </w:pPr>
      <w:r>
        <w:rPr>
          <w:rFonts w:ascii="Times New Roman" w:cs="Times New Roman" w:eastAsia="Times New Roman" w:hAnsi="Times New Roman"/>
          <w:sz w:val="18"/>
          <w:szCs w:val="18"/>
          <w:color w:val="auto"/>
        </w:rPr>
        <w:t>Below is a summary of common stock issuances for the first three months of 2022 and 2021 (in thousands, except average share price):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March 26, 2022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0"/>
                <w:szCs w:val="10"/>
                <w:color w:val="auto"/>
              </w:rPr>
            </w:pPr>
          </w:p>
        </w:tc>
        <w:tc>
          <w:tcPr>
            <w:tcW w:w="6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 w:type="dxa"/>
            <w:vAlign w:val="bottom"/>
          </w:tcPr>
          <w:p>
            <w:pPr>
              <w:spacing w:after="0"/>
              <w:rPr>
                <w:sz w:val="5"/>
                <w:szCs w:val="5"/>
                <w:color w:val="auto"/>
              </w:rPr>
            </w:pPr>
          </w:p>
        </w:tc>
        <w:tc>
          <w:tcPr>
            <w:tcW w:w="5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Share Issuance Activity</w:t>
            </w:r>
          </w:p>
        </w:tc>
        <w:tc>
          <w:tcPr>
            <w:tcW w:w="5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20" w:type="dxa"/>
            <w:vAlign w:val="bottom"/>
            <w:tcBorders>
              <w:bottom w:val="single" w:sz="8" w:color="auto"/>
            </w:tcBorders>
            <w:gridSpan w:val="3"/>
            <w:vMerge w:val="continue"/>
          </w:tcPr>
          <w:p>
            <w:pPr>
              <w:spacing w:after="0"/>
              <w:rPr>
                <w:sz w:val="11"/>
                <w:szCs w:val="11"/>
                <w:color w:val="auto"/>
              </w:rPr>
            </w:pPr>
          </w:p>
        </w:tc>
        <w:tc>
          <w:tcPr>
            <w:tcW w:w="5340" w:type="dxa"/>
            <w:vAlign w:val="bottom"/>
            <w:gridSpan w:val="2"/>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80.04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84.85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bonus plan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725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79.61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Shares issued under the executive stock match plan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Forfeitures</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787</w:t>
            </w:r>
          </w:p>
        </w:tc>
        <w:tc>
          <w:tcPr>
            <w:tcW w:w="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7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83.84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March 27, 2021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 w:type="dxa"/>
            <w:vAlign w:val="bottom"/>
          </w:tcPr>
          <w:p>
            <w:pPr>
              <w:spacing w:after="0"/>
              <w:rPr>
                <w:sz w:val="5"/>
                <w:szCs w:val="5"/>
                <w:color w:val="auto"/>
              </w:rPr>
            </w:pPr>
          </w:p>
        </w:tc>
        <w:tc>
          <w:tcPr>
            <w:tcW w:w="5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20" w:type="dxa"/>
            <w:vAlign w:val="bottom"/>
          </w:tcPr>
          <w:p>
            <w:pPr>
              <w:spacing w:after="0"/>
              <w:rPr>
                <w:sz w:val="7"/>
                <w:szCs w:val="7"/>
                <w:color w:val="auto"/>
              </w:rPr>
            </w:pPr>
          </w:p>
        </w:tc>
        <w:tc>
          <w:tcPr>
            <w:tcW w:w="5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Borders>
              <w:bottom w:val="single" w:sz="8" w:color="auto"/>
            </w:tcBorders>
            <w:gridSpan w:val="2"/>
            <w:vMerge w:val="continue"/>
          </w:tcPr>
          <w:p>
            <w:pPr>
              <w:spacing w:after="0"/>
              <w:rPr>
                <w:sz w:val="11"/>
                <w:szCs w:val="11"/>
                <w:color w:val="auto"/>
              </w:rPr>
            </w:pPr>
          </w:p>
        </w:tc>
        <w:tc>
          <w:tcPr>
            <w:tcW w:w="5360" w:type="dxa"/>
            <w:vAlign w:val="bottom"/>
            <w:gridSpan w:val="3"/>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gridSpan w:val="2"/>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1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1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1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bonus plan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Shares issued under the executive stock grants plan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1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Forfeitures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537</w:t>
            </w:r>
          </w:p>
        </w:tc>
        <w:tc>
          <w:tcPr>
            <w:tcW w:w="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c>
          <w:tcPr>
            <w:tcW w:w="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59.75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499" w:firstLine="486"/>
        <w:spacing w:after="0" w:line="266" w:lineRule="auto"/>
        <w:rPr>
          <w:sz w:val="20"/>
          <w:szCs w:val="20"/>
          <w:color w:val="auto"/>
        </w:rPr>
      </w:pPr>
      <w:r>
        <w:rPr>
          <w:rFonts w:ascii="Times New Roman" w:cs="Times New Roman" w:eastAsia="Times New Roman" w:hAnsi="Times New Roman"/>
          <w:sz w:val="18"/>
          <w:szCs w:val="18"/>
          <w:color w:val="auto"/>
        </w:rPr>
        <w:t>During the first three months of 2022, we repurchased approximately 44,442 shares of our common stock at an average share price of $79.74. In April 2022, we repurchased approximately 756,000 shares for $58.5 million, at an average share price of $77.40.</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During the first three months of 2021, we did not repurchase any of our shares of common stock.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500" w:hanging="450"/>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cost of inventories includes raw materials, direct labor, and manufacturing overhead. Cost is determined on a weighted average FIFO basis. Raw materials consist primarily of unfinished wood products and other materials expected to be manufactured or treated prior to sale, while finished goods represent various manufactured and treated wood products ready for sale.</w:t>
      </w:r>
    </w:p>
    <w:p>
      <w:pPr>
        <w:spacing w:after="0" w:line="180"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We write down the value of inventory, the impact of which is reflected in cost of goods sold in the Condensed Consolidated Statement of Earnings and Comprehensive Income, if the cost of specific inventory items on hand exceeds the amount we expect to realize from the ultimate sale or disposal of the inventory. These estimates are based on management's judgment regarding future demand and market conditions and analysis of historical experience. There were no lower of cost or net realizable value adjustments to inventory as of March 26, 2022 and March 27, 2021.</w:t>
      </w:r>
    </w:p>
    <w:p>
      <w:pPr>
        <w:spacing w:after="0" w:line="179" w:lineRule="exact"/>
        <w:rPr>
          <w:sz w:val="20"/>
          <w:szCs w:val="20"/>
          <w:color w:val="auto"/>
        </w:rPr>
      </w:pPr>
    </w:p>
    <w:p>
      <w:pPr>
        <w:ind w:left="560" w:hanging="510"/>
        <w:spacing w:after="0"/>
        <w:tabs>
          <w:tab w:leader="none" w:pos="5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In April 2022, we added $500 million of borrowing capacity by entering into a shelf facility with multiple lenders to support future growth. No amounts have been drawn on this facility.</w:t>
      </w:r>
    </w:p>
    <w:p>
      <w:pPr>
        <w:spacing w:after="0" w:line="162"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Additionally in April 2022, we repurchased approximately 756,000 shares for $58.5 million, at an average share price of $77.40.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UFP Industries, Inc. is a holding company with subsidiaries throughout North America, Europe, Asia, and Australia that supply wood, wood composite and other products to three markets: retail, industrial, and construction. We are headquartered in Grand Rapids, Michigan. For more information about UFP Industries, Inc., or our affiliated operations, go to www.ufpi.com.</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government imposed “stay at home” orders and directives to cease or curtail operations;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the first quarter of 2022.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results for the first quarter of 2022 include the following highlights:</w:t>
      </w:r>
    </w:p>
    <w:p>
      <w:pPr>
        <w:spacing w:after="0" w:line="225" w:lineRule="exact"/>
        <w:rPr>
          <w:sz w:val="20"/>
          <w:szCs w:val="20"/>
          <w:color w:val="auto"/>
        </w:rPr>
      </w:pPr>
    </w:p>
    <w:p>
      <w:pPr>
        <w:jc w:val="both"/>
        <w:ind w:left="880" w:right="79" w:hanging="317"/>
        <w:spacing w:after="0" w:line="258"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were up 36% compared to the first quarter of 2021, which was comprised of a 26% increase in selling prices primarily due to the commodity lumber market (see Historical Lumber Prices below), a 7% increase in unit sales due to acquisitions completed since March of last year, and a 3% increase in organic unit sales. Organic unit growth of 14% in our construction segment was offset by an organic unit decline of 2% in our retail segment and 4% in our industrial segment.</w:t>
      </w:r>
    </w:p>
    <w:p>
      <w:pPr>
        <w:spacing w:after="0" w:line="183" w:lineRule="exact"/>
        <w:rPr>
          <w:rFonts w:ascii="Times New Roman" w:cs="Times New Roman" w:eastAsia="Times New Roman" w:hAnsi="Times New Roman"/>
          <w:sz w:val="18"/>
          <w:szCs w:val="18"/>
          <w:color w:val="auto"/>
        </w:rPr>
      </w:pPr>
    </w:p>
    <w:p>
      <w:pPr>
        <w:jc w:val="both"/>
        <w:ind w:left="880" w:right="79" w:hanging="317"/>
        <w:spacing w:after="0" w:line="254"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profits increased $121.5 million, or 88%, compared to the first quarter of 2021. This increase resulted from a variety of factors including improved leveraging of our fixed costs, the impact of rising lumber prices on the selling prices of commodity-based products sold on a variable price formula, and growth of our new and value-added products which have higher gross margins. In addition, our ability to effectively include lumber and other cost increases in the selling prices of our products as well as value-based selling practices has enabled us to maintain our profit per unit. Acquisitions contributed approximately $10.3 million to our increase in operating profits. Excluding the impact of acquisitions, gross profits increased by $176 million and we estimate that value-added and commodity-based products contributed $133 million and $43 million, respectively, to this increase.</w:t>
      </w:r>
    </w:p>
    <w:p>
      <w:pPr>
        <w:spacing w:after="0" w:line="188" w:lineRule="exact"/>
        <w:rPr>
          <w:rFonts w:ascii="Times New Roman" w:cs="Times New Roman" w:eastAsia="Times New Roman" w:hAnsi="Times New Roman"/>
          <w:sz w:val="18"/>
          <w:szCs w:val="18"/>
          <w:color w:val="auto"/>
        </w:rPr>
      </w:pPr>
    </w:p>
    <w:p>
      <w:pPr>
        <w:jc w:val="both"/>
        <w:ind w:left="880" w:right="79" w:hanging="317"/>
        <w:spacing w:after="0" w:line="256"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used by operations for the first three months of 2022 increased to $245 million compared to $197 million during the first three months of 2021, primarily due to an increased investment in net working capital of $148 million, offset by an increase in net earnings and non-cash expenses of $100 million. The increase in our net working capital requirements during the first quarter of 2022 was due to higher lumber prices, growth in our business, and an increase in our days supply of inventory to ensure we meet the delivery expectations of our customers.</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880" w:right="79" w:hanging="317"/>
        <w:spacing w:after="0" w:line="266"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debt (debt and cash overdraft less cash) at the end of March 2022 was $410 million compared to $429 million at the end of March 2021. Our unused borrowing capacity under revolving credit facilities and cash surplus resulted in total liquidity of approximately $445.3 million at the end of the first quarter of 2022.</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HISTORICAL LUMBER PRICES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experience significant fluctuations in the cost of commodity lumber products from primary producers (“Lumber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 The following table presents the Random Lengths framing lumber composite price:</w:t>
      </w:r>
    </w:p>
    <w:p>
      <w:pPr>
        <w:spacing w:after="0" w:line="214"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Random Lengths Composite</w:t>
      </w: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8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average</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percentage change</w:t>
            </w: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addition, a Southern Yellow Pine (“SYP”) composite price, which we prepare and use, is presented below. Our purchases of this species comprise almost two-thirds of our total lumber purchases.</w:t>
      </w:r>
    </w:p>
    <w:p>
      <w:pPr>
        <w:spacing w:after="0" w:line="169"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Southern Yellow Pine</w:t>
      </w: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40" w:type="dxa"/>
        <w:tblCellMar>
          <w:top w:w="0" w:type="dxa"/>
          <w:left w:w="0" w:type="dxa"/>
          <w:bottom w:w="0" w:type="dxa"/>
          <w:right w:w="0" w:type="dxa"/>
        </w:tblCellMar>
      </w:tblPr>
      <w:tr>
        <w:trPr>
          <w:trHeight w:val="162"/>
        </w:trPr>
        <w:tc>
          <w:tcPr>
            <w:tcW w:w="69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average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shd w:val="clear" w:color="auto" w:fill="CCEEFF"/>
          </w:tcPr>
          <w:p>
            <w:pPr>
              <w:spacing w:after="0"/>
              <w:rPr>
                <w:sz w:val="18"/>
                <w:szCs w:val="18"/>
                <w:color w:val="auto"/>
              </w:rPr>
            </w:pP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 percentage change</w:t>
            </w: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23.1 %</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17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sequential increase in overall lumber prices for the first quarter of the year was primarily due to strong market demand as well as certain constraints in the supply chain of lumber. A change in lumber prices impacts our profitability of products sold with fixed and variable prices, as discussed below.</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IMPACT OF THE LUMBER MARKET ON OUR OPERATING RESULTS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were 61.4% and 63.1% of our sales in the first three months of 2022 and 2021, respectively. The decrease from the prior year ratio reflects an improvement in our sales mix of value-added products as well as our value-based selling practices.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is a general description of the primary ways in which our products are priced.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880" w:right="79" w:hanging="317"/>
        <w:spacing w:after="0" w:line="255"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w:t>
      </w:r>
      <w:r>
        <w:rPr>
          <w:rFonts w:ascii="Times New Roman" w:cs="Times New Roman" w:eastAsia="Times New Roman" w:hAnsi="Times New Roman"/>
          <w:sz w:val="18"/>
          <w:szCs w:val="18"/>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 We believe our percentage of sales of fixed price items is usually greatest in our third and fourth quarters.</w:t>
      </w:r>
    </w:p>
    <w:p>
      <w:pPr>
        <w:spacing w:after="0" w:line="188" w:lineRule="exact"/>
        <w:rPr>
          <w:rFonts w:ascii="Times New Roman" w:cs="Times New Roman" w:eastAsia="Times New Roman" w:hAnsi="Times New Roman"/>
          <w:sz w:val="18"/>
          <w:szCs w:val="18"/>
          <w:color w:val="auto"/>
        </w:rPr>
      </w:pPr>
    </w:p>
    <w:p>
      <w:pPr>
        <w:jc w:val="both"/>
        <w:ind w:left="880" w:right="79" w:hanging="317"/>
        <w:spacing w:after="0" w:line="255"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selling prices indexed to the reported Lumber Market with a fixed dollar “adder” to cover conversion costs and profit.</w:t>
      </w:r>
      <w:r>
        <w:rPr>
          <w:rFonts w:ascii="Times New Roman" w:cs="Times New Roman" w:eastAsia="Times New Roman" w:hAnsi="Times New Roman"/>
          <w:sz w:val="18"/>
          <w:szCs w:val="18"/>
          <w:color w:val="auto"/>
        </w:rPr>
        <w:t xml:space="preserve"> These products primarily include treated lumber, panel goods, other commodity-type items,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pressure-treated lumber sold in our retail segment.</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each of the product pricing categories above, our margins are exposed to changes in the trend of lumber prices.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greatest risk associated with changes in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of lumber prices is on the following products:</w:t>
      </w:r>
    </w:p>
    <w:p>
      <w:pPr>
        <w:spacing w:after="0" w:line="225" w:lineRule="exact"/>
        <w:rPr>
          <w:sz w:val="20"/>
          <w:szCs w:val="20"/>
          <w:color w:val="auto"/>
        </w:rPr>
      </w:pPr>
    </w:p>
    <w:p>
      <w:pPr>
        <w:jc w:val="both"/>
        <w:ind w:left="880" w:right="79" w:hanging="317"/>
        <w:spacing w:after="0" w:line="253"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significant inventory levels with low turnover rates, whose selling prices are indexed to the Lumber Market.</w:t>
      </w:r>
      <w:r>
        <w:rPr>
          <w:rFonts w:ascii="Times New Roman" w:cs="Times New Roman" w:eastAsia="Times New Roman" w:hAnsi="Times New Roman"/>
          <w:sz w:val="18"/>
          <w:szCs w:val="18"/>
          <w:color w:val="auto"/>
        </w:rPr>
        <w:t xml:space="preserve"> In other words, the longer the period of time these products remain in inventory, the greater the exposure to changes in the price of lumber. This would include treated lumber, which comprised approximately 16% of our total annual sales in 2021. This exposure is less significant with remanufactured lumber, panel goods, other commodity-type items, and trusses sold to the manufactured housing market due to the higher rate of inventory turnover. We attempt to mitigate the risk associated with treated lumber through inventory consignment programs with our vendors. Our new Sunbelt and Spartanburg Forest Products plants began participating in these consignment programs in 2022, and we estimate that 24.2% of their inventory was consigned with vendors. (</w:t>
      </w:r>
      <w:r>
        <w:rPr>
          <w:rFonts w:ascii="Times New Roman" w:cs="Times New Roman" w:eastAsia="Times New Roman" w:hAnsi="Times New Roman"/>
          <w:sz w:val="18"/>
          <w:szCs w:val="18"/>
          <w:i w:val="1"/>
          <w:iCs w:val="1"/>
          <w:color w:val="auto"/>
        </w:rPr>
        <w:t>Please refer to the “Risk Factors” section of our annual report on form 10-K, filed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the United States Securities and Exchange Commission.</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 sold under long-term supply arrangements, particularly those involving multi-family construction projects.</w:t>
      </w:r>
      <w:r>
        <w:rPr>
          <w:rFonts w:ascii="Times New Roman" w:cs="Times New Roman" w:eastAsia="Times New Roman" w:hAnsi="Times New Roman"/>
          <w:sz w:val="18"/>
          <w:szCs w:val="18"/>
          <w:color w:val="auto"/>
        </w:rPr>
        <w:t xml:space="preserve"> We attempt to mitigate this risk through our purchasing practices and longer vendor commitments.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0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Period 2</w:t>
            </w: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Lumber cost</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cost</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Product cost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Adder</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Sell price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7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completed one business acquisition during the first three months of fiscal 2022 and nine during all of fiscal 2021. The annual historical sales attributable to acquisitions completed in the first three months of fiscal 2022 is approximately $85 million, while acquisitions completed during the last nine months of 2021 have annual sales of approximately $626 million. These business combinations were not significant to our quarterly results individually or in aggregate and thus pro forma results for 2022 and 2021 are not presented.</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See Notes to the Unaudited Condensed Consolidated Financial Statements, Note F, “Business Combinations” for additional information.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the components of our Unaudited Condensed Consolidated Statements of Earnings as a percentage of net sales.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900" w:type="dxa"/>
            <w:vAlign w:val="bottom"/>
          </w:tcPr>
          <w:p>
            <w:pPr>
              <w:spacing w:after="0"/>
              <w:rPr>
                <w:sz w:val="15"/>
                <w:szCs w:val="15"/>
                <w:color w:val="auto"/>
              </w:rPr>
            </w:pPr>
          </w:p>
        </w:tc>
        <w:tc>
          <w:tcPr>
            <w:tcW w:w="176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Borders>
              <w:bottom w:val="single" w:sz="8" w:color="auto"/>
            </w:tcBorders>
          </w:tcPr>
          <w:p>
            <w:pPr>
              <w:spacing w:after="0"/>
              <w:rPr>
                <w:sz w:val="15"/>
                <w:szCs w:val="15"/>
                <w:color w:val="auto"/>
              </w:rPr>
            </w:pPr>
          </w:p>
        </w:tc>
      </w:tr>
      <w:tr>
        <w:trPr>
          <w:trHeight w:val="124"/>
        </w:trPr>
        <w:tc>
          <w:tcPr>
            <w:tcW w:w="690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24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60" w:type="dxa"/>
            <w:vAlign w:val="bottom"/>
          </w:tcPr>
          <w:p>
            <w:pPr>
              <w:spacing w:after="0"/>
              <w:rPr>
                <w:sz w:val="10"/>
                <w:szCs w:val="10"/>
                <w:color w:val="auto"/>
              </w:rPr>
            </w:pPr>
          </w:p>
        </w:tc>
      </w:tr>
      <w:tr>
        <w:trPr>
          <w:trHeight w:val="180"/>
        </w:trPr>
        <w:tc>
          <w:tcPr>
            <w:tcW w:w="69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60" w:type="dxa"/>
            <w:vAlign w:val="bottom"/>
            <w:tcBorders>
              <w:bottom w:val="single" w:sz="8" w:color="CCEEFF"/>
            </w:tcBorders>
          </w:tcPr>
          <w:p>
            <w:pPr>
              <w:spacing w:after="0"/>
              <w:rPr>
                <w:sz w:val="18"/>
                <w:szCs w:val="18"/>
                <w:color w:val="auto"/>
              </w:rPr>
            </w:pPr>
          </w:p>
        </w:tc>
      </w:tr>
      <w:tr>
        <w:trPr>
          <w:trHeight w:val="20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shd w:val="clear" w:color="auto" w:fill="CCEEFF"/>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Pr>
          <w:p>
            <w:pPr>
              <w:spacing w:after="0"/>
              <w:rPr>
                <w:sz w:val="18"/>
                <w:szCs w:val="18"/>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r>
      <w:tr>
        <w:trPr>
          <w:trHeight w:val="21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Pr>
          <w:p>
            <w:pPr>
              <w:spacing w:after="0"/>
              <w:rPr>
                <w:sz w:val="18"/>
                <w:szCs w:val="18"/>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r>
      <w:tr>
        <w:trPr>
          <w:trHeight w:val="21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8"/>
                <w:szCs w:val="18"/>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18"/>
                <w:szCs w:val="18"/>
                <w:color w:val="auto"/>
              </w:rPr>
            </w:pPr>
          </w:p>
        </w:tc>
      </w:tr>
      <w:tr>
        <w:trPr>
          <w:trHeight w:val="20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18"/>
                <w:szCs w:val="18"/>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r>
      <w:tr>
        <w:trPr>
          <w:trHeight w:val="20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9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a result of the impact of the level of lumber prices on the percentages displayed in the table above (see Impact of the Lumber Market on Our Operating Results), we believe it is useful to compare our change in units sold with our change in gross profits, selling, general, and administrative expenses, and operating profits as presented in the following table. The percentages displayed below represent the percentage change from the prior year comparable period.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8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34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2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38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340" w:type="dxa"/>
            <w:vAlign w:val="bottom"/>
            <w:tcBorders>
              <w:bottom w:val="single" w:sz="8" w:color="auto"/>
            </w:tcBorders>
            <w:gridSpan w:val="4"/>
          </w:tcPr>
          <w:p>
            <w:pPr>
              <w:jc w:val="right"/>
              <w:ind w:right="296"/>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37"/>
        </w:trPr>
        <w:tc>
          <w:tcPr>
            <w:tcW w:w="38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6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0"/>
        </w:trPr>
        <w:tc>
          <w:tcPr>
            <w:tcW w:w="3820" w:type="dxa"/>
            <w:vAlign w:val="bottom"/>
          </w:tcPr>
          <w:p>
            <w:pPr>
              <w:spacing w:after="0"/>
              <w:rPr>
                <w:sz w:val="15"/>
                <w:szCs w:val="15"/>
                <w:color w:val="auto"/>
              </w:rPr>
            </w:pPr>
          </w:p>
        </w:tc>
        <w:tc>
          <w:tcPr>
            <w:tcW w:w="3420" w:type="dxa"/>
            <w:vAlign w:val="bottom"/>
            <w:gridSpan w:val="2"/>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sold</w:t>
            </w:r>
          </w:p>
        </w:tc>
        <w:tc>
          <w:tcPr>
            <w:tcW w:w="2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0"/>
        </w:trPr>
        <w:tc>
          <w:tcPr>
            <w:tcW w:w="3820" w:type="dxa"/>
            <w:vAlign w:val="bottom"/>
          </w:tcPr>
          <w:p>
            <w:pPr>
              <w:spacing w:after="0"/>
              <w:rPr>
                <w:sz w:val="24"/>
                <w:szCs w:val="24"/>
                <w:color w:val="auto"/>
              </w:rPr>
            </w:pPr>
          </w:p>
        </w:tc>
        <w:tc>
          <w:tcPr>
            <w:tcW w:w="2460" w:type="dxa"/>
            <w:vAlign w:val="bottom"/>
          </w:tcPr>
          <w:p>
            <w:pPr>
              <w:jc w:val="right"/>
              <w:ind w:right="1634"/>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8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selling, general, and administrative (SG&amp;A) costs as a percentage of gross profit. Given our strategies to enhance our capabilities and improve our value-added product offering, and recognizing the higher relative level of SG&amp;A costs these strategies require, we believe this ratio provides an enhanced view of our effectiveness in managing these costs and mitigates the impact of changing lumber prices.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9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24"/>
        </w:trPr>
        <w:tc>
          <w:tcPr>
            <w:tcW w:w="4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0" w:type="dxa"/>
            <w:vAlign w:val="bottom"/>
            <w:gridSpan w:val="2"/>
          </w:tcPr>
          <w:p>
            <w:pPr>
              <w:ind w:left="300"/>
              <w:spacing w:after="0" w:line="124"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600" w:type="dxa"/>
            <w:vAlign w:val="bottom"/>
          </w:tcPr>
          <w:p>
            <w:pPr>
              <w:spacing w:after="0"/>
              <w:rPr>
                <w:sz w:val="10"/>
                <w:szCs w:val="10"/>
                <w:color w:val="auto"/>
              </w:rPr>
            </w:pPr>
          </w:p>
        </w:tc>
        <w:tc>
          <w:tcPr>
            <w:tcW w:w="1140" w:type="dxa"/>
            <w:vAlign w:val="bottom"/>
          </w:tcPr>
          <w:p>
            <w:pPr>
              <w:jc w:val="right"/>
              <w:ind w:right="357"/>
              <w:spacing w:after="0" w:line="124"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40" w:type="dxa"/>
            <w:vAlign w:val="bottom"/>
          </w:tcPr>
          <w:p>
            <w:pPr>
              <w:spacing w:after="0"/>
              <w:rPr>
                <w:sz w:val="10"/>
                <w:szCs w:val="10"/>
                <w:color w:val="auto"/>
              </w:rPr>
            </w:pPr>
          </w:p>
        </w:tc>
      </w:tr>
      <w:tr>
        <w:trPr>
          <w:trHeight w:val="180"/>
        </w:trPr>
        <w:tc>
          <w:tcPr>
            <w:tcW w:w="49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478,363</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286,554</w:t>
            </w:r>
          </w:p>
        </w:tc>
        <w:tc>
          <w:tcPr>
            <w:tcW w:w="240" w:type="dxa"/>
            <w:vAlign w:val="bottom"/>
            <w:shd w:val="clear" w:color="auto" w:fill="CCEEFF"/>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220,150</w:t>
            </w:r>
          </w:p>
        </w:tc>
        <w:tc>
          <w:tcPr>
            <w:tcW w:w="24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150,098</w:t>
            </w:r>
          </w:p>
        </w:tc>
        <w:tc>
          <w:tcPr>
            <w:tcW w:w="240" w:type="dxa"/>
            <w:vAlign w:val="bottom"/>
          </w:tcPr>
          <w:p>
            <w:pPr>
              <w:spacing w:after="0"/>
              <w:rPr>
                <w:sz w:val="18"/>
                <w:szCs w:val="18"/>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as percentage of gross profit</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business segments consist of UFP Retail Solutions, UFP Industrial and UFP Construction, and align with the end markets we serve. Among other things, this structure allows for a more specialized and consistent sales approach among Company operations,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Industrial, and Construction segments. The exception to this market-centered reporting and management structure is our International segment, which comprises our Mexico, Canada, Europe, Asia, and Australia operations and sales and buying offices in other parts of the world. Our International segment and Ardellis (our insurance captive) are included in the “All Other” column of the table below. The “Corporate” column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leases, and operates transportation equipment, are also included in the Corporate column. Inter-company lease and services charges are assessed to our operating segments for the use of these assets and services at fair market value rates.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our operating results, for the periods indicated, by segment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26, 2022</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18"/>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993,232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611,369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786,471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2,489,313</w:t>
            </w:r>
          </w:p>
        </w:tc>
        <w:tc>
          <w:tcPr>
            <w:tcW w:w="20" w:type="dxa"/>
            <w:vAlign w:val="bottom"/>
          </w:tcPr>
          <w:p>
            <w:pPr>
              <w:spacing w:after="0"/>
              <w:rPr>
                <w:sz w:val="18"/>
                <w:szCs w:val="18"/>
                <w:color w:val="auto"/>
              </w:rPr>
            </w:pPr>
          </w:p>
        </w:tc>
      </w:tr>
      <w:tr>
        <w:trPr>
          <w:trHeight w:val="223"/>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858,895</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461,815</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625,059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64,024</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2,010,950</w:t>
            </w:r>
          </w:p>
        </w:tc>
        <w:tc>
          <w:tcPr>
            <w:tcW w:w="20" w:type="dxa"/>
            <w:vAlign w:val="bottom"/>
          </w:tcPr>
          <w:p>
            <w:pPr>
              <w:spacing w:after="0"/>
              <w:rPr>
                <w:sz w:val="19"/>
                <w:szCs w:val="19"/>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478,363</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(8,711)</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220,150</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(1,376)</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71,397</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82,391</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78,818</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14,815</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11,604</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259,025</w:t>
            </w:r>
          </w:p>
        </w:tc>
        <w:tc>
          <w:tcPr>
            <w:tcW w:w="20" w:type="dxa"/>
            <w:vAlign w:val="bottom"/>
          </w:tcPr>
          <w:p>
            <w:pPr>
              <w:spacing w:after="0"/>
              <w:rPr>
                <w:sz w:val="18"/>
                <w:szCs w:val="18"/>
                <w:color w:val="auto"/>
              </w:rPr>
            </w:pPr>
          </w:p>
        </w:tc>
      </w:tr>
      <w:tr>
        <w:trPr>
          <w:trHeight w:val="864"/>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27, 2021</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318"/>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759,021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448,874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559,530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1,825,004</w:t>
            </w:r>
          </w:p>
        </w:tc>
      </w:tr>
      <w:tr>
        <w:trPr>
          <w:trHeight w:val="223"/>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658,548</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368,549</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470,846</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38,026</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1,538,450</w:t>
            </w: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286,554</w:t>
            </w: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(3,081)</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150,098</w:t>
            </w: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53,545</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40,410</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33,018</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7,978</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2,536</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137,487</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components of our operating results, for the periods indicated, as a percentage of net sales by segment.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26, 2022</w:t>
            </w:r>
          </w:p>
        </w:tc>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18"/>
        </w:trPr>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0" w:type="dxa"/>
            <w:vAlign w:val="bottom"/>
          </w:tcPr>
          <w:p>
            <w:pPr>
              <w:spacing w:after="0"/>
              <w:rPr>
                <w:sz w:val="24"/>
                <w:szCs w:val="24"/>
                <w:color w:val="auto"/>
              </w:rPr>
            </w:pPr>
          </w:p>
        </w:tc>
        <w:tc>
          <w:tcPr>
            <w:tcW w:w="11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20" w:type="dxa"/>
            <w:vAlign w:val="bottom"/>
          </w:tcPr>
          <w:p>
            <w:pPr>
              <w:spacing w:after="0"/>
              <w:rPr>
                <w:sz w:val="24"/>
                <w:szCs w:val="24"/>
                <w:color w:val="auto"/>
              </w:rPr>
            </w:pPr>
          </w:p>
        </w:tc>
        <w:tc>
          <w:tcPr>
            <w:tcW w:w="110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40" w:type="dxa"/>
            <w:vAlign w:val="bottom"/>
          </w:tcPr>
          <w:p>
            <w:pPr>
              <w:spacing w:after="0"/>
              <w:rPr>
                <w:sz w:val="24"/>
                <w:szCs w:val="24"/>
                <w:color w:val="auto"/>
              </w:rPr>
            </w:pPr>
          </w:p>
        </w:tc>
        <w:tc>
          <w:tcPr>
            <w:tcW w:w="108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0" w:type="dxa"/>
            <w:vAlign w:val="bottom"/>
          </w:tcPr>
          <w:p>
            <w:pPr>
              <w:spacing w:after="0"/>
              <w:rPr>
                <w:sz w:val="24"/>
                <w:szCs w:val="24"/>
                <w:color w:val="auto"/>
              </w:rPr>
            </w:pP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 w:type="dxa"/>
            <w:vAlign w:val="bottom"/>
          </w:tcPr>
          <w:p>
            <w:pPr>
              <w:spacing w:after="0"/>
              <w:rPr>
                <w:sz w:val="24"/>
                <w:szCs w:val="24"/>
                <w:color w:val="auto"/>
              </w:rPr>
            </w:pPr>
          </w:p>
        </w:tc>
        <w:tc>
          <w:tcPr>
            <w:tcW w:w="112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6"/>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1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7.2</w:t>
            </w:r>
          </w:p>
        </w:tc>
        <w:tc>
          <w:tcPr>
            <w:tcW w:w="1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13.5</w:t>
            </w:r>
          </w:p>
        </w:tc>
        <w:tc>
          <w:tcPr>
            <w:tcW w:w="1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15.5</w:t>
            </w:r>
          </w:p>
        </w:tc>
        <w:tc>
          <w:tcPr>
            <w:tcW w:w="18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10.4</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r>
      <w:tr>
        <w:trPr>
          <w:trHeight w:val="220"/>
        </w:trPr>
        <w:tc>
          <w:tcPr>
            <w:tcW w:w="5500" w:type="dxa"/>
            <w:vAlign w:val="bottom"/>
            <w:gridSpan w:val="13"/>
          </w:tcPr>
          <w:p>
            <w:pPr>
              <w:ind w:left="2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68"/>
        </w:trPr>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27, 2021</w:t>
            </w: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318"/>
        </w:trPr>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0" w:type="dxa"/>
            <w:vAlign w:val="bottom"/>
          </w:tcPr>
          <w:p>
            <w:pPr>
              <w:spacing w:after="0"/>
              <w:rPr>
                <w:sz w:val="24"/>
                <w:szCs w:val="24"/>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20" w:type="dxa"/>
            <w:vAlign w:val="bottom"/>
          </w:tcPr>
          <w:p>
            <w:pPr>
              <w:spacing w:after="0"/>
              <w:rPr>
                <w:sz w:val="24"/>
                <w:szCs w:val="24"/>
                <w:color w:val="auto"/>
              </w:rPr>
            </w:pPr>
          </w:p>
        </w:tc>
        <w:tc>
          <w:tcPr>
            <w:tcW w:w="11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40" w:type="dxa"/>
            <w:vAlign w:val="bottom"/>
          </w:tcPr>
          <w:p>
            <w:pPr>
              <w:spacing w:after="0"/>
              <w:rPr>
                <w:sz w:val="24"/>
                <w:szCs w:val="24"/>
                <w:color w:val="auto"/>
              </w:rPr>
            </w:pPr>
          </w:p>
        </w:tc>
        <w:tc>
          <w:tcPr>
            <w:tcW w:w="108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0" w:type="dxa"/>
            <w:vAlign w:val="bottom"/>
          </w:tcPr>
          <w:p>
            <w:pPr>
              <w:spacing w:after="0"/>
              <w:rPr>
                <w:sz w:val="24"/>
                <w:szCs w:val="24"/>
                <w:color w:val="auto"/>
              </w:rPr>
            </w:pPr>
          </w:p>
        </w:tc>
        <w:tc>
          <w:tcPr>
            <w:tcW w:w="10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 w:type="dxa"/>
            <w:vAlign w:val="bottom"/>
          </w:tcPr>
          <w:p>
            <w:pPr>
              <w:spacing w:after="0"/>
              <w:rPr>
                <w:sz w:val="24"/>
                <w:szCs w:val="24"/>
                <w:color w:val="auto"/>
              </w:rPr>
            </w:pPr>
          </w:p>
        </w:tc>
        <w:tc>
          <w:tcPr>
            <w:tcW w:w="1120" w:type="dxa"/>
            <w:vAlign w:val="bottom"/>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6"/>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1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7.1</w:t>
            </w:r>
          </w:p>
        </w:tc>
        <w:tc>
          <w:tcPr>
            <w:tcW w:w="1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top w:val="single" w:sz="8" w:color="CCEEFF"/>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14.4</w:t>
            </w:r>
          </w:p>
        </w:tc>
        <w:tc>
          <w:tcPr>
            <w:tcW w:w="1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7.5</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design, manufacture and market wood and wood-alternative products, primarily used to enhance outdoor living environments, for national home centers and other retailers, structural lumber and other products for the manufactured housing industry, engineered wood components for residential and commercial construction, customized interior fixtures used in a variety of retail stores, commercial, and other structures, and specialty wood packaging, components and packing materials for various industries. Our strategic long-term sales objectives include:</w:t>
      </w:r>
    </w:p>
    <w:p>
      <w:pPr>
        <w:spacing w:after="0" w:line="183" w:lineRule="exact"/>
        <w:rPr>
          <w:sz w:val="20"/>
          <w:szCs w:val="20"/>
          <w:color w:val="auto"/>
        </w:rPr>
      </w:pPr>
    </w:p>
    <w:p>
      <w:pPr>
        <w:jc w:val="both"/>
        <w:ind w:left="380" w:right="79" w:hanging="330"/>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Maximizing unit sales growth while achieving return on investment goals.</w:t>
      </w:r>
      <w:r>
        <w:rPr>
          <w:rFonts w:ascii="Times New Roman" w:cs="Times New Roman" w:eastAsia="Times New Roman" w:hAnsi="Times New Roman"/>
          <w:sz w:val="18"/>
          <w:szCs w:val="18"/>
          <w:color w:val="auto"/>
        </w:rPr>
        <w:t xml:space="preserve"> The following table presents estimates, for the periods indicated, of our percentage change in net sales which were attributable to changes in overall selling prices versus changes in units shipped.</w:t>
      </w:r>
    </w:p>
    <w:p>
      <w:pPr>
        <w:spacing w:after="0" w:line="182" w:lineRule="exact"/>
        <w:rPr>
          <w:rFonts w:ascii="Times New Roman" w:cs="Times New Roman" w:eastAsia="Times New Roman" w:hAnsi="Times New Roman"/>
          <w:sz w:val="18"/>
          <w:szCs w:val="18"/>
          <w:color w:val="auto"/>
        </w:rPr>
      </w:pPr>
    </w:p>
    <w:p>
      <w:pPr>
        <w:ind w:left="6780" w:hanging="170"/>
        <w:spacing w:after="0"/>
        <w:tabs>
          <w:tab w:leader="none" w:pos="6780" w:val="left"/>
        </w:tabs>
        <w:numPr>
          <w:ilvl w:val="1"/>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31"/>
        </w:trPr>
        <w:tc>
          <w:tcPr>
            <w:tcW w:w="48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in Selling</w:t>
            </w:r>
          </w:p>
        </w:tc>
        <w:tc>
          <w:tcPr>
            <w:tcW w:w="4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150"/>
              <w:spacing w:after="0" w:line="131"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760" w:type="dxa"/>
            <w:vAlign w:val="bottom"/>
            <w:tcBorders>
              <w:top w:val="single" w:sz="8" w:color="auto"/>
            </w:tcBorders>
            <w:gridSpan w:val="2"/>
          </w:tcPr>
          <w:p>
            <w:pPr>
              <w:jc w:val="center"/>
              <w:ind w:right="130"/>
              <w:spacing w:after="0" w:line="131"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720" w:type="dxa"/>
            <w:vAlign w:val="bottom"/>
            <w:gridSpan w:val="2"/>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860" w:type="dxa"/>
            <w:vAlign w:val="bottom"/>
            <w:gridSpan w:val="2"/>
            <w:vMerge w:val="continue"/>
          </w:tcPr>
          <w:p>
            <w:pPr>
              <w:spacing w:after="0"/>
              <w:rPr>
                <w:sz w:val="12"/>
                <w:szCs w:val="12"/>
                <w:color w:val="auto"/>
              </w:rPr>
            </w:pPr>
          </w:p>
        </w:tc>
        <w:tc>
          <w:tcPr>
            <w:tcW w:w="74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in Units</w:t>
            </w:r>
          </w:p>
        </w:tc>
        <w:tc>
          <w:tcPr>
            <w:tcW w:w="94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w:t>
            </w:r>
          </w:p>
        </w:tc>
        <w:tc>
          <w:tcPr>
            <w:tcW w:w="76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w:t>
            </w:r>
          </w:p>
        </w:tc>
        <w:tc>
          <w:tcPr>
            <w:tcW w:w="0" w:type="dxa"/>
            <w:vAlign w:val="bottom"/>
          </w:tcPr>
          <w:p>
            <w:pPr>
              <w:spacing w:after="0"/>
              <w:rPr>
                <w:sz w:val="1"/>
                <w:szCs w:val="1"/>
                <w:color w:val="auto"/>
              </w:rPr>
            </w:pPr>
          </w:p>
        </w:tc>
      </w:tr>
      <w:tr>
        <w:trPr>
          <w:trHeight w:val="180"/>
        </w:trPr>
        <w:tc>
          <w:tcPr>
            <w:tcW w:w="48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6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740" w:type="dxa"/>
            <w:vAlign w:val="bottom"/>
            <w:gridSpan w:val="2"/>
            <w:vMerge w:val="continue"/>
          </w:tcPr>
          <w:p>
            <w:pPr>
              <w:spacing w:after="0"/>
              <w:rPr>
                <w:sz w:val="15"/>
                <w:szCs w:val="15"/>
                <w:color w:val="auto"/>
              </w:rPr>
            </w:pPr>
          </w:p>
        </w:tc>
        <w:tc>
          <w:tcPr>
            <w:tcW w:w="94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2022 versus First quarter 2021</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80" w:right="79" w:hanging="330"/>
        <w:spacing w:after="0" w:line="261"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Diversifying our end market sales mix</w:t>
      </w:r>
      <w:r>
        <w:rPr>
          <w:rFonts w:ascii="Times New Roman" w:cs="Times New Roman" w:eastAsia="Times New Roman" w:hAnsi="Times New Roman"/>
          <w:sz w:val="18"/>
          <w:szCs w:val="18"/>
          <w:color w:val="auto"/>
        </w:rPr>
        <w:t xml:space="preserve"> by increasing sales of structural wood and protective packaging to industrial users, increasing our penetration of the concrete forming market, increasing our sales of engineered wood components for custom home, multi-family, military and light commercial construction, and increasing our market share with independent retailers.</w:t>
      </w:r>
    </w:p>
    <w:p>
      <w:pPr>
        <w:spacing w:after="0" w:line="17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Expanding geographically in our core businesses</w:t>
      </w:r>
      <w:r>
        <w:rPr>
          <w:rFonts w:ascii="Times New Roman" w:cs="Times New Roman" w:eastAsia="Times New Roman" w:hAnsi="Times New Roman"/>
          <w:sz w:val="18"/>
          <w:szCs w:val="18"/>
          <w:color w:val="auto"/>
        </w:rPr>
        <w:t>, domestically and internationally.</w:t>
      </w:r>
    </w:p>
    <w:p>
      <w:pPr>
        <w:spacing w:after="0" w:line="225" w:lineRule="exact"/>
        <w:rPr>
          <w:rFonts w:ascii="Times New Roman" w:cs="Times New Roman" w:eastAsia="Times New Roman" w:hAnsi="Times New Roman"/>
          <w:sz w:val="18"/>
          <w:szCs w:val="18"/>
          <w:color w:val="auto"/>
        </w:rPr>
      </w:pPr>
    </w:p>
    <w:p>
      <w:pPr>
        <w:jc w:val="both"/>
        <w:ind w:left="380" w:right="79" w:hanging="330"/>
        <w:spacing w:after="0" w:line="254"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Increasing our sales of "value-added" products and enhancing our product offering with new or improved products. </w:t>
      </w:r>
      <w:r>
        <w:rPr>
          <w:rFonts w:ascii="Times New Roman" w:cs="Times New Roman" w:eastAsia="Times New Roman" w:hAnsi="Times New Roman"/>
          <w:sz w:val="18"/>
          <w:szCs w:val="18"/>
          <w:color w:val="auto"/>
        </w:rPr>
        <w:t>Value-added products generally consist of fencing, decking, lattice, and other specialty products sold to the retail market, structural wood packaging, engineered wood components, customized interior fixtures, manufactured and assembled concrete forms, and "wood alternative" products. Engineered wood components include roof trusses, wall panels, and floor systems. Wood alternative products consist of products manufactured with wood and non-wood composites, metal, and plastics.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w:t>
      </w:r>
    </w:p>
    <w:p>
      <w:pPr>
        <w:spacing w:after="0" w:line="188" w:lineRule="exact"/>
        <w:rPr>
          <w:sz w:val="20"/>
          <w:szCs w:val="20"/>
          <w:color w:val="auto"/>
        </w:rPr>
      </w:pPr>
    </w:p>
    <w:p>
      <w:pPr>
        <w:ind w:left="38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percentage of value-added and commodity-based sales to total sales by our segments: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060" w:type="dxa"/>
            <w:vAlign w:val="bottom"/>
          </w:tcPr>
          <w:p>
            <w:pPr>
              <w:spacing w:after="0"/>
              <w:rPr>
                <w:sz w:val="15"/>
                <w:szCs w:val="15"/>
                <w:color w:val="auto"/>
              </w:rPr>
            </w:pPr>
          </w:p>
        </w:tc>
        <w:tc>
          <w:tcPr>
            <w:tcW w:w="24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26, 2022</w:t>
            </w:r>
          </w:p>
        </w:tc>
        <w:tc>
          <w:tcPr>
            <w:tcW w:w="24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27, 2021</w:t>
            </w:r>
          </w:p>
        </w:tc>
      </w:tr>
      <w:tr>
        <w:trPr>
          <w:trHeight w:val="169"/>
        </w:trPr>
        <w:tc>
          <w:tcPr>
            <w:tcW w:w="4060" w:type="dxa"/>
            <w:vAlign w:val="bottom"/>
          </w:tcPr>
          <w:p>
            <w:pPr>
              <w:spacing w:after="0"/>
              <w:rPr>
                <w:sz w:val="14"/>
                <w:szCs w:val="14"/>
                <w:color w:val="auto"/>
              </w:rPr>
            </w:pPr>
          </w:p>
        </w:tc>
        <w:tc>
          <w:tcPr>
            <w:tcW w:w="23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Value-Added   Commodity-Based</w:t>
            </w:r>
          </w:p>
        </w:tc>
        <w:tc>
          <w:tcPr>
            <w:tcW w:w="100" w:type="dxa"/>
            <w:vAlign w:val="bottom"/>
          </w:tcPr>
          <w:p>
            <w:pPr>
              <w:spacing w:after="0"/>
              <w:rPr>
                <w:sz w:val="14"/>
                <w:szCs w:val="14"/>
                <w:color w:val="auto"/>
              </w:rPr>
            </w:pPr>
          </w:p>
        </w:tc>
        <w:tc>
          <w:tcPr>
            <w:tcW w:w="23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Value-Added   Commodity-Based</w:t>
            </w:r>
          </w:p>
        </w:tc>
        <w:tc>
          <w:tcPr>
            <w:tcW w:w="80" w:type="dxa"/>
            <w:vAlign w:val="bottom"/>
          </w:tcPr>
          <w:p>
            <w:pPr>
              <w:spacing w:after="0"/>
              <w:rPr>
                <w:sz w:val="14"/>
                <w:szCs w:val="14"/>
                <w:color w:val="auto"/>
              </w:rPr>
            </w:pPr>
          </w:p>
        </w:tc>
      </w:tr>
      <w:tr>
        <w:trPr>
          <w:trHeight w:val="216"/>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59.2 %</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55.5 %</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80" w:type="dxa"/>
            <w:vAlign w:val="bottom"/>
            <w:shd w:val="clear" w:color="auto" w:fill="CCEEFF"/>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and Corporate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58.4 %</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58.2 %</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80" w:type="dxa"/>
            <w:vAlign w:val="bottom"/>
            <w:shd w:val="clear" w:color="auto" w:fill="CCEEFF"/>
          </w:tcPr>
          <w:p>
            <w:pPr>
              <w:spacing w:after="0"/>
              <w:rPr>
                <w:sz w:val="18"/>
                <w:szCs w:val="18"/>
                <w:color w:val="auto"/>
              </w:rPr>
            </w:pPr>
          </w:p>
        </w:tc>
      </w:tr>
    </w:tbl>
    <w:p>
      <w:pPr>
        <w:spacing w:after="0" w:line="153"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"value-added" resulted in a change in prior year's sales.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245" w:lineRule="exact"/>
        <w:rPr>
          <w:sz w:val="20"/>
          <w:szCs w:val="20"/>
          <w:color w:val="auto"/>
        </w:rPr>
      </w:pPr>
    </w:p>
    <w:p>
      <w:pPr>
        <w:jc w:val="both"/>
        <w:ind w:left="380" w:right="59"/>
        <w:spacing w:after="0" w:line="254" w:lineRule="auto"/>
        <w:rPr>
          <w:sz w:val="20"/>
          <w:szCs w:val="20"/>
          <w:color w:val="auto"/>
        </w:rPr>
      </w:pPr>
      <w:r>
        <w:rPr>
          <w:rFonts w:ascii="Times New Roman" w:cs="Times New Roman" w:eastAsia="Times New Roman" w:hAnsi="Times New Roman"/>
          <w:sz w:val="18"/>
          <w:szCs w:val="18"/>
          <w:color w:val="auto"/>
        </w:rPr>
        <w:t>The increase in our ratio of commodity-based product sales to total sales in the retail segment reflected in the table above is primarily due to the impact of higher lumber prices in the first quarter of 2022 as the selling prices of these products are generally indexed to the current Lumber Market at the time they are shipped and lumber costs comprise a much higher percentage of the selling price than they do for value-added products. The acquisition of Spartanburg also contributed to the increase in commodity-based sales of treated lumber in our retail segment. Our overall unit sales of value-added products increased approximately 6% in the first quarter of 2022 compared to 2021, including a 3% contribution from acquisitions and 3% organic growth. Our unit sales of commodity-based products increased approximately 15%, including a 12% contribution from acquisitions and 3% organic growth.</w:t>
      </w:r>
    </w:p>
    <w:p>
      <w:pPr>
        <w:spacing w:after="0" w:line="192" w:lineRule="exact"/>
        <w:rPr>
          <w:sz w:val="20"/>
          <w:szCs w:val="20"/>
          <w:color w:val="auto"/>
        </w:rPr>
      </w:pPr>
    </w:p>
    <w:p>
      <w:pPr>
        <w:jc w:val="both"/>
        <w:ind w:left="380" w:right="79" w:hanging="330"/>
        <w:spacing w:after="0" w:line="258"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Developing new products.</w:t>
      </w:r>
      <w:r>
        <w:rPr>
          <w:rFonts w:ascii="Times New Roman" w:cs="Times New Roman" w:eastAsia="Times New Roman" w:hAnsi="Times New Roman"/>
          <w:sz w:val="18"/>
          <w:szCs w:val="18"/>
          <w:color w:val="auto"/>
        </w:rPr>
        <w:t xml:space="preserve"> We define new products as those that will generate sales of at least a $1 million per year within 4 years of launch and are still growing and gaining market penetration. New product sales in the first quarter of 2022 increased 58%. Approximately $80 million of new product sales for the first three months of 2021, while still sold, were sunset in 2022 and excluded from the table below because they no longer meet the definition above. Our goal is to achieve annual new product sales of at least $525 million in 2022.</w:t>
      </w:r>
    </w:p>
    <w:p>
      <w:pPr>
        <w:spacing w:after="0" w:line="183"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presents new product sales in thousands: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New Product Sales by Segment</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55"/>
        </w:trPr>
        <w:tc>
          <w:tcPr>
            <w:tcW w:w="36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2"/>
          </w:tcPr>
          <w:p>
            <w:pPr>
              <w:jc w:val="right"/>
              <w:ind w:right="276"/>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51"/>
        </w:trPr>
        <w:tc>
          <w:tcPr>
            <w:tcW w:w="3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jc w:val="right"/>
              <w:ind w:right="357"/>
              <w:spacing w:after="0" w:line="151"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280" w:type="dxa"/>
            <w:vAlign w:val="bottom"/>
          </w:tcPr>
          <w:p>
            <w:pPr>
              <w:spacing w:after="0"/>
              <w:rPr>
                <w:sz w:val="13"/>
                <w:szCs w:val="13"/>
                <w:color w:val="auto"/>
              </w:rPr>
            </w:pPr>
          </w:p>
        </w:tc>
        <w:tc>
          <w:tcPr>
            <w:tcW w:w="1560" w:type="dxa"/>
            <w:vAlign w:val="bottom"/>
          </w:tcPr>
          <w:p>
            <w:pPr>
              <w:jc w:val="right"/>
              <w:ind w:right="376"/>
              <w:spacing w:after="0" w:line="151"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360" w:type="dxa"/>
            <w:vAlign w:val="bottom"/>
            <w:gridSpan w:val="2"/>
          </w:tcPr>
          <w:p>
            <w:pPr>
              <w:jc w:val="right"/>
              <w:ind w:right="279"/>
              <w:spacing w:after="0" w:line="151" w:lineRule="exact"/>
              <w:rPr>
                <w:sz w:val="20"/>
                <w:szCs w:val="20"/>
                <w:color w:val="auto"/>
              </w:rPr>
            </w:pPr>
            <w:r>
              <w:rPr>
                <w:rFonts w:ascii="Calibri" w:cs="Calibri" w:eastAsia="Calibri" w:hAnsi="Calibri"/>
                <w:sz w:val="14"/>
                <w:szCs w:val="14"/>
                <w:b w:val="1"/>
                <w:bCs w:val="1"/>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80"/>
        </w:trPr>
        <w:tc>
          <w:tcPr>
            <w:tcW w:w="3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40" w:type="dxa"/>
            <w:vAlign w:val="bottom"/>
            <w:gridSpan w:val="2"/>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16"/>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65,765</w:t>
            </w:r>
          </w:p>
        </w:tc>
        <w:tc>
          <w:tcPr>
            <w:tcW w:w="2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51,902</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35,662</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and Corporate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r>
      <w:tr>
        <w:trPr>
          <w:trHeight w:val="216"/>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New Product Sales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95,209</w:t>
            </w:r>
          </w:p>
        </w:tc>
        <w:tc>
          <w:tcPr>
            <w:tcW w:w="13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"new" resulted in a change in prior year's sales.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Retail Segment</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Net sales in the first quarter of 2022 increased by 31% compared to the same period of 2021, due to a 19% increase in selling prices, acquisition unit growth of 12%, a 3% decrease due to the transfer of certain sales to the Construction segment, and an organic unit increase of 1%. We experienced organic unit growth in our UFP Edge (7%) and Retail Building Products (4%) business units. These increases were offset by organic unit decreases in our Sunbelt (3%), ProWood (2%), Deckorators (7%), Handprint (21%), and Outdoor Essentials (2%) business units. Our Deckorators business unit includes a variety of other products besides composite decking. Sales of accessories, such as plastic lattice, post caps, and balusters, reported a decline of 13%, while our composite decking unit sales increased by 5%. Capacity expansion contributed to our unit increases in Deckorators decking and UFP Edge, and we believe the investments we’ve made in these business units will add planned sales of nearly $100 million to the Retail segment in 2022. Finally, sales to big box customers were up 30%, while sales to independent retailers increased 31%.</w:t>
      </w:r>
    </w:p>
    <w:p>
      <w:pPr>
        <w:spacing w:after="0" w:line="19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Gross profits increased by $33.9 million, or 33.7% to $134.3 million for the first quarter of 2022 compared to the same period last year. Our increase in gross profit was attributable to the following</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operations contributed $12 million to the increase in gross profits.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profits of our Sunbelt and ProWood business units increased by a total of $12.1 million, primarily due to the favorable trend of rising lumber prices as the selling prices of these products are primarily determined on a variable price formula.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245" w:lineRule="exact"/>
        <w:rPr>
          <w:sz w:val="20"/>
          <w:szCs w:val="20"/>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UFP Edge and Retail Building Products business units contributed $8 million to the increase in gross profits.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Deckorators contributed $3 million to the increase in gross profits.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by approximately $15.6 million, or 33.1%, in the first quarter of 2022 compared to the same period of 2021. The SG&amp;A of recently acquired businesses contributed $2.6 million to the change in SG&amp;A. Accrued bonus expense, which varies with our overall profitability and return on investment, increased approximtely $6.7 million and totaled approximately $20.7 million for the quarter. The remaining change was primarily due to increases in salaries and wages of $2.9 million, travel related expenses of $0.8 million, and sales incentive compensation of $0.6 million.</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Retail reportable segment increased in the first quarter of 2022 compared to 2021 by $17.8 million, or 33%, as a result of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Industrial Segment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sales in the first quarter of 2022 increased 36% compared to the same period of 2021, due to a 39% increase in selling prices, acquisition unit growth of 1%, and a 4% decrease in organic unit sales. The increase in our selling prices is a result of increases in lumber and other operating costs we’ve been able to pass on to customers, executing value-based selling initiatives, and maintaining pricing discipline as we operate in an environment of elevated demand and capacity</w:t>
      </w:r>
    </w:p>
    <w:p>
      <w:pPr>
        <w:spacing w:after="0" w:line="58"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8"/>
          <w:szCs w:val="18"/>
          <w:color w:val="auto"/>
        </w:rPr>
        <w:t>constraints. The components of our change in organic unit sales includes market share gains associated with $36 million in sales to new customers, $18 million of sales to new locations of existing customers, and $22 million of new product sales. These gains were offset by the loss of unit sales on less profitable accounts.</w:t>
      </w:r>
    </w:p>
    <w:p>
      <w:pPr>
        <w:spacing w:after="0" w:line="16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Gross profits increased by $69.2 million, or 86.2%, for the first quarter of 2022 compared to the same period last year. Acquisitions contributed $1.7 million to the increase in gross profit. The remaining increase is a result of the pricing increases discussed above as well as favorable changes in our value-added sales mix. Excluding acquisitions, we estimate that value-added and commodity-based products contributed $49.9 million and $17.8 million, respectively, to the increase in gross profit.</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by approximately $27.1 million, or 67.6%, in the first quarter of 2022 compared to the same period of 2021. Acquired operations since the second quarter of 2021 contributed approximately $1.3 million to our increase in costs. Accrued bonus expense, which varies with our overall profitability and return on investment, increased approximately $13.0 million, and totaled $23.7 million for the quarter. The remaining increase was primarily due to increases in sales incentive compensation of $4.7 million, salaries and wages of $2.7 million, bed debt expense of $1.7 million, and travel related expenses of $0.7 million.</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Industrial reportable segment increased in the first quarter of 2022 compared to 2021 by $42.0 million, or 103.9%, due to the factors discussed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Construction Segment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Net sales in the first quarter of 2022 increased 41% compared to the same period of 2021, due to a 26% increase in selling prices, 3% due to the transfer of certain sales from the Retail segment, organic unit sales growth of 11%, and 1% growth from recent acquisitions. Organic unit changes within this segment consisted of increases of 30% in commercial construction, 16% in factory-built housing, 1% in site-built construction, and 13% in concrete forming. As of March 26, 2022 and December 25, 2021, we estimate that backlog orders associated with commercial construction approximated $93.0 million and $84.6 million, respectively. As of March 26, 2022 and December 25, 2021, we estimate that backlog orders associated with site-built construction approximated $141 million and $113.5 million, respectively. We expect that the orders above will be primarily filled within the next fiscal year; however, it is possible that some orders could be canceled.</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Gross profits increased by $73.0 million, or 82.0%, for the first quarter of 2022 compared to the same period of 2021. The increase in our gross profit was comprised of the following factors:</w:t>
      </w:r>
    </w:p>
    <w:p>
      <w:pPr>
        <w:spacing w:after="0" w:line="162" w:lineRule="exact"/>
        <w:rPr>
          <w:sz w:val="20"/>
          <w:szCs w:val="20"/>
          <w:color w:val="auto"/>
        </w:rPr>
      </w:pPr>
    </w:p>
    <w:p>
      <w:pPr>
        <w:jc w:val="both"/>
        <w:ind w:left="720" w:right="7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profits in our site-built construction business unit increased by $36.2 million as a result of being more selective in the business that we take during this period of elevated demand and capacity constraints. As a result, our profit per unit has improved.</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profits in our factory-built housing business unit increased $25.2 million as a result of increased unit sales and leveraging fixed costs.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concrete forming business unit increased by $8.5 million, including $3.8 million as a result of the transfer of sales from the Retail segment.</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commercial construction business unit increased $2.2 million as a result of increased unit sales, better productivity and other operational improvements, and improved pricing discipline.</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businesses contributed $0.9 million.</w:t>
      </w:r>
    </w:p>
    <w:p>
      <w:pPr>
        <w:spacing w:after="0" w:line="225"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by approximately $26.8 million, or 48.2%, in the first quarter of 2022 compared to the same period of 2021. Acquired operations since the second quarter of 2021 contributed approximately $0.9 million to total SG&amp;A expenses for the quarter. Accrued bonus expense, which varies with our overall profitability and return on investment, increased approximately $13.7 million, and totaled $22.7 million for the quarter. The remaining increase was primarily due to increases in sales incentive compensation of $5.0 million, salaries and wages of $1.9 million, bad debt expense of $1.4 million, and travel related expenses of $0.6 million.</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Construction reportable segment increased in the first quarter of 2022 compared to 2021 by $45.8 million, or 138.7%, due to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All Other Segment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All Other reportable segment consists of our International and Ardellis (our insurance captive) segments that are not significant.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corporate segment consists of over (under) allocated costs that are not significant.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foreign, state and local income taxes and permanent tax differences. Our effective tax rate was 24.0% in the first quarter of 2022 compared to 23.3% for same period in 2021. The increase was primarily due to one-time tax credit refunds recorded as a discrete item in the first quarter of 2021 that are not available in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no significant off-balance sheet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for the periods indicated, a summary of our cash flow statement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5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4"/>
        </w:trPr>
        <w:tc>
          <w:tcPr>
            <w:tcW w:w="5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35"/>
              <w:spacing w:after="0" w:line="124"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54"/>
              <w:spacing w:after="0" w:line="124" w:lineRule="exact"/>
              <w:rPr>
                <w:sz w:val="20"/>
                <w:szCs w:val="20"/>
                <w:color w:val="auto"/>
              </w:rPr>
            </w:pPr>
            <w:r>
              <w:rPr>
                <w:rFonts w:ascii="Times New Roman" w:cs="Times New Roman" w:eastAsia="Times New Roman" w:hAnsi="Times New Roman"/>
                <w:sz w:val="14"/>
                <w:szCs w:val="14"/>
                <w:b w:val="1"/>
                <w:bCs w:val="1"/>
                <w:color w:val="auto"/>
              </w:rPr>
              <w:t>March 27,</w:t>
            </w:r>
          </w:p>
        </w:tc>
      </w:tr>
      <w:tr>
        <w:trPr>
          <w:trHeight w:val="180"/>
        </w:trPr>
        <w:tc>
          <w:tcPr>
            <w:tcW w:w="578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(196,660)</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(296,498)</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from financing activities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101,927</w:t>
            </w:r>
          </w:p>
        </w:tc>
      </w:tr>
      <w:tr>
        <w:trPr>
          <w:trHeight w:val="223"/>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all cash and cash equivalents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(391,580)</w:t>
            </w:r>
          </w:p>
        </w:tc>
      </w:tr>
      <w:tr>
        <w:trPr>
          <w:trHeight w:val="223"/>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291,223</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436,608</w:t>
            </w:r>
          </w:p>
        </w:tc>
      </w:tr>
      <w:tr>
        <w:trPr>
          <w:trHeight w:val="216"/>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45,028</w:t>
            </w:r>
          </w:p>
        </w:tc>
      </w:tr>
      <w:tr>
        <w:trPr>
          <w:trHeight w:val="20"/>
        </w:trPr>
        <w:tc>
          <w:tcPr>
            <w:tcW w:w="5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general, we fund our growth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due to our primary selling season which occurs during the period from March to September. Consequently, our working capital increases during our first and second quarters which typically results in negative or modest cash flows from operations during those periods. Conversely, we typically experience a substantial decrease in working capital once we move beyond our peak selling season which typically results in significant cash flows from operations in our third and fourth quarters.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Due to the seasonality of our business and the effects of the Lumber Market, we believe our cash cycle (days of sales outstanding plus days supply of inventory less days payables outstanding) is a good indicator of our working capital management. As indicated in the table below, our cash cycle increased to 53 days from 48 days during the first quarter of 2022 compared to the prior year period.</w:t>
      </w:r>
    </w:p>
    <w:p>
      <w:pPr>
        <w:spacing w:after="0" w:line="187" w:lineRule="exact"/>
        <w:rPr>
          <w:sz w:val="20"/>
          <w:szCs w:val="20"/>
          <w:color w:val="auto"/>
        </w:rPr>
      </w:pPr>
    </w:p>
    <w:tbl>
      <w:tblPr>
        <w:tblLayout w:type="fixed"/>
        <w:tblInd w:w="9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4"/>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2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72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80" w:type="dxa"/>
            <w:vAlign w:val="bottom"/>
          </w:tcPr>
          <w:p>
            <w:pPr>
              <w:spacing w:after="0"/>
              <w:rPr>
                <w:sz w:val="10"/>
                <w:szCs w:val="10"/>
                <w:color w:val="auto"/>
              </w:rPr>
            </w:pPr>
          </w:p>
        </w:tc>
      </w:tr>
      <w:tr>
        <w:trPr>
          <w:trHeight w:val="180"/>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400" w:type="dxa"/>
            <w:vAlign w:val="bottom"/>
            <w:gridSpan w:val="2"/>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7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Days of sales outstanding</w:t>
            </w:r>
          </w:p>
        </w:tc>
        <w:tc>
          <w:tcPr>
            <w:tcW w:w="17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Days supply of inventory</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Days payables outstanding</w:t>
            </w:r>
          </w:p>
        </w:tc>
        <w:tc>
          <w:tcPr>
            <w:tcW w:w="17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03"/>
        </w:trPr>
        <w:tc>
          <w:tcPr>
            <w:tcW w:w="37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Days in cash cycle</w:t>
            </w:r>
          </w:p>
        </w:tc>
        <w:tc>
          <w:tcPr>
            <w:tcW w:w="1780" w:type="dxa"/>
            <w:vAlign w:val="bottom"/>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increase in our days supply of inventory in the first three months of 2022 compared to the same period of 2021 was primarily due to a four day increase in our days supply of inventory to ensure we meet the delivery expectations or our customers and a one day increase in our receivables cycle.</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first three months of 2022, our cash consumed by operating activities was $245.0 million, which was comprised of net earnings of $193.1 million and $35.4 million of non-cash expenses, offset by a $473.5 million increase in working capital since the end of December 2021. Our cash flows used by operations increased by $48.4 million compared to the same period of last year primarily due to an increase in our investment in net working capital of $148.4 million compared to the prior year period, offset by an increase in our net earnings and non-cash expenses of $100.0 million. The increase in net working capital was due to higher lumber prices. the growth of our business, and an increase in our days supply of inventory.</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Purchases of property, plant, and equipment and acquisitions (refer to Note F for Business Combinations) and comprised most of our cash used in investing activities during the first three months of 2022 and totaled $32.1 million and $24.6 million, respectively. Total proceeds from the sales of property, plant, and equipment were $1.2 million. Outstanding purchase commitments on existing capital projects totaled approximately $68.7 million on March 26, 2022. Capital spending primarily consists of several projects to expand capacity to manufacture new and value-added products, achieve efficiencies through automation, make improvements to a number of facilities, and increase our transportation capacity (tractors, trailers) in order to meet higher volumes and replace old rolling stock. We intend to fund capital expenditures and purchase commitments through our operating cash flows for the balance of the year. We currently plan to spend between $175 million to $225 million on capital projects for the year with variability due to uncertainty about supplier lead times. Notable areas of capital spending include projects to increase the capacity and efficiency of our plants that produce our Deckorators mineral-based composite and wood-plastic composite decking and our UFP Edge siding, pattern and trim products, expand the capacity of machine-built pallet and site-built business units, and take advantage of automation opportunities.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Cash flows from financing activities primarily consisted of net borrowings of debt of approximately $101.5 million, the payment of quarterly dividends totaling $12.5 million ($0.20 per share), cash paid for repurchases of common stock of $0.5 million, and distributions to noncontrolling interests of $2.1 million. On April 20, 2022, our board of directors approved an increase in our second quarter dividend to $0.25 per share, payable on June 15, 2022, to shareholders of record on June 1, 2022. Additionally, in April 2022, we repurchased approximately 756,000 shares for $58.5 million, at an average share price of $77.40.</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March 26, 2022, we had $109.7 million outstanding on our $550 million revolving credit facility, and we had approximately $433.2 million in remaining availability after considering $7.1 million in outstanding letters of credit.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March 26, 2022.</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At the end of the first quarter of 2022, we have approximately $445.3 million in total liquidity, consisting of our net cash surplus and remaining availability under our revolving credit facility. As lumber prices normalize and we move beyond our peak selling season we anticipate the increase in net working capital will turn into strong operating cash flow in the third and fourth quarters.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CONSIDERATIONS AND REGULATIONS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See Notes to Unaudited Consolidated Condensed Financial Statements, Note E, “Commitments, Contingencies, and Guarantees.”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25, 2021.</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8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may enter into forward foreign exchange rate contracts in the future to mitigate foreign currency exchange risk. Historically, our hedge contracts are deemed immaterial to the financial statements, however any material hedge contract in the future will be disclosed.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880" w:right="79" w:hanging="317"/>
        <w:spacing w:after="0" w:line="261"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With the participation of management, our chief executive officer and chief financial officer, after evaluating the effectiveness of our disclosure controls and procedures (as defined in Exchange Act Rules 13a – 15e and 15d – 15e) as of the quarter ended March 26, 2022 (the “Evaluation Date”), have concluded that, as of such date, our disclosure controls and procedures were effective.</w:t>
      </w:r>
    </w:p>
    <w:p>
      <w:pPr>
        <w:spacing w:after="0" w:line="179"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Controls</w:t>
      </w:r>
      <w:r>
        <w:rPr>
          <w:rFonts w:ascii="Times New Roman" w:cs="Times New Roman" w:eastAsia="Times New Roman" w:hAnsi="Times New Roman"/>
          <w:sz w:val="18"/>
          <w:szCs w:val="18"/>
          <w:color w:val="auto"/>
        </w:rPr>
        <w:t>. During the quarter ended March 26, 2022, there were no changes in our internal control over financial reporting that materially affected, or is reasonably likely to materially affect, our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880" w:hanging="317"/>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Month</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w:t>
            </w: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r>
      <w:tr>
        <w:trPr>
          <w:trHeight w:val="209"/>
        </w:trPr>
        <w:tc>
          <w:tcPr>
            <w:tcW w:w="57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26, 2021 – January 29, 2022</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2,603,958</w:t>
            </w:r>
          </w:p>
        </w:tc>
      </w:tr>
      <w:tr>
        <w:trPr>
          <w:trHeight w:val="216"/>
        </w:trPr>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January 30 – February 26, 2022</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2,597,658</w:t>
            </w:r>
          </w:p>
        </w:tc>
      </w:tr>
      <w:tr>
        <w:trPr>
          <w:trHeight w:val="216"/>
        </w:trPr>
        <w:tc>
          <w:tcPr>
            <w:tcW w:w="5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27 – March 26, 2022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2,559,516</w:t>
            </w:r>
          </w:p>
        </w:tc>
      </w:tr>
      <w:tr>
        <w:trPr>
          <w:trHeight w:val="108"/>
        </w:trPr>
        <w:tc>
          <w:tcPr>
            <w:tcW w:w="2240" w:type="dxa"/>
            <w:vAlign w:val="bottom"/>
            <w:tcBorders>
              <w:bottom w:val="single" w:sz="8" w:color="auto"/>
            </w:tcBorders>
          </w:tcPr>
          <w:p>
            <w:pPr>
              <w:spacing w:after="0"/>
              <w:rPr>
                <w:sz w:val="9"/>
                <w:szCs w:val="9"/>
                <w:color w:val="auto"/>
              </w:rPr>
            </w:pPr>
          </w:p>
        </w:tc>
        <w:tc>
          <w:tcPr>
            <w:tcW w:w="3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Total number of shares purchased.</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ind w:left="380" w:hanging="330"/>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 as part of publicly announced plans or programs.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number of shares that may yet be purchased under the plans or programs.</w:t>
      </w:r>
    </w:p>
    <w:p>
      <w:pPr>
        <w:spacing w:after="0" w:line="20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November 14, 2001, the Board of Directors approved a share repurchase program (which succeeded a previous program) allowing us to repurchase up to 2.5 million shares of our common stock. On October 14, 2010, our Board authorized 2 million shares to be repurchased under our share repurchase program. On February 15, 2022, our Board authorized an additional 1.5 million shares to be repurchased under our existing share repurchase program. The total number of remaining shares that may be repurchased under the program is approximately 2.6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following exhibits (listed by number corresponding to the Exhibit Table as Item 601 in Regulation S-K) are filed with this report:</w:t>
      </w:r>
    </w:p>
    <w:p>
      <w:pPr>
        <w:spacing w:after="0" w:line="175" w:lineRule="exact"/>
        <w:rPr>
          <w:sz w:val="20"/>
          <w:szCs w:val="20"/>
          <w:color w:val="auto"/>
        </w:rPr>
      </w:pPr>
    </w:p>
    <w:p>
      <w:pPr>
        <w:ind w:left="540" w:hanging="490"/>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302 of the Sarbanes-Oxley Act of 2002 (18 U.S.C. 1350).</w:t>
      </w:r>
    </w:p>
    <w:p>
      <w:pPr>
        <w:spacing w:after="0" w:line="161"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302 of the Sarbanes-Oxley Act of 2002 (18 U.S.C. 1350).</w:t>
      </w:r>
    </w:p>
    <w:p>
      <w:pPr>
        <w:spacing w:after="0" w:line="161" w:lineRule="exact"/>
        <w:rPr>
          <w:rFonts w:ascii="Times New Roman" w:cs="Times New Roman" w:eastAsia="Times New Roman" w:hAnsi="Times New Roman"/>
          <w:sz w:val="18"/>
          <w:szCs w:val="18"/>
          <w:color w:val="auto"/>
        </w:rPr>
      </w:pPr>
    </w:p>
    <w:p>
      <w:pPr>
        <w:ind w:left="540" w:hanging="490"/>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906 of the Sarbanes-Oxley Act of 2002 (18 U.S.C. 1350).</w:t>
      </w:r>
    </w:p>
    <w:p>
      <w:pPr>
        <w:spacing w:after="0" w:line="161"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906 of the Sarbanes-Oxley Act of 2002 (18 U.S.C. 1350).</w:t>
      </w:r>
    </w:p>
    <w:p>
      <w:pPr>
        <w:spacing w:after="0" w:line="162" w:lineRule="exact"/>
        <w:rPr>
          <w:sz w:val="20"/>
          <w:szCs w:val="20"/>
          <w:color w:val="auto"/>
        </w:rPr>
      </w:pPr>
    </w:p>
    <w:p>
      <w:pPr>
        <w:ind w:left="540" w:right="1859" w:hanging="490"/>
        <w:spacing w:after="0" w:line="50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formatted in iXBRL (Inline eXtensible Business Reporting Language). (INS) iXBRL Instance Document.</w:t>
      </w:r>
    </w:p>
    <w:p>
      <w:pPr>
        <w:spacing w:after="0" w:line="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 iXBRL Schema Document.</w:t>
      </w:r>
    </w:p>
    <w:p>
      <w:pPr>
        <w:spacing w:after="0" w:line="225"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 iXBRL Taxonomy Extension Calculation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(LAB) iXBRL Taxonomy Extension Label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(PRE)  iXBRL Taxonomy Extension Presentation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(DEF) iXBRL Taxonomy Extension Definition Linkbase Document.</w:t>
      </w:r>
    </w:p>
    <w:p>
      <w:pPr>
        <w:spacing w:after="0" w:line="225"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8"/>
          <w:szCs w:val="18"/>
          <w:color w:val="auto"/>
        </w:rPr>
        <w:t>104</w:t>
        <w:tab/>
        <w:t>Cover Page Interactive Data File (the cover page XBRL tags are embedded in the Inline XBRL document).</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Date: </w:t>
      </w:r>
      <w:r>
        <w:rPr>
          <w:rFonts w:ascii="Times New Roman" w:cs="Times New Roman" w:eastAsia="Times New Roman" w:hAnsi="Times New Roman"/>
          <w:sz w:val="17"/>
          <w:szCs w:val="17"/>
          <w:u w:val="single" w:color="auto"/>
          <w:color w:val="auto"/>
        </w:rPr>
        <w:t>May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Date: </w:t>
      </w:r>
      <w:r>
        <w:rPr>
          <w:rFonts w:ascii="Times New Roman" w:cs="Times New Roman" w:eastAsia="Times New Roman" w:hAnsi="Times New Roman"/>
          <w:sz w:val="17"/>
          <w:szCs w:val="17"/>
          <w:u w:val="single" w:color="auto"/>
          <w:color w:val="auto"/>
        </w:rPr>
        <w:t>May 4, 2022</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17145</wp:posOffset>
            </wp:positionV>
            <wp:extent cx="26657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J. Missad,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and Principal Executive Officer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17145</wp:posOffset>
            </wp:positionV>
            <wp:extent cx="26657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R. Cole,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ectPr>
          <w:pgSz w:w="11900" w:h="16838" w:orient="portrait"/>
          <w:cols w:equalWidth="0" w:num="2">
            <w:col w:w="3700" w:space="720"/>
            <w:col w:w="4599"/>
          </w:cols>
          <w:pgMar w:left="1440" w:top="540" w:right="1440" w:bottom="1440" w:gutter="0" w:footer="0" w:header="0"/>
          <w:type w:val="continuous"/>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31" w:name="page32"/>
    <w:bookmarkEnd w:id="3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Matthew J. Missad, certify that:</w:t>
      </w:r>
    </w:p>
    <w:p>
      <w:pPr>
        <w:spacing w:after="0" w:line="225" w:lineRule="exact"/>
        <w:rPr>
          <w:sz w:val="20"/>
          <w:szCs w:val="20"/>
          <w:color w:val="auto"/>
        </w:rPr>
      </w:pPr>
    </w:p>
    <w:p>
      <w:pPr>
        <w:ind w:left="540" w:hanging="490"/>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May 4, 2022</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Matthew J. Missad</w:t>
            </w:r>
          </w:p>
        </w:tc>
      </w:tr>
      <w:tr>
        <w:trPr>
          <w:trHeight w:val="20"/>
        </w:trPr>
        <w:tc>
          <w:tcPr>
            <w:tcW w:w="4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Missad,</w:t>
            </w:r>
          </w:p>
        </w:tc>
      </w:tr>
      <w:tr>
        <w:trPr>
          <w:trHeight w:val="234"/>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tc>
      </w:tr>
      <w:tr>
        <w:trPr>
          <w:trHeight w:val="776"/>
        </w:trPr>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2" w:name="page33"/>
    <w:bookmarkEnd w:id="3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Michael R. Cole, certify that:</w:t>
      </w:r>
    </w:p>
    <w:p>
      <w:pPr>
        <w:spacing w:after="0" w:line="225" w:lineRule="exact"/>
        <w:rPr>
          <w:sz w:val="20"/>
          <w:szCs w:val="20"/>
          <w:color w:val="auto"/>
        </w:rPr>
      </w:pPr>
    </w:p>
    <w:p>
      <w:pPr>
        <w:ind w:left="540" w:hanging="490"/>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May 4, 2022</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20"/>
        </w:trPr>
        <w:tc>
          <w:tcPr>
            <w:tcW w:w="4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tc>
      </w:tr>
      <w:tr>
        <w:trPr>
          <w:trHeight w:val="776"/>
        </w:trPr>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3" w:name="page34"/>
    <w:bookmarkEnd w:id="3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 Matthew J. Missad, Chief Executive Officer of UFP Industries, Inc., certify, to the best of my knowledge and belief, pursuant to Section 906 of the Sarbanes-Oxley Act of 2002 (18 U.S.C. 1350) that:</w:t>
      </w:r>
    </w:p>
    <w:p>
      <w:pPr>
        <w:spacing w:after="0" w:line="162" w:lineRule="exact"/>
        <w:rPr>
          <w:sz w:val="20"/>
          <w:szCs w:val="20"/>
          <w:color w:val="auto"/>
        </w:rPr>
      </w:pPr>
    </w:p>
    <w:p>
      <w:pPr>
        <w:jc w:val="both"/>
        <w:ind w:left="620" w:right="79" w:hanging="570"/>
        <w:spacing w:after="0" w:line="266" w:lineRule="auto"/>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March 26, 2022, which this statement accompanies, fully complies with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620" w:right="79" w:hanging="570"/>
        <w:spacing w:after="0" w:line="282" w:lineRule="auto"/>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March 26, 2022, fairly presents, in all material respects, the financial condition and results of operations of UFP Industries, Inc.</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4, 2022</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Matthew J. Missad</w:t>
            </w:r>
          </w:p>
        </w:tc>
      </w:tr>
      <w:tr>
        <w:trPr>
          <w:trHeight w:val="20"/>
        </w:trPr>
        <w:tc>
          <w:tcPr>
            <w:tcW w:w="4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Missad,</w:t>
            </w:r>
          </w:p>
        </w:tc>
      </w:tr>
      <w:tr>
        <w:trPr>
          <w:trHeight w:val="234"/>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4" w:name="page35"/>
    <w:bookmarkEnd w:id="3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 Michael R. Cole, Chief Financial Officer of UFP Industries, Inc., certify, to the best of my knowledge and belief, pursuant to Section 906 of the Sarbanes-Oxley Act of 2002 (18 U.S.C. 1350) that:</w:t>
      </w:r>
    </w:p>
    <w:p>
      <w:pPr>
        <w:spacing w:after="0" w:line="162" w:lineRule="exact"/>
        <w:rPr>
          <w:sz w:val="20"/>
          <w:szCs w:val="20"/>
          <w:color w:val="auto"/>
        </w:rPr>
      </w:pPr>
    </w:p>
    <w:p>
      <w:pPr>
        <w:jc w:val="both"/>
        <w:ind w:left="620" w:right="79" w:hanging="570"/>
        <w:spacing w:after="0" w:line="266" w:lineRule="auto"/>
        <w:tabs>
          <w:tab w:leader="none" w:pos="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March 26, 2022, which this statement accompanies, fully complies with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620" w:right="79" w:hanging="570"/>
        <w:spacing w:after="0" w:line="282" w:lineRule="auto"/>
        <w:tabs>
          <w:tab w:leader="none" w:pos="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March 26, 2022, fairly presents, in all material respects, the financial condition and results of operations of UFP Industries, Inc.</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4, 2022</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20"/>
        </w:trPr>
        <w:tc>
          <w:tcPr>
            <w:tcW w:w="4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upperLetter"/>
      <w:start w:val="1"/>
    </w:lvl>
  </w:abstractNum>
  <w:abstractNum w:abstractNumId="3">
    <w:nsid w:val="431BD7B7"/>
    <w:multiLevelType w:val="hybridMultilevel"/>
    <w:lvl w:ilvl="0">
      <w:lvlJc w:val="left"/>
      <w:lvlText w:val="%1."/>
      <w:numFmt w:val="upperLetter"/>
      <w:start w:val="2"/>
    </w:lvl>
  </w:abstractNum>
  <w:abstractNum w:abstractNumId="4">
    <w:nsid w:val="3F2DBA31"/>
    <w:multiLevelType w:val="hybridMultilevel"/>
    <w:lvl w:ilvl="0">
      <w:lvlJc w:val="left"/>
      <w:lvlText w:val="%1."/>
      <w:numFmt w:val="upperLetter"/>
      <w:start w:val="3"/>
    </w:lvl>
  </w:abstractNum>
  <w:abstractNum w:abstractNumId="5">
    <w:nsid w:val="7C83E458"/>
    <w:multiLevelType w:val="hybridMultilevel"/>
    <w:lvl w:ilvl="0">
      <w:lvlJc w:val="left"/>
      <w:lvlText w:val="%1."/>
      <w:numFmt w:val="upperLetter"/>
      <w:start w:val="4"/>
    </w:lvl>
  </w:abstractNum>
  <w:abstractNum w:abstractNumId="6">
    <w:nsid w:val="257130A3"/>
    <w:multiLevelType w:val="hybridMultilevel"/>
    <w:lvl w:ilvl="0">
      <w:lvlJc w:val="left"/>
      <w:lvlText w:val="%1."/>
      <w:numFmt w:val="upperLetter"/>
      <w:start w:val="5"/>
    </w:lvl>
  </w:abstractNum>
  <w:abstractNum w:abstractNumId="7">
    <w:nsid w:val="62BBD95A"/>
    <w:multiLevelType w:val="hybridMultilevel"/>
    <w:lvl w:ilvl="0">
      <w:lvlJc w:val="left"/>
      <w:lvlText w:val="%1."/>
      <w:numFmt w:val="upperLetter"/>
      <w:start w:val="6"/>
    </w:lvl>
  </w:abstractNum>
  <w:abstractNum w:abstractNumId="8">
    <w:nsid w:val="436C6125"/>
    <w:multiLevelType w:val="hybridMultilevel"/>
    <w:lvl w:ilvl="0">
      <w:lvlJc w:val="left"/>
      <w:lvlText w:val="%1."/>
      <w:numFmt w:val="upperLetter"/>
      <w:start w:val="7"/>
    </w:lvl>
  </w:abstractNum>
  <w:abstractNum w:abstractNumId="9">
    <w:nsid w:val="628C895D"/>
    <w:multiLevelType w:val="hybridMultilevel"/>
    <w:lvl w:ilvl="0">
      <w:lvlJc w:val="left"/>
      <w:lvlText w:val="%1."/>
      <w:numFmt w:val="upperLetter"/>
      <w:start w:val="8"/>
    </w:lvl>
  </w:abstractNum>
  <w:abstractNum w:abstractNumId="10">
    <w:nsid w:val="333AB105"/>
    <w:multiLevelType w:val="hybridMultilevel"/>
    <w:lvl w:ilvl="0">
      <w:lvlJc w:val="left"/>
      <w:lvlText w:val="%1."/>
      <w:numFmt w:val="upperLetter"/>
      <w:start w:val="9"/>
    </w:lvl>
  </w:abstractNum>
  <w:abstractNum w:abstractNumId="11">
    <w:nsid w:val="721DA317"/>
    <w:multiLevelType w:val="hybridMultilevel"/>
    <w:lvl w:ilvl="0">
      <w:lvlJc w:val="left"/>
      <w:lvlText w:val="%1."/>
      <w:numFmt w:val="upperLetter"/>
      <w:start w:val="10"/>
    </w:lvl>
  </w:abstractNum>
  <w:abstractNum w:abstractNumId="12">
    <w:nsid w:val="2443A858"/>
    <w:multiLevelType w:val="hybridMultilevel"/>
    <w:lvl w:ilvl="0">
      <w:lvlJc w:val="left"/>
      <w:lvlText w:val="%1."/>
      <w:numFmt w:val="upperLetter"/>
      <w:start w:val="1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lvl w:ilvl="1">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2"/>
    </w:lvl>
  </w:abstractNum>
  <w:abstractNum w:abstractNumId="26">
    <w:nsid w:val="3A95F874"/>
    <w:multiLevelType w:val="hybridMultilevel"/>
    <w:lvl w:ilvl="0">
      <w:lvlJc w:val="left"/>
      <w:lvlText w:val="%1"/>
      <w:numFmt w:val="decimal"/>
      <w:start w:val="31"/>
    </w:lvl>
    <w:lvl w:ilvl="1">
      <w:lvlJc w:val="left"/>
      <w:lvlText w:val="(%2)"/>
      <w:numFmt w:val="lowerLetter"/>
      <w:start w:val="1"/>
    </w:lvl>
  </w:abstractNum>
  <w:abstractNum w:abstractNumId="27">
    <w:nsid w:val="8138641"/>
    <w:multiLevelType w:val="hybridMultilevel"/>
    <w:lvl w:ilvl="0">
      <w:lvlJc w:val="left"/>
      <w:lvlText w:val="%1"/>
      <w:numFmt w:val="decimal"/>
      <w:start w:val="10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2022-05-04T11:58:45Z</dcterms:created>
  <dcterms:modified xsi:type="dcterms:W3CDTF">2022-05-04T11:58:45Z</dcterms:modified>
</cp:coreProperties>
</file>