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 Form 5</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line="268" w:lineRule="exact"/>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gridSpan w:val="4"/>
            <w:vMerge w:val="restart"/>
          </w:tcPr>
          <w:p>
            <w:pPr>
              <w:jc w:val="center"/>
              <w:ind w:right="292"/>
              <w:spacing w:after="0" w:line="150"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4"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gridSpan w:val="4"/>
          </w:tcPr>
          <w:p>
            <w:pPr>
              <w:ind w:left="260"/>
              <w:spacing w:after="0" w:line="72" w:lineRule="exact"/>
              <w:rPr>
                <w:sz w:val="20"/>
                <w:szCs w:val="20"/>
                <w:color w:val="auto"/>
              </w:rPr>
            </w:pPr>
            <w:r>
              <w:rPr>
                <w:rFonts w:ascii="Arial" w:cs="Arial" w:eastAsia="Arial" w:hAnsi="Arial"/>
                <w:sz w:val="8"/>
                <w:szCs w:val="8"/>
                <w:color w:val="auto"/>
              </w:rPr>
              <w:t xml:space="preserve">obligations may continue. </w:t>
            </w:r>
            <w:r>
              <w:rPr>
                <w:rFonts w:ascii="Arial" w:cs="Arial" w:eastAsia="Arial" w:hAnsi="Arial"/>
                <w:sz w:val="8"/>
                <w:szCs w:val="8"/>
                <w:i w:val="1"/>
                <w:iCs w:val="1"/>
                <w:color w:val="auto"/>
              </w:rPr>
              <w:t>See</w:t>
            </w:r>
          </w:p>
        </w:tc>
        <w:tc>
          <w:tcPr>
            <w:tcW w:w="6360" w:type="dxa"/>
            <w:vAlign w:val="bottom"/>
            <w:gridSpan w:val="19"/>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ind w:left="260"/>
              <w:spacing w:after="0"/>
              <w:rPr>
                <w:sz w:val="20"/>
                <w:szCs w:val="20"/>
                <w:color w:val="auto"/>
              </w:rPr>
            </w:pPr>
            <w:r>
              <w:rPr>
                <w:rFonts w:ascii="Arial" w:cs="Arial" w:eastAsia="Arial" w:hAnsi="Arial"/>
                <w:sz w:val="12"/>
                <w:szCs w:val="12"/>
                <w:color w:val="auto"/>
              </w:rPr>
              <w:t>Instruction 1(b).</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2"/>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restart"/>
          </w:tcPr>
          <w:p>
            <w:pPr>
              <w:spacing w:after="0" w:line="250" w:lineRule="exact"/>
              <w:rPr>
                <w:rFonts w:ascii="Times New Roman" w:cs="Times New Roman" w:eastAsia="Times New Roman" w:hAnsi="Times New Roman"/>
                <w:sz w:val="22"/>
                <w:szCs w:val="22"/>
                <w:color w:val="0000EE"/>
                <w:w w:val="96"/>
              </w:rPr>
            </w:pPr>
            <w:hyperlink r:id="rId8">
              <w:r>
                <w:rPr>
                  <w:rFonts w:ascii="Times New Roman" w:cs="Times New Roman" w:eastAsia="Times New Roman" w:hAnsi="Times New Roman"/>
                  <w:sz w:val="22"/>
                  <w:szCs w:val="22"/>
                  <w:color w:val="0000EE"/>
                  <w:w w:val="96"/>
                </w:rPr>
                <w:t>Klyn Ronald G</w:t>
              </w:r>
            </w:hyperlink>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Times New Roman" w:cs="Times New Roman" w:eastAsia="Times New Roman" w:hAnsi="Times New Roman"/>
                <w:sz w:val="16"/>
                <w:szCs w:val="16"/>
                <w:color w:val="0000EE"/>
              </w:rPr>
            </w:pPr>
            <w:hyperlink r:id="rId9">
              <w:r>
                <w:rPr>
                  <w:rFonts w:ascii="Times New Roman" w:cs="Times New Roman" w:eastAsia="Times New Roman" w:hAnsi="Times New Roman"/>
                  <w:sz w:val="16"/>
                  <w:szCs w:val="16"/>
                  <w:color w:val="0000EE"/>
                </w:rPr>
                <w:t xml:space="preserve">UNIVERSAL FOREST PRODUCTS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53"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53"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1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w w:val="76"/>
              </w:rPr>
              <w:t>X</w:t>
            </w:r>
          </w:p>
        </w:tc>
        <w:tc>
          <w:tcPr>
            <w:tcW w:w="1220" w:type="dxa"/>
            <w:vAlign w:val="bottom"/>
            <w:gridSpan w:val="4"/>
          </w:tcPr>
          <w:p>
            <w:pPr>
              <w:ind w:left="220"/>
              <w:spacing w:after="0" w:line="123" w:lineRule="exact"/>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0"/>
                <w:szCs w:val="10"/>
                <w:color w:val="auto"/>
              </w:rPr>
            </w:pPr>
          </w:p>
        </w:tc>
        <w:tc>
          <w:tcPr>
            <w:tcW w:w="1540" w:type="dxa"/>
            <w:vAlign w:val="bottom"/>
            <w:gridSpan w:val="6"/>
          </w:tcPr>
          <w:p>
            <w:pPr>
              <w:ind w:left="360"/>
              <w:spacing w:after="0" w:line="123" w:lineRule="exact"/>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tcBorders>
              <w:top w:val="single" w:sz="8" w:color="EEEEEE"/>
            </w:tcBorders>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20" w:type="dxa"/>
            <w:vAlign w:val="bottom"/>
            <w:vMerge w:val="restart"/>
          </w:tcPr>
          <w:p>
            <w:pPr>
              <w:ind w:left="220"/>
              <w:spacing w:after="0"/>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restart"/>
          </w:tcPr>
          <w:p>
            <w:pPr>
              <w:ind w:left="36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EEEEEE"/>
            </w:tcBorders>
            <w:vMerge w:val="continue"/>
          </w:tcPr>
          <w:p>
            <w:pPr>
              <w:spacing w:after="0"/>
              <w:rPr>
                <w:sz w:val="4"/>
                <w:szCs w:val="4"/>
                <w:color w:val="auto"/>
              </w:rPr>
            </w:pPr>
          </w:p>
        </w:tc>
        <w:tc>
          <w:tcPr>
            <w:tcW w:w="1880" w:type="dxa"/>
            <w:vAlign w:val="bottom"/>
            <w:tcBorders>
              <w:bottom w:val="single" w:sz="8" w:color="EEEEEE"/>
            </w:tcBorders>
            <w:gridSpan w:val="3"/>
            <w:vMerge w:val="continue"/>
          </w:tcPr>
          <w:p>
            <w:pPr>
              <w:spacing w:after="0"/>
              <w:rPr>
                <w:sz w:val="4"/>
                <w:szCs w:val="4"/>
                <w:color w:val="auto"/>
              </w:rPr>
            </w:pPr>
          </w:p>
        </w:tc>
        <w:tc>
          <w:tcPr>
            <w:tcW w:w="1220" w:type="dxa"/>
            <w:vAlign w:val="bottom"/>
            <w:tcBorders>
              <w:bottom w:val="single" w:sz="8" w:color="EEEEEE"/>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400"/>
              <w:spacing w:after="0" w:line="189" w:lineRule="exact"/>
              <w:rPr>
                <w:sz w:val="20"/>
                <w:szCs w:val="20"/>
                <w:color w:val="auto"/>
              </w:rPr>
            </w:pPr>
            <w:r>
              <w:rPr>
                <w:rFonts w:ascii="Times New Roman" w:cs="Times New Roman" w:eastAsia="Times New Roman" w:hAnsi="Times New Roman"/>
                <w:sz w:val="18"/>
                <w:szCs w:val="18"/>
                <w:color w:val="0000FF"/>
                <w:w w:val="99"/>
              </w:rPr>
              <w:t>Chief Information Officer</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jc w:val="right"/>
              <w:ind w:right="119"/>
              <w:spacing w:after="0"/>
              <w:rPr>
                <w:sz w:val="20"/>
                <w:szCs w:val="20"/>
                <w:color w:val="auto"/>
              </w:rPr>
            </w:pPr>
            <w:r>
              <w:rPr>
                <w:rFonts w:ascii="Times New Roman" w:cs="Times New Roman" w:eastAsia="Times New Roman" w:hAnsi="Times New Roman"/>
                <w:sz w:val="18"/>
                <w:szCs w:val="18"/>
                <w:color w:val="0000FF"/>
              </w:rPr>
              <w:t>12/25/2010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gridSpan w:val="4"/>
          </w:tcPr>
          <w:p>
            <w:pPr>
              <w:spacing w:after="0"/>
              <w:rPr>
                <w:sz w:val="15"/>
                <w:szCs w:val="15"/>
                <w:color w:val="auto"/>
              </w:rPr>
            </w:pPr>
          </w:p>
        </w:tc>
        <w:tc>
          <w:tcPr>
            <w:tcW w:w="180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304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6"/>
              </w:rPr>
              <w:t>GRAND</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0000FF"/>
                <w:w w:val="90"/>
              </w:rPr>
              <w:t>MI</w:t>
            </w:r>
          </w:p>
        </w:tc>
        <w:tc>
          <w:tcPr>
            <w:tcW w:w="1020" w:type="dxa"/>
            <w:vAlign w:val="bottom"/>
          </w:tcPr>
          <w:p>
            <w:pPr>
              <w:spacing w:after="0"/>
              <w:rPr>
                <w:sz w:val="9"/>
                <w:szCs w:val="9"/>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49525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6"/>
              </w:rPr>
              <w:t>RAPIDS</w:t>
            </w:r>
          </w:p>
        </w:tc>
        <w:tc>
          <w:tcPr>
            <w:tcW w:w="86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20" w:type="dxa"/>
            <w:vAlign w:val="bottom"/>
            <w:gridSpan w:val="13"/>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40" w:type="dxa"/>
            <w:vAlign w:val="bottom"/>
            <w:gridSpan w:val="11"/>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7980" w:type="dxa"/>
            <w:vAlign w:val="bottom"/>
            <w:tcBorders>
              <w:top w:val="single" w:sz="8" w:color="2C2C2C"/>
            </w:tcBorders>
            <w:gridSpan w:val="23"/>
          </w:tcPr>
          <w:p>
            <w:pPr>
              <w:jc w:val="center"/>
              <w:ind w:left="1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4"/>
                <w:szCs w:val="14"/>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4"/>
                <w:szCs w:val="14"/>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8"/>
              </w:rPr>
              <w:t>8,319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Pr>
          <w:p>
            <w:pPr>
              <w:spacing w:after="0"/>
              <w:rPr>
                <w:sz w:val="23"/>
                <w:szCs w:val="23"/>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12/25/2010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J</w:t>
            </w:r>
          </w:p>
        </w:tc>
        <w:tc>
          <w:tcPr>
            <w:tcW w:w="10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0000FF"/>
              </w:rPr>
              <w:t>334</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A</w:t>
            </w:r>
          </w:p>
        </w:tc>
        <w:tc>
          <w:tcPr>
            <w:tcW w:w="200" w:type="dxa"/>
            <w:vAlign w:val="bottom"/>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6"/>
              </w:rPr>
              <w:t>15,120</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8"/>
              </w:rPr>
              <w:t>2,072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by Trust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rPr>
              <w:t>12/15/2010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A</w:t>
            </w: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8"/>
                <w:szCs w:val="18"/>
                <w:color w:val="0000FF"/>
              </w:rPr>
              <w:t>22</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37.18</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0"/>
              <w:spacing w:after="0"/>
              <w:rPr>
                <w:sz w:val="20"/>
                <w:szCs w:val="20"/>
                <w:color w:val="auto"/>
              </w:rPr>
            </w:pPr>
            <w:r>
              <w:rPr>
                <w:rFonts w:ascii="Times New Roman" w:cs="Times New Roman" w:eastAsia="Times New Roman" w:hAnsi="Times New Roman"/>
                <w:sz w:val="18"/>
                <w:szCs w:val="18"/>
                <w:color w:val="0000FF"/>
                <w:w w:val="98"/>
              </w:rPr>
              <w:t>2,029</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6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Interest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0"/>
          </w:tcPr>
          <w:p>
            <w:pPr>
              <w:jc w:val="center"/>
              <w:ind w:left="78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60" w:type="dxa"/>
            <w:vAlign w:val="bottom"/>
            <w:gridSpan w:val="16"/>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1020" w:type="dxa"/>
            <w:vAlign w:val="bottom"/>
            <w:vMerge w:val="restart"/>
          </w:tcPr>
          <w:p>
            <w:pPr>
              <w:jc w:val="center"/>
              <w:ind w:left="252"/>
              <w:spacing w:after="0"/>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3"/>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vMerge w:val="restart"/>
          </w:tcPr>
          <w:p>
            <w:pPr>
              <w:jc w:val="right"/>
              <w:ind w:right="129"/>
              <w:spacing w:after="0" w:line="149" w:lineRule="exact"/>
              <w:rPr>
                <w:sz w:val="20"/>
                <w:szCs w:val="20"/>
                <w:color w:val="auto"/>
              </w:rPr>
            </w:pPr>
            <w:r>
              <w:rPr>
                <w:rFonts w:ascii="Times New Roman" w:cs="Times New Roman" w:eastAsia="Times New Roman" w:hAnsi="Times New Roman"/>
                <w:sz w:val="14"/>
                <w:szCs w:val="14"/>
                <w:color w:val="0000FF"/>
              </w:rPr>
              <w:t>12/15/2010</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360" w:type="dxa"/>
            <w:vAlign w:val="bottom"/>
            <w:vMerge w:val="restart"/>
          </w:tcPr>
          <w:p>
            <w:pPr>
              <w:jc w:val="right"/>
              <w:ind w:right="119"/>
              <w:spacing w:after="0" w:line="149" w:lineRule="exact"/>
              <w:rPr>
                <w:sz w:val="20"/>
                <w:szCs w:val="20"/>
                <w:color w:val="auto"/>
              </w:rPr>
            </w:pPr>
            <w:r>
              <w:rPr>
                <w:rFonts w:ascii="Times New Roman" w:cs="Times New Roman" w:eastAsia="Times New Roman" w:hAnsi="Times New Roman"/>
                <w:sz w:val="14"/>
                <w:szCs w:val="14"/>
                <w:color w:val="0000FF"/>
              </w:rPr>
              <w:t>4</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40"/>
              <w:spacing w:after="0" w:line="149" w:lineRule="exact"/>
              <w:rPr>
                <w:sz w:val="20"/>
                <w:szCs w:val="20"/>
                <w:color w:val="auto"/>
              </w:rPr>
            </w:pPr>
            <w:r>
              <w:rPr>
                <w:rFonts w:ascii="Times New Roman" w:cs="Times New Roman" w:eastAsia="Times New Roman" w:hAnsi="Times New Roman"/>
                <w:sz w:val="14"/>
                <w:szCs w:val="14"/>
                <w:color w:val="0000FF"/>
              </w:rPr>
              <w:t>4</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37.18</w:t>
            </w:r>
          </w:p>
        </w:tc>
        <w:tc>
          <w:tcPr>
            <w:tcW w:w="600" w:type="dxa"/>
            <w:vAlign w:val="bottom"/>
            <w:gridSpan w:val="3"/>
            <w:vMerge w:val="restart"/>
          </w:tcPr>
          <w:p>
            <w:pPr>
              <w:ind w:left="320"/>
              <w:spacing w:after="0" w:line="149" w:lineRule="exact"/>
              <w:rPr>
                <w:sz w:val="20"/>
                <w:szCs w:val="20"/>
                <w:color w:val="auto"/>
              </w:rPr>
            </w:pPr>
            <w:r>
              <w:rPr>
                <w:rFonts w:ascii="Times New Roman" w:cs="Times New Roman" w:eastAsia="Times New Roman" w:hAnsi="Times New Roman"/>
                <w:sz w:val="14"/>
                <w:szCs w:val="14"/>
                <w:color w:val="0000FF"/>
              </w:rPr>
              <w:t>335</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-6863715</wp:posOffset>
            </wp:positionV>
            <wp:extent cx="7297420" cy="692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92023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non-discretionary transactions affected in account pursuant to the terms of the Company's Profit Sharing and 401(k) Retirement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2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6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 in Fact for Ronald G.  02/03/2011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Klyn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22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42074"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2019-12-16T10:17:49Z</dcterms:created>
  <dcterms:modified xsi:type="dcterms:W3CDTF">2019-12-16T10:17:49Z</dcterms:modified>
</cp:coreProperties>
</file>