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380" w:right="1440" w:hanging="3369"/>
        <w:spacing w:after="0" w:line="501" w:lineRule="auto"/>
        <w:tabs>
          <w:tab w:leader="none" w:pos="31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29, 2018</w:t>
      </w:r>
    </w:p>
    <w:p>
      <w:pPr>
        <w:jc w:val="center"/>
        <w:ind w:right="-19"/>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40" w:type="dxa"/>
        <w:tblCellMar>
          <w:top w:w="0" w:type="dxa"/>
          <w:left w:w="0" w:type="dxa"/>
          <w:bottom w:w="0" w:type="dxa"/>
          <w:right w:w="0" w:type="dxa"/>
        </w:tblCellMar>
      </w:tblPr>
      <w:tr>
        <w:trPr>
          <w:trHeight w:val="237"/>
        </w:trPr>
        <w:tc>
          <w:tcPr>
            <w:tcW w:w="5300" w:type="dxa"/>
            <w:vAlign w:val="bottom"/>
            <w:gridSpan w:val="3"/>
          </w:tcPr>
          <w:p>
            <w:pPr>
              <w:jc w:val="center"/>
              <w:ind w:right="1200"/>
              <w:spacing w:after="0"/>
              <w:rPr>
                <w:sz w:val="20"/>
                <w:szCs w:val="20"/>
                <w:color w:val="auto"/>
              </w:rPr>
            </w:pPr>
            <w:r>
              <w:rPr>
                <w:rFonts w:ascii="Arial" w:cs="Arial" w:eastAsia="Arial" w:hAnsi="Arial"/>
                <w:sz w:val="18"/>
                <w:szCs w:val="18"/>
                <w:color w:val="auto"/>
                <w:w w:val="97"/>
              </w:rPr>
              <w:t>Michigan</w:t>
            </w:r>
          </w:p>
        </w:tc>
        <w:tc>
          <w:tcPr>
            <w:tcW w:w="4080" w:type="dxa"/>
            <w:vAlign w:val="bottom"/>
          </w:tcPr>
          <w:p>
            <w:pPr>
              <w:jc w:val="center"/>
              <w:ind w:right="7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20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organization)</w:t>
            </w:r>
          </w:p>
        </w:tc>
        <w:tc>
          <w:tcPr>
            <w:tcW w:w="4080" w:type="dxa"/>
            <w:vAlign w:val="bottom"/>
          </w:tcPr>
          <w:p>
            <w:pPr>
              <w:spacing w:after="0"/>
              <w:rPr>
                <w:sz w:val="20"/>
                <w:szCs w:val="20"/>
                <w:color w:val="auto"/>
              </w:rPr>
            </w:pPr>
          </w:p>
        </w:tc>
      </w:tr>
      <w:tr>
        <w:trPr>
          <w:trHeight w:val="439"/>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2801 East Beltline NE, Grand Rapids, Michigan</w:t>
            </w:r>
          </w:p>
        </w:tc>
        <w:tc>
          <w:tcPr>
            <w:tcW w:w="4080" w:type="dxa"/>
            <w:vAlign w:val="bottom"/>
          </w:tcPr>
          <w:p>
            <w:pPr>
              <w:jc w:val="right"/>
              <w:ind w:right="1810"/>
              <w:spacing w:after="0"/>
              <w:rPr>
                <w:sz w:val="20"/>
                <w:szCs w:val="20"/>
                <w:color w:val="auto"/>
              </w:rPr>
            </w:pPr>
            <w:r>
              <w:rPr>
                <w:rFonts w:ascii="Arial" w:cs="Arial" w:eastAsia="Arial" w:hAnsi="Arial"/>
                <w:sz w:val="18"/>
                <w:szCs w:val="18"/>
                <w:color w:val="auto"/>
              </w:rPr>
              <w:t>49525</w:t>
            </w:r>
          </w:p>
        </w:tc>
      </w:tr>
      <w:tr>
        <w:trPr>
          <w:trHeight w:val="230"/>
        </w:trPr>
        <w:tc>
          <w:tcPr>
            <w:tcW w:w="42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4"/>
              </w:rPr>
              <w:t>(Zip Code)</w:t>
            </w:r>
          </w:p>
        </w:tc>
      </w:tr>
      <w:tr>
        <w:trPr>
          <w:trHeight w:val="350"/>
        </w:trPr>
        <w:tc>
          <w:tcPr>
            <w:tcW w:w="5300" w:type="dxa"/>
            <w:vAlign w:val="bottom"/>
            <w:gridSpan w:val="3"/>
          </w:tcPr>
          <w:p>
            <w:pPr>
              <w:ind w:left="44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80" w:type="dxa"/>
            <w:vAlign w:val="bottom"/>
          </w:tcPr>
          <w:p>
            <w:pPr>
              <w:spacing w:after="0"/>
              <w:rPr>
                <w:sz w:val="24"/>
                <w:szCs w:val="24"/>
                <w:color w:val="auto"/>
              </w:rPr>
            </w:pPr>
          </w:p>
        </w:tc>
      </w:tr>
      <w:tr>
        <w:trPr>
          <w:trHeight w:val="20"/>
        </w:trPr>
        <w:tc>
          <w:tcPr>
            <w:tcW w:w="4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1797050</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84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2500" w:space="720"/>
            <w:col w:w="1460" w:space="320"/>
            <w:col w:w="1820" w:space="500"/>
            <w:col w:w="310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0" w:type="dxa"/>
            <w:vAlign w:val="bottom"/>
            <w:gridSpan w:val="2"/>
          </w:tcPr>
          <w:p>
            <w:pPr>
              <w:jc w:val="center"/>
              <w:ind w:right="1100"/>
              <w:spacing w:after="0"/>
              <w:rPr>
                <w:sz w:val="20"/>
                <w:szCs w:val="20"/>
                <w:color w:val="auto"/>
              </w:rPr>
            </w:pPr>
            <w:r>
              <w:rPr>
                <w:rFonts w:ascii="Arial" w:cs="Arial" w:eastAsia="Arial" w:hAnsi="Arial"/>
                <w:sz w:val="18"/>
                <w:szCs w:val="18"/>
                <w:color w:val="auto"/>
                <w:w w:val="84"/>
              </w:rPr>
              <w:t>Class</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Outstanding as of September 29, 2018</w:t>
            </w:r>
          </w:p>
        </w:tc>
        <w:tc>
          <w:tcPr>
            <w:tcW w:w="500" w:type="dxa"/>
            <w:vAlign w:val="bottom"/>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rPr>
              <w:t>61,656,181</w:t>
            </w:r>
          </w:p>
        </w:tc>
        <w:tc>
          <w:tcPr>
            <w:tcW w:w="500" w:type="dxa"/>
            <w:vAlign w:val="bottom"/>
          </w:tcPr>
          <w:p>
            <w:pPr>
              <w:spacing w:after="0"/>
              <w:rPr>
                <w:sz w:val="20"/>
                <w:szCs w:val="20"/>
                <w:color w:val="auto"/>
              </w:rPr>
            </w:pPr>
          </w:p>
        </w:tc>
      </w:tr>
      <w:tr>
        <w:trPr>
          <w:trHeight w:val="107"/>
        </w:trPr>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r>
      <w:tr>
        <w:trPr>
          <w:trHeight w:val="58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20" w:type="dxa"/>
            <w:vAlign w:val="bottom"/>
            <w:gridSpan w:val="13"/>
          </w:tcPr>
          <w:p>
            <w:pPr>
              <w:jc w:val="center"/>
              <w:ind w:right="180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Condensed Balance Sheets at September 29, 2018, December 30, 2017 and</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Months Ended and Nine Months Ended September 29, 2018 and September 30,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Condensed Statements of Shareholders’ Equity for the Three Months Ended</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Nine Months Ended September 29, 2018 and September 30,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Cash Flows for the Nine Months Ended September</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29, 2018 and September 30,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w:t>
            </w:r>
          </w:p>
        </w:tc>
        <w:tc>
          <w:tcPr>
            <w:tcW w:w="80" w:type="dxa"/>
            <w:vAlign w:val="bottom"/>
          </w:tcPr>
          <w:p>
            <w:pPr>
              <w:spacing w:after="0"/>
              <w:rPr>
                <w:sz w:val="16"/>
                <w:szCs w:val="16"/>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December 30,</w:t>
            </w:r>
          </w:p>
        </w:tc>
        <w:tc>
          <w:tcPr>
            <w:tcW w:w="11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454,935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327,751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419,183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257,983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234,354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203,930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252,074</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225,954</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208,556</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510,057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460,308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412,486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29,575</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28,115</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1,046,851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863,487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7,368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218,631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212,644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35,662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807,023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763,101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754,175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(460,714)</w:t>
            </w: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(434,472)</w:t>
            </w:r>
          </w:p>
        </w:tc>
        <w:tc>
          <w:tcPr>
            <w:tcW w:w="20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(429,066)</w:t>
            </w:r>
          </w:p>
        </w:tc>
        <w:tc>
          <w:tcPr>
            <w:tcW w:w="0" w:type="dxa"/>
            <w:vAlign w:val="bottom"/>
          </w:tcPr>
          <w:p>
            <w:pPr>
              <w:spacing w:after="0"/>
              <w:rPr>
                <w:sz w:val="1"/>
                <w:szCs w:val="1"/>
                <w:color w:val="auto"/>
              </w:rPr>
            </w:pPr>
          </w:p>
        </w:tc>
      </w:tr>
      <w:tr>
        <w:trPr>
          <w:trHeight w:val="169"/>
        </w:trPr>
        <w:tc>
          <w:tcPr>
            <w:tcW w:w="4980" w:type="dxa"/>
            <w:vAlign w:val="bottom"/>
            <w:tcBorders>
              <w:top w:val="single" w:sz="8" w:color="CCEEFF"/>
              <w:bottom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346,309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328,629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325,109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line="163" w:lineRule="exact"/>
              <w:rPr>
                <w:sz w:val="20"/>
                <w:szCs w:val="20"/>
                <w:color w:val="auto"/>
              </w:rPr>
            </w:pPr>
            <w:r>
              <w:rPr>
                <w:rFonts w:ascii="Arial" w:cs="Arial" w:eastAsia="Arial" w:hAnsi="Arial"/>
                <w:sz w:val="16"/>
                <w:szCs w:val="16"/>
                <w:color w:val="auto"/>
              </w:rPr>
              <w:t>TOTAL ASSETS</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1,677,171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Pr>
          <w:p>
            <w:pPr>
              <w:spacing w:after="0"/>
              <w:rPr>
                <w:sz w:val="14"/>
                <w:szCs w:val="14"/>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1,486,926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175,912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140,106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171,774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99,786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97,556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88,185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51,316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1,329</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303,246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186,539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144,674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145,884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26,929</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28,655</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29,204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585,447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490,654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536,846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8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61,656,181, 61,191,888 and 61,174,197</w:t>
            </w: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61,174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176,671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161,928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159,995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841,431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736,212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715,497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(3,638)</w:t>
            </w:r>
          </w:p>
        </w:tc>
        <w:tc>
          <w:tcPr>
            <w:tcW w:w="8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49"/>
        </w:trPr>
        <w:tc>
          <w:tcPr>
            <w:tcW w:w="4980" w:type="dxa"/>
            <w:vAlign w:val="bottom"/>
            <w:tcBorders>
              <w:top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1,076,120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959,476</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935,795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14,547</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14,285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1,091,724</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974,023</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950,080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line="163" w:lineRule="exact"/>
              <w:rPr>
                <w:sz w:val="20"/>
                <w:szCs w:val="20"/>
                <w:color w:val="auto"/>
              </w:rPr>
            </w:pPr>
            <w:r>
              <w:rPr>
                <w:rFonts w:ascii="Arial" w:cs="Arial" w:eastAsia="Arial" w:hAnsi="Arial"/>
                <w:sz w:val="16"/>
                <w:szCs w:val="16"/>
                <w:color w:val="auto"/>
              </w:rPr>
              <w:t>TOTAL LIABILITIES AND SHAREHOLDERS’ EQUITY</w:t>
            </w:r>
          </w:p>
        </w:tc>
        <w:tc>
          <w:tcPr>
            <w:tcW w:w="5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1,677,171</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1,486,926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21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64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9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9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75437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89"/>
              </w:rPr>
              <w:t>1,212,702</w:t>
            </w:r>
          </w:p>
        </w:tc>
        <w:tc>
          <w:tcPr>
            <w:tcW w:w="18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89"/>
              </w:rPr>
              <w:t>1,056,586</w:t>
            </w:r>
          </w:p>
        </w:tc>
        <w:tc>
          <w:tcPr>
            <w:tcW w:w="16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89"/>
              </w:rPr>
              <w:t>3,500,999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2"/>
              </w:rPr>
              <w:t>2,975,091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1,054,029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911,899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3,045,748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2,561,424</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272,956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EXCHANGE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00" w:type="dxa"/>
            <w:vAlign w:val="bottom"/>
          </w:tcPr>
          <w:p>
            <w:pPr>
              <w:spacing w:after="0"/>
              <w:rPr>
                <w:sz w:val="20"/>
                <w:szCs w:val="20"/>
                <w:color w:val="auto"/>
              </w:rPr>
            </w:pPr>
            <w:r>
              <w:rPr>
                <w:rFonts w:ascii="Arial" w:cs="Arial" w:eastAsia="Arial" w:hAnsi="Arial"/>
                <w:sz w:val="16"/>
                <w:szCs w:val="16"/>
                <w:color w:val="auto"/>
              </w:rPr>
              <w:t>NET (GAIN) ON DISPOSITION OF ASSETS AND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EARNINGS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INTEREST AND INVESTMENT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EQUITY IN EARNINGS OF INVESTEE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55,257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50,919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156,963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135,732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42,068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34,669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120,780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90,877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LESS NET EARNINGS ATTRIBUTABLE TO</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8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EARNINGS ATTRIBUTABLE TO CONTROLLING</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41,219</w:t>
            </w:r>
          </w:p>
        </w:tc>
        <w:tc>
          <w:tcPr>
            <w:tcW w:w="1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33,693</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118,096</w:t>
            </w:r>
          </w:p>
        </w:tc>
        <w:tc>
          <w:tcPr>
            <w:tcW w:w="2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88,397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6"/>
                <w:szCs w:val="16"/>
                <w:color w:val="auto"/>
              </w:rPr>
              <w:t>INTEREST</w:t>
            </w:r>
          </w:p>
        </w:tc>
        <w:tc>
          <w:tcPr>
            <w:tcW w:w="3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EARNINGS PER SHARE - 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GAIN (LOSS)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COMPREHENSIVE INCOME</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43,242</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36,388</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117,610</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97,018</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INCOME ATTRIBUTABLE TO</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8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COMPREHENSIVE INCOME ATTRIBUTABLE TO</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41,659</w:t>
            </w:r>
          </w:p>
        </w:tc>
        <w:tc>
          <w:tcPr>
            <w:tcW w:w="1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35,413</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114,314</w:t>
            </w:r>
          </w:p>
        </w:tc>
        <w:tc>
          <w:tcPr>
            <w:tcW w:w="2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93,156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400" w:type="dxa"/>
            <w:vAlign w:val="bottom"/>
          </w:tcPr>
          <w:p>
            <w:pPr>
              <w:spacing w:after="0"/>
              <w:rPr>
                <w:sz w:val="20"/>
                <w:szCs w:val="20"/>
                <w:color w:val="auto"/>
              </w:rPr>
            </w:pPr>
            <w:r>
              <w:rPr>
                <w:rFonts w:ascii="Arial" w:cs="Arial" w:eastAsia="Arial" w:hAnsi="Arial"/>
                <w:sz w:val="16"/>
                <w:szCs w:val="16"/>
                <w:color w:val="auto"/>
              </w:rPr>
              <w:t>CONTROLLING INTEREST</w:t>
            </w:r>
          </w:p>
        </w:tc>
        <w:tc>
          <w:tcPr>
            <w:tcW w:w="3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9"/>
          </w:tcPr>
          <w:p>
            <w:pPr>
              <w:jc w:val="right"/>
              <w:spacing w:after="0"/>
              <w:rPr>
                <w:sz w:val="20"/>
                <w:szCs w:val="20"/>
                <w:color w:val="auto"/>
              </w:rPr>
            </w:pPr>
            <w:r>
              <w:rPr>
                <w:rFonts w:ascii="Arial" w:cs="Arial" w:eastAsia="Arial" w:hAnsi="Arial"/>
                <w:sz w:val="11"/>
                <w:szCs w:val="11"/>
                <w:b w:val="1"/>
                <w:bCs w:val="1"/>
                <w:color w:val="auto"/>
                <w:w w:val="91"/>
              </w:rPr>
              <w:t>Controlling Interest Shareholders’ Equity</w:t>
            </w: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08"/>
        </w:trPr>
        <w:tc>
          <w:tcPr>
            <w:tcW w:w="3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22"/>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94"/>
              </w:rPr>
              <w:t>Retained</w:t>
            </w:r>
          </w:p>
        </w:tc>
        <w:tc>
          <w:tcPr>
            <w:tcW w:w="6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Comprehensive</w:t>
            </w:r>
          </w:p>
        </w:tc>
        <w:tc>
          <w:tcPr>
            <w:tcW w:w="90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3"/>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Earnings</w:t>
            </w:r>
          </w:p>
        </w:tc>
        <w:tc>
          <w:tcPr>
            <w:tcW w:w="14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Interest</w:t>
            </w:r>
          </w:p>
        </w:tc>
        <w:tc>
          <w:tcPr>
            <w:tcW w:w="220" w:type="dxa"/>
            <w:vAlign w:val="bottom"/>
          </w:tcPr>
          <w:p>
            <w:pPr>
              <w:spacing w:after="0"/>
              <w:rPr>
                <w:sz w:val="12"/>
                <w:szCs w:val="12"/>
                <w:color w:val="auto"/>
              </w:rPr>
            </w:pPr>
          </w:p>
        </w:tc>
        <w:tc>
          <w:tcPr>
            <w:tcW w:w="780" w:type="dxa"/>
            <w:vAlign w:val="bottom"/>
          </w:tcPr>
          <w:p>
            <w:pPr>
              <w:jc w:val="right"/>
              <w:ind w:right="317"/>
              <w:spacing w:after="0"/>
              <w:rPr>
                <w:sz w:val="20"/>
                <w:szCs w:val="20"/>
                <w:color w:val="auto"/>
              </w:rPr>
            </w:pPr>
            <w:r>
              <w:rPr>
                <w:rFonts w:ascii="Arial" w:cs="Arial" w:eastAsia="Arial" w:hAnsi="Arial"/>
                <w:sz w:val="11"/>
                <w:szCs w:val="11"/>
                <w:b w:val="1"/>
                <w:bCs w:val="1"/>
                <w:color w:val="auto"/>
              </w:rPr>
              <w:t>Total</w:t>
            </w:r>
          </w:p>
        </w:tc>
      </w:tr>
      <w:tr>
        <w:trPr>
          <w:trHeight w:val="135"/>
        </w:trPr>
        <w:tc>
          <w:tcPr>
            <w:tcW w:w="34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61,026</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144,649</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649,135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(5,630)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11,286</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860,466</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88,397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2,480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90,877</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4,325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1,382</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5,707</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434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434</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(3,272)</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(3,272)</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$0.150 per share</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(9,208)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(9,208)</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Issuance of 17,925 shares under employee stock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476</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428,325 shares under stock grant programs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92"/>
              </w:rPr>
              <w:t>Issuance of 147,480 shares under deferred compensation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445,740 shares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(12,827)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(12,976)</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87"/>
              </w:rPr>
              <w:t>Expense associated with share-based compensation arrangements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1,978</w:t>
            </w:r>
          </w:p>
        </w:tc>
      </w:tr>
      <w:tr>
        <w:trPr>
          <w:trHeight w:val="155"/>
        </w:trPr>
        <w:tc>
          <w:tcPr>
            <w:tcW w:w="3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6,009</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6,009</w:t>
            </w:r>
          </w:p>
        </w:tc>
      </w:tr>
      <w:tr>
        <w:trPr>
          <w:trHeight w:val="129"/>
        </w:trPr>
        <w:tc>
          <w:tcPr>
            <w:tcW w:w="3420" w:type="dxa"/>
            <w:vAlign w:val="bottom"/>
            <w:tcBorders>
              <w:bottom w:val="single" w:sz="8" w:color="CCEEFF"/>
            </w:tcBorders>
          </w:tcPr>
          <w:p>
            <w:pPr>
              <w:spacing w:after="0" w:line="122" w:lineRule="exact"/>
              <w:rPr>
                <w:sz w:val="20"/>
                <w:szCs w:val="20"/>
                <w:color w:val="auto"/>
              </w:rPr>
            </w:pPr>
            <w:r>
              <w:rPr>
                <w:rFonts w:ascii="Arial" w:cs="Arial" w:eastAsia="Arial" w:hAnsi="Arial"/>
                <w:sz w:val="13"/>
                <w:szCs w:val="13"/>
                <w:b w:val="1"/>
                <w:bCs w:val="1"/>
                <w:color w:val="auto"/>
              </w:rPr>
              <w:t>Balance at September 30, 2017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61,174</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159,995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715,497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(871)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14,285</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950,080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30, 2017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61,192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161,928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736,212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14,547</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974,023</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118,096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2,684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120,780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(3,562)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612</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(2,239)</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Cash dividends - $0.180 per share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(11,090)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(11,090)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25,449 shares under employee stock plans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Issuance of 348,140 shares under stock grant programs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348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4,911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5,259</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Issuance of 147,188 shares under deferred compensation plans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Repurchase of 56,484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(1,843)</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Expense associated with share-based compensation arrangements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2,613</w:t>
            </w:r>
          </w:p>
        </w:tc>
      </w:tr>
      <w:tr>
        <w:trPr>
          <w:trHeight w:val="142"/>
        </w:trPr>
        <w:tc>
          <w:tcPr>
            <w:tcW w:w="34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6,635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6,635</w:t>
            </w:r>
          </w:p>
        </w:tc>
      </w:tr>
      <w:tr>
        <w:trPr>
          <w:trHeight w:val="142"/>
        </w:trPr>
        <w:tc>
          <w:tcPr>
            <w:tcW w:w="3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September 29, 2018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61,656</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176,671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841,431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(3,638)</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15,604</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1,091,724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6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220"/>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94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360" w:type="dxa"/>
            <w:vAlign w:val="bottom"/>
          </w:tcPr>
          <w:p>
            <w:pPr>
              <w:spacing w:after="0"/>
              <w:rPr>
                <w:sz w:val="10"/>
                <w:szCs w:val="10"/>
                <w:color w:val="auto"/>
              </w:rPr>
            </w:pPr>
          </w:p>
        </w:tc>
      </w:tr>
      <w:tr>
        <w:trPr>
          <w:trHeight w:val="178"/>
        </w:trPr>
        <w:tc>
          <w:tcPr>
            <w:tcW w:w="6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5"/>
                <w:szCs w:val="15"/>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120,780</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90,877</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Depreciation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40,490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36,010</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3,549</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2,762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2,122</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 (credits)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Equity in earnings of investee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w:t>
            </w: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(gain) on disposition of assets and impairment of assets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(7,079)</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(437)</w:t>
            </w: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Changes in: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(121,067)</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(121,688)</w:t>
            </w:r>
          </w:p>
        </w:tc>
      </w:tr>
      <w:tr>
        <w:trPr>
          <w:trHeight w:val="149"/>
        </w:trPr>
        <w:tc>
          <w:tcPr>
            <w:tcW w:w="612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(39,448)</w:t>
            </w: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(820)</w:t>
            </w: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53,424</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21,361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34,221</w:t>
            </w:r>
          </w:p>
        </w:tc>
        <w:tc>
          <w:tcPr>
            <w:tcW w:w="360" w:type="dxa"/>
            <w:vAlign w:val="bottom"/>
            <w:tcBorders>
              <w:bottom w:val="single" w:sz="8" w:color="CCEEFF"/>
            </w:tcBorders>
          </w:tcPr>
          <w:p>
            <w:pPr>
              <w:spacing w:after="0"/>
              <w:rPr>
                <w:sz w:val="13"/>
                <w:szCs w:val="13"/>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OPERATING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60,101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97,350</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(74,541)</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(57,189)</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37,612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2,121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(38,963)</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(59,859)</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(12,401)</w:t>
            </w: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(12,155)</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4,227</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w:t>
            </w:r>
          </w:p>
        </w:tc>
        <w:tc>
          <w:tcPr>
            <w:tcW w:w="20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1,480</w:t>
            </w:r>
          </w:p>
        </w:tc>
        <w:tc>
          <w:tcPr>
            <w:tcW w:w="360" w:type="dxa"/>
            <w:vAlign w:val="bottom"/>
          </w:tcPr>
          <w:p>
            <w:pPr>
              <w:spacing w:after="0"/>
              <w:rPr>
                <w:sz w:val="13"/>
                <w:szCs w:val="13"/>
                <w:color w:val="auto"/>
              </w:rPr>
            </w:pP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(USED IN) INVESTING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(85,615)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(121,375)</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636,798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610,038</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(668,941)</w:t>
            </w: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(573,829)</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of debt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(5,511)</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long-term debt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(11,090)</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(9,207)</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(2,239)</w:t>
            </w: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(3,272)</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(1,843)</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(12,976)</w:t>
            </w: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FINANCING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23,802</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11,230</w:t>
            </w:r>
          </w:p>
        </w:tc>
        <w:tc>
          <w:tcPr>
            <w:tcW w:w="360" w:type="dxa"/>
            <w:vAlign w:val="bottom"/>
            <w:tcBorders>
              <w:top w:val="single" w:sz="8" w:color="CCEEFF"/>
            </w:tcBorders>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1,255</w:t>
            </w:r>
          </w:p>
        </w:tc>
        <w:tc>
          <w:tcPr>
            <w:tcW w:w="360" w:type="dxa"/>
            <w:vAlign w:val="bottom"/>
            <w:tcBorders>
              <w:bottom w:val="single" w:sz="8" w:color="CCEEFF"/>
            </w:tcBorders>
          </w:tcPr>
          <w:p>
            <w:pPr>
              <w:spacing w:after="0"/>
              <w:rPr>
                <w:sz w:val="13"/>
                <w:szCs w:val="13"/>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3"/>
                <w:szCs w:val="13"/>
                <w:color w:val="auto"/>
              </w:rPr>
            </w:pPr>
          </w:p>
        </w:tc>
      </w:tr>
      <w:tr>
        <w:trPr>
          <w:trHeight w:val="156"/>
        </w:trPr>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27,351</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22,949</w:t>
            </w:r>
          </w:p>
        </w:tc>
        <w:tc>
          <w:tcPr>
            <w:tcW w:w="360" w:type="dxa"/>
            <w:vAlign w:val="bottom"/>
            <w:tcBorders>
              <w:bottom w:val="single" w:sz="8" w:color="CCEEFF"/>
            </w:tcBorders>
            <w:shd w:val="clear" w:color="auto" w:fill="CCEEFF"/>
          </w:tcPr>
          <w:p>
            <w:pPr>
              <w:spacing w:after="0"/>
              <w:rPr>
                <w:sz w:val="13"/>
                <w:szCs w:val="13"/>
                <w:color w:val="auto"/>
              </w:rPr>
            </w:pPr>
          </w:p>
        </w:tc>
      </w:tr>
      <w:tr>
        <w:trPr>
          <w:trHeight w:val="81"/>
        </w:trPr>
        <w:tc>
          <w:tcPr>
            <w:tcW w:w="6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2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28,339</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72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26,327</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22,044</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27,351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22,949</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paid</w:t>
            </w:r>
          </w:p>
        </w:tc>
        <w:tc>
          <w:tcPr>
            <w:tcW w:w="72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38,675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34,108</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4,673</w:t>
            </w:r>
          </w:p>
        </w:tc>
        <w:tc>
          <w:tcPr>
            <w:tcW w:w="360" w:type="dxa"/>
            <w:vAlign w:val="bottom"/>
          </w:tcPr>
          <w:p>
            <w:pPr>
              <w:spacing w:after="0"/>
              <w:rPr>
                <w:sz w:val="15"/>
                <w:szCs w:val="15"/>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80"/>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30, 2017.</w:t>
      </w:r>
    </w:p>
    <w:p>
      <w:pPr>
        <w:spacing w:after="0" w:line="205" w:lineRule="exact"/>
        <w:rPr>
          <w:rFonts w:ascii="Arial" w:cs="Arial" w:eastAsia="Arial" w:hAnsi="Arial"/>
          <w:sz w:val="18"/>
          <w:szCs w:val="18"/>
          <w:b w:val="1"/>
          <w:bCs w:val="1"/>
          <w:color w:val="auto"/>
        </w:rPr>
      </w:pPr>
    </w:p>
    <w:p>
      <w:pPr>
        <w:ind w:left="48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30, 2017 balances in the accompanying unaudited consolidated condensed balance sheets.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480" w:hanging="477"/>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29, 2018</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69"/>
              <w:spacing w:after="0"/>
              <w:rPr>
                <w:sz w:val="20"/>
                <w:szCs w:val="20"/>
                <w:color w:val="auto"/>
              </w:rPr>
            </w:pPr>
            <w:r>
              <w:rPr>
                <w:rFonts w:ascii="Arial" w:cs="Arial" w:eastAsia="Arial" w:hAnsi="Arial"/>
                <w:sz w:val="14"/>
                <w:szCs w:val="14"/>
                <w:b w:val="1"/>
                <w:bCs w:val="1"/>
                <w:color w:val="auto"/>
                <w:w w:val="90"/>
              </w:rPr>
              <w:t>September 30, 2017</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Prices with</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Money market funds</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Fixed income funds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8,204</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10,194</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Hedge funds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Domestic stock funds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International stock funds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Target funds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Bond funds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Alternative funds</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1,364</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1,364</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mutual funds</w:t>
            </w: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5,745</w:t>
            </w: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6,380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36"/>
        </w:trPr>
        <w:tc>
          <w:tcPr>
            <w:tcW w:w="1920" w:type="dxa"/>
            <w:vAlign w:val="bottom"/>
          </w:tcPr>
          <w:p>
            <w:pPr>
              <w:spacing w:after="0" w:line="136" w:lineRule="exact"/>
              <w:rPr>
                <w:sz w:val="20"/>
                <w:szCs w:val="20"/>
                <w:color w:val="auto"/>
              </w:rPr>
            </w:pPr>
            <w:r>
              <w:rPr>
                <w:rFonts w:ascii="Arial" w:cs="Arial" w:eastAsia="Arial" w:hAnsi="Arial"/>
                <w:sz w:val="14"/>
                <w:szCs w:val="14"/>
                <w:color w:val="auto"/>
              </w:rPr>
              <w:t>Total</w:t>
            </w:r>
          </w:p>
        </w:tc>
        <w:tc>
          <w:tcPr>
            <w:tcW w:w="38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16,850</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11,500</w:t>
            </w:r>
          </w:p>
        </w:tc>
        <w:tc>
          <w:tcPr>
            <w:tcW w:w="14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1,725</w:t>
            </w:r>
          </w:p>
        </w:tc>
        <w:tc>
          <w:tcPr>
            <w:tcW w:w="160" w:type="dxa"/>
            <w:vAlign w:val="bottom"/>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30,075</w:t>
            </w:r>
          </w:p>
        </w:tc>
        <w:tc>
          <w:tcPr>
            <w:tcW w:w="14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12,447</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7,318</w:t>
            </w:r>
          </w:p>
        </w:tc>
        <w:tc>
          <w:tcPr>
            <w:tcW w:w="160" w:type="dxa"/>
            <w:vAlign w:val="bottom"/>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19,765</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Assets at fair value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16,850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30,075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12,447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19,765</w:t>
            </w:r>
          </w:p>
        </w:tc>
        <w:tc>
          <w:tcPr>
            <w:tcW w:w="0" w:type="dxa"/>
            <w:vAlign w:val="bottom"/>
          </w:tcPr>
          <w:p>
            <w:pPr>
              <w:spacing w:after="0"/>
              <w:rPr>
                <w:sz w:val="1"/>
                <w:szCs w:val="1"/>
                <w:color w:val="auto"/>
              </w:rPr>
            </w:pPr>
          </w:p>
        </w:tc>
      </w:tr>
      <w:tr>
        <w:trPr>
          <w:trHeight w:val="27"/>
        </w:trPr>
        <w:tc>
          <w:tcPr>
            <w:tcW w:w="1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60"/>
        <w:spacing w:after="0" w:line="276"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 “Restricted Investments”. We have elected not to apply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any of our financial instruments except for those expressly required by U.S. GAAP.</w:t>
      </w:r>
    </w:p>
    <w:p>
      <w:pPr>
        <w:spacing w:after="0" w:line="173" w:lineRule="exact"/>
        <w:rPr>
          <w:sz w:val="20"/>
          <w:szCs w:val="20"/>
          <w:color w:val="auto"/>
        </w:rPr>
      </w:pPr>
    </w:p>
    <w:p>
      <w:pPr>
        <w:ind w:left="480" w:right="420"/>
        <w:spacing w:after="0" w:line="277" w:lineRule="auto"/>
        <w:rPr>
          <w:sz w:val="20"/>
          <w:szCs w:val="20"/>
          <w:color w:val="auto"/>
        </w:rPr>
      </w:pPr>
      <w:r>
        <w:rPr>
          <w:rFonts w:ascii="Arial" w:cs="Arial" w:eastAsia="Arial" w:hAnsi="Arial"/>
          <w:sz w:val="18"/>
          <w:szCs w:val="18"/>
          <w:color w:val="auto"/>
        </w:rPr>
        <w:t>During 2018, we purchased a private real estate income trust which will be valued as a Level 3 asset. We did not maintain any Level 3 assets or liabilities at September 30, 2017.</w:t>
      </w:r>
    </w:p>
    <w:p>
      <w:pPr>
        <w:spacing w:after="0" w:line="170" w:lineRule="exact"/>
        <w:rPr>
          <w:sz w:val="20"/>
          <w:szCs w:val="20"/>
          <w:color w:val="auto"/>
        </w:rPr>
      </w:pPr>
    </w:p>
    <w:p>
      <w:pPr>
        <w:ind w:left="480" w:right="20"/>
        <w:spacing w:after="0" w:line="259" w:lineRule="auto"/>
        <w:rPr>
          <w:sz w:val="20"/>
          <w:szCs w:val="20"/>
          <w:color w:val="auto"/>
        </w:rPr>
      </w:pPr>
      <w:r>
        <w:rPr>
          <w:rFonts w:ascii="Arial" w:cs="Arial" w:eastAsia="Arial" w:hAnsi="Arial"/>
          <w:sz w:val="18"/>
          <w:szCs w:val="18"/>
          <w:color w:val="auto"/>
        </w:rPr>
        <w:t>In 2017, our wholly-owned captive, Ardellis Insurance Ltd. (“Ardellis”) transferred fixed income securities to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187" w:lineRule="exact"/>
        <w:rPr>
          <w:sz w:val="20"/>
          <w:szCs w:val="20"/>
          <w:color w:val="auto"/>
        </w:rPr>
      </w:pPr>
    </w:p>
    <w:p>
      <w:pPr>
        <w:ind w:left="480" w:right="16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$27.6 million as of September 29, 2018, consisting of domestic and international stocks, hedge funds, and fixed income bonds.</w:t>
      </w:r>
    </w:p>
    <w:p>
      <w:pPr>
        <w:spacing w:after="0" w:line="181" w:lineRule="exact"/>
        <w:rPr>
          <w:sz w:val="20"/>
          <w:szCs w:val="20"/>
          <w:color w:val="auto"/>
        </w:rPr>
      </w:pPr>
    </w:p>
    <w:p>
      <w:pPr>
        <w:ind w:left="480" w:right="48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29,2018</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tcPr>
          <w:p>
            <w:pPr>
              <w:jc w:val="center"/>
              <w:ind w:right="160"/>
              <w:spacing w:after="0" w:line="126"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Hedge Funds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26,681</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160"/>
        <w:spacing w:after="0" w:line="255"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hedge funds consist of the private real estate income trust which is valued as a Level 3 asset. The net unrealized gain was $1.0 million. Carrying amounts above are recorded in the investments and restricted investments line items within the balance sheet as of September 29, 2018. During the first nine months of 2018, Ardellis’ investments reported a net realized gain of $551 thousand, which was recorded in interest income on the statement of earnings.</w:t>
      </w:r>
    </w:p>
    <w:p>
      <w:pPr>
        <w:spacing w:after="0" w:line="199" w:lineRule="exact"/>
        <w:rPr>
          <w:sz w:val="20"/>
          <w:szCs w:val="20"/>
          <w:color w:val="auto"/>
        </w:rPr>
      </w:pPr>
    </w:p>
    <w:p>
      <w:pPr>
        <w:ind w:left="500" w:hanging="497"/>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78" w:lineRule="exact"/>
        <w:rPr>
          <w:rFonts w:ascii="Arial" w:cs="Arial" w:eastAsia="Arial" w:hAnsi="Arial"/>
          <w:sz w:val="18"/>
          <w:szCs w:val="18"/>
          <w:b w:val="1"/>
          <w:bCs w:val="1"/>
          <w:color w:val="auto"/>
        </w:rPr>
      </w:pPr>
    </w:p>
    <w:p>
      <w:pPr>
        <w:jc w:val="both"/>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00"/>
        <w:spacing w:after="0" w:line="274" w:lineRule="auto"/>
        <w:rPr>
          <w:sz w:val="20"/>
          <w:szCs w:val="20"/>
          <w:color w:val="auto"/>
        </w:rPr>
      </w:pPr>
      <w:r>
        <w:rPr>
          <w:rFonts w:ascii="Arial" w:cs="Arial" w:eastAsia="Arial" w:hAnsi="Arial"/>
          <w:sz w:val="17"/>
          <w:szCs w:val="17"/>
          <w:color w:val="auto"/>
        </w:rPr>
        <w:t>Within the three markets (retail, industrial, and construction) that the Company operates, there are a variety of written and oral contracts that are utilized to generate revenue from the sale of wood, wood composite and other</w:t>
      </w:r>
    </w:p>
    <w:p>
      <w:pPr>
        <w:ind w:left="480" w:right="120"/>
        <w:spacing w:after="0" w:line="270" w:lineRule="auto"/>
        <w:rPr>
          <w:sz w:val="20"/>
          <w:szCs w:val="20"/>
          <w:color w:val="auto"/>
        </w:rPr>
      </w:pPr>
      <w:r>
        <w:rPr>
          <w:rFonts w:ascii="Arial" w:cs="Arial" w:eastAsia="Arial" w:hAnsi="Arial"/>
          <w:sz w:val="17"/>
          <w:szCs w:val="17"/>
          <w:color w:val="auto"/>
        </w:rPr>
        <w:t>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9" w:lineRule="exact"/>
        <w:rPr>
          <w:sz w:val="20"/>
          <w:szCs w:val="20"/>
          <w:color w:val="auto"/>
        </w:rPr>
      </w:pPr>
    </w:p>
    <w:p>
      <w:pPr>
        <w:ind w:left="480" w:right="220"/>
        <w:spacing w:after="0" w:line="259" w:lineRule="auto"/>
        <w:rPr>
          <w:sz w:val="20"/>
          <w:szCs w:val="20"/>
          <w:color w:val="auto"/>
        </w:rPr>
      </w:pPr>
      <w:r>
        <w:rPr>
          <w:rFonts w:ascii="Arial" w:cs="Arial" w:eastAsia="Arial" w:hAnsi="Arial"/>
          <w:sz w:val="18"/>
          <w:szCs w:val="18"/>
          <w:color w:val="auto"/>
        </w:rPr>
        <w:t>Certain customer products that we provide require installation by the Company or a 3</w:t>
      </w:r>
      <w:r>
        <w:rPr>
          <w:rFonts w:ascii="Arial" w:cs="Arial" w:eastAsia="Arial" w:hAnsi="Arial"/>
          <w:sz w:val="8"/>
          <w:szCs w:val="8"/>
          <w:color w:val="auto"/>
        </w:rPr>
        <w:t>rd</w:t>
      </w:r>
      <w:r>
        <w:rPr>
          <w:rFonts w:ascii="Arial" w:cs="Arial" w:eastAsia="Arial" w:hAnsi="Arial"/>
          <w:sz w:val="18"/>
          <w:szCs w:val="18"/>
          <w:color w:val="auto"/>
        </w:rPr>
        <w:t xml:space="preserve"> party. Installation revenue is recognized upon completion, which is typically 2-3 days after receipt. If it is determined to utilize a 3</w:t>
      </w:r>
      <w:r>
        <w:rPr>
          <w:rFonts w:ascii="Arial" w:cs="Arial" w:eastAsia="Arial" w:hAnsi="Arial"/>
          <w:sz w:val="8"/>
          <w:szCs w:val="8"/>
          <w:color w:val="auto"/>
        </w:rPr>
        <w:t>rd</w:t>
      </w:r>
      <w:r>
        <w:rPr>
          <w:rFonts w:ascii="Arial" w:cs="Arial" w:eastAsia="Arial" w:hAnsi="Arial"/>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187" w:lineRule="exact"/>
        <w:rPr>
          <w:sz w:val="20"/>
          <w:szCs w:val="20"/>
          <w:color w:val="auto"/>
        </w:rPr>
      </w:pPr>
    </w:p>
    <w:p>
      <w:pPr>
        <w:ind w:left="480" w:right="60"/>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93" w:lineRule="exact"/>
        <w:rPr>
          <w:sz w:val="20"/>
          <w:szCs w:val="20"/>
          <w:color w:val="auto"/>
        </w:rPr>
      </w:pPr>
    </w:p>
    <w:p>
      <w:pPr>
        <w:ind w:left="480" w:right="40"/>
        <w:spacing w:after="0" w:line="289" w:lineRule="auto"/>
        <w:rPr>
          <w:sz w:val="20"/>
          <w:szCs w:val="20"/>
          <w:color w:val="auto"/>
        </w:rPr>
      </w:pPr>
      <w:r>
        <w:rPr>
          <w:rFonts w:ascii="Arial" w:cs="Arial" w:eastAsia="Arial" w:hAnsi="Arial"/>
          <w:sz w:val="16"/>
          <w:szCs w:val="16"/>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7"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18"/>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September 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September 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8"/>
        </w:trPr>
        <w:tc>
          <w:tcPr>
            <w:tcW w:w="1340" w:type="dxa"/>
            <w:vAlign w:val="bottom"/>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2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FOB Shipping Point Revenue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1,197,959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1,037,049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3,461,208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2,922,701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r>
      <w:tr>
        <w:trPr>
          <w:trHeight w:val="223"/>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7"/>
              </w:rPr>
              <w:t>Construction Contract Revenue</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36,597</w:t>
            </w:r>
          </w:p>
        </w:tc>
        <w:tc>
          <w:tcPr>
            <w:tcW w:w="92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3,565,726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3,024,698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1,056,586</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3,500,999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2,975,091</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300"/>
        <w:spacing w:after="0" w:line="264" w:lineRule="auto"/>
        <w:rPr>
          <w:sz w:val="20"/>
          <w:szCs w:val="20"/>
          <w:color w:val="auto"/>
        </w:rPr>
      </w:pPr>
      <w:r>
        <w:rPr>
          <w:rFonts w:ascii="Arial" w:cs="Arial" w:eastAsia="Arial" w:hAnsi="Arial"/>
          <w:sz w:val="18"/>
          <w:szCs w:val="18"/>
          <w:color w:val="auto"/>
        </w:rPr>
        <w:t>In the first nine months of 2018, the North and West segments comprise the construction contract revenue above, $72.0 million and $32.5 million, respectively. Construction contract revenue is primarily made up of site-built and framing customers.</w:t>
      </w:r>
    </w:p>
    <w:p>
      <w:pPr>
        <w:spacing w:after="0" w:line="181" w:lineRule="exact"/>
        <w:rPr>
          <w:sz w:val="20"/>
          <w:szCs w:val="20"/>
          <w:color w:val="auto"/>
        </w:rPr>
      </w:pPr>
    </w:p>
    <w:p>
      <w:pPr>
        <w:ind w:left="480" w:right="460"/>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0" w:type="dxa"/>
            <w:vAlign w:val="bottom"/>
            <w:gridSpan w:val="4"/>
          </w:tcPr>
          <w:p>
            <w:pPr>
              <w:ind w:left="1540"/>
              <w:spacing w:after="0"/>
              <w:rPr>
                <w:sz w:val="20"/>
                <w:szCs w:val="20"/>
                <w:color w:val="auto"/>
              </w:rPr>
            </w:pPr>
            <w:r>
              <w:rPr>
                <w:rFonts w:ascii="Arial" w:cs="Arial" w:eastAsia="Arial" w:hAnsi="Arial"/>
                <w:sz w:val="14"/>
                <w:szCs w:val="14"/>
                <w:b w:val="1"/>
                <w:bCs w:val="1"/>
                <w:color w:val="auto"/>
              </w:rPr>
              <w:t>September 29,</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8"/>
        </w:trPr>
        <w:tc>
          <w:tcPr>
            <w:tcW w:w="44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8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4,802</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26"/>
        </w:trPr>
        <w:tc>
          <w:tcPr>
            <w:tcW w:w="4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88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8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41,219</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33,693</w:t>
            </w: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118,096</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88,397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Adjustment for earnings allocated to non-vested restricted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(2,678)</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40,267</w:t>
            </w: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33,037</w:t>
            </w:r>
          </w:p>
        </w:tc>
        <w:tc>
          <w:tcPr>
            <w:tcW w:w="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115,418</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86,764</w:t>
            </w: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60,524</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60,225</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60,436</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60,309</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60,348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640"/>
        <w:spacing w:after="0" w:line="277" w:lineRule="auto"/>
        <w:rPr>
          <w:sz w:val="20"/>
          <w:szCs w:val="20"/>
          <w:color w:val="auto"/>
        </w:rPr>
      </w:pPr>
      <w:r>
        <w:rPr>
          <w:rFonts w:ascii="Arial" w:cs="Arial" w:eastAsia="Arial" w:hAnsi="Arial"/>
          <w:sz w:val="18"/>
          <w:szCs w:val="18"/>
          <w:color w:val="auto"/>
        </w:rPr>
        <w:t>No options were excluded from the computation of diluted EPS for the quarters ended September 29, 2018, or September 30, 2017.</w:t>
      </w:r>
    </w:p>
    <w:p>
      <w:pPr>
        <w:spacing w:after="0" w:line="170" w:lineRule="exact"/>
        <w:rPr>
          <w:sz w:val="20"/>
          <w:szCs w:val="20"/>
          <w:color w:val="auto"/>
        </w:rPr>
      </w:pPr>
    </w:p>
    <w:p>
      <w:pPr>
        <w:ind w:left="480" w:right="20"/>
        <w:spacing w:after="0" w:line="279" w:lineRule="auto"/>
        <w:rPr>
          <w:sz w:val="20"/>
          <w:szCs w:val="20"/>
          <w:color w:val="auto"/>
        </w:rPr>
      </w:pPr>
      <w:r>
        <w:rPr>
          <w:rFonts w:ascii="Arial" w:cs="Arial" w:eastAsia="Arial" w:hAnsi="Arial"/>
          <w:sz w:val="17"/>
          <w:szCs w:val="17"/>
          <w:color w:val="auto"/>
        </w:rPr>
        <w:t>On October 17, 2017, our Board of Directors declared a three-for-one stock split effected in the form of a stock dividend. The record date of the stock split was on October 31, 2017, and the eventual stock distribution to shareholders occurred on November 14, 2017. As a result of the stock split, all historical per share data and number of shares outstanding presented in future financial statements are retroactively adjusted.</w:t>
      </w:r>
    </w:p>
    <w:p>
      <w:pPr>
        <w:spacing w:after="0" w:line="167"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480"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60"/>
        <w:spacing w:after="0" w:line="257" w:lineRule="auto"/>
        <w:rPr>
          <w:sz w:val="20"/>
          <w:szCs w:val="20"/>
          <w:color w:val="auto"/>
        </w:rPr>
      </w:pPr>
      <w:r>
        <w:rPr>
          <w:rFonts w:ascii="Arial" w:cs="Arial" w:eastAsia="Arial" w:hAnsi="Arial"/>
          <w:sz w:val="18"/>
          <w:szCs w:val="18"/>
          <w:color w:val="auto"/>
        </w:rPr>
        <w:t>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88" w:lineRule="exact"/>
        <w:rPr>
          <w:sz w:val="20"/>
          <w:szCs w:val="20"/>
          <w:color w:val="auto"/>
        </w:rPr>
      </w:pPr>
    </w:p>
    <w:p>
      <w:pPr>
        <w:ind w:left="480" w:right="200"/>
        <w:spacing w:after="0" w:line="264" w:lineRule="auto"/>
        <w:rPr>
          <w:sz w:val="20"/>
          <w:szCs w:val="20"/>
          <w:color w:val="auto"/>
        </w:rPr>
      </w:pPr>
      <w:r>
        <w:rPr>
          <w:rFonts w:ascii="Arial" w:cs="Arial" w:eastAsia="Arial" w:hAnsi="Arial"/>
          <w:sz w:val="18"/>
          <w:szCs w:val="18"/>
          <w:color w:val="auto"/>
        </w:rPr>
        <w:t>On a consolidated basis, we have reserved approximately $2.5 million and $3.6 million on September 29, 2018, and September 30, 2017, respectively, representing the estimated costs to complete future remediation efforts. These amounts have not been reduced by an insurance receivable.</w:t>
      </w:r>
    </w:p>
    <w:p>
      <w:pPr>
        <w:spacing w:after="0" w:line="181"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$0.1 million. As a result, this amount is recorded in other long-term liabilities on September 29, 2018.</w:t>
      </w:r>
    </w:p>
    <w:p>
      <w:pPr>
        <w:spacing w:after="0" w:line="166" w:lineRule="exact"/>
        <w:rPr>
          <w:sz w:val="20"/>
          <w:szCs w:val="20"/>
          <w:color w:val="auto"/>
        </w:rPr>
      </w:pPr>
    </w:p>
    <w:p>
      <w:pPr>
        <w:ind w:left="480" w:right="20"/>
        <w:spacing w:after="0" w:line="284" w:lineRule="auto"/>
        <w:rPr>
          <w:sz w:val="20"/>
          <w:szCs w:val="20"/>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Based upon prior communications with the US Attorney’s Office, we do not believe that the resolution of this matter will have a material adverse impact on our financial condition or the results of our operations.</w:t>
      </w:r>
    </w:p>
    <w:p>
      <w:pPr>
        <w:spacing w:after="0" w:line="194" w:lineRule="exact"/>
        <w:rPr>
          <w:sz w:val="20"/>
          <w:szCs w:val="20"/>
          <w:color w:val="auto"/>
        </w:rPr>
      </w:pPr>
    </w:p>
    <w:p>
      <w:pPr>
        <w:ind w:left="480" w:right="20"/>
        <w:spacing w:after="0" w:line="286" w:lineRule="auto"/>
        <w:rPr>
          <w:sz w:val="20"/>
          <w:szCs w:val="20"/>
          <w:color w:val="auto"/>
        </w:rPr>
      </w:pPr>
      <w:r>
        <w:rPr>
          <w:rFonts w:ascii="Arial" w:cs="Arial" w:eastAsia="Arial" w:hAnsi="Arial"/>
          <w:sz w:val="17"/>
          <w:szCs w:val="17"/>
          <w:color w:val="auto"/>
        </w:rPr>
        <w:t>In addition, on September 29, 2018,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ind w:left="480" w:right="80"/>
        <w:spacing w:after="0" w:line="277" w:lineRule="auto"/>
        <w:rPr>
          <w:sz w:val="20"/>
          <w:szCs w:val="20"/>
          <w:color w:val="auto"/>
        </w:rPr>
      </w:pPr>
      <w:r>
        <w:rPr>
          <w:rFonts w:ascii="Arial" w:cs="Arial" w:eastAsia="Arial" w:hAnsi="Arial"/>
          <w:sz w:val="18"/>
          <w:szCs w:val="18"/>
          <w:color w:val="auto"/>
        </w:rPr>
        <w:t>On September 29, 2018, we had outstanding purchase commitments on commenced capital projects of approximately $23.4 million.</w:t>
      </w:r>
    </w:p>
    <w:p>
      <w:pPr>
        <w:spacing w:after="0" w:line="170"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ind w:left="480" w:right="80"/>
        <w:spacing w:after="0" w:line="302"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left="480" w:right="200"/>
        <w:spacing w:after="0" w:line="264" w:lineRule="auto"/>
        <w:rPr>
          <w:sz w:val="20"/>
          <w:szCs w:val="20"/>
          <w:color w:val="auto"/>
        </w:rPr>
      </w:pPr>
      <w:r>
        <w:rPr>
          <w:rFonts w:ascii="Arial" w:cs="Arial" w:eastAsia="Arial" w:hAnsi="Arial"/>
          <w:sz w:val="18"/>
          <w:szCs w:val="18"/>
          <w:color w:val="auto"/>
        </w:rPr>
        <w:t>bonds. As of September 29, 2018, we had approximately $19.7 million outstanding payment and performance bonds for open projects. We had approximately $1.3 million in payment and performance bonds outstanding for completed projects which are still under warranty.</w:t>
      </w:r>
    </w:p>
    <w:p>
      <w:pPr>
        <w:spacing w:after="0" w:line="181" w:lineRule="exact"/>
        <w:rPr>
          <w:sz w:val="20"/>
          <w:szCs w:val="20"/>
          <w:color w:val="auto"/>
        </w:rPr>
      </w:pPr>
    </w:p>
    <w:p>
      <w:pPr>
        <w:ind w:left="480" w:right="640"/>
        <w:spacing w:after="0" w:line="277" w:lineRule="auto"/>
        <w:rPr>
          <w:sz w:val="20"/>
          <w:szCs w:val="20"/>
          <w:color w:val="auto"/>
        </w:rPr>
      </w:pPr>
      <w:r>
        <w:rPr>
          <w:rFonts w:ascii="Arial" w:cs="Arial" w:eastAsia="Arial" w:hAnsi="Arial"/>
          <w:sz w:val="18"/>
          <w:szCs w:val="18"/>
          <w:color w:val="auto"/>
        </w:rPr>
        <w:t>On September 29, 2018, we had outstanding letters of credit totaling $30.6 million, primarily related to certain insurance contracts and industrial development revenue bonds described further below.</w:t>
      </w:r>
    </w:p>
    <w:p>
      <w:pPr>
        <w:spacing w:after="0" w:line="170" w:lineRule="exact"/>
        <w:rPr>
          <w:sz w:val="20"/>
          <w:szCs w:val="20"/>
          <w:color w:val="auto"/>
        </w:rPr>
      </w:pPr>
    </w:p>
    <w:p>
      <w:pPr>
        <w:jc w:val="both"/>
        <w:ind w:left="500" w:right="16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$20.5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480" w:right="20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$10.1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16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420"/>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2018 which would require us to recognize a liability on our balance sheet.</w:t>
      </w:r>
    </w:p>
    <w:p>
      <w:pPr>
        <w:spacing w:after="0" w:line="166" w:lineRule="exact"/>
        <w:rPr>
          <w:sz w:val="20"/>
          <w:szCs w:val="20"/>
          <w:color w:val="auto"/>
        </w:rPr>
      </w:pPr>
    </w:p>
    <w:p>
      <w:pPr>
        <w:ind w:left="460" w:hanging="457"/>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340"/>
        <w:spacing w:after="0" w:line="277" w:lineRule="auto"/>
        <w:rPr>
          <w:sz w:val="20"/>
          <w:szCs w:val="20"/>
          <w:color w:val="auto"/>
        </w:rPr>
      </w:pPr>
      <w:r>
        <w:rPr>
          <w:rFonts w:ascii="Arial" w:cs="Arial" w:eastAsia="Arial" w:hAnsi="Arial"/>
          <w:sz w:val="18"/>
          <w:szCs w:val="18"/>
          <w:color w:val="auto"/>
        </w:rPr>
        <w:t>We completed the following acquisitions in nine months ended 2018 and 2017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Net</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Tangible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July 31,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The Pallet Place, LLC ("Pallet Place")</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5740" w:type="dxa"/>
            <w:vAlign w:val="bottom"/>
            <w:gridSpan w:val="6"/>
          </w:tcPr>
          <w:p>
            <w:pPr>
              <w:spacing w:after="0"/>
              <w:rPr>
                <w:sz w:val="20"/>
                <w:szCs w:val="20"/>
                <w:color w:val="auto"/>
              </w:rPr>
            </w:pPr>
            <w:r>
              <w:rPr>
                <w:rFonts w:ascii="Arial" w:cs="Arial" w:eastAsia="Arial" w:hAnsi="Arial"/>
                <w:sz w:val="16"/>
                <w:szCs w:val="16"/>
                <w:color w:val="auto"/>
                <w:w w:val="93"/>
              </w:rPr>
              <w:t>A manufacturer and distributor of total packaging solutions in timber, crates, skids, and</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pallets. Pallet Place had annual sales of approximately $5 million. The acquisition of Pallet Place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allows us to increase our industrial business and creates operating leverage by consolidating with</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another regional operation.</w:t>
            </w: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52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right"/>
              <w:ind w:right="619"/>
              <w:spacing w:after="0"/>
              <w:rPr>
                <w:sz w:val="20"/>
                <w:szCs w:val="20"/>
                <w:color w:val="auto"/>
              </w:rPr>
            </w:pPr>
            <w:r>
              <w:rPr>
                <w:rFonts w:ascii="Arial" w:cs="Arial" w:eastAsia="Arial" w:hAnsi="Arial"/>
                <w:sz w:val="16"/>
                <w:szCs w:val="16"/>
                <w:color w:val="auto"/>
              </w:rPr>
              <w:t>$23,866</w:t>
            </w:r>
          </w:p>
        </w:tc>
        <w:tc>
          <w:tcPr>
            <w:tcW w:w="120" w:type="dxa"/>
            <w:vAlign w:val="bottom"/>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72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15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June 1,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B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7,123</w:t>
            </w:r>
          </w:p>
        </w:tc>
        <w:tc>
          <w:tcPr>
            <w:tcW w:w="140" w:type="dxa"/>
            <w:vAlign w:val="bottom"/>
            <w:shd w:val="clear" w:color="auto" w:fill="CCEB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16,743</w:t>
            </w:r>
          </w:p>
        </w:tc>
        <w:tc>
          <w:tcPr>
            <w:tcW w:w="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North American Container Corporation</w:t>
            </w:r>
          </w:p>
        </w:tc>
        <w:tc>
          <w:tcPr>
            <w:tcW w:w="152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72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46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9"/>
              </w:rPr>
              <w:t>A manufacturer of structural packaging products, including steel, corrugated and hardwood</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rPr>
              <w:t>("NACC")</w:t>
            </w:r>
          </w:p>
        </w:tc>
        <w:tc>
          <w:tcPr>
            <w:tcW w:w="64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packaging. NACC had annual sales of approximately $71 million. The acquisition of NACC</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4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1"/>
              </w:rPr>
              <w:t>allows us to enhance our presence in this region, expand our product offering, and serve customers</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2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w w:val="98"/>
              </w:rPr>
              <w:t>more cost effectively.</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72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Net</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Tangible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$3,890</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April 9,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2,235</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Fontana Wood Products ("Fontana")</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A manufacturer and distributor lumber and trusses in the Southern California region. Fontana had</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annual sales of approximately $12 million. The acquisition of Fontana allows us to expand our</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manufactured housing business and creates operating leverage by consolidating with another</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operation.</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52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$1,404</w:t>
            </w:r>
          </w:p>
        </w:tc>
        <w:tc>
          <w:tcPr>
            <w:tcW w:w="120" w:type="dxa"/>
            <w:vAlign w:val="bottom"/>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40" w:type="dxa"/>
            <w:vAlign w:val="bottom"/>
            <w:tcBorders>
              <w:right w:val="single" w:sz="8" w:color="auto"/>
            </w:tcBorders>
            <w:shd w:val="clear" w:color="auto" w:fill="CCEBFF"/>
          </w:tcPr>
          <w:p>
            <w:pPr>
              <w:spacing w:after="0"/>
              <w:rPr>
                <w:sz w:val="16"/>
                <w:szCs w:val="16"/>
                <w:color w:val="auto"/>
              </w:rPr>
            </w:pPr>
          </w:p>
        </w:tc>
        <w:tc>
          <w:tcPr>
            <w:tcW w:w="72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15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3,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1,344</w:t>
            </w:r>
          </w:p>
        </w:tc>
        <w:tc>
          <w:tcPr>
            <w:tcW w:w="140" w:type="dxa"/>
            <w:vAlign w:val="bottom"/>
            <w:shd w:val="clear" w:color="auto" w:fill="CCEB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60</w:t>
            </w:r>
          </w:p>
        </w:tc>
        <w:tc>
          <w:tcPr>
            <w:tcW w:w="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Expert Packaging ("Expert")</w:t>
            </w:r>
          </w:p>
        </w:tc>
        <w:tc>
          <w:tcPr>
            <w:tcW w:w="152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40" w:type="dxa"/>
            <w:vAlign w:val="bottom"/>
            <w:tcBorders>
              <w:bottom w:val="single" w:sz="8" w:color="auto"/>
              <w:right w:val="single" w:sz="8" w:color="auto"/>
            </w:tcBorders>
            <w:shd w:val="clear" w:color="auto" w:fill="CCEBFF"/>
          </w:tcPr>
          <w:p>
            <w:pPr>
              <w:spacing w:after="0"/>
              <w:rPr>
                <w:sz w:val="18"/>
                <w:szCs w:val="18"/>
                <w:color w:val="auto"/>
              </w:rPr>
            </w:pPr>
          </w:p>
        </w:tc>
        <w:tc>
          <w:tcPr>
            <w:tcW w:w="72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 manufacturer and distributor of total packaging solutions in timber, crates, pallets, and</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4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skids. Expert had annual sales of approximately $3.6 million. The acquisition of Expert allows us</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74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Arial" w:cs="Arial" w:eastAsia="Arial" w:hAnsi="Arial"/>
                <w:sz w:val="16"/>
                <w:szCs w:val="16"/>
                <w:color w:val="auto"/>
                <w:w w:val="96"/>
              </w:rPr>
              <w:t>to make progress on our goal of becoming a global provider of packaging solutions.</w:t>
            </w:r>
          </w:p>
        </w:tc>
        <w:tc>
          <w:tcPr>
            <w:tcW w:w="72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$2,942</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January 23, 2018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2,092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Spinner Wood Products, LLC</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tcPr>
          <w:p>
            <w:pPr>
              <w:spacing w:after="0"/>
              <w:rPr>
                <w:sz w:val="15"/>
                <w:szCs w:val="15"/>
                <w:color w:val="auto"/>
              </w:rPr>
            </w:pPr>
          </w:p>
        </w:tc>
        <w:tc>
          <w:tcPr>
            <w:tcW w:w="646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5"/>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("Spinner")</w:t>
            </w: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operations.</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$5,845</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15, 2018</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Great Northern Lumber, LLC</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3"/>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rPr>
              <w:t>and regional coverage.</w:t>
            </w:r>
          </w:p>
        </w:tc>
        <w:tc>
          <w:tcPr>
            <w:tcW w:w="184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$931</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October 16,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Silverwater Box</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A manufacturer and distributor of total packaging solutions in timber, plastic, steel, fiberglass, and</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cardboard. Silverwater Box had annual sales of approximately $2.8 million. The acquisition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Silverwater Box allows us to make progress on our goal of becoming a global provider of</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packaging solutions.</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$5,042</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May 26,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4,880</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Go Boy Pallets, LLC ("Go Boy")</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57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w w:val="92"/>
              </w:rPr>
              <w:t>A manufacturer and distributor of industrial pallets and packaging in Georgia and North</w:t>
            </w: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Carolina. Go Boy had annual sales of approximately $8 million. The acquisition of Go Boy</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46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3"/>
              </w:rPr>
              <w:t>enables us to expand our industrial packaging product offering and lumber sourcing in this region.</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$31,818</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7,653</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24,165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6"/>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Robbins Manufacturing Co.</w:t>
            </w:r>
          </w:p>
        </w:tc>
        <w:tc>
          <w:tcPr>
            <w:tcW w:w="15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20" w:type="dxa"/>
            <w:vAlign w:val="bottom"/>
            <w:tcBorders>
              <w:left w:val="single" w:sz="8" w:color="auto"/>
              <w:right w:val="single" w:sz="8" w:color="auto"/>
            </w:tcBorders>
            <w:vMerge w:val="continue"/>
          </w:tcPr>
          <w:p>
            <w:pPr>
              <w:spacing w:after="0"/>
              <w:rPr>
                <w:sz w:val="15"/>
                <w:szCs w:val="15"/>
                <w:color w:val="auto"/>
              </w:rPr>
            </w:pPr>
          </w:p>
        </w:tc>
        <w:tc>
          <w:tcPr>
            <w:tcW w:w="5740" w:type="dxa"/>
            <w:vAlign w:val="bottom"/>
            <w:gridSpan w:val="6"/>
          </w:tcPr>
          <w:p>
            <w:pPr>
              <w:spacing w:after="0" w:line="179" w:lineRule="exact"/>
              <w:rPr>
                <w:sz w:val="20"/>
                <w:szCs w:val="20"/>
                <w:color w:val="auto"/>
              </w:rPr>
            </w:pPr>
            <w:r>
              <w:rPr>
                <w:rFonts w:ascii="Arial" w:cs="Arial" w:eastAsia="Arial" w:hAnsi="Arial"/>
                <w:sz w:val="16"/>
                <w:szCs w:val="16"/>
                <w:color w:val="auto"/>
                <w:w w:val="95"/>
              </w:rPr>
              <w:t>A manufacturer of treated wood products with facilities in Florida, Georgia, and North</w:t>
            </w: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("Robbins")</w:t>
            </w: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Carolina. Robbins had annual sales of approximately $86 million. The acquisition of Robbins</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64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rPr>
              <w:t>allows us to expand our presence in this region and serve customers more cost effectively.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2"/>
              </w:rPr>
              <w:t>Net</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8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Intangible</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Tangible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3"/>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$22,789</w:t>
            </w: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March 6, 2017</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Quality Hardwood Sales, LLC</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6460" w:type="dxa"/>
            <w:vAlign w:val="bottom"/>
            <w:tcBorders>
              <w:right w:val="single" w:sz="8" w:color="auto"/>
            </w:tcBorders>
            <w:gridSpan w:val="7"/>
            <w:shd w:val="clear" w:color="auto" w:fill="CCEEFF"/>
          </w:tcPr>
          <w:p>
            <w:pPr>
              <w:spacing w:after="0" w:line="176" w:lineRule="exact"/>
              <w:rPr>
                <w:sz w:val="20"/>
                <w:szCs w:val="20"/>
                <w:color w:val="auto"/>
              </w:rPr>
            </w:pPr>
            <w:r>
              <w:rPr>
                <w:rFonts w:ascii="Arial" w:cs="Arial" w:eastAsia="Arial" w:hAnsi="Arial"/>
                <w:sz w:val="16"/>
                <w:szCs w:val="16"/>
                <w:color w:val="auto"/>
                <w:w w:val="97"/>
              </w:rPr>
              <w:t>A manufacturer and supplier of hardwood products, including components of cabinets used in</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("Quality")</w:t>
            </w: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8"/>
              </w:rPr>
              <w:t>homes and recreational vehicles. Quality had annual sales of approximately $30 million.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9"/>
              </w:rPr>
              <w:t>acquisition of Quality enables us to expand our product offering to include hardwood-based</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products.</w:t>
            </w:r>
          </w:p>
        </w:tc>
        <w:tc>
          <w:tcPr>
            <w:tcW w:w="182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100" w:firstLine="648"/>
        <w:spacing w:after="0" w:line="302" w:lineRule="auto"/>
        <w:rPr>
          <w:sz w:val="20"/>
          <w:szCs w:val="20"/>
          <w:color w:val="auto"/>
        </w:rPr>
      </w:pPr>
      <w:r>
        <w:rPr>
          <w:rFonts w:ascii="Arial" w:cs="Arial" w:eastAsia="Arial" w:hAnsi="Arial"/>
          <w:sz w:val="16"/>
          <w:szCs w:val="16"/>
          <w:color w:val="auto"/>
        </w:rPr>
        <w:t>The intangible assets for each acquisition were finalized and allocated to their respective identifiable intangible asset and goodwill accounts during 2018, excluding the NACC and Pallet Place acquisitions. In aggregate, acquisitions completed since the end of September 2017 and not consolidated with other operations contributed approximately $21.1 million in revenue and a $0.8 million operating loss during the third quarter of 2018.</w:t>
      </w:r>
    </w:p>
    <w:p>
      <w:pPr>
        <w:spacing w:after="0" w:line="150"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rFonts w:ascii="Arial" w:cs="Arial" w:eastAsia="Arial" w:hAnsi="Arial"/>
          <w:sz w:val="18"/>
          <w:szCs w:val="18"/>
          <w:b w:val="1"/>
          <w:bCs w:val="1"/>
          <w:color w:val="auto"/>
        </w:rPr>
      </w:pPr>
    </w:p>
    <w:p>
      <w:pPr>
        <w:ind w:left="48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97" w:lineRule="exact"/>
        <w:rPr>
          <w:rFonts w:ascii="Arial" w:cs="Arial" w:eastAsia="Arial" w:hAnsi="Arial"/>
          <w:sz w:val="18"/>
          <w:szCs w:val="18"/>
          <w:b w:val="1"/>
          <w:bCs w:val="1"/>
          <w:color w:val="auto"/>
        </w:rPr>
      </w:pPr>
    </w:p>
    <w:p>
      <w:pPr>
        <w:ind w:left="4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rFonts w:ascii="Arial" w:cs="Arial" w:eastAsia="Arial" w:hAnsi="Arial"/>
          <w:sz w:val="18"/>
          <w:szCs w:val="18"/>
          <w:b w:val="1"/>
          <w:bCs w:val="1"/>
          <w:color w:val="auto"/>
        </w:rPr>
      </w:pPr>
    </w:p>
    <w:p>
      <w:pPr>
        <w:ind w:left="5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Alternative Materials, International and idX division have been included in the “All Other” column of the table below. The “Corporate” column includes unallocated administrative costs and certain incentive compensation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14"/>
                <w:szCs w:val="14"/>
                <w:b w:val="1"/>
                <w:bCs w:val="1"/>
                <w:color w:val="auto"/>
              </w:rPr>
              <w:t>Three Months Ended September 29, 2018</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56"/>
        </w:trPr>
        <w:tc>
          <w:tcPr>
            <w:tcW w:w="2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South</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West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$ 341,334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$ 270,077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$ 434,123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$ 167,168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$ 1,212,702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15,259</w:t>
            </w:r>
          </w:p>
        </w:tc>
        <w:tc>
          <w:tcPr>
            <w:tcW w:w="980" w:type="dxa"/>
            <w:vAlign w:val="bottom"/>
            <w:gridSpan w:val="3"/>
          </w:tcPr>
          <w:p>
            <w:pPr>
              <w:jc w:val="right"/>
              <w:ind w:right="2"/>
              <w:spacing w:after="0"/>
              <w:rPr>
                <w:sz w:val="20"/>
                <w:szCs w:val="20"/>
                <w:color w:val="auto"/>
              </w:rPr>
            </w:pPr>
            <w:r>
              <w:rPr>
                <w:rFonts w:ascii="Arial" w:cs="Arial" w:eastAsia="Arial" w:hAnsi="Arial"/>
                <w:sz w:val="18"/>
                <w:szCs w:val="18"/>
                <w:color w:val="auto"/>
              </w:rPr>
              <w:t>21,360</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14,121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56,771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107,511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9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10,209</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85"/>
        </w:trPr>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14"/>
                <w:szCs w:val="14"/>
                <w:b w:val="1"/>
                <w:bCs w:val="1"/>
                <w:color w:val="auto"/>
              </w:rPr>
              <w:t>Three Months Ended September 30, 2017</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2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South</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West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$ 310,384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$ 206,050</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$ 378,714</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$ 161,438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$ 1,056,586</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18,897</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18,817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21,384</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47,539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106,637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10,234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648"/>
        </w:trPr>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3"/>
          </w:tcPr>
          <w:p>
            <w:pPr>
              <w:jc w:val="right"/>
              <w:ind w:right="162"/>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2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29, 2018</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6"/>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3"/>
                <w:szCs w:val="13"/>
                <w:color w:val="auto"/>
              </w:rPr>
            </w:pPr>
          </w:p>
        </w:tc>
        <w:tc>
          <w:tcPr>
            <w:tcW w:w="7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South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3"/>
                <w:szCs w:val="13"/>
                <w:color w:val="auto"/>
              </w:rPr>
            </w:pP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92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$ 1,002,341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$ 803,417</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$ 1,253,416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$ 441,825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$ 3,500,999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45,841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60,683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44,183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181,450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332,157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76,030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161,825</w:t>
            </w:r>
          </w:p>
        </w:tc>
      </w:tr>
      <w:tr>
        <w:trPr>
          <w:trHeight w:val="385"/>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Nine Months Ended September 30, 2017</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6"/>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3"/>
                <w:szCs w:val="13"/>
                <w:color w:val="auto"/>
              </w:rPr>
            </w:pPr>
          </w:p>
        </w:tc>
        <w:tc>
          <w:tcPr>
            <w:tcW w:w="7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South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3"/>
                <w:szCs w:val="13"/>
                <w:color w:val="auto"/>
              </w:rPr>
            </w:pP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92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$ 857,858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$ 616,376</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$ 1,088,744</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$ 412,113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$ 2,975,091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51,859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55,472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65,466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116,743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289,540</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139,991</w:t>
            </w:r>
          </w:p>
        </w:tc>
      </w:tr>
    </w:tbl>
    <w:p>
      <w:pPr>
        <w:spacing w:after="0" w:line="225"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23.8% in the third quarter of 2018 compared to 31.9% for same period in 2017. Our effective tax rate was 23.0% in the first nine months of 2018 compared to 33.0% for the same period in 2017. This decrease was due primarily to changes resulting from the Tax Act, which reduced the U.S. federal corporate income tax rate from 35 percent to 21 percent effective January 1, 2018, along with eliminating the domestic manufacturing deduction. Pursuant to SAB 118, the accounting for the Tax Act was incomplete at December 30, 2017 and is still incomplete as of September 29, 2018. As noted at year-end, however, we were able to reasonably estimate certain effects and, therefore, recorded provisional adjustments associated with the deemed repatriation transition tax, a provisional decrease for certain of our Deferred Tax Assets (DTAs) and Deferred Tax Liabilities (DTLs) related to the reduced corporate tax rate, and a provisional benefit related to our intent to fully expense all qualifying expenditures under the new cost recovery rules.</w:t>
      </w:r>
    </w:p>
    <w:p>
      <w:pPr>
        <w:spacing w:after="0" w:line="1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noted at year-end, we were not yet able to reasonably estimate the effects for Global Intangible Low-Taxed Income (GILTI). Therefore, no provisional adjustment was recorded.</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related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a number of different aspects or our estimated future results of global operations, we are not yet able to reasonably estimate the long-term effects of this provision of the Act. Therefore, we have not recorded any potential deferred tax effects related to GILTI in our financial statements and have not made a policy decision regarding whether to record deferred taxes on GILTI or use the period cost method. We have however, included an estimate of the estimated 2018 current GILTI impact in our Annual Effective Tax Rate (AETR) for 2018. We expect to complete our accounting within the prescribed measurement period.</w:t>
      </w:r>
    </w:p>
    <w:p>
      <w:pPr>
        <w:spacing w:after="0" w:line="184" w:lineRule="exact"/>
        <w:rPr>
          <w:sz w:val="20"/>
          <w:szCs w:val="20"/>
          <w:color w:val="auto"/>
        </w:rPr>
      </w:pPr>
    </w:p>
    <w:p>
      <w:pPr>
        <w:ind w:left="440" w:hanging="437"/>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SALE</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Company completed a sale of a property in Medley, Florida, during the first quarter of 2018. The sale price for the property was approximately $36 million and created a $7 million pre-tax gain. The transaction is part of a strategy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create efficiencies and advantages not possible with the current facility by optimizing the capacity of our other three Florida operations, including two acquired from Robbins Manufacturing in 2017, and adding a state-of-the-art facility in South Florida. The Company will lease back the Medley, Florida, facility for two years as it executes its long-term plan for Florida and the Southeast region. Since only a minor portion of the property sold was leased back the entire gain is included in income.</w:t>
      </w:r>
    </w:p>
    <w:p>
      <w:pPr>
        <w:spacing w:after="0" w:line="400" w:lineRule="exact"/>
        <w:rPr>
          <w:sz w:val="20"/>
          <w:szCs w:val="20"/>
          <w:color w:val="auto"/>
        </w:rPr>
      </w:pPr>
    </w:p>
    <w:p>
      <w:pPr>
        <w:ind w:left="460" w:hanging="457"/>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83"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On November 2, 2018, the Company renewed its five-year unsecured revolving credit facility and increased availability to $375 million with a syndicate of U.S. and Canadian banks led by JPMorgan Chase Bank, N.A., as administrative agent and Wells Fargo Bank, N.A., 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third quarter of 2018 were impacted by the following:</w:t>
      </w:r>
    </w:p>
    <w:p>
      <w:pPr>
        <w:spacing w:after="0" w:line="225" w:lineRule="exact"/>
        <w:rPr>
          <w:sz w:val="20"/>
          <w:szCs w:val="20"/>
          <w:color w:val="auto"/>
        </w:rPr>
      </w:pPr>
    </w:p>
    <w:p>
      <w:pPr>
        <w:ind w:left="820" w:hanging="331"/>
        <w:spacing w:after="0" w:line="279"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gross sales increased by 15% compared to the third quarter of 2017, which was comprised of a 7% increase in unit sales and an 8% increase in selling prices primarily due to the commodity lumber market (see Historical Lumber Prices below). Organic growth contributed 5% of our unit sales increase, while acquisitions contributed 2%. We experienced favorable organic growth to each of the markets we serve.</w:t>
      </w:r>
    </w:p>
    <w:p>
      <w:pPr>
        <w:spacing w:after="0" w:line="171" w:lineRule="exact"/>
        <w:rPr>
          <w:rFonts w:ascii="Arial" w:cs="Arial" w:eastAsia="Arial" w:hAnsi="Arial"/>
          <w:sz w:val="17"/>
          <w:szCs w:val="17"/>
          <w:color w:val="auto"/>
        </w:rPr>
      </w:pPr>
    </w:p>
    <w:p>
      <w:pPr>
        <w:ind w:left="820" w:right="200" w:hanging="331"/>
        <w:spacing w:after="0" w:line="27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operating profits increased by 9.0% compared to the third quarter of 2017, which compares favorably with our 7% increase in unit sales. The improvement in our profit per unit was primarily due to the favorable impact on gross profits of products we sell with a fixed selling price during a period of declining lumber prices. As described below, while the commodity lumber market was higher in 2018, relative to 2017, we experienced a decrease in lumber prices during the third quarter of this year.</w:t>
      </w:r>
    </w:p>
    <w:p>
      <w:pPr>
        <w:spacing w:after="0" w:line="172" w:lineRule="exact"/>
        <w:rPr>
          <w:rFonts w:ascii="Arial" w:cs="Arial" w:eastAsia="Arial" w:hAnsi="Arial"/>
          <w:sz w:val="17"/>
          <w:szCs w:val="17"/>
          <w:color w:val="auto"/>
        </w:rPr>
      </w:pPr>
    </w:p>
    <w:p>
      <w:pPr>
        <w:ind w:left="820" w:hanging="33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was approximately 23.8% due to the change in tax law.</w:t>
      </w:r>
    </w:p>
    <w:p>
      <w:pPr>
        <w:spacing w:after="0" w:line="225" w:lineRule="exact"/>
        <w:rPr>
          <w:rFonts w:ascii="Arial" w:cs="Arial" w:eastAsia="Arial" w:hAnsi="Arial"/>
          <w:sz w:val="18"/>
          <w:szCs w:val="18"/>
          <w:color w:val="auto"/>
        </w:rPr>
      </w:pPr>
    </w:p>
    <w:p>
      <w:pPr>
        <w:ind w:left="820" w:right="100" w:hanging="33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 from operating activities in the first nine months of 2018 were $37 million lower than the same period last year due to higher than targeted inventory levels at the end of September 2018. We anticipate further reductions in inventory in the fourth quarter of 2018 resulting in a corresponding decrease in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Random Lengths Composite</w:t>
      </w:r>
    </w:p>
    <w:p>
      <w:pPr>
        <w:jc w:val="center"/>
        <w:ind w:left="678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February</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April</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June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August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Year-to-date average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4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a Southern Yellow Pine (“SYP”) composite price, which we prepare and use, is presented below. Our purchases of this species comprised approximately 44% of total lumber purchases through the first nine months of 2018 and 2017.</w:t>
      </w:r>
    </w:p>
    <w:p>
      <w:pPr>
        <w:spacing w:after="0" w:line="129"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Random Lengths SYP</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February</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April</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June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August</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2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Year-to-date average</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4440" w:type="dxa"/>
            <w:vAlign w:val="bottom"/>
          </w:tcPr>
          <w:p>
            <w:pPr>
              <w:jc w:val="right"/>
              <w:spacing w:after="0"/>
              <w:rPr>
                <w:sz w:val="20"/>
                <w:szCs w:val="20"/>
                <w:color w:val="auto"/>
              </w:rPr>
            </w:pPr>
            <w:r>
              <w:rPr>
                <w:rFonts w:ascii="Arial" w:cs="Arial" w:eastAsia="Arial" w:hAnsi="Arial"/>
                <w:sz w:val="18"/>
                <w:szCs w:val="18"/>
                <w:color w:val="auto"/>
              </w:rPr>
              <w:t>21.6</w:t>
            </w:r>
          </w:p>
        </w:tc>
        <w:tc>
          <w:tcPr>
            <w:tcW w:w="122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r>
      <w:tr>
        <w:trPr>
          <w:trHeight w:val="864"/>
        </w:trPr>
        <w:tc>
          <w:tcPr>
            <w:tcW w:w="3400" w:type="dxa"/>
            <w:vAlign w:val="bottom"/>
          </w:tcPr>
          <w:p>
            <w:pPr>
              <w:spacing w:after="0"/>
              <w:rPr>
                <w:sz w:val="24"/>
                <w:szCs w:val="24"/>
                <w:color w:val="auto"/>
              </w:rPr>
            </w:pPr>
          </w:p>
        </w:tc>
        <w:tc>
          <w:tcPr>
            <w:tcW w:w="4440" w:type="dxa"/>
            <w:vAlign w:val="bottom"/>
          </w:tcPr>
          <w:p>
            <w:pPr>
              <w:jc w:val="right"/>
              <w:ind w:right="3130"/>
              <w:spacing w:after="0"/>
              <w:rPr>
                <w:sz w:val="20"/>
                <w:szCs w:val="20"/>
                <w:color w:val="auto"/>
              </w:rPr>
            </w:pPr>
            <w:r>
              <w:rPr>
                <w:rFonts w:ascii="Arial" w:cs="Arial" w:eastAsia="Arial" w:hAnsi="Arial"/>
                <w:sz w:val="18"/>
                <w:szCs w:val="18"/>
                <w:color w:val="auto"/>
              </w:rPr>
              <w:t>18</w:t>
            </w:r>
          </w:p>
        </w:tc>
        <w:tc>
          <w:tcPr>
            <w:tcW w:w="1220" w:type="dxa"/>
            <w:vAlign w:val="bottom"/>
          </w:tcPr>
          <w:p>
            <w:pPr>
              <w:spacing w:after="0"/>
              <w:rPr>
                <w:sz w:val="24"/>
                <w:szCs w:val="24"/>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51.5% and 48.2% of our sales in the first nine months of 2018 and 2017,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20" w:hanging="331"/>
        <w:spacing w:after="0" w:line="271"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 We believe our sales of these products are at their highest relative level in our third and fourth quarter.</w:t>
      </w:r>
    </w:p>
    <w:p>
      <w:pPr>
        <w:spacing w:after="0" w:line="178" w:lineRule="exact"/>
        <w:rPr>
          <w:rFonts w:ascii="Arial" w:cs="Arial" w:eastAsia="Arial" w:hAnsi="Arial"/>
          <w:sz w:val="17"/>
          <w:szCs w:val="17"/>
          <w:color w:val="auto"/>
        </w:rPr>
      </w:pPr>
    </w:p>
    <w:p>
      <w:pPr>
        <w:ind w:left="820" w:right="20" w:hanging="331"/>
        <w:spacing w:after="0" w:line="25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profits.</w:t>
      </w:r>
      <w:r>
        <w:rPr>
          <w:rFonts w:ascii="Arial" w:cs="Arial" w:eastAsia="Arial" w:hAnsi="Arial"/>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20" w:right="40" w:hanging="331"/>
        <w:spacing w:after="0" w:line="218"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18%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820" w:right="20" w:hanging="331"/>
        <w:spacing w:after="0" w:line="34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Period 1</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completed six business acquisitions during the first nine months of 2018 and four during all of 2017. The annual historical sales attributable to acquisitions completed in the first nine months 2018 and all of 2017 were approximately $125 million and $127 million, respectively. These business combinations were not significant to our quarterly or year-to-date operating results individually or in aggregate and thus pro forma results for 2018 or 2017 are not presented.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126"/>
        </w:trPr>
        <w:tc>
          <w:tcPr>
            <w:tcW w:w="46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29,</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7"/>
              </w:rPr>
              <w:t>September 29,</w:t>
            </w:r>
          </w:p>
        </w:tc>
        <w:tc>
          <w:tcPr>
            <w:tcW w:w="26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0"/>
                <w:szCs w:val="10"/>
                <w:color w:val="auto"/>
              </w:rPr>
            </w:pPr>
          </w:p>
        </w:tc>
      </w:tr>
      <w:tr>
        <w:trPr>
          <w:trHeight w:val="178"/>
        </w:trPr>
        <w:tc>
          <w:tcPr>
            <w:tcW w:w="4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80" w:type="dxa"/>
            <w:vAlign w:val="bottom"/>
            <w:tcBorders>
              <w:bottom w:val="single" w:sz="8" w:color="CCEEFF"/>
            </w:tcBorders>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(gain) on disposition and impairment of assets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4640" w:type="dxa"/>
            <w:vAlign w:val="bottom"/>
          </w:tcPr>
          <w:p>
            <w:pPr>
              <w:spacing w:after="0" w:line="203" w:lineRule="exact"/>
              <w:rPr>
                <w:sz w:val="20"/>
                <w:szCs w:val="20"/>
                <w:color w:val="auto"/>
              </w:rPr>
            </w:pPr>
            <w:r>
              <w:rPr>
                <w:rFonts w:ascii="Arial" w:cs="Arial" w:eastAsia="Arial" w:hAnsi="Arial"/>
                <w:sz w:val="18"/>
                <w:szCs w:val="18"/>
                <w:color w:val="auto"/>
              </w:rPr>
              <w:t>Earnings from operations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7"/>
                <w:szCs w:val="17"/>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464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464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4640" w:type="dxa"/>
            <w:vAlign w:val="bottom"/>
          </w:tcPr>
          <w:p>
            <w:pPr>
              <w:spacing w:after="0" w:line="203" w:lineRule="exact"/>
              <w:rPr>
                <w:sz w:val="20"/>
                <w:szCs w:val="20"/>
                <w:color w:val="auto"/>
              </w:rPr>
            </w:pPr>
            <w:r>
              <w:rPr>
                <w:rFonts w:ascii="Arial" w:cs="Arial" w:eastAsia="Arial" w:hAnsi="Arial"/>
                <w:sz w:val="18"/>
                <w:szCs w:val="18"/>
                <w:color w:val="auto"/>
              </w:rPr>
              <w:t>Net earnings attributable to controlling interest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260" w:type="dxa"/>
            <w:vAlign w:val="bottom"/>
          </w:tcPr>
          <w:p>
            <w:pPr>
              <w:jc w:val="right"/>
              <w:ind w:right="10"/>
              <w:spacing w:after="0" w:line="203" w:lineRule="exact"/>
              <w:rPr>
                <w:sz w:val="20"/>
                <w:szCs w:val="20"/>
                <w:color w:val="auto"/>
              </w:rPr>
            </w:pPr>
            <w:r>
              <w:rPr>
                <w:rFonts w:ascii="Arial" w:cs="Arial" w:eastAsia="Arial" w:hAnsi="Arial"/>
                <w:sz w:val="18"/>
                <w:szCs w:val="18"/>
                <w:color w:val="auto"/>
                <w:w w:val="87"/>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60" w:type="dxa"/>
            <w:vAlign w:val="bottom"/>
          </w:tcPr>
          <w:p>
            <w:pPr>
              <w:jc w:val="right"/>
              <w:ind w:right="10"/>
              <w:spacing w:after="0" w:line="203" w:lineRule="exact"/>
              <w:rPr>
                <w:sz w:val="20"/>
                <w:szCs w:val="20"/>
                <w:color w:val="auto"/>
              </w:rPr>
            </w:pPr>
            <w:r>
              <w:rPr>
                <w:rFonts w:ascii="Arial" w:cs="Arial" w:eastAsia="Arial" w:hAnsi="Arial"/>
                <w:sz w:val="18"/>
                <w:szCs w:val="18"/>
                <w:color w:val="auto"/>
                <w:w w:val="87"/>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20" w:right="140" w:hanging="331"/>
        <w:spacing w:after="0" w:line="25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non-wood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88" w:lineRule="exact"/>
        <w:rPr>
          <w:rFonts w:ascii="Arial" w:cs="Arial" w:eastAsia="Arial" w:hAnsi="Arial"/>
          <w:sz w:val="18"/>
          <w:szCs w:val="18"/>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20" w:right="40" w:hanging="331"/>
        <w:spacing w:after="0" w:line="273"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78" w:lineRule="exact"/>
        <w:rPr>
          <w:rFonts w:ascii="Arial" w:cs="Arial" w:eastAsia="Arial" w:hAnsi="Arial"/>
          <w:sz w:val="17"/>
          <w:szCs w:val="17"/>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820" w:right="160" w:hanging="331"/>
        <w:spacing w:after="0" w:line="31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new products and expanding our value-added product offering for existing customers. New product sales were $138.3 million in the third quarter of 2018 compared to $113.4 million during the third quarter of 2017. New products sales year-to-date for 2018 and 2017 were $406.6 million and $326.2 million,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4"/>
              </w:rPr>
              <w:t>New Product Sales by Market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center"/>
              <w:ind w:right="134"/>
              <w:spacing w:after="0"/>
              <w:rPr>
                <w:sz w:val="20"/>
                <w:szCs w:val="20"/>
                <w:color w:val="auto"/>
              </w:rPr>
            </w:pPr>
            <w:r>
              <w:rPr>
                <w:rFonts w:ascii="Arial" w:cs="Arial" w:eastAsia="Arial" w:hAnsi="Arial"/>
                <w:sz w:val="14"/>
                <w:szCs w:val="14"/>
                <w:b w:val="1"/>
                <w:bCs w:val="1"/>
                <w:color w:val="auto"/>
                <w:w w:val="93"/>
              </w:rPr>
              <w:t>New Product Sales by Market</w:t>
            </w:r>
          </w:p>
        </w:tc>
        <w:tc>
          <w:tcPr>
            <w:tcW w:w="0" w:type="dxa"/>
            <w:vAlign w:val="bottom"/>
          </w:tcPr>
          <w:p>
            <w:pPr>
              <w:spacing w:after="0"/>
              <w:rPr>
                <w:sz w:val="1"/>
                <w:szCs w:val="1"/>
                <w:color w:val="auto"/>
              </w:rPr>
            </w:pPr>
          </w:p>
        </w:tc>
      </w:tr>
      <w:tr>
        <w:trPr>
          <w:trHeight w:val="15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6"/>
              </w:rPr>
              <w:t>September 29,</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3"/>
              </w:rPr>
              <w:t>September 29,</w:t>
            </w:r>
          </w:p>
        </w:tc>
        <w:tc>
          <w:tcPr>
            <w:tcW w:w="200" w:type="dxa"/>
            <w:vAlign w:val="bottom"/>
          </w:tcPr>
          <w:p>
            <w:pPr>
              <w:spacing w:after="0"/>
              <w:rPr>
                <w:sz w:val="10"/>
                <w:szCs w:val="10"/>
                <w:color w:val="auto"/>
              </w:rPr>
            </w:pPr>
          </w:p>
        </w:tc>
        <w:tc>
          <w:tcPr>
            <w:tcW w:w="116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81,328</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66,580</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239,440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194,739</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37,747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30,432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105,422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84,719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61,707</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46,716</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138,339</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113,442</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406,569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326,174</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8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September 29,</w:t>
            </w:r>
          </w:p>
        </w:tc>
        <w:tc>
          <w:tcPr>
            <w:tcW w:w="960" w:type="dxa"/>
            <w:vAlign w:val="bottom"/>
            <w:tcBorders>
              <w:top w:val="single" w:sz="8" w:color="auto"/>
            </w:tcBorders>
          </w:tcPr>
          <w:p>
            <w:pPr>
              <w:ind w:left="40"/>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September 29,</w:t>
            </w:r>
          </w:p>
        </w:tc>
        <w:tc>
          <w:tcPr>
            <w:tcW w:w="8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30,</w:t>
            </w:r>
          </w:p>
        </w:tc>
      </w:tr>
      <w:tr>
        <w:trPr>
          <w:trHeight w:val="178"/>
        </w:trPr>
        <w:tc>
          <w:tcPr>
            <w:tcW w:w="2900" w:type="dxa"/>
            <w:vAlign w:val="bottom"/>
          </w:tcPr>
          <w:p>
            <w:pPr>
              <w:spacing w:after="0"/>
              <w:rPr>
                <w:sz w:val="15"/>
                <w:szCs w:val="15"/>
                <w:color w:val="auto"/>
              </w:rPr>
            </w:pPr>
          </w:p>
        </w:tc>
        <w:tc>
          <w:tcPr>
            <w:tcW w:w="3000" w:type="dxa"/>
            <w:vAlign w:val="bottom"/>
            <w:gridSpan w:val="2"/>
          </w:tcPr>
          <w:p>
            <w:pPr>
              <w:ind w:left="23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2017</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Value-Added</w:t>
            </w:r>
          </w:p>
        </w:tc>
        <w:tc>
          <w:tcPr>
            <w:tcW w:w="2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62.1 %</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63.9 %</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61.2 %</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62.9 %</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Commodity-Based</w:t>
            </w:r>
          </w:p>
        </w:tc>
        <w:tc>
          <w:tcPr>
            <w:tcW w:w="3000" w:type="dxa"/>
            <w:vAlign w:val="bottom"/>
            <w:gridSpan w:val="2"/>
          </w:tcPr>
          <w:p>
            <w:pPr>
              <w:ind w:left="2380"/>
              <w:spacing w:after="0"/>
              <w:rPr>
                <w:sz w:val="20"/>
                <w:szCs w:val="20"/>
                <w:color w:val="auto"/>
              </w:rPr>
            </w:pPr>
            <w:r>
              <w:rPr>
                <w:rFonts w:ascii="Arial" w:cs="Arial" w:eastAsia="Arial" w:hAnsi="Arial"/>
                <w:sz w:val="18"/>
                <w:szCs w:val="18"/>
                <w:color w:val="auto"/>
              </w:rPr>
              <w:t>37.9 %</w:t>
            </w:r>
          </w:p>
        </w:tc>
        <w:tc>
          <w:tcPr>
            <w:tcW w:w="120" w:type="dxa"/>
            <w:vAlign w:val="bottom"/>
          </w:tcPr>
          <w:p>
            <w:pPr>
              <w:spacing w:after="0"/>
              <w:rPr>
                <w:sz w:val="20"/>
                <w:szCs w:val="20"/>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36.1 %</w:t>
            </w:r>
          </w:p>
        </w:tc>
        <w:tc>
          <w:tcPr>
            <w:tcW w:w="120" w:type="dxa"/>
            <w:vAlign w:val="bottom"/>
          </w:tcPr>
          <w:p>
            <w:pPr>
              <w:spacing w:after="0"/>
              <w:rPr>
                <w:sz w:val="20"/>
                <w:szCs w:val="20"/>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38.8 %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37.1 %</w:t>
            </w:r>
          </w:p>
        </w:tc>
      </w:tr>
      <w:tr>
        <w:trPr>
          <w:trHeight w:val="634"/>
        </w:trPr>
        <w:tc>
          <w:tcPr>
            <w:tcW w:w="2900" w:type="dxa"/>
            <w:vAlign w:val="bottom"/>
          </w:tcPr>
          <w:p>
            <w:pPr>
              <w:spacing w:after="0"/>
              <w:rPr>
                <w:sz w:val="24"/>
                <w:szCs w:val="24"/>
                <w:color w:val="auto"/>
              </w:rPr>
            </w:pPr>
          </w:p>
        </w:tc>
        <w:tc>
          <w:tcPr>
            <w:tcW w:w="2040" w:type="dxa"/>
            <w:vAlign w:val="bottom"/>
          </w:tcPr>
          <w:p>
            <w:pPr>
              <w:jc w:val="right"/>
              <w:ind w:right="236"/>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200" w:type="dxa"/>
            <w:vAlign w:val="bottom"/>
          </w:tcPr>
          <w:p>
            <w:pPr>
              <w:spacing w:after="0"/>
              <w:rPr>
                <w:sz w:val="10"/>
                <w:szCs w:val="10"/>
                <w:color w:val="auto"/>
              </w:rPr>
            </w:pPr>
          </w:p>
        </w:tc>
        <w:tc>
          <w:tcPr>
            <w:tcW w:w="112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220" w:type="dxa"/>
            <w:vAlign w:val="bottom"/>
            <w:gridSpan w:val="2"/>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443,044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391,043</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$ 1,359,498</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$ 1,161,662</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374,018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1,166,523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995,078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361,179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308,585</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1,039,705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867,958</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1,233,690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1,073,646</w:t>
            </w: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14.9</w:t>
            </w:r>
          </w:p>
        </w:tc>
        <w:tc>
          <w:tcPr>
            <w:tcW w:w="2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3,565,726</w:t>
            </w:r>
          </w:p>
        </w:tc>
        <w:tc>
          <w:tcPr>
            <w:tcW w:w="220" w:type="dxa"/>
            <w:vAlign w:val="bottom"/>
            <w:tcBorders>
              <w:top w:val="single" w:sz="8" w:color="CCEEFF"/>
            </w:tcBorders>
            <w:gridSpan w:val="2"/>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3,024,698</w:t>
            </w: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17.9</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1,212,702</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1,056,586</w:t>
            </w: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14.8</w:t>
            </w:r>
          </w:p>
        </w:tc>
        <w:tc>
          <w:tcPr>
            <w:tcW w:w="2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$ 3,500,999</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$ 2,975,091</w:t>
            </w: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17.7</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Gross sales in the third quarter of 2018 increased 15% compared to the same period of 2017, due to a 7% increase in unit sales and an 8% increase in selling prices primarily due to the Lumber Market. Acquired operations contributed 2% to our unit sales growth, and our organic unit sales growth was 5%.</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Gross sales in the first nine months of 2018 increased 18% compared to the same period of 2017, due to an 8% increase in unit sales and a 10% increase in selling prices primarily due to the Lumber Market. Acquired operations contributed 3% to our unit sales growth, and our organic unit sales growth was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Gross sales to the retail market increased 13% in the third quarter of 2018 compared to the same period of 2017, due to a 4% increase in unit sales and a 9% increase in selling prices. Within this market, sales to our big box customers increased almost 11%, and sales to other independent retailers increased over 17%. Our organic unit growth was 4% for the quarter primarily due to an increase in customer demand.</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Gross sales to the retail market increased almost 17% in the first nine months of 2018 compared to the same period of 2017, due to a 6% increase in unit sales and a 11% increase in selling prices. Within this market, sales to our big box customers increased 14%, while sales to other independent retailers increased almost 22%. Businesses we acquired contributed 2% to our growth in unit sales, primarily to independent retail customers, while organic unit sales growth increased 4% in the first nine months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Gross sales to the industrial market increased almost 15% in the third quarter of 2018 compared to the same period of 2017, resulting from an 8% increase in unit sales and an 7% increase in selling prices. Businesses we acquired contributed 5% to our growth in unit sales. Our organic growth in unit sales of 3% was lower than previous quarters primarily due to a $7 million, or 8.7%, decrease in sales of idX. Excluding idX, our industrial wood business reported a 7% organic growth rate due to adding nearly 90 new customers, 140 new locations of existing customers, and $7 million of new sales growth as our efforts to improve market share continue to gain traction.</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Gross sales to the industrial market increased over 17% in the first nine months of 2018 compared to the same period of 2017, resulting from a 9% increase in unit sales and a 8% increase in selling prices. Businesses we acquired contributed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4% to our growth in unit sales. Our organic growth in unit sales of 5% was primarily due to the same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sales to the construction market increased 17% in the third quarter of 2018 compared to 2017. The increase was due to a 9% increase in unit sales and an 8% increase in our selling prices. Our increase in unit sales was driven by a 3% increase to manufactured housing customers, an 11% increase to residential construction customers, and an 18% increase to commercial construction customers. Acquired businesses contributed 1% to our growth in unit sales to the overall construction market and 4% to the commercial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20" w:right="20" w:hanging="331"/>
        <w:spacing w:after="0" w:line="286"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Production of HUD-code manufactured homes in July and August 2018, the most recent period reported, was up 11.9% compared to the same period of 2017. Our sales growth trailed the market as a result of losing certain high volume, low margin business with one of our customers and due to a significant percentage of our sales to the manufactured housing market going to modular home producers, which are experiencing lower growth rates.</w:t>
      </w:r>
    </w:p>
    <w:p>
      <w:pPr>
        <w:spacing w:after="0" w:line="1" w:lineRule="exact"/>
        <w:rPr>
          <w:rFonts w:ascii="Arial" w:cs="Arial" w:eastAsia="Arial" w:hAnsi="Arial"/>
          <w:sz w:val="16"/>
          <w:szCs w:val="16"/>
          <w:color w:val="auto"/>
        </w:rPr>
      </w:pPr>
    </w:p>
    <w:p>
      <w:pPr>
        <w:ind w:left="820" w:right="340" w:hanging="33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Non-residential construction activity in July and August increased approximately 6.1% compared to the same period of 2017.</w:t>
      </w:r>
    </w:p>
    <w:p>
      <w:pPr>
        <w:ind w:left="820" w:right="300" w:hanging="331"/>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housing starts increased approximately 1.5% in the period from June through August 2018 (our sales trail housing starts by about a month) compared to the same period of 2017.</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Gross sales to the construction market increased almost 20% in the first nine months of 2018 compared to 2017. The increase was due to an 8% increase in unit sales and a 12% increase in our selling prices. Our increase in unit sales was driven by a 7% increase to manufactured housing customers, a 13% increase to commercial construction customers, and an 8% increase to residential construction customers due to the same factors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Our gross margin decreased to 13.1% from 13.7% comparing the third quarter of 2018 to the same period of 2017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(See “Impact of the Lumber Market on Our Operating Results”). More importantly, our $14 million, or 9.7%, increase in gross profit dollars compares favorably to our 7% increase in unit sales during the same period. Acquired operations contributed $1.0 million of gross profit in the third quarter of 2018. Excluding acquisitions, our gross profits increased by $13.0 million, or 9.0%, over the same period last year due to the following:</w:t>
      </w:r>
    </w:p>
    <w:p>
      <w:pPr>
        <w:spacing w:after="0" w:line="173" w:lineRule="exact"/>
        <w:rPr>
          <w:sz w:val="20"/>
          <w:szCs w:val="20"/>
          <w:color w:val="auto"/>
        </w:rPr>
      </w:pPr>
    </w:p>
    <w:p>
      <w:pPr>
        <w:ind w:left="820" w:right="120" w:hanging="331"/>
        <w:spacing w:after="0" w:line="256"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$6 million, due to a combination of growth and the impact of the falling lumber market on products we well with fixed prices. This increase was offset by a $2 million reduction in the gross profits of idX.</w:t>
      </w:r>
    </w:p>
    <w:p>
      <w:pPr>
        <w:ind w:left="820" w:right="460" w:hanging="331"/>
        <w:spacing w:after="0" w:line="265"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gross profit on sales to the construction market increased by approximately $8 million, primarily due to organic growth and the impact of the falling lumber market on products we sell with fixed prices.</w:t>
      </w:r>
    </w:p>
    <w:p>
      <w:pPr>
        <w:ind w:left="820" w:hanging="331"/>
        <w:spacing w:after="0" w:line="255"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favorable results above were offset by a decrease in gross profit on sales to the retail market of approximately $1 million, despite a 4% increase in unit sales. This was primarily due to the unfavorable impact of the declining lumber market on products we sell with variable selling prices.</w:t>
      </w:r>
    </w:p>
    <w:p>
      <w:pPr>
        <w:spacing w:after="0" w:line="200" w:lineRule="exact"/>
        <w:rPr>
          <w:sz w:val="20"/>
          <w:szCs w:val="20"/>
          <w:color w:val="auto"/>
        </w:rPr>
      </w:pP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Our gross margin decreased to 13.0% from 13.9% comparing the first nine months of 2018 to the same period of 2017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(See “Impact of the Lumber Market on Our Operating Results”). More importantly, our $42 million, or 10.0%, increase in gross profit dollars compares favorably to our 8% increase in unit sales during the same period. Acquired operations contributed almost $7 million of gross profit in the first nine months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2018. Excluding acquisitions, our gross profits increased by $35 million, or 8.5%, over the same period last year primarily due to the following:</w:t>
      </w:r>
    </w:p>
    <w:p>
      <w:pPr>
        <w:spacing w:after="0" w:line="170" w:lineRule="exact"/>
        <w:rPr>
          <w:sz w:val="20"/>
          <w:szCs w:val="20"/>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approximately $9 million.</w:t>
      </w:r>
    </w:p>
    <w:p>
      <w:pPr>
        <w:spacing w:after="0" w:line="23"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$15 million.</w:t>
      </w:r>
    </w:p>
    <w:p>
      <w:pPr>
        <w:spacing w:after="0" w:line="9"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over $14 million.</w:t>
      </w:r>
    </w:p>
    <w:p>
      <w:pPr>
        <w:spacing w:after="0" w:line="9"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on sales to each of our markets improved due to the same factors discussed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$9.9 million, or 10.7%, in the third quarter of 2018 compared to the same period of 2017, while we reported a 7% increase in unit sales. Accrued bonus expense, which varies with our overall profitability and return on investment, totaled $14.3 million in the third quarter of 2018 compared to $12.4 million in 2017. Acquired operations contributed approximately $1.8 million to our year over year increase in SG&amp;A. The remaining increase was primarily due to an increase in base wages and benefits ($2.4 million), sales incentive expenses ($1.7 million), professional services ($1.0 million), and depreciation and amortization expense ($0.9 million).</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$27.3 million, or 10.0%, in the first nine months of 2018 compared to the same period of 2017, while we reported an 8% increase in unit sales. Accrued bonus expense, which varies with our overall profitability and return on investment, totaled $37.9 million in the first nine months of 2018 compared to $32.6 million in 2017. Acquired operations contributed approximately $5.0 million to our year over year increase. The remaining increase was primarily due to an increase in base wages and benefits ($7.4 million), sales incentive expenses ($5.8 million), employee benefits ($2.1 million), professional services ($1.7 million), and idX’s lease termination ($0.7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interest costs were higher in the third quarter of 2018 compared to the same period of 2017 primarily due to carrying a higher amount of debt and higher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23.8% in the third quarter of 2018 compared to 31.9% for same period in 2017. Our effective tax rate was 23.0% in the first nine months of 2018 compared to 33.0% for the same period in 2017. This decrease was due to changes resulting from the Tax Act, which reduced the U.S. federal corporate income tax rate from 35 percent to 21 percent effective January 1, 2018, along with eliminating the domestic manufacturing deduction. We currently anticipate an overall effective tax rate for the year of 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Net Sales</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620" w:type="dxa"/>
            <w:vAlign w:val="bottom"/>
            <w:tcBorders>
              <w:bottom w:val="single" w:sz="8" w:color="auto"/>
            </w:tcBorders>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Borders>
              <w:bottom w:val="single" w:sz="8" w:color="auto"/>
            </w:tcBorders>
          </w:tcPr>
          <w:p>
            <w:pPr>
              <w:spacing w:after="0"/>
              <w:rPr>
                <w:sz w:val="13"/>
                <w:szCs w:val="13"/>
                <w:color w:val="auto"/>
              </w:rPr>
            </w:pPr>
          </w:p>
        </w:tc>
      </w:tr>
      <w:tr>
        <w:trPr>
          <w:trHeight w:val="126"/>
        </w:trPr>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right="20"/>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14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2"/>
          </w:tcPr>
          <w:p>
            <w:pPr>
              <w:jc w:val="center"/>
              <w:ind w:left="3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440" w:type="dxa"/>
            <w:vAlign w:val="bottom"/>
          </w:tcPr>
          <w:p>
            <w:pPr>
              <w:jc w:val="center"/>
              <w:ind w:left="174"/>
              <w:spacing w:after="0" w:line="126"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29,</w:t>
            </w:r>
          </w:p>
        </w:tc>
        <w:tc>
          <w:tcPr>
            <w:tcW w:w="102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341,334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30,950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South</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270,077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206,050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64,027</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434,123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All 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167,168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161,438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5,730</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(20.7)%</w:t>
            </w:r>
          </w:p>
        </w:tc>
      </w:tr>
      <w:tr>
        <w:trPr>
          <w:trHeight w:val="23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8"/>
                <w:szCs w:val="8"/>
                <w:color w:val="auto"/>
              </w:rPr>
              <w:t>1</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145.5 %</w:t>
            </w:r>
          </w:p>
        </w:tc>
      </w:tr>
      <w:tr>
        <w:trPr>
          <w:trHeight w:val="210"/>
        </w:trPr>
        <w:tc>
          <w:tcPr>
            <w:tcW w:w="1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1,212,702</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1,056,586</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$ 156,116</w:t>
            </w: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14.8 %</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56,991</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52,271</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4,720</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9.0 %</w:t>
            </w:r>
          </w:p>
        </w:tc>
      </w:tr>
      <w:tr>
        <w:trPr>
          <w:trHeight w:val="601"/>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Net Sales</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620" w:type="dxa"/>
            <w:vAlign w:val="bottom"/>
            <w:tcBorders>
              <w:bottom w:val="single" w:sz="8" w:color="auto"/>
            </w:tcBorders>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3"/>
                <w:szCs w:val="13"/>
                <w:color w:val="auto"/>
              </w:rPr>
            </w:pPr>
          </w:p>
        </w:tc>
      </w:tr>
      <w:tr>
        <w:trPr>
          <w:trHeight w:val="126"/>
        </w:trPr>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right="20"/>
              <w:spacing w:after="0" w:line="126" w:lineRule="exact"/>
              <w:rPr>
                <w:sz w:val="20"/>
                <w:szCs w:val="20"/>
                <w:color w:val="auto"/>
              </w:rPr>
            </w:pPr>
            <w:r>
              <w:rPr>
                <w:rFonts w:ascii="Arial" w:cs="Arial" w:eastAsia="Arial" w:hAnsi="Arial"/>
                <w:sz w:val="14"/>
                <w:szCs w:val="14"/>
                <w:b w:val="1"/>
                <w:bCs w:val="1"/>
                <w:color w:val="auto"/>
                <w:w w:val="91"/>
              </w:rPr>
              <w:t>September 29,</w:t>
            </w:r>
          </w:p>
        </w:tc>
        <w:tc>
          <w:tcPr>
            <w:tcW w:w="14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2"/>
          </w:tcPr>
          <w:p>
            <w:pPr>
              <w:jc w:val="center"/>
              <w:ind w:left="54"/>
              <w:spacing w:after="0" w:line="126"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0"/>
                <w:szCs w:val="10"/>
                <w:color w:val="auto"/>
              </w:rPr>
            </w:pPr>
          </w:p>
        </w:tc>
        <w:tc>
          <w:tcPr>
            <w:tcW w:w="440" w:type="dxa"/>
            <w:vAlign w:val="bottom"/>
          </w:tcPr>
          <w:p>
            <w:pPr>
              <w:jc w:val="center"/>
              <w:ind w:left="174"/>
              <w:spacing w:after="0" w:line="126"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29,</w:t>
            </w:r>
          </w:p>
        </w:tc>
        <w:tc>
          <w:tcPr>
            <w:tcW w:w="102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620" w:type="dxa"/>
            <w:vAlign w:val="bottom"/>
          </w:tcPr>
          <w:p>
            <w:pPr>
              <w:jc w:val="right"/>
              <w:ind w:right="234"/>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$1,002,341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857,858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$ 144,483</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South</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803,417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616,376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187,041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13,507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43.4 %</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1,253,416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1,088,744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164,672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All 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441,825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412,113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29,712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(6,606)</w:t>
            </w:r>
          </w:p>
        </w:tc>
        <w:tc>
          <w:tcPr>
            <w:tcW w:w="620" w:type="dxa"/>
            <w:vAlign w:val="bottom"/>
          </w:tcPr>
          <w:p>
            <w:pPr>
              <w:jc w:val="right"/>
              <w:spacing w:after="0"/>
              <w:rPr>
                <w:sz w:val="20"/>
                <w:szCs w:val="20"/>
                <w:color w:val="auto"/>
              </w:rPr>
            </w:pPr>
            <w:r>
              <w:rPr>
                <w:rFonts w:ascii="Arial" w:cs="Arial" w:eastAsia="Arial" w:hAnsi="Arial"/>
                <w:sz w:val="18"/>
                <w:szCs w:val="18"/>
                <w:color w:val="auto"/>
                <w:w w:val="95"/>
              </w:rPr>
              <w:t>(49.7)%</w:t>
            </w:r>
          </w:p>
        </w:tc>
      </w:tr>
      <w:tr>
        <w:trPr>
          <w:trHeight w:val="23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8"/>
                <w:szCs w:val="8"/>
                <w:color w:val="auto"/>
              </w:rPr>
              <w:t>1</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10"/>
        </w:trPr>
        <w:tc>
          <w:tcPr>
            <w:tcW w:w="1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3,500,999</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2,975,091</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$ 525,908</w:t>
            </w: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17.7 %</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161,825</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139,991</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21,834</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15.6 %</w:t>
            </w:r>
          </w:p>
        </w:tc>
      </w:tr>
      <w:tr>
        <w:trPr>
          <w:trHeight w:val="108"/>
        </w:trPr>
        <w:tc>
          <w:tcPr>
            <w:tcW w:w="1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accrued bonus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left="45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center"/>
              <w:ind w:left="516"/>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460" w:type="dxa"/>
            <w:vAlign w:val="bottom"/>
            <w:vMerge w:val="continue"/>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29,</w:t>
            </w:r>
          </w:p>
        </w:tc>
        <w:tc>
          <w:tcPr>
            <w:tcW w:w="108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September 29,</w:t>
            </w: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8"/>
        </w:trPr>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Market Classification</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152,755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139,197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388,282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40,276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159,859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114,814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143,834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137,618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423,897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373,200</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460" w:type="dxa"/>
            <w:vAlign w:val="bottom"/>
          </w:tcPr>
          <w:p>
            <w:pPr>
              <w:spacing w:after="0" w:line="203" w:lineRule="exact"/>
              <w:rPr>
                <w:sz w:val="20"/>
                <w:szCs w:val="20"/>
                <w:color w:val="auto"/>
              </w:rPr>
            </w:pPr>
            <w:r>
              <w:rPr>
                <w:rFonts w:ascii="Arial" w:cs="Arial" w:eastAsia="Arial" w:hAnsi="Arial"/>
                <w:sz w:val="18"/>
                <w:szCs w:val="18"/>
                <w:color w:val="auto"/>
              </w:rPr>
              <w:t>Total Gross Sales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349,006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317,091</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10.1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1,023,711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876,296</w:t>
            </w:r>
          </w:p>
        </w:tc>
        <w:tc>
          <w:tcPr>
            <w:tcW w:w="1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16.8</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(21,370)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341,334</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310,384</w:t>
            </w: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1,002,341</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857,858</w:t>
            </w: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attributable to the North reportable segment increased in the third quarter of 2018 compared to 2017 to each of our markets, primarily due to the same factors previously discussed. Acquired operations contributed $4.0 million and $1.7 to our industrial and construction sales increases, respectively.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Earnings from operations for the North reportable segment decreased in the third quarter of 2018 by $2.4 million, or 14.1%, due to a $2.4 million increase in SG&amp;A expenses as gross profits remained flat compared to last year. Gross profits were flat despite higher unit sales due to unfavorable cost variances. Acquired operations contributed $0.3 million to our operating profits in the third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attributable to the North reportable segment increased in the first nine months of 2018 compared to 2017 as a result of increased sales to each of our markets, primarily due to the same factors previously discussed. Acquired operations contributed $20.5 million and $5.0 to our industrial and construction sales increase, respectively, in the first nine months of 2018.</w:t>
      </w:r>
    </w:p>
    <w:p>
      <w:pPr>
        <w:spacing w:after="0" w:line="18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Earnings from operations for the North reportable segment were flat comparing in the first nine months of 2018 with the same period of 2017, due to an increase in gross profit of $4.3 million offset by a $4.3 million increase in SG&amp;A expenses compared to last year. Acquired operations contributed $1.4 million to our operating profits in the first nine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8"/>
              </w:rPr>
              <w:t>Net Sales</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jc w:val="center"/>
              <w:ind w:left="56"/>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3"/>
              </w:rPr>
              <w:t>South Segment by Market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7"/>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ind w:left="476"/>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9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8"/>
              </w:rPr>
              <w:t>September 29,</w:t>
            </w:r>
          </w:p>
        </w:tc>
        <w:tc>
          <w:tcPr>
            <w:tcW w:w="1120" w:type="dxa"/>
            <w:vAlign w:val="bottom"/>
            <w:gridSpan w:val="5"/>
          </w:tcPr>
          <w:p>
            <w:pPr>
              <w:ind w:left="60"/>
              <w:spacing w:after="0" w:line="126" w:lineRule="exact"/>
              <w:rPr>
                <w:sz w:val="20"/>
                <w:szCs w:val="20"/>
                <w:color w:val="auto"/>
              </w:rPr>
            </w:pPr>
            <w:r>
              <w:rPr>
                <w:rFonts w:ascii="Arial" w:cs="Arial" w:eastAsia="Arial" w:hAnsi="Arial"/>
                <w:sz w:val="14"/>
                <w:szCs w:val="14"/>
                <w:b w:val="1"/>
                <w:bCs w:val="1"/>
                <w:color w:val="auto"/>
              </w:rPr>
              <w:t>September 30,</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0"/>
                <w:szCs w:val="10"/>
                <w:color w:val="auto"/>
              </w:rPr>
            </w:pPr>
          </w:p>
        </w:tc>
        <w:tc>
          <w:tcPr>
            <w:tcW w:w="10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10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9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Market Classification</w:t>
            </w: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109,337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91,808</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355,465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282,362</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25.9</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Industrial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112,177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296,569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206,413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w:t>
            </w: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47,757</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168,022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141,349</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980" w:type="dxa"/>
            <w:vAlign w:val="bottom"/>
          </w:tcPr>
          <w:p>
            <w:pPr>
              <w:spacing w:after="0" w:line="203" w:lineRule="exact"/>
              <w:rPr>
                <w:sz w:val="20"/>
                <w:szCs w:val="20"/>
                <w:color w:val="auto"/>
              </w:rPr>
            </w:pPr>
            <w:r>
              <w:rPr>
                <w:rFonts w:ascii="Arial" w:cs="Arial" w:eastAsia="Arial" w:hAnsi="Arial"/>
                <w:sz w:val="18"/>
                <w:szCs w:val="18"/>
                <w:color w:val="auto"/>
              </w:rPr>
              <w:t>Total Gross Sales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275,594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210,590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Arial" w:cs="Arial" w:eastAsia="Arial" w:hAnsi="Arial"/>
                <w:sz w:val="18"/>
                <w:szCs w:val="18"/>
                <w:color w:val="auto"/>
              </w:rPr>
              <w:t>30.9</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820,056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630,124</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30.1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Sales</w:t>
            </w: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270,077</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206,050</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31.1</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803,417</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616,376</w:t>
            </w: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30.3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attributable to the South reportable segment increased in the third quarter of 2018 compared to 2017 due to increased sales to all markets, primarily due to the same factors previously discussed. Acquired operations contributed $14.8 million to our growth in sales to the industrial market.</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Earnings from operations for the South reportable segment remained flat in the third quarter of 2018 due to an increase in gross profits and SG&amp;A expenses of $3.4 million compared to the same period of 2017, due to the same factors previously discussed. Acquired operations had a $0.9 million operating loss in the third quarter due to the seasonality of their business.</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sales attributable to the South reportable segment increased in the first nine months of 2018 compared to 2017 due to increased sales to all markets, primarily due to the same factors previously discussed. Acquired operations contributed $33.4 million and $23.1 million to our growth in sales to the retail and industrial markets, respectively.</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Earnings from operations for the South reportable segment increased in the first nine months of 2018 by $13.5 million, or 43.4%, compared to the same period in 2017. Excluding the gain on the sale of our Medley plant, earnings from operations increased during the first nine months of 2018 by $6.5 million due to an increase in gross profit dollars of $14.6 million, offset by an increase in SG&amp;A expenses of $8.1 million compared to the same period of 2017. Acquired operations contributed $3.4 million to gross profits, $3.2 million to SG&amp;A, and $0.2 million to operating profits in the first nine months of the year.</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West Segment by Market</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left="96"/>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left="576"/>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106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2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126,321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114,642</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393,573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346,236</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150,876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145,705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431,055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403,246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163,089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122,880</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447,219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352,876</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440,286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383,227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14.9</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7"/>
              </w:rPr>
              <w:t>1,271,847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7"/>
              </w:rPr>
              <w:t>1,102,358</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15.4</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(4,513)</w:t>
            </w: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434,123</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378,714</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2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1,253,416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1,088,744</w:t>
            </w: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15.1</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attributable to the West reportable segment increased in the third quarter of 2018 compared to 2017 due to increases in sales to all markets primarily due to factors previously discussed.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third quarter of 2018 by $2.6 million, or 11.5%, compared to the same period in 2017 due to a $6.1 million increase in gross profit, offset by a $3.5 million increase in SG&amp;A expenses due to the same factors previously discussed.</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nine months of 2018 compared to 2017 due to increases in sales to all markets primarily due to factors previously discussed.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West reportable segment increased in the first nine months of 2018 by $10.5 million, or</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16.0%, compared to the same period in 2017 due to an $18.3 million increase in gross profit, offset by a $7.8 million increase in SG&amp;A expenses due to the same factors previously discussed.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left="45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ind w:left="436"/>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10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10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54,631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45,396</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170,505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144,782</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113,998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117,011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279,040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270,605</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168,806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162,465</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450,112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415,920</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167,168</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161,438</w:t>
            </w: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441,825</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412,113</w:t>
            </w: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third quarter of 2018 compared to 2017 due to increases in sales to the retail market within our International segment. Our sales to the industrial market decreased primarily due to our idX division.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Earnings from operations for All Other reportable segments decreased during the third quarter of 2018 by $1.4 million primarily due to the idX segment.</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Net sales attributable to All Other reportable segments increased in the first nine months of 2018 compared to 2017 due to increases in sales to the retail and industrial markets. Our increase in sales to the retail market was primarily due to a $22.0 million and $5.1 million increase in sales by our International and Alternative Materials segments, respectively.</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Earnings from operations for All Other reportable segments decreased during the first nine months of 2018 by $6.6 million primarily due to the idX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September 29,</w:t>
            </w:r>
          </w:p>
        </w:tc>
        <w:tc>
          <w:tcPr>
            <w:tcW w:w="960" w:type="dxa"/>
            <w:vAlign w:val="bottom"/>
            <w:tcBorders>
              <w:top w:val="single" w:sz="8" w:color="auto"/>
            </w:tcBorders>
            <w:gridSpan w:val="3"/>
          </w:tcPr>
          <w:p>
            <w:pPr>
              <w:ind w:left="100"/>
              <w:spacing w:after="0" w:line="126" w:lineRule="exact"/>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0"/>
                <w:szCs w:val="10"/>
                <w:color w:val="auto"/>
              </w:rPr>
            </w:pPr>
          </w:p>
        </w:tc>
      </w:tr>
      <w:tr>
        <w:trPr>
          <w:trHeight w:val="178"/>
        </w:trPr>
        <w:tc>
          <w:tcPr>
            <w:tcW w:w="58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97,350</w:t>
            </w:r>
          </w:p>
        </w:tc>
        <w:tc>
          <w:tcPr>
            <w:tcW w:w="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(85,615)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(121,375)</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0" w:type="dxa"/>
            <w:vAlign w:val="bottom"/>
          </w:tcPr>
          <w:p>
            <w:pPr>
              <w:spacing w:after="0"/>
              <w:rPr>
                <w:sz w:val="18"/>
                <w:szCs w:val="18"/>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20" w:type="dxa"/>
            <w:vAlign w:val="bottom"/>
          </w:tcPr>
          <w:p>
            <w:pPr>
              <w:spacing w:after="0"/>
              <w:rPr>
                <w:sz w:val="18"/>
                <w:szCs w:val="18"/>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20" w:type="dxa"/>
            <w:vAlign w:val="bottom"/>
          </w:tcPr>
          <w:p>
            <w:pPr>
              <w:spacing w:after="0"/>
              <w:rPr>
                <w:sz w:val="19"/>
                <w:szCs w:val="19"/>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management. As indicated in the table below, our cash cycle increased to 51 days from 49 days during the third quarter of 2018 compared to the prior periods.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2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8"/>
              </w:rPr>
              <w:t>September 29,</w:t>
            </w:r>
          </w:p>
        </w:tc>
        <w:tc>
          <w:tcPr>
            <w:tcW w:w="9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8"/>
              </w:rPr>
              <w:t>September 29,</w:t>
            </w:r>
          </w:p>
        </w:tc>
        <w:tc>
          <w:tcPr>
            <w:tcW w:w="9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0"/>
                <w:szCs w:val="10"/>
                <w:color w:val="auto"/>
              </w:rPr>
            </w:pPr>
          </w:p>
        </w:tc>
      </w:tr>
      <w:tr>
        <w:trPr>
          <w:trHeight w:val="178"/>
        </w:trPr>
        <w:tc>
          <w:tcPr>
            <w:tcW w:w="2480" w:type="dxa"/>
            <w:vAlign w:val="bottom"/>
          </w:tcPr>
          <w:p>
            <w:pPr>
              <w:spacing w:after="0"/>
              <w:rPr>
                <w:sz w:val="15"/>
                <w:szCs w:val="15"/>
                <w:color w:val="auto"/>
              </w:rPr>
            </w:pPr>
          </w:p>
        </w:tc>
        <w:tc>
          <w:tcPr>
            <w:tcW w:w="14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9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r>
      <w:tr>
        <w:trPr>
          <w:trHeight w:val="23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r>
      <w:tr>
        <w:trPr>
          <w:trHeight w:val="210"/>
        </w:trPr>
        <w:tc>
          <w:tcPr>
            <w:tcW w:w="2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Days in cash cycle</w:t>
            </w: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first nine months of 2018, our cash from operating activities was $60.1 million, which was comprised of net earnings of $120.8 million and $39.8 million of non-cash expenses, offset by a $100.5 million seasonal increase in working capital since the end of December 2017. Comparatively in the first nine months of 2017, our cash provided by operating activities was $97.3 million, which was comprised of net earnings of $90.9 million, and $41.3 million of non-cash expenses, offset by a $34.9 million seasonal increase in working capital since the end of December 2016. The increase in working capital compared to the same period last year was due to growth in our business, higher lumber prices, and inventory levels at many locations that exceed internal targets and will be addressed in the fourth quarter.</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Acquisitions and purchases of property, plant, and equipment comprised most of our cash used in investing activities during the first nine months of 2018 and totaled $39.0 million and $74.5 million, respectively. Proceeds from the sale of our Medley, FL, plant provided approximately $36 million in net cash proceeds. Outstanding purchase commitments on existing capital projects totaled approximately $23.4 million on September 29, 2018. We currently plan to spend up to $100 million for the year on capital expenditures. We intend to fund remaining capital expenditures and related purchase commitments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through our operating cash flows for the balance of the year. Comparatively, capital expenditures and acquisitions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$57.1 million and $59.9 million, respectively, during the first nine months of 2017. The increase in our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2018 is primarily due to the additional requirements of recently acquired operations, real estate purchases as we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grow our business and utilize the proceeds from the sale of our Medley plant to add replacement capacity, add capacity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produce new and value-added products, and our efforts to automate processes to combat labor shortages. The purchase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of investments totaling $12.4 million and $3.3 million, respectively, are due to investment activity in our captive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insurance subsidiary.</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flows from financing activities primarily consisted of net repayments under our revolving credit facility of approximately $32.1 million and the issuance of $75 million in Senior Notes under our shelf facility. Additionally, we paid a semi-annual dividend totaling $11.1 million or $0.18 per share, in June 2018, and in October 2018 approved another semi-annual dividend of $0.18 per share to be paid in December 2018.</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29, 2018, we had $37.0 million outstanding on our $295 million revolving credit facility. The amount outstanding on the revolving credit facility includes letters of credit totaling approximately $9.8 million on September 29, 2018; as a result, we had approximately $258.0 million in remaining availability on our revolver after considering letters of credit. Additionally, we have $150 million in availability under an amended “shelf agreement” for long term debt with a current lender after considering the second quarter issuance of long-term Senior Notes.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29, 2018.</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2017,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20" w:right="140" w:hanging="331"/>
        <w:spacing w:after="0" w:line="30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29, 2018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20" w:right="20" w:hanging="331"/>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29, 2018,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500" w:right="260"/>
        <w:spacing w:after="0" w:line="288" w:lineRule="auto"/>
        <w:rPr>
          <w:sz w:val="20"/>
          <w:szCs w:val="20"/>
          <w:color w:val="auto"/>
        </w:rPr>
      </w:pPr>
      <w:r>
        <w:rPr>
          <w:rFonts w:ascii="Arial" w:cs="Arial" w:eastAsia="Arial" w:hAnsi="Arial"/>
          <w:sz w:val="16"/>
          <w:szCs w:val="16"/>
          <w:b w:val="1"/>
          <w:bCs w:val="1"/>
          <w:i w:val="1"/>
          <w:iCs w:val="1"/>
          <w:color w:val="auto"/>
        </w:rPr>
        <w:t xml:space="preserve">We may be impacted by new tariffs and duties on U.S. imports and foreign export sales. </w:t>
      </w:r>
      <w:r>
        <w:rPr>
          <w:rFonts w:ascii="Arial" w:cs="Arial" w:eastAsia="Arial" w:hAnsi="Arial"/>
          <w:sz w:val="16"/>
          <w:szCs w:val="16"/>
          <w:color w:val="auto"/>
        </w:rPr>
        <w:t>Instability of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free trade agreements may lead to raw material and finished goods price volatility. An increase in foreign tariffs on U.S. goods could curtail our export sales to other countries which was approximately $110.8 million in 2017.</w:t>
      </w:r>
    </w:p>
    <w:p>
      <w:pPr>
        <w:ind w:left="500" w:right="120"/>
        <w:spacing w:after="0" w:line="252" w:lineRule="auto"/>
        <w:rPr>
          <w:sz w:val="20"/>
          <w:szCs w:val="20"/>
          <w:color w:val="auto"/>
        </w:rPr>
      </w:pPr>
      <w:r>
        <w:rPr>
          <w:rFonts w:ascii="Arial" w:cs="Arial" w:eastAsia="Arial" w:hAnsi="Arial"/>
          <w:sz w:val="18"/>
          <w:szCs w:val="18"/>
          <w:color w:val="auto"/>
        </w:rPr>
        <w:t>Increased tariffs and duties on U.S. imports will increase pricing by adding duty cost, where the duty is sustainable in light of overall unit price, or otherwise constrain supply by eliminating historical production sources by country or commodity type with unsustainable duties. UFP’s U.S. import of Canadian Softwood Lumber was approximately $243.0 million in 2017, which is the primary imported commodity. In addition, there is a risk that U.S. tariffs on imports and countering tariffs on U.S. exports could trigger broader international trade conflicts that could adversely impact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Month</w:t>
            </w:r>
          </w:p>
        </w:tc>
        <w:tc>
          <w:tcPr>
            <w:tcW w:w="4620" w:type="dxa"/>
            <w:vAlign w:val="bottom"/>
            <w:gridSpan w:val="2"/>
          </w:tcPr>
          <w:p>
            <w:pPr>
              <w:spacing w:after="0"/>
              <w:rPr>
                <w:sz w:val="16"/>
                <w:szCs w:val="16"/>
                <w:color w:val="auto"/>
              </w:rPr>
            </w:pP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(b)</w:t>
            </w:r>
          </w:p>
        </w:tc>
        <w:tc>
          <w:tcPr>
            <w:tcW w:w="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w:t>
            </w: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w:t>
            </w:r>
          </w:p>
        </w:tc>
      </w:tr>
      <w:tr>
        <w:trPr>
          <w:trHeight w:val="203"/>
        </w:trPr>
        <w:tc>
          <w:tcPr>
            <w:tcW w:w="5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July 1 - August 4, 2018</w:t>
            </w: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2,665,239</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August 5 - September 1, 2018</w:t>
            </w:r>
          </w:p>
        </w:tc>
        <w:tc>
          <w:tcPr>
            <w:tcW w:w="48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2,665,239</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2 - 29, 2018</w:t>
            </w:r>
          </w:p>
        </w:tc>
        <w:tc>
          <w:tcPr>
            <w:tcW w:w="4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2,665,239</w:t>
            </w: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Certificate of the Chief Executive Officer of Universal Forest Products, Inc., pursuant to Section 302 of the</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Certificate of the Chief Financial Officer of Universal Forest Products, Inc., pursuant to Section 302 of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Certificate of the Chief Executive Officer of Universal Forest Products, Inc., pursuant to Section 906 of the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Certificate of the Chief Financial Officer of Universal Forest Products, Inc., pursuant to Section 906 of the</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rFonts w:ascii="Arial" w:cs="Arial" w:eastAsia="Arial" w:hAnsi="Arial"/>
          <w:sz w:val="18"/>
          <w:szCs w:val="18"/>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7,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5" w:right="1440" w:bottom="1440" w:gutter="0" w:footer="0" w:header="0"/>
          <w:type w:val="continuous"/>
        </w:sect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7, 2018</w:t>
            </w:r>
          </w:p>
        </w:tc>
        <w:tc>
          <w:tcPr>
            <w:tcW w:w="452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7, 2018</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jc w:val="both"/>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September 29,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jc w:val="both"/>
        <w:ind w:left="560" w:hanging="557"/>
        <w:spacing w:after="0" w:line="221" w:lineRule="exact"/>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September 29, 2018,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7, 2018</w:t>
            </w:r>
          </w:p>
        </w:tc>
        <w:tc>
          <w:tcPr>
            <w:tcW w:w="452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jc w:val="both"/>
        <w:ind w:left="560" w:hanging="557"/>
        <w:spacing w:after="0" w:line="224" w:lineRule="exact"/>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September 29,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jc w:val="both"/>
        <w:ind w:left="560" w:hanging="557"/>
        <w:spacing w:after="0" w:line="221" w:lineRule="exact"/>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September 29, 2018,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7, 2018</w:t>
            </w:r>
          </w:p>
        </w:tc>
        <w:tc>
          <w:tcPr>
            <w:tcW w:w="452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3"/>
    </w:lvl>
  </w:abstractNum>
  <w:abstractNum w:abstractNumId="4">
    <w:nsid w:val="6B68079A"/>
    <w:multiLevelType w:val="hybridMultilevel"/>
    <w:lvl w:ilvl="0">
      <w:lvlJc w:val="left"/>
      <w:lvlText w:val="%1."/>
      <w:numFmt w:val="upperLetter"/>
      <w:start w:val="4"/>
    </w:lvl>
  </w:abstractNum>
  <w:abstractNum w:abstractNumId="5">
    <w:nsid w:val="4E6AFB66"/>
    <w:multiLevelType w:val="hybridMultilevel"/>
    <w:lvl w:ilvl="0">
      <w:lvlJc w:val="left"/>
      <w:lvlText w:val="%1."/>
      <w:numFmt w:val="upperLetter"/>
      <w:start w:val="5"/>
    </w:lvl>
  </w:abstractNum>
  <w:abstractNum w:abstractNumId="6">
    <w:nsid w:val="25E45D32"/>
    <w:multiLevelType w:val="hybridMultilevel"/>
    <w:lvl w:ilvl="0">
      <w:lvlJc w:val="left"/>
      <w:lvlText w:val="%1."/>
      <w:numFmt w:val="upperLetter"/>
      <w:start w:val="6"/>
    </w:lvl>
  </w:abstractNum>
  <w:abstractNum w:abstractNumId="7">
    <w:nsid w:val="519B500D"/>
    <w:multiLevelType w:val="hybridMultilevel"/>
    <w:lvl w:ilvl="0">
      <w:lvlJc w:val="left"/>
      <w:lvlText w:val="%1."/>
      <w:numFmt w:val="upperLetter"/>
      <w:start w:val="7"/>
    </w:lvl>
  </w:abstractNum>
  <w:abstractNum w:abstractNumId="8">
    <w:nsid w:val="431BD7B7"/>
    <w:multiLevelType w:val="hybridMultilevel"/>
    <w:lvl w:ilvl="0">
      <w:lvlJc w:val="left"/>
      <w:lvlText w:val="%1."/>
      <w:numFmt w:val="upperLetter"/>
      <w:start w:val="8"/>
    </w:lvl>
  </w:abstractNum>
  <w:abstractNum w:abstractNumId="9">
    <w:nsid w:val="3F2DBA31"/>
    <w:multiLevelType w:val="hybridMultilevel"/>
    <w:lvl w:ilvl="0">
      <w:lvlJc w:val="left"/>
      <w:lvlText w:val="%1."/>
      <w:numFmt w:val="upperLetter"/>
      <w:start w:val="9"/>
    </w:lvl>
  </w:abstractNum>
  <w:abstractNum w:abstractNumId="10">
    <w:nsid w:val="7C83E458"/>
    <w:multiLevelType w:val="hybridMultilevel"/>
    <w:lvl w:ilvl="0">
      <w:lvlJc w:val="left"/>
      <w:lvlText w:val="%1."/>
      <w:numFmt w:val="upperLetter"/>
      <w:start w:val="10"/>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2019-12-28T17:56:49Z</dcterms:created>
  <dcterms:modified xsi:type="dcterms:W3CDTF">2019-12-28T17:56:49Z</dcterms:modified>
</cp:coreProperties>
</file>