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28, 2025</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7"/>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Outstanding as of June 28, 2025</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58,566,148</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June 28, 2025, December 28, 2024 and</w:t>
            </w: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29, 2024</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28, 2025 and June 29, 2024</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Six</w:t>
            </w: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28, 2025 and June 29, 2024</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28, 2025 and June 29, 2024</w:t>
            </w:r>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841,930</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1,041,341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687,332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335,373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332,389</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290,942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722,232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720,824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684,813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50,012</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2,367,505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2,503,025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2,554,029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114,721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109,082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341,579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1,750,211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(904,130)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(859,468)</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(819,383)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946,041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890,743</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819,497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4,097,388</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4,138,494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258,784</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224,659</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193,438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62,356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5,122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521,118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512,448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229,181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112,857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95,095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32,330</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923,672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900,947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1,002,053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3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3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38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38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58,566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58,566,148, 60,724,308 and 60,918,541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2,663,394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2,775,280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(15,311)</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3,145,382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3,224,072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3,096,811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20,553</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3,168,463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3,244,625</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3,117,510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4,097,388</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4,150,938</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4,138,494</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200" w:type="dxa"/>
            <w:vAlign w:val="bottom"/>
          </w:tcPr>
          <w:p>
            <w:pPr>
              <w:spacing w:after="0"/>
              <w:rPr>
                <w:sz w:val="15"/>
                <w:szCs w:val="15"/>
                <w:color w:val="auto"/>
              </w:rPr>
            </w:pPr>
          </w:p>
        </w:tc>
        <w:tc>
          <w:tcPr>
            <w:tcW w:w="202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3"/>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$ 1,835,374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$ 1,901,959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$ 3,430,893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$ 3,540,925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1,522,640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1,539,216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2,849,963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2,852,104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184,995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361,249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ON DISPOSITION AND IMPAIRMENT OF</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LOSSES (GAINS),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131,945</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168,440</w:t>
            </w: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232,626</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315,026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67,695</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0" w:right="1440" w:bottom="1440" w:gutter="0" w:footer="0" w:header="0"/>
        </w:sectPr>
      </w:pPr>
    </w:p>
    <w:p>
      <w:pPr>
        <w:ind w:left="60"/>
        <w:spacing w:after="0"/>
        <w:rPr>
          <w:sz w:val="20"/>
          <w:szCs w:val="20"/>
          <w:color w:val="auto"/>
        </w:rPr>
      </w:pPr>
      <w:r>
        <w:rPr>
          <w:rFonts w:ascii="Times New Roman" w:cs="Times New Roman" w:eastAsia="Times New Roman" w:hAnsi="Times New Roman"/>
          <w:sz w:val="16"/>
          <w:szCs w:val="16"/>
          <w:color w:val="auto"/>
        </w:rPr>
        <w:t>NET EARNINGS</w:t>
      </w:r>
    </w:p>
    <w:p>
      <w:pPr>
        <w:spacing w:after="0" w:line="26" w:lineRule="exact"/>
        <w:rPr>
          <w:sz w:val="20"/>
          <w:szCs w:val="20"/>
          <w:color w:val="auto"/>
        </w:rPr>
      </w:pPr>
    </w:p>
    <w:p>
      <w:pPr>
        <w:ind w:left="60"/>
        <w:spacing w:after="0" w:line="264" w:lineRule="auto"/>
        <w:rPr>
          <w:sz w:val="20"/>
          <w:szCs w:val="20"/>
          <w:color w:val="auto"/>
        </w:rPr>
      </w:pPr>
      <w:r>
        <w:rPr>
          <w:rFonts w:ascii="Times New Roman" w:cs="Times New Roman" w:eastAsia="Times New Roman" w:hAnsi="Times New Roman"/>
          <w:sz w:val="16"/>
          <w:szCs w:val="16"/>
          <w:color w:val="auto"/>
        </w:rPr>
        <w:t>NET EARNINGS ATTRIBUTABLE TO NONCONTROLLING INTEREST</w:t>
      </w:r>
    </w:p>
    <w:p>
      <w:pPr>
        <w:ind w:left="60" w:right="360"/>
        <w:spacing w:after="0" w:line="272" w:lineRule="auto"/>
        <w:rPr>
          <w:sz w:val="20"/>
          <w:szCs w:val="20"/>
          <w:color w:val="auto"/>
        </w:rPr>
      </w:pPr>
      <w:r>
        <w:rPr>
          <w:rFonts w:ascii="Times New Roman" w:cs="Times New Roman" w:eastAsia="Times New Roman" w:hAnsi="Times New Roman"/>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ind w:left="280"/>
        <w:spacing w:after="0"/>
        <w:tabs>
          <w:tab w:leader="none" w:pos="1380" w:val="left"/>
          <w:tab w:leader="none" w:pos="2440" w:val="left"/>
          <w:tab w:leader="none" w:pos="3540" w:val="left"/>
        </w:tabs>
        <w:rPr>
          <w:sz w:val="20"/>
          <w:szCs w:val="20"/>
          <w:color w:val="auto"/>
        </w:rPr>
      </w:pPr>
      <w:r>
        <w:rPr>
          <w:rFonts w:ascii="Times New Roman" w:cs="Times New Roman" w:eastAsia="Times New Roman" w:hAnsi="Times New Roman"/>
          <w:sz w:val="18"/>
          <w:szCs w:val="18"/>
          <w:color w:val="auto"/>
        </w:rPr>
        <w:t>100,871</w:t>
      </w:r>
      <w:r>
        <w:rPr>
          <w:sz w:val="20"/>
          <w:szCs w:val="20"/>
          <w:color w:val="auto"/>
        </w:rPr>
        <w:tab/>
      </w:r>
      <w:r>
        <w:rPr>
          <w:rFonts w:ascii="Times New Roman" w:cs="Times New Roman" w:eastAsia="Times New Roman" w:hAnsi="Times New Roman"/>
          <w:sz w:val="18"/>
          <w:szCs w:val="18"/>
          <w:color w:val="auto"/>
        </w:rPr>
        <w:t>126,232</w:t>
      </w:r>
      <w:r>
        <w:rPr>
          <w:sz w:val="20"/>
          <w:szCs w:val="20"/>
          <w:color w:val="auto"/>
        </w:rPr>
        <w:tab/>
      </w:r>
      <w:r>
        <w:rPr>
          <w:rFonts w:ascii="Times New Roman" w:cs="Times New Roman" w:eastAsia="Times New Roman" w:hAnsi="Times New Roman"/>
          <w:sz w:val="18"/>
          <w:szCs w:val="18"/>
          <w:color w:val="auto"/>
        </w:rPr>
        <w:t>180,294</w:t>
      </w:r>
      <w:r>
        <w:rPr>
          <w:sz w:val="20"/>
          <w:szCs w:val="20"/>
          <w:color w:val="auto"/>
        </w:rPr>
        <w:tab/>
      </w:r>
      <w:r>
        <w:rPr>
          <w:rFonts w:ascii="Times New Roman" w:cs="Times New Roman" w:eastAsia="Times New Roman" w:hAnsi="Times New Roman"/>
          <w:sz w:val="17"/>
          <w:szCs w:val="17"/>
          <w:color w:val="auto"/>
        </w:rPr>
        <w:t>247,331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5715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46" w:lineRule="exact"/>
        <w:rPr>
          <w:sz w:val="20"/>
          <w:szCs w:val="20"/>
          <w:color w:val="auto"/>
        </w:rPr>
      </w:pPr>
    </w:p>
    <w:p>
      <w:pPr>
        <w:jc w:val="both"/>
        <w:ind w:left="540"/>
        <w:spacing w:after="0"/>
        <w:tabs>
          <w:tab w:leader="none" w:pos="1620" w:val="left"/>
          <w:tab w:leader="none" w:pos="2680" w:val="left"/>
          <w:tab w:leader="none" w:pos="380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(807)</w:t>
      </w:r>
      <w:r>
        <w:rPr>
          <w:sz w:val="20"/>
          <w:szCs w:val="20"/>
          <w:color w:val="auto"/>
        </w:rPr>
        <w:tab/>
      </w:r>
      <w:r>
        <w:rPr>
          <w:rFonts w:ascii="Times New Roman" w:cs="Times New Roman" w:eastAsia="Times New Roman" w:hAnsi="Times New Roman"/>
          <w:sz w:val="17"/>
          <w:szCs w:val="17"/>
          <w:color w:val="auto"/>
        </w:rPr>
        <w:t>(610)</w:t>
      </w:r>
    </w:p>
    <w:p>
      <w:pPr>
        <w:spacing w:after="0" w:line="198" w:lineRule="exact"/>
        <w:rPr>
          <w:sz w:val="20"/>
          <w:szCs w:val="20"/>
          <w:color w:val="auto"/>
        </w:rPr>
      </w:pPr>
    </w:p>
    <w:p>
      <w:pPr>
        <w:jc w:val="center"/>
        <w:ind w:right="319"/>
        <w:spacing w:after="0"/>
        <w:tabs>
          <w:tab w:leader="none" w:pos="160" w:val="left"/>
          <w:tab w:leader="none" w:pos="240" w:val="left"/>
          <w:tab w:leader="none" w:pos="180" w:val="left"/>
          <w:tab w:leader="none" w:pos="180" w:val="left"/>
          <w:tab w:leader="none" w:pos="180" w:val="left"/>
          <w:tab w:leader="none" w:pos="220" w:val="left"/>
          <w:tab w:leader="none" w:pos="160" w:val="left"/>
        </w:tabs>
        <w:rPr>
          <w:sz w:val="20"/>
          <w:szCs w:val="20"/>
          <w:color w:val="auto"/>
        </w:rPr>
      </w:pPr>
      <w:r>
        <w:rPr>
          <w:rFonts w:ascii="Times New Roman" w:cs="Times New Roman" w:eastAsia="Times New Roman" w:hAnsi="Times New Roman"/>
          <w:sz w:val="18"/>
          <w:szCs w:val="18"/>
          <w:color w:val="auto"/>
        </w:rPr>
        <w:t>$</w:t>
        <w:tab/>
        <w:t>100,734</w:t>
        <w:tab/>
        <w:t>$</w:t>
        <w:tab/>
        <w:t>125,930</w:t>
        <w:tab/>
        <w:t>$</w:t>
        <w:tab/>
        <w:t>179,487</w:t>
        <w:tab/>
        <w:t>$</w:t>
      </w:r>
      <w:r>
        <w:rPr>
          <w:sz w:val="20"/>
          <w:szCs w:val="20"/>
          <w:color w:val="auto"/>
        </w:rPr>
        <w:tab/>
      </w:r>
      <w:r>
        <w:rPr>
          <w:rFonts w:ascii="Times New Roman" w:cs="Times New Roman" w:eastAsia="Times New Roman" w:hAnsi="Times New Roman"/>
          <w:sz w:val="17"/>
          <w:szCs w:val="17"/>
          <w:color w:val="auto"/>
        </w:rPr>
        <w:t>246,721</w:t>
      </w:r>
    </w:p>
    <w:p>
      <w:pPr>
        <w:spacing w:after="0" w:line="47" w:lineRule="exact"/>
        <w:rPr>
          <w:sz w:val="20"/>
          <w:szCs w:val="20"/>
          <w:color w:val="auto"/>
        </w:rPr>
      </w:pPr>
    </w:p>
    <w:p>
      <w:pPr>
        <w:sectPr>
          <w:pgSz w:w="11900" w:h="16838" w:orient="portrait"/>
          <w:cols w:equalWidth="0" w:num="2">
            <w:col w:w="4260" w:space="300"/>
            <w:col w:w="445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195,213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ATTRIBUTABLE TO</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COMPREHENSIVE INCOME ATTRIBUTABLE TO</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110,855</w:t>
            </w: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120,272</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192,822</w:t>
            </w:r>
          </w:p>
        </w:tc>
        <w:tc>
          <w:tcPr>
            <w:tcW w:w="180" w:type="dxa"/>
            <w:vAlign w:val="bottom"/>
          </w:tcPr>
          <w:p>
            <w:pPr>
              <w:spacing w:after="0"/>
              <w:rPr>
                <w:sz w:val="14"/>
                <w:szCs w:val="14"/>
                <w:color w:val="auto"/>
              </w:rPr>
            </w:pPr>
          </w:p>
        </w:tc>
        <w:tc>
          <w:tcPr>
            <w:tcW w:w="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239,650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4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60,724</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$ 403,379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$ 2,775,280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(15,311)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20,553</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$ 3,244,625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7,197 shares under employee stock</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232,101 shares under stock grant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80,341 shares under deferred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649,060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29, 2025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60,395</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$ 416,562</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$ 2,772,821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(12,097)</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21,375</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$ 3,259,056</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5,280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101,110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7,593 shares under employee stock</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26,949 shares under stock grant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10,998 shares under deferred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1,874,279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(191,393)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28, 2025</w:t>
            </w: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58,566</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$ 425,398</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$ 2,663,394</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(1,976)</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23,081</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$ 3,168,463</w:t>
            </w: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5,253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210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 (Unaudited)</w:t>
      </w:r>
    </w:p>
    <w:p>
      <w:pPr>
        <w:sectPr>
          <w:pgSz w:w="11900" w:h="16838" w:orient="portrait"/>
          <w:cols w:equalWidth="0" w:num="1">
            <w:col w:w="9019"/>
          </w:cols>
          <w:pgMar w:left="1440" w:top="540" w:right="1440" w:bottom="1440" w:gutter="0" w:footer="0" w:header="0"/>
        </w:sectPr>
      </w:pPr>
    </w:p>
    <w:p>
      <w:pPr>
        <w:spacing w:after="0" w:line="179" w:lineRule="exact"/>
        <w:rPr>
          <w:sz w:val="20"/>
          <w:szCs w:val="20"/>
          <w:color w:val="auto"/>
        </w:rPr>
      </w:pPr>
    </w:p>
    <w:p>
      <w:pPr>
        <w:ind w:left="60"/>
        <w:spacing w:after="0" w:line="285" w:lineRule="auto"/>
        <w:rPr>
          <w:sz w:val="20"/>
          <w:szCs w:val="20"/>
          <w:color w:val="auto"/>
        </w:rPr>
      </w:pPr>
      <w:r>
        <w:rPr>
          <w:rFonts w:ascii="Times New Roman" w:cs="Times New Roman" w:eastAsia="Times New Roman" w:hAnsi="Times New Roman"/>
          <w:sz w:val="14"/>
          <w:szCs w:val="14"/>
          <w:b w:val="1"/>
          <w:bCs w:val="1"/>
          <w:color w:val="auto"/>
        </w:rPr>
        <w:t>(in thousands of United States dollars, except share and per share data)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7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0"/>
                <w:szCs w:val="10"/>
                <w:color w:val="auto"/>
              </w:rPr>
            </w:pPr>
          </w:p>
        </w:tc>
        <w:tc>
          <w:tcPr>
            <w:tcW w:w="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700" w:type="dxa"/>
            <w:vAlign w:val="bottom"/>
            <w:vMerge w:val="continue"/>
          </w:tcPr>
          <w:p>
            <w:pPr>
              <w:spacing w:after="0"/>
              <w:rPr>
                <w:sz w:val="15"/>
                <w:szCs w:val="15"/>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380" w:space="480"/>
            <w:col w:w="615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7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$ 61,754</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$ 362,231</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$ 2,664,081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28,336</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125,930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126,582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8,573 shares under employee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29,460 shares under stock grant</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9,841 shares under deferred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883,232 shares</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29, 2024</w:t>
            </w: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$ 60,919</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$ 371,771</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$ 2,670,086</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(5,965)</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20,699</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$ 3,117,510</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18,931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6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180,294</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247,331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60,643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on sale, disposition and impairment of assets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(176,839)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41,684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61,125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239,078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(106,585)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(7,674)</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(119,038)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(40,660)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(251,933)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(119,362)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(302,338)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(196,468)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(3,726)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(336,603)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842,991</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1,042,102</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5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841,930</w:t>
            </w:r>
          </w:p>
        </w:tc>
        <w:tc>
          <w:tcPr>
            <w:tcW w:w="180" w:type="dxa"/>
            <w:vAlign w:val="bottom"/>
            <w:vMerge w:val="continue"/>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1,041,341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842,991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1,042,102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65,572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6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Presentation Currency</w:t>
      </w:r>
    </w:p>
    <w:p>
      <w:pPr>
        <w:spacing w:after="0" w:line="227"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are presented in United States dollars (“US dollars” or “USD”), unless otherwise indicated.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The Sellers have a put right to sell their equity interest to us for $50 million and we have a call right to purchase the Seller’s equity interest for $70 million, which were both first exercisable in June 2025 and expire in June 2030. As of June 28, 2025, both the put and call rights remain unexercised and the carrying value of our investment in Dempsey is $54.2 million which is recorded in Other Assets on our condensed consolidated balance sheets.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2024.</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29, 2024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22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determined several real estate properties and related machinery and equipment within our Retail, Packaging, and Corporate segments met the criteria as held for sale, and therefore we have reclassified the related assets as held for sale on the condensed consolidated balance sheet. The fair value measurements for the assets held for sale are generally based on Level 3 inputs, which include information obtained from third-party appraisals. The assets had a carrying value of $8.6 million as of June 28, 2025, with no related impairment recorded in fiscal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188"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pacing w:after="0" w:line="194"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We adopted this new standard in 2024. Our disclosures required by the new standard have been provided and updated retrospectively for all periods presented. Refer to Note G — Segment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4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$ 128,811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$ 156,426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$ 356,700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$ 377,850</w:t>
            </w: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0" w:type="dxa"/>
            <w:vAlign w:val="bottom"/>
          </w:tcPr>
          <w:p>
            <w:pPr>
              <w:spacing w:after="0"/>
              <w:rPr>
                <w:sz w:val="1"/>
                <w:szCs w:val="1"/>
                <w:color w:val="auto"/>
              </w:rPr>
            </w:pPr>
          </w:p>
        </w:tc>
      </w:tr>
      <w:tr>
        <w:trPr>
          <w:trHeight w:val="182"/>
        </w:trPr>
        <w:tc>
          <w:tcPr>
            <w:tcW w:w="14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47,440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42,431</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0" w:type="dxa"/>
            <w:vAlign w:val="bottom"/>
          </w:tcPr>
          <w:p>
            <w:pPr>
              <w:spacing w:after="0"/>
              <w:rPr>
                <w:sz w:val="1"/>
                <w:szCs w:val="1"/>
                <w:color w:val="auto"/>
              </w:rPr>
            </w:pPr>
          </w:p>
        </w:tc>
      </w:tr>
      <w:tr>
        <w:trPr>
          <w:trHeight w:val="181"/>
        </w:trPr>
        <w:tc>
          <w:tcPr>
            <w:tcW w:w="144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31"/>
        </w:trPr>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11,073</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0" w:type="dxa"/>
            <w:vAlign w:val="bottom"/>
          </w:tcPr>
          <w:p>
            <w:pPr>
              <w:spacing w:after="0"/>
              <w:rPr>
                <w:sz w:val="1"/>
                <w:szCs w:val="1"/>
                <w:color w:val="auto"/>
              </w:rPr>
            </w:pPr>
          </w:p>
        </w:tc>
      </w:tr>
      <w:tr>
        <w:trPr>
          <w:trHeight w:val="218"/>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$ 162,455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$ 260,990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$ 389,415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$ 473,685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June 28, 2025, listed in the table above, $154.1 million of money market funds are held in Cash and Cash Equivalents, $31.9 million of mutual funds, equity securities, and alternative investments are held in Investments, $30.5 million of equity securities are held in Other Assets, $0.2 million of mutual funds are held in Other Assets for our deferred compensation plan, and $42.0 million of fixed income funds and $2.3 million of money market funds are held in Restricted Investments. As of December 28, 2024, $377.4 million of money market funds were held in Cash and Cash Equivalents, $31.0 million of mutual funds, equity securities, and alternative investments were held in Investments, $26.0 million of equity securities were held in Other Assets, $0.2 million of mutual funds were held in Other Assets for our deferred compensation plan, and $38.7 million of fixed income funds and $0.4 million of money market funds were held in Restricted Investments.</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have $30.5 million of investments through our Innov8 Fund, which is designed to invest in emerging projects, services, and technologies. These investments are valued as Level 3 assets and are categorized as “Equity securities.”</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$74.0 million and $69.8 million as of June 28, 2025 and December 28, 2024, respectively, which has been included in the aforementioned table of total investments. This portfolio consists of domestic and international equity securities, alternative investments, and fixed income bonds.</w:t>
      </w:r>
    </w:p>
    <w:p>
      <w:pPr>
        <w:sectPr>
          <w:pgSz w:w="11900" w:h="16838" w:orient="portrait"/>
          <w:cols w:equalWidth="0" w:num="1">
            <w:col w:w="9019"/>
          </w:cols>
          <w:pgMar w:left="1440" w:top="540"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7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9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$ 42,459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$ 41,643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$ 39,645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$ 38,348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$ 68,128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5,880</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$ 74,008</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$ 65,020</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4,760</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$ 69,780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$5.9 million and $4.8 million as of June 28, 2025 and December 28, 2024, respectively. Carrying amounts above are recorded in the Investments and Restricted Investments line items within the balance sheet as of June 28, 2025 and December 28, 2024.</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Borders>
              <w:bottom w:val="single" w:sz="8" w:color="auto"/>
            </w:tcBorders>
          </w:tcPr>
          <w:p>
            <w:pPr>
              <w:spacing w:after="0"/>
              <w:rPr>
                <w:sz w:val="15"/>
                <w:szCs w:val="15"/>
                <w:color w:val="auto"/>
              </w:rPr>
            </w:pPr>
          </w:p>
        </w:tc>
      </w:tr>
      <w:tr>
        <w:trPr>
          <w:trHeight w:val="220"/>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880" w:type="dxa"/>
            <w:vAlign w:val="bottom"/>
          </w:tcPr>
          <w:p>
            <w:pPr>
              <w:spacing w:after="0"/>
              <w:rPr>
                <w:sz w:val="19"/>
                <w:szCs w:val="19"/>
                <w:color w:val="auto"/>
              </w:rPr>
            </w:pPr>
          </w:p>
        </w:tc>
      </w:tr>
      <w:tr>
        <w:trPr>
          <w:trHeight w:val="192"/>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1,799,250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1,857,264</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3,348,555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3,462,099</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44,695</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1,835,374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3,430,893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80"/>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5,995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00" w:type="dxa"/>
            <w:vAlign w:val="bottom"/>
          </w:tcPr>
          <w:p>
            <w:pPr>
              <w:spacing w:after="0"/>
              <w:rPr>
                <w:sz w:val="20"/>
                <w:szCs w:val="20"/>
                <w:color w:val="auto"/>
              </w:rPr>
            </w:pPr>
          </w:p>
        </w:tc>
      </w:tr>
    </w:tbl>
    <w:p>
      <w:pPr>
        <w:spacing w:after="0" w:line="189"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97,006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121,149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172,781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237,037</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57,071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59,035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57,719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57,187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57,820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59,213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In addition, on June 28, 2025,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June 28, 2025, we had outstanding purchase commitments on commenced capital projects of approximately $133.4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74" w:lineRule="auto"/>
        <w:rPr>
          <w:sz w:val="20"/>
          <w:szCs w:val="20"/>
          <w:color w:val="auto"/>
        </w:rPr>
      </w:pPr>
      <w:r>
        <w:rPr>
          <w:rFonts w:ascii="Times New Roman" w:cs="Times New Roman" w:eastAsia="Times New Roman" w:hAnsi="Times New Roman"/>
          <w:sz w:val="17"/>
          <w:szCs w:val="17"/>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28, 2025, we had approximately $18.3 million in outstanding payment and performance bonds for open projects. We had approximately $13.2 million in payment and performance bonds outstanding for completed projects which are still under warranty.</w:t>
      </w:r>
    </w:p>
    <w:p>
      <w:pPr>
        <w:spacing w:after="0" w:line="17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June 28, 2025, we had outstanding letters of credit totaling $41.5 million, primarily related to certain insurance contracts, industrial development revenue bonds, and other debt agreements described further below.</w:t>
      </w:r>
    </w:p>
    <w:p>
      <w:pPr>
        <w:spacing w:after="0" w:line="16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June 28, 2025, we have irrevocable letters of credit outstanding totaling approximately $38.2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second quarter of 2025 which would require us to recognize a liability on our balance sheet.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00" w:hanging="450"/>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since the end of June 2024,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right"/>
              <w:ind w:right="599"/>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RWP West, LLC (RWP)</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Twin Falls, ID and established in 2007, RWP serves the western portion of the US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is a manufacturer and distributor for the manufactured housing, RV, and cargo markets.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company had trailing 12-month sales of approximately $7 million through April 2025.</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$29,901</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23, 2024</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C&amp;L Wood Products (C&amp;L)</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6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Located in Hartselle, AL and founded in 1975, C&amp;L is a manufacturer of machine-built pallets,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mulch, and other wood products. The company had trailing 12-month sales of approximately $25</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million through November 2024.</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June 28, 2025, the fair value determination of the intangible assets for the above business combinations has not been finalized. Therefore, changes in facts and circumstances may result in adjustments to the initial fair value estimates during the measurement period, which may not exceed one year from the acquisition date.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combinations mentioned above contributed approximately $13.0 million to net sales and a $0.8 million operating loss during the first six months of 2025. They are not significant to our operating results and thus proforma results for 2025 and 2024 are not presented.</w:t>
      </w:r>
    </w:p>
    <w:p>
      <w:pPr>
        <w:spacing w:after="0" w:line="172"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pacing w:after="0" w:line="194"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United Arab Emirates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tables below are presented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80" w:type="dxa"/>
            <w:vAlign w:val="bottom"/>
            <w:tcBorders>
              <w:top w:val="single" w:sz="8" w:color="auto"/>
              <w:bottom w:val="single" w:sz="8" w:color="auto"/>
            </w:tcBorders>
            <w:gridSpan w:val="10"/>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788,224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551,590</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(227,047)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674,484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113,740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955,976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336,597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80" w:type="dxa"/>
            <w:vAlign w:val="bottom"/>
            <w:tcBorders>
              <w:top w:val="single" w:sz="8" w:color="auto"/>
              <w:bottom w:val="single" w:sz="8" w:color="auto"/>
            </w:tcBorders>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8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$ 809,067</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$ 435,204</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$ 574,547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(195,229)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682,307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351,518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15,025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44,936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21,637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916,574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14,959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12"/>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1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$ 1,395,607</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838,677</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1,067,530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(432,451)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195,035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90,917</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79,613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(19,092)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79,727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17,936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61,791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54,526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9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2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1,437,832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1,092,443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(366,793)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1,209,948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2,852,104</w:t>
            </w:r>
          </w:p>
        </w:tc>
        <w:tc>
          <w:tcPr>
            <w:tcW w:w="0" w:type="dxa"/>
            <w:vAlign w:val="bottom"/>
          </w:tcPr>
          <w:p>
            <w:pPr>
              <w:spacing w:after="0"/>
              <w:rPr>
                <w:sz w:val="1"/>
                <w:szCs w:val="1"/>
                <w:color w:val="auto"/>
              </w:rPr>
            </w:pP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227,884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239,890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688,821</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395,214</w:t>
            </w:r>
          </w:p>
        </w:tc>
        <w:tc>
          <w:tcPr>
            <w:tcW w:w="0" w:type="dxa"/>
            <w:vAlign w:val="bottom"/>
          </w:tcPr>
          <w:p>
            <w:pPr>
              <w:spacing w:after="0"/>
              <w:rPr>
                <w:sz w:val="1"/>
                <w:szCs w:val="1"/>
                <w:color w:val="auto"/>
              </w:rPr>
            </w:pPr>
          </w:p>
        </w:tc>
      </w:tr>
      <w:tr>
        <w:trPr>
          <w:trHeight w:val="198"/>
        </w:trPr>
        <w:tc>
          <w:tcPr>
            <w:tcW w:w="2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292,857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(26,215)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315,026</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67,695</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247,331</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4,138,494</w:t>
            </w: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106,585</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June 28, 2025, and December 28, 2024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$ 84,116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$ 146,747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$ 21,575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$ 339,839</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Purchase Accounting Adjustments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Pr>
          <w:p>
            <w:pPr>
              <w:spacing w:after="0"/>
              <w:rPr>
                <w:sz w:val="20"/>
                <w:szCs w:val="20"/>
                <w:color w:val="auto"/>
              </w:rPr>
            </w:pPr>
          </w:p>
        </w:tc>
      </w:tr>
      <w:tr>
        <w:trPr>
          <w:trHeight w:val="203"/>
        </w:trPr>
        <w:tc>
          <w:tcPr>
            <w:tcW w:w="37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as of June 28, 2025</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$ 84,149</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$ 146,759</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87,657</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$ 23,014</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$ 341,579</w:t>
            </w:r>
          </w:p>
        </w:tc>
        <w:tc>
          <w:tcPr>
            <w:tcW w:w="2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17</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and six months ended June 28, 2025, and June 29, 2024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2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20" w:type="dxa"/>
            <w:vAlign w:val="bottom"/>
          </w:tcPr>
          <w:p>
            <w:pPr>
              <w:spacing w:after="0"/>
              <w:rPr>
                <w:sz w:val="16"/>
                <w:szCs w:val="16"/>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80"/>
        </w:trPr>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690,230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1,259,529</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173,841</w:t>
            </w:r>
          </w:p>
        </w:tc>
      </w:tr>
      <w:tr>
        <w:trPr>
          <w:trHeight w:val="22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1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1,437,832</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554,252</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269,401</w:t>
            </w:r>
          </w:p>
        </w:tc>
      </w:tr>
      <w:tr>
        <w:trPr>
          <w:trHeight w:val="223"/>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35,969</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446,888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417,076</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460,106</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127,731</w:t>
            </w:r>
          </w:p>
        </w:tc>
      </w:tr>
      <w:tr>
        <w:trPr>
          <w:trHeight w:val="236"/>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87,530</w:t>
            </w: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551,590</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574,547</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1,067,530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1,092,443</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148,417</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6"/>
        </w:trPr>
        <w:tc>
          <w:tcPr>
            <w:tcW w:w="4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1,835,374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1,901,959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3,430,893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3,540,925</w:t>
            </w: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23.6% in the second quarter of 2025 compared to 25.1% in the same period of 2024 and was 22.5% in the first six months of 2025 compared to 21.5% for the same period in 2024. The decrease in our effective tax rate for the second quarter was primarily due to one-time state income tax benefits recorded as discrete items in 2025. The increase in our effective tax rate for the first six months of 2025 was primarily due to a decrease in our tax deduction from stock-based compensation accounted for as a permanent difference.</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the impact of the OBBBA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4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six months of 2025 and 2024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108.47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2025, we repurchased 2,523,339 shares of our common stock at an average share price of $103.63.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114.61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19" w:firstLine="492"/>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we repurchased approximately 1,202,527 shares of our common stock at an average share price of $114.09.</w:t>
      </w:r>
    </w:p>
    <w:p>
      <w:pPr>
        <w:spacing w:after="0" w:line="158" w:lineRule="exact"/>
        <w:rPr>
          <w:sz w:val="20"/>
          <w:szCs w:val="20"/>
          <w:color w:val="auto"/>
        </w:rPr>
      </w:pPr>
    </w:p>
    <w:p>
      <w:pPr>
        <w:ind w:left="500" w:hanging="450"/>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Statements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adjustments to inventory were not significant for the six months ended June 28, 2025 and June 29,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Subsequent to our reporting date, we repurchased 171,562 shares for $17.1 million, resulting in an average share price of $99.78.</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On July 23, 2025, our Board of Directors approved a plan to close our Bonner, Montana manufacturing facilities, which manufacture our Edge siding, pattern, and trim products. We plan to transfer our trim and certain other products to existing facilities and will exit the coated siding business. As part of this restructuring, we expect to incur impairment charges and other one-time costs in a range of $15 million to $17 million in the third quarter of 2025 and expect a minimal impact on revenues. These actions are expected to eliminate future operating losses associated with these facilities of approximately $16 million in 2026.</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in July, we completed the sale of a small industrial component manufacturer as well as the sale of real estate associated with previously closed plants. We plan to recognize a one-time gain in July of approximately $13 million associated with these transactions. An additional property is under contract to be sold in the third quarter, which is expected to add approximately $2 million to this gain. These actions are part of our ongoing efforts to improve capacity utilization and reduce our costs by eliminating excess capacity and closing under-performing operations.</w:t>
      </w:r>
    </w:p>
    <w:p>
      <w:pPr>
        <w:spacing w:after="0" w:line="183"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amounts and timing of the actions and transactions above are subject to change and depend on a variety of factors and assumptions. Actual results may differ materially from current expectations. Additional charges or expenses may arise due to unforeseen events related to or resulting from these 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changes in tariffs, import/export regulations, and other trade policies; concentration of sales to customers; the success of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second quarter of 2025 include the following highlights:</w:t>
      </w:r>
    </w:p>
    <w:p>
      <w:pPr>
        <w:spacing w:after="0" w:line="225" w:lineRule="exact"/>
        <w:rPr>
          <w:sz w:val="20"/>
          <w:szCs w:val="20"/>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4% compared to the second quarter of 2024, which was comprised of a 1% decrease in selling prices and a 3% decrease in unit sales. The overall decrease in our selling prices is primarily due to more competitive pricing in our Site Built, Factory Built, Structural Packaging and PalletOne business units. Organic unit sales declined due to a 7% decrease in our retail segment, partially offset by a 2% increase in our construction segment. An acquired business contributed a 2% unit increase in our packaging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$50 million, or 14%, compared to the same period of the prior year. By segment, gross profits decreased by $25 million in Construction, $13 million in Packaging, and $13 million in Retail. The overall decrease in our gross profits is primarily due to weaker demand impacting volumes in our Site-Built and ProWood business units, competitive pricing in our Site Built, Structural Packaging, and PalletOne business units, and cost increases in our Site Built, Deckorators, and Edge business units.</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$36 million, or 23%, compared to the second quarter of 2024. The overall decrease is a result of the decrease in gross profits mentioned above partially offset by a decrease in selling, general, and administrative (“SG&amp;A”) expenses. Our SG&amp;A decreased primarily due to our initiatives to reduce our cost structure to align it with current demand and because of bonus expense and other incentive compensation tied to profitability and return on investment. These decreases were partially offset by an increase in advertising costs to build brand awareness of our Deckorators’ SureStone composite decking.</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was $113 million in the first six months of 2025 compared to $239 million during the first six months of 2024. The $126 million decline resulted from a decrease in net earnings and non-cash expenses of $59 million and an increase in our investment in net working capital since year end that was $67 million higher in the first six months of 2025 than it was in 2024. We anticipate the increase in net working capital since year end will convert to cash by the end of the third quarter as we move past the typical seasonal peak in our net working capital, as well as approximately $40 million of cash flow benefits from the OBBBA in the third and fourth quarter.</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June 2025 was $842 million compared to $1.0 billion at the end of June 2024. Our unused borrowing capacity under our revolving credit facility and a shelf agreement with certain lenders along with our cash resulted in total liquidity of approximately $2.1 billion at the end of the second quarter of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average</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4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average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Higher overall lumber prices in 2025 compared to 2024 is primarily due to recent production curtailments. A change in lumber prices impacts profitability of products sold with fixed and variable prices, as discussed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42.9% and 38.9% of our sales in the first six months of 2025 and 2024,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22% of our total net sales in the first six months of 2025.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19% of our total purchases for the first six months of 2025 were transacted under these programs. (</w:t>
      </w:r>
      <w:r>
        <w:rPr>
          <w:rFonts w:ascii="Times New Roman" w:cs="Times New Roman" w:eastAsia="Times New Roman" w:hAnsi="Times New Roman"/>
          <w:sz w:val="18"/>
          <w:szCs w:val="18"/>
          <w:i w:val="1"/>
          <w:iCs w:val="1"/>
          <w:color w:val="auto"/>
        </w:rPr>
        <w:t>Please refer to the “Risk Factors” section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TARIFFS ON OUR OPERATING RESULTS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proposed tariffs in Mexico and Canada continue to be paused. If they are activated, the demand for domestic lumber products is expected to increase, which will likely result in higher costs as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June 28, 2025, 84% of our lumber purchases are from domestic suppliers and 16% are imported from Canada and other international suppliers.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in fiscal 2025 and one in fiscal 2024. The annual historical sales attributable to these acquisitions are approximately $32 million. These business combinations are not significant to our quarterly results and thus proforma results for 2025 and 2024 are not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Interim Condensed Consolidated Financial Statements, Note F, “Business Combinations”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400" w:type="dxa"/>
            <w:vAlign w:val="bottom"/>
          </w:tcPr>
          <w:p>
            <w:pPr>
              <w:spacing w:after="0"/>
              <w:rPr>
                <w:sz w:val="15"/>
                <w:szCs w:val="15"/>
                <w:color w:val="auto"/>
              </w:rPr>
            </w:pPr>
          </w:p>
        </w:tc>
        <w:tc>
          <w:tcPr>
            <w:tcW w:w="1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400" w:type="dxa"/>
            <w:vAlign w:val="bottom"/>
          </w:tcPr>
          <w:p>
            <w:pPr>
              <w:spacing w:after="0"/>
              <w:rPr>
                <w:sz w:val="10"/>
                <w:szCs w:val="10"/>
                <w:color w:val="auto"/>
              </w:rPr>
            </w:pPr>
          </w:p>
        </w:tc>
        <w:tc>
          <w:tcPr>
            <w:tcW w:w="7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960" w:type="dxa"/>
            <w:vAlign w:val="bottom"/>
            <w:gridSpan w:val="2"/>
          </w:tcPr>
          <w:p>
            <w:pPr>
              <w:jc w:val="right"/>
              <w:ind w:right="35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880" w:type="dxa"/>
            <w:vAlign w:val="bottom"/>
            <w:gridSpan w:val="2"/>
          </w:tcPr>
          <w:p>
            <w:pPr>
              <w:jc w:val="right"/>
              <w:ind w:right="21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880" w:type="dxa"/>
            <w:vAlign w:val="bottom"/>
            <w:gridSpan w:val="2"/>
          </w:tcPr>
          <w:p>
            <w:pPr>
              <w:jc w:val="right"/>
              <w:ind w:right="21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80"/>
        </w:trPr>
        <w:tc>
          <w:tcPr>
            <w:tcW w:w="5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top w:val="single" w:sz="8" w:color="CCEEFF"/>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00" w:type="dxa"/>
            <w:vAlign w:val="bottom"/>
          </w:tcPr>
          <w:p>
            <w:pPr>
              <w:spacing w:after="0"/>
              <w:rPr>
                <w:sz w:val="15"/>
                <w:szCs w:val="15"/>
                <w:color w:val="auto"/>
              </w:rPr>
            </w:pPr>
          </w:p>
        </w:tc>
        <w:tc>
          <w:tcPr>
            <w:tcW w:w="21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20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6"/>
        </w:trPr>
        <w:tc>
          <w:tcPr>
            <w:tcW w:w="4700" w:type="dxa"/>
            <w:vAlign w:val="bottom"/>
          </w:tcPr>
          <w:p>
            <w:pPr>
              <w:spacing w:after="0"/>
              <w:rPr>
                <w:sz w:val="13"/>
                <w:szCs w:val="13"/>
                <w:color w:val="auto"/>
              </w:rPr>
            </w:pPr>
          </w:p>
        </w:tc>
        <w:tc>
          <w:tcPr>
            <w:tcW w:w="21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gridSpan w:val="3"/>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4700" w:type="dxa"/>
            <w:vAlign w:val="bottom"/>
          </w:tcPr>
          <w:p>
            <w:pPr>
              <w:spacing w:after="0"/>
              <w:rPr>
                <w:sz w:val="10"/>
                <w:szCs w:val="10"/>
                <w:color w:val="auto"/>
              </w:rPr>
            </w:pPr>
          </w:p>
        </w:tc>
        <w:tc>
          <w:tcPr>
            <w:tcW w:w="1040" w:type="dxa"/>
            <w:vAlign w:val="bottom"/>
            <w:tcBorders>
              <w:top w:val="single" w:sz="8" w:color="auto"/>
            </w:tcBorders>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960" w:type="dxa"/>
            <w:vAlign w:val="bottom"/>
            <w:tcBorders>
              <w:top w:val="single" w:sz="8" w:color="auto"/>
            </w:tcBorders>
          </w:tcPr>
          <w:p>
            <w:pPr>
              <w:jc w:val="right"/>
              <w:ind w:right="136"/>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0"/>
                <w:szCs w:val="10"/>
                <w:color w:val="auto"/>
              </w:rPr>
            </w:pPr>
          </w:p>
        </w:tc>
        <w:tc>
          <w:tcPr>
            <w:tcW w:w="1100" w:type="dxa"/>
            <w:vAlign w:val="bottom"/>
            <w:tcBorders>
              <w:top w:val="single" w:sz="8" w:color="auto"/>
            </w:tcBorders>
            <w:gridSpan w:val="2"/>
          </w:tcPr>
          <w:p>
            <w:pPr>
              <w:ind w:left="22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940" w:type="dxa"/>
            <w:vAlign w:val="bottom"/>
            <w:tcBorders>
              <w:top w:val="single" w:sz="8" w:color="auto"/>
            </w:tcBorders>
          </w:tcPr>
          <w:p>
            <w:pPr>
              <w:jc w:val="right"/>
              <w:ind w:right="116"/>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80"/>
        </w:trPr>
        <w:tc>
          <w:tcPr>
            <w:tcW w:w="47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20"/>
                <w:szCs w:val="20"/>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20"/>
                <w:szCs w:val="20"/>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(17.6)</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competitive pricing and higher material costs, which has reduced our gross profits.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35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7"/>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0" w:type="dxa"/>
            <w:vAlign w:val="bottom"/>
          </w:tcPr>
          <w:p>
            <w:pPr>
              <w:spacing w:after="0"/>
              <w:rPr>
                <w:sz w:val="10"/>
                <w:szCs w:val="10"/>
                <w:color w:val="auto"/>
              </w:rPr>
            </w:pPr>
          </w:p>
        </w:tc>
      </w:tr>
      <w:tr>
        <w:trPr>
          <w:trHeight w:val="180"/>
        </w:trPr>
        <w:tc>
          <w:tcPr>
            <w:tcW w:w="3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c>
          <w:tcPr>
            <w:tcW w:w="20" w:type="dxa"/>
            <w:vAlign w:val="bottom"/>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184,995</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361,249</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395,214</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8"/>
                <w:szCs w:val="18"/>
                <w:color w:val="auto"/>
              </w:rPr>
            </w:pPr>
          </w:p>
        </w:tc>
      </w:tr>
      <w:tr>
        <w:trPr>
          <w:trHeight w:val="86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1,835,374</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1,522,640</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312,734</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184,995</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123,091</w:t>
            </w:r>
          </w:p>
        </w:tc>
        <w:tc>
          <w:tcPr>
            <w:tcW w:w="20" w:type="dxa"/>
            <w:vAlign w:val="bottom"/>
          </w:tcPr>
          <w:p>
            <w:pPr>
              <w:spacing w:after="0"/>
              <w:rPr>
                <w:sz w:val="19"/>
                <w:szCs w:val="19"/>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1,539,216</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0" w:type="dxa"/>
            <w:vAlign w:val="bottom"/>
          </w:tcPr>
          <w:p>
            <w:pPr>
              <w:spacing w:after="0"/>
              <w:rPr>
                <w:sz w:val="19"/>
                <w:szCs w:val="19"/>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3,430,893</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2,849,963</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580,930</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361,249</w:t>
            </w: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215,343</w:t>
            </w:r>
          </w:p>
        </w:tc>
      </w:tr>
      <w:tr>
        <w:trPr>
          <w:trHeight w:val="385"/>
        </w:trPr>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2,852,104</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395,214</w:t>
            </w: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292,857</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720" w:hanging="178"/>
        <w:spacing w:after="0"/>
        <w:tabs>
          <w:tab w:leader="none" w:pos="6720" w:val="left"/>
        </w:tabs>
        <w:numPr>
          <w:ilvl w:val="1"/>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7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3660" w:type="dxa"/>
            <w:vAlign w:val="bottom"/>
            <w:tcBorders>
              <w:top w:val="single" w:sz="8" w:color="auto"/>
              <w:bottom w:val="single" w:sz="8" w:color="auto"/>
            </w:tcBorders>
            <w:gridSpan w:val="9"/>
          </w:tcPr>
          <w:p>
            <w:pPr>
              <w:jc w:val="center"/>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Second Quarter 2025 versus Second Quarter 2024</w:t>
            </w: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13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Units</w:t>
            </w:r>
          </w:p>
        </w:tc>
        <w:tc>
          <w:tcPr>
            <w:tcW w:w="10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11.6 %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7"/>
        </w:trPr>
        <w:tc>
          <w:tcPr>
            <w:tcW w:w="47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8"/>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Year-to-Date 2025 versus Year-to-Date 2024</w:t>
            </w: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13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Units</w:t>
            </w:r>
          </w:p>
        </w:tc>
        <w:tc>
          <w:tcPr>
            <w:tcW w:w="10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43.8 %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3"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380"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26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r>
      <w:tr>
        <w:trPr>
          <w:trHeight w:val="155"/>
        </w:trPr>
        <w:tc>
          <w:tcPr>
            <w:tcW w:w="3700" w:type="dxa"/>
            <w:vAlign w:val="bottom"/>
          </w:tcPr>
          <w:p>
            <w:pPr>
              <w:spacing w:after="0"/>
              <w:rPr>
                <w:sz w:val="13"/>
                <w:szCs w:val="13"/>
                <w:color w:val="auto"/>
              </w:rPr>
            </w:pPr>
          </w:p>
        </w:tc>
        <w:tc>
          <w:tcPr>
            <w:tcW w:w="124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c>
          <w:tcPr>
            <w:tcW w:w="124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60" w:type="dxa"/>
            <w:vAlign w:val="bottom"/>
            <w:shd w:val="clear" w:color="auto" w:fill="CCEEFF"/>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60" w:type="dxa"/>
            <w:vAlign w:val="bottom"/>
          </w:tcPr>
          <w:p>
            <w:pPr>
              <w:spacing w:after="0"/>
              <w:rPr>
                <w:sz w:val="20"/>
                <w:szCs w:val="20"/>
                <w:color w:val="auto"/>
              </w:rPr>
            </w:pPr>
          </w:p>
        </w:tc>
      </w:tr>
      <w:tr>
        <w:trPr>
          <w:trHeight w:val="353"/>
        </w:trPr>
        <w:tc>
          <w:tcPr>
            <w:tcW w:w="3700" w:type="dxa"/>
            <w:vAlign w:val="bottom"/>
          </w:tcPr>
          <w:p>
            <w:pPr>
              <w:spacing w:after="0"/>
              <w:rPr>
                <w:sz w:val="24"/>
                <w:szCs w:val="24"/>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r>
      <w:tr>
        <w:trPr>
          <w:trHeight w:val="156"/>
        </w:trPr>
        <w:tc>
          <w:tcPr>
            <w:tcW w:w="3700" w:type="dxa"/>
            <w:vAlign w:val="bottom"/>
          </w:tcPr>
          <w:p>
            <w:pPr>
              <w:spacing w:after="0"/>
              <w:rPr>
                <w:sz w:val="13"/>
                <w:szCs w:val="13"/>
                <w:color w:val="auto"/>
              </w:rPr>
            </w:pPr>
          </w:p>
        </w:tc>
        <w:tc>
          <w:tcPr>
            <w:tcW w:w="124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c>
          <w:tcPr>
            <w:tcW w:w="124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60" w:type="dxa"/>
            <w:vAlign w:val="bottom"/>
            <w:shd w:val="clear" w:color="auto" w:fill="CCEEFF"/>
          </w:tcPr>
          <w:p>
            <w:pPr>
              <w:spacing w:after="0"/>
              <w:rPr>
                <w:sz w:val="18"/>
                <w:szCs w:val="18"/>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60" w:type="dxa"/>
            <w:vAlign w:val="bottom"/>
          </w:tcPr>
          <w:p>
            <w:pPr>
              <w:spacing w:after="0"/>
              <w:rPr>
                <w:sz w:val="20"/>
                <w:szCs w:val="20"/>
                <w:color w:val="auto"/>
              </w:rPr>
            </w:pPr>
          </w:p>
        </w:tc>
      </w:tr>
    </w:tbl>
    <w:p>
      <w:pPr>
        <w:spacing w:after="0" w:line="121" w:lineRule="exact"/>
        <w:rPr>
          <w:sz w:val="20"/>
          <w:szCs w:val="20"/>
          <w:color w:val="auto"/>
        </w:rPr>
      </w:pPr>
    </w:p>
    <w:p>
      <w:pPr>
        <w:ind w:left="60" w:right="300"/>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120"/>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down 4% in the second quarter and 1% in the first six months of 2025 compared to the prior year. Our overall unit sales of commodity-based products decreased approximately 4% in the second quarter and 3% in the first six months of 2025 compared to the prior year.</w:t>
      </w:r>
    </w:p>
    <w:p>
      <w:pPr>
        <w:spacing w:after="0" w:line="176" w:lineRule="exact"/>
        <w:rPr>
          <w:sz w:val="20"/>
          <w:szCs w:val="20"/>
          <w:color w:val="auto"/>
        </w:rPr>
      </w:pPr>
    </w:p>
    <w:p>
      <w:pPr>
        <w:jc w:val="both"/>
        <w:ind w:left="380" w:right="120" w:hanging="330"/>
        <w:spacing w:after="0" w:line="254"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second quarter and first six months of 2025 increased 2% and decreased 2%, respectively. Approximately $39.5 million of new product sales for the first six months of 2024, while they continue to be sold, were sunset in 2025 and excluded from the table below because they no longer meet the definition above. Our short-term goal is to achieve annual new product sales of at least $550 million in 2025. For the first six months of 2025, new product sales totaled $239 million. Our long-term goal is for new products to comprise at least 10% of our total net sales.</w:t>
      </w:r>
    </w:p>
    <w:p>
      <w:pPr>
        <w:spacing w:after="0" w:line="19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2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36"/>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0"/>
                <w:szCs w:val="10"/>
                <w:color w:val="auto"/>
              </w:rPr>
            </w:pPr>
          </w:p>
        </w:tc>
        <w:tc>
          <w:tcPr>
            <w:tcW w:w="124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14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Sales</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tcPr>
          <w:p>
            <w:pPr>
              <w:spacing w:after="0"/>
              <w:rPr>
                <w:sz w:val="18"/>
                <w:szCs w:val="18"/>
                <w:color w:val="auto"/>
              </w:rPr>
            </w:pPr>
          </w:p>
        </w:tc>
      </w:tr>
      <w:tr>
        <w:trPr>
          <w:trHeight w:val="23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280" w:type="dxa"/>
            <w:vAlign w:val="bottom"/>
            <w:shd w:val="clear" w:color="auto" w:fill="CCEEFF"/>
          </w:tcPr>
          <w:p>
            <w:pPr>
              <w:spacing w:after="0"/>
              <w:rPr>
                <w:sz w:val="20"/>
                <w:szCs w:val="20"/>
                <w:color w:val="auto"/>
              </w:rPr>
            </w:pPr>
          </w:p>
        </w:tc>
      </w:tr>
      <w:tr>
        <w:trPr>
          <w:trHeight w:val="203"/>
        </w:trPr>
        <w:tc>
          <w:tcPr>
            <w:tcW w:w="27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129,083</w:t>
            </w:r>
          </w:p>
        </w:tc>
        <w:tc>
          <w:tcPr>
            <w:tcW w:w="9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127,234</w:t>
            </w:r>
          </w:p>
        </w:tc>
        <w:tc>
          <w:tcPr>
            <w:tcW w:w="9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1.5 %</w:t>
            </w:r>
          </w:p>
        </w:tc>
        <w:tc>
          <w:tcPr>
            <w:tcW w:w="280" w:type="dxa"/>
            <w:vAlign w:val="bottom"/>
            <w:tcBorders>
              <w:top w:val="single" w:sz="8" w:color="CCEEFF"/>
            </w:tcBorders>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40" w:right="139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56"/>
        </w:trPr>
        <w:tc>
          <w:tcPr>
            <w:tcW w:w="2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24"/>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215"/>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80" w:type="dxa"/>
            <w:vAlign w:val="bottom"/>
          </w:tcPr>
          <w:p>
            <w:pPr>
              <w:spacing w:after="0"/>
              <w:rPr>
                <w:sz w:val="10"/>
                <w:szCs w:val="10"/>
                <w:color w:val="auto"/>
              </w:rPr>
            </w:pPr>
          </w:p>
        </w:tc>
        <w:tc>
          <w:tcPr>
            <w:tcW w:w="1220" w:type="dxa"/>
            <w:vAlign w:val="bottom"/>
            <w:gridSpan w:val="2"/>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0"/>
                <w:szCs w:val="10"/>
                <w:color w:val="auto"/>
              </w:rPr>
            </w:pPr>
          </w:p>
        </w:tc>
      </w:tr>
      <w:tr>
        <w:trPr>
          <w:trHeight w:val="180"/>
        </w:trPr>
        <w:tc>
          <w:tcPr>
            <w:tcW w:w="2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20" w:type="dxa"/>
            <w:vAlign w:val="bottom"/>
            <w:tcBorders>
              <w:bottom w:val="single" w:sz="8" w:color="auto"/>
            </w:tcBorders>
          </w:tcPr>
          <w:p>
            <w:pPr>
              <w:spacing w:after="0"/>
              <w:rPr>
                <w:sz w:val="15"/>
                <w:szCs w:val="15"/>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2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239,381</w:t>
            </w:r>
          </w:p>
        </w:tc>
        <w:tc>
          <w:tcPr>
            <w:tcW w:w="9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100"/>
        <w:spacing w:after="0" w:line="252" w:lineRule="auto"/>
        <w:rPr>
          <w:sz w:val="20"/>
          <w:szCs w:val="20"/>
          <w:color w:val="auto"/>
        </w:rPr>
      </w:pPr>
      <w:r>
        <w:rPr>
          <w:rFonts w:ascii="Times New Roman" w:cs="Times New Roman" w:eastAsia="Times New Roman" w:hAnsi="Times New Roman"/>
          <w:sz w:val="18"/>
          <w:szCs w:val="18"/>
          <w:color w:val="auto"/>
        </w:rPr>
        <w:t>Net sales in the second quarter of 2025 decreased by 3% compared to the same period of 2024 due to a 7% decrease in units, partially offset by a 4% increase in selling prices. Unit changes within this segment consisted of decreases of 3% in Deckorators and 7% in ProWood. Our unit sales to big box customers, which we believe are more closely correlated with repair and remodel activity, decreased approximately 7%, while unit sales to independent retailers, which we believe are more closely correlated to new housing starts, decreased approximately 6%. Within our Deckorators business unit, our sales of railings declined 25%, wood-plastic composite decking was flat, and our mineral-based-composite decking (sold under our new Surestone tradename) increased 45%. The decline in our railing sales is due to lost market share with a big box customer which began impacting sales at the beginning of the year. Our sales or wood-plastic composite decking were also impacted by this loss of business. However, we gained market share with another big box customer which will begin to more favorably impact our sales beginning in July as initial stocking orders are received for one of our mineral-based composite decking products. Overall, for the remainder of this year, we believe we will benefit from a modest net gain in market share as we begin stocking approximately 1,500 stores and continue to add capacity to produce our mineral-based composite decking. We expect to realize the full benefit of our net market share gain in 2026. Our long-term goal is to double our market share of composite decking and railing over the next 5 years. The decline in ProWood volume is primarily due to soft demand due to higher interest rates and weaker consumer sentiment and ongoing efforts to discontinue sales of products that do not meet our profitability targets.</w:t>
      </w:r>
    </w:p>
    <w:p>
      <w:pPr>
        <w:spacing w:after="0" w:line="195"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Gross profits decreased by $13 million, or 10% to $114 million for the second quarter of 2025 compared to the same period last year. The change in gross profit was attributable to the following:</w:t>
      </w:r>
    </w:p>
    <w:p>
      <w:pPr>
        <w:spacing w:after="0" w:line="162" w:lineRule="exact"/>
        <w:rPr>
          <w:sz w:val="20"/>
          <w:szCs w:val="20"/>
          <w:color w:val="auto"/>
        </w:rPr>
      </w:pPr>
    </w:p>
    <w:p>
      <w:pPr>
        <w:jc w:val="both"/>
        <w:ind w:left="720" w:right="120"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pressure-treated products decreased by $2 million, primarily due to a decline in unit sales as an increase in material costs was offset by an increase in selling prices. Additionally, gross profits associated with our Edge products declined by $4 million. Please see footnote K to our condensed consolidated financial statements regarding our plan to close our Edge manufacturing facilities in Bonner, Montana and move volume to existing facilities in California and Mexico.</w:t>
      </w:r>
    </w:p>
    <w:p>
      <w:pPr>
        <w:spacing w:after="0" w:line="183" w:lineRule="exact"/>
        <w:rPr>
          <w:rFonts w:ascii="Times New Roman" w:cs="Times New Roman" w:eastAsia="Times New Roman" w:hAnsi="Times New Roman"/>
          <w:sz w:val="18"/>
          <w:szCs w:val="18"/>
          <w:color w:val="auto"/>
        </w:rPr>
      </w:pPr>
    </w:p>
    <w:p>
      <w:pPr>
        <w:jc w:val="both"/>
        <w:ind w:left="720" w:right="120"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$4 million primarily due to lower railing sales and an increase in our cost per unit of wood-based composite decking associated with unfavorable cost variances and product mix, and an increase in the cost per unit of our mineral-based composite decking due to product mix. We believe the new, more efficient equipment we’re installing to manufacture our mineral-based composite decking will allow us to achieve our targeted cost per unit.</w:t>
      </w:r>
    </w:p>
    <w:p>
      <w:pPr>
        <w:spacing w:after="0" w:line="183" w:lineRule="exact"/>
        <w:rPr>
          <w:sz w:val="20"/>
          <w:szCs w:val="20"/>
          <w:color w:val="auto"/>
        </w:rPr>
      </w:pPr>
    </w:p>
    <w:p>
      <w:pPr>
        <w:jc w:val="both"/>
        <w:ind w:left="60" w:right="100"/>
        <w:spacing w:after="0" w:line="258" w:lineRule="auto"/>
        <w:rPr>
          <w:sz w:val="20"/>
          <w:szCs w:val="20"/>
          <w:color w:val="auto"/>
        </w:rPr>
      </w:pPr>
      <w:r>
        <w:rPr>
          <w:rFonts w:ascii="Times New Roman" w:cs="Times New Roman" w:eastAsia="Times New Roman" w:hAnsi="Times New Roman"/>
          <w:sz w:val="18"/>
          <w:szCs w:val="18"/>
          <w:color w:val="auto"/>
        </w:rPr>
        <w:t>SG&amp;A decreased by $7 million, or 10%, in the second quarter of 2025 compared to the same period of 2024. Accrued bonus expense, which varies with the overall profitability and return on investment of the segment, decreased $4 million from the second quarter of 2024 and totaled $15 million for the quarter. This decrease, along with other smaller decreases in several accounts totaling $9 million, was partially offset by an increase in advertising of $6 million related to our efforts to build brand awareness of our Deckorators SureStone decking.</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40" w:right="139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second quarter of 2025 compared to 2024 by $6 million, or 11%, as a result of the factors mentioned above.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six months of 2025 decreased by 3% compared to the same period of 2024, due to a 5% decrease in units, partially offset by a 2% increase in selling prices. Unit changes within this segment consisted of decreases of 6% in Deckorators and 5% in ProWood. Unit sales to big box customers decreased approximately 5%, while unit sales to independent retailers decreased approximately 6%. Within our Deckorators business unit, our sales of railings decreased by 31% and wood-plastic composite decking decreased by 3% due to the lost market share described above. These decreases were partially offset by a 36% increase in our mineral-based-composite decking as consumers continue to see the benefits of its superior product attributes.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$33 million, or 14% to $195 million for the first six months of 2025 compared to the same period in 2024. The change in gross profit was attributable to the following:</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ProWood business unit decreased $18 million, primarily due to a decline in unit sales as a result of softer demand and an unfavorable increase in material costs. Additionally, gross profits associated with our Edge products declined by $5 million. Please see footnote K to our condensed consolidated financial statements regarding our plan to close our Edge manufacturing facilities in Bonner MT and move volume to existing facilities in California and Mexico.</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$8 million due to the decline in railing and wood-plastic composite decking sales mentioned above and an increase in our cost per unit of composite decking.</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$7 million, or 6%, in the first six months of 2025 compared to the same period of 2024. The overall decrease was due to a decline in accrued bonus expense of $8 million, which totaled $24 million for the first six months of 2025, as well as a $2 million decrease in wages and benefits and many smaller decreases in several accounts totaling $8 million. This decrease was partially offset by an increase in advertising of $11 million primarily related to Deckorators.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six months of 2025 compared to 2024 by $26 million, or 25%,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2025 decreased 2% compared to the same period of 2024, due to a 4% decrease in selling prices, partially offset by an acquired business which contributed 2% to unit growth. Organic unit changes consist of decreases of 2% in Structural Packaging, primarily due to a decline in demand, offset by growth of 8% in Protective Packaging and 5% in PalletOne due to market share gains. The decrease in selling prices is due to competitive price pressure primarily in our PalletOne and Structural Packaging business units.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$13 million, or 16%, for the second quarter of 2025 compared to the same period last year. The change in gross profit was attributable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$7 million. The decline in gross profit is attributable to competitive price pressure and a decline in volume due to lower demand.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$6 million primarily due to competitive price pressure which more than offset the favorable impact of unit sales growth as we continue to execute our strategy to gain market share.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remained flat compared to last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$10 million, or 19%, in the second quarter of 2025 compared to the same period of 2024. Accrued bonus expense decreased approximately $3 million relative to the same period of 2024, and totaled $8 million for the quarter. The remaining decrease is attributable to an adjustment to reduce earnout expense by $1.5 million and many smaller decreases in several accounts.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second quarter of 2025 compared to 2024 by $3 million, or 11%, due to the factors discussed above.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2025 decreased 2% compared to the same period of 2024, due to a 2% decrease in selling prices and a 1% decrease in organic unit sales, partially offset by an acquired business which contributed 1% to unit growth. Organic unit changes consist of a 4% decrease in structural packaging, primarily due to a decline in demand, partially offset by 10% unit growth in Protective Packaging and 2% unit growth in PalletOne due to market share gains. The decline in prices is due to competitive price pressure.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$29 million, or 17%, for the first six months of 2025 compared to the same period in 2024. The change in gross profits was attributable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$18 million. The decline in gross profit is primarily due to lower unit sales and competitive price pressure due to lower demand.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$11 million primarily due to competitive price pressure which more than offset the favorable impact from unit sales growth as we continue to execute our strategy to gain market share.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$1 million due to unfavorable cost variances as a result of fixed manufacturing costs.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$16 million, or 15%, in the first six months of 2025 compared to the same period of 2024. Accrued bonus expense decreased $5 million, and totaled $16 million for the six months of 2025. Additionally, our sales incentive compensation decreased by $2 million. The remaining decrease is attributable to many smaller decreases in several accounts.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six months of 2025 compared to 2024 by $13 million, or 21%,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second quarter of 2025 decreased 4% compared to the same period of 2024 due to a 6% decrease in selling prices offset by a 2% increase in unit sales. We experienced unit increases of 8% in factory-built, 6% in commercial construction, and 11% in concrete forming. Our growth in factory-built is primarily due to an increase in industry production. These increases were partially offset by a 7% decrease in site-built, primarily due to softer demand for housing. As of June 28, 2025 and June 29, 2024, we estimate that our backlog of orders in our site-built housing business unit were $59 million and $82 million, respectively. The decrease in pricing was primarily due to competitive price pressure in our site-built business unit.</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$25 million, or 20%, in the second quarter of 2025 compared to the same period of 2024. The change in our gross profit was comprised of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$28 million, primarily due to a decline in unit sales and competitive price pressure due to softer demand. Higher material costs also contributed modestly to the decline in gross profits.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$1 million due to increased labor and overhead costs,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$1 million due to an increase in unit sales.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increased by $1 million due to an increase in unit sales.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$10 million, or 13%, in the second quarter of 2025 compared to the same period of 2024. Accrued bonus expense declined by $6 million and totaled $10 million for the quarter. The decline in SG&amp;A was also attributable to a decline in our sales incentive compensation totaling $2 million and many smaller decreases in several accounts.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second quarter of 2025 compared to 2024 by $16 million, or 31%, due to the factors mentioned above.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2025 decreased 2% compared to the same period of 2024 and consisted of a 5% decrease in selling prices, partially offset by a 3% increase in unit sales. Unit changes within this segment consist of increases of 10% in factory-built, primarily due to an increase in industry production, 7% in concrete forming, and 5% in commercial construction. These increases were partially offset by a unit decline of 6% in site-built housing due to lower demand.</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$49 million, or 20% for the first six months of 2025 compared to the same period of 2024. The change in our gross profit was comprised of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$52 million primarily due to a decline in unit sales and competitive price pressure. Higher material costs also contributed modestly to the decline in gross profits.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$3 million as a result of increased labor and overhead costs,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$2 million due to higher unit sales.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$2 million as a result of increased unit sales.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$16 million, or 11%, in the first six months of 2025 compared to the same period of 2024. Accrued bonus expenses decreased $10 million and totaled $20 million for the first six months of 2025. The decline in SG&amp;A was also attributable to a decline in our sales incentive compensation totaling $3 million and many smaller decreases in several accounts.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six months of 2025 compared to 2024 by $34 million, or 34%,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Effective tax rates differ from statutory federal income tax rates, primarily due to provisions for foreign, state and local income taxes and permanent tax differences. Our effective tax rate was 23.6% in the second quarter of 2025 compared to 25.1% in the same period of 2024 and was 22.5% in the first six months of 2025 compared to 21.5% for the same period in 2024. The decrease in our effective tax rate for the second quarter was primarily due to one-time state income tax benefits recorded as discrete items in 2025. </w:t>
      </w:r>
      <w:r>
        <w:rPr>
          <w:rFonts w:ascii="Times New Roman" w:cs="Times New Roman" w:eastAsia="Times New Roman" w:hAnsi="Times New Roman"/>
          <w:sz w:val="18"/>
          <w:szCs w:val="18"/>
          <w:color w:val="212529"/>
        </w:rPr>
        <w:t>The increase in our effective tax rate for the first six months of 2025 was primarily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a decrease in our tax deduction from stock-based compensation accounted for as a permanent difference.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55"/>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54"/>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80"/>
        </w:trPr>
        <w:tc>
          <w:tcPr>
            <w:tcW w:w="57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(196,468)</w:t>
            </w:r>
          </w:p>
        </w:tc>
      </w:tr>
      <w:tr>
        <w:trPr>
          <w:trHeight w:val="22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w:t>
            </w:r>
          </w:p>
        </w:tc>
      </w:tr>
      <w:tr>
        <w:trPr>
          <w:trHeight w:val="22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1,179,594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1,122,256</w:t>
            </w:r>
          </w:p>
        </w:tc>
      </w:tr>
      <w:tr>
        <w:trPr>
          <w:trHeight w:val="21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842,991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1,042,102</w:t>
            </w:r>
          </w:p>
        </w:tc>
      </w:tr>
      <w:tr>
        <w:trPr>
          <w:trHeight w:val="20"/>
        </w:trPr>
        <w:tc>
          <w:tcPr>
            <w:tcW w:w="5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increased to 59 days from 56 days during the second quarter of 2025 and increased to 60 days from 59 days during the first six months of 2025 compared to the same periods of the prior year.</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660" w:type="dxa"/>
            <w:vAlign w:val="bottom"/>
          </w:tcPr>
          <w:p>
            <w:pPr>
              <w:spacing w:after="0"/>
              <w:rPr>
                <w:sz w:val="10"/>
                <w:szCs w:val="10"/>
                <w:color w:val="auto"/>
              </w:rPr>
            </w:pPr>
          </w:p>
        </w:tc>
        <w:tc>
          <w:tcPr>
            <w:tcW w:w="78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6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0"/>
                <w:szCs w:val="10"/>
                <w:color w:val="auto"/>
              </w:rPr>
            </w:pPr>
          </w:p>
        </w:tc>
        <w:tc>
          <w:tcPr>
            <w:tcW w:w="820" w:type="dxa"/>
            <w:vAlign w:val="bottom"/>
            <w:tcBorders>
              <w:top w:val="single" w:sz="8" w:color="auto"/>
            </w:tcBorders>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June 28,</w:t>
            </w:r>
          </w:p>
        </w:tc>
        <w:tc>
          <w:tcPr>
            <w:tcW w:w="6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0"/>
                <w:szCs w:val="10"/>
                <w:color w:val="auto"/>
              </w:rPr>
            </w:pPr>
          </w:p>
        </w:tc>
      </w:tr>
      <w:tr>
        <w:trPr>
          <w:trHeight w:val="180"/>
        </w:trPr>
        <w:tc>
          <w:tcPr>
            <w:tcW w:w="56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56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increase in our days supply of inventory for the quarter and first six months of 2025 is due to slower inventory turns in our Retail and Packaging segments. The increase in our days of sales outstanding is primarily due to our Retail and Packaging segments. We continue to focus on past due account balances with customers, and the percentage of our accounts receivable that are current was 94% at the end of the second quarter of 2025 and 2024.</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first six months of 2025, our cash flows from operations were $113 million and were comprised of net earnings of $180 million, $99 million of non-cash expenses, offset by a $166 million increase in working capital since the end of December 2024 due to seasonal demand. Our cash flows from operations decreased by $126 million compared to the same period of last year primarily due to the increase in our investment in net working capital since year end, which was $67 million higher in 2025 compared to 2024. We anticipate the seasonal increase in net working capital in 2025 will be converted to cash by the end of the third quarter, as well as approximately $40 million of cash flow benefits from the OBBBA in the third and fourth quarter.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Purchases of property, plant, and equipment of $130 million comprised most of our cash used in investing activities during the first six months of 2025. Outstanding purchase commitments on existing capital projects totaled approximately $133.4 million on June 28, 2025. Capital spending primarily consists of several projects to expand capacity to manufacture new and value-added products, primarily in our Packaging segment and our Site-Built and Deckorators business units, to achieve efficiencies through automation in all segments, and make improvements to a number of facilities. We intend to fund capital expenditures and purchase commitments through our operating cash flows for the balance of the year.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six months of 2025 primarily consisted of the following:</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2,523,339 shares of our common stock for $262 million during the first six months of 2025 at an average price of $103.63 per share. Of this amount, 87,027 shares were repurchased in order to settle tax withholding obligations of long-term stock incentive plan participants’ awards which vested in the current year. The shares were purchased at an average price of $109.85 per share, totaling $10 million.</w:t>
      </w:r>
    </w:p>
    <w:p>
      <w:pPr>
        <w:spacing w:after="0" w:line="17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six months of 2025 were $42 million ($0.35 per share).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28, 2025, we had no amount outstanding on our $750 million revolving credit facility, and we had approximately $711 million in remaining availability after considering $39 million in outstanding letters of credit under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28,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of 2025, we had approximately $2.1 billion in total liquidity, consisting of our cash, remaining availability under our revolving credit facility, and a shelf agreement with certain lenders providing up to $575 million in remaining borrowing capacity.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auto"/>
        </w:rPr>
        <w:t>long-term</w:t>
      </w:r>
      <w:r>
        <w:rPr>
          <w:rFonts w:ascii="Times New Roman" w:cs="Times New Roman" w:eastAsia="Times New Roman" w:hAnsi="Times New Roman"/>
          <w:sz w:val="18"/>
          <w:szCs w:val="18"/>
          <w:color w:val="auto"/>
        </w:rPr>
        <w:t xml:space="preserve"> financial goals include:</w:t>
      </w:r>
    </w:p>
    <w:p>
      <w:pPr>
        <w:spacing w:after="0" w:line="117" w:lineRule="exact"/>
        <w:rPr>
          <w:sz w:val="20"/>
          <w:szCs w:val="20"/>
          <w:color w:val="auto"/>
        </w:rPr>
      </w:pPr>
    </w:p>
    <w:p>
      <w:pPr>
        <w:ind w:left="720" w:right="1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53"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We believe improvements in demand in the end markets we serve and effectively executing our strategies will allow us to achieve our long-term goals. However, in the short-term, demand in our markets has contracted due to a variety of factors, which will continue to impact our results and vary depending on the severity and duration of this cycle. As a result of these more challenging conditions, we have developed and are executing plans for reducing costs, eliminating excess capacity, divesting under-performing assets, and exiting business that does not meet our profitability targets. Our goal through these actions is to lower our cost structure and improve our operating profits by $60 million by year-end 2026. We anticipate benefits of approximately $43 million by the end of 2025, including $13 million from planned capacity reductions and approximately $30 million from planned SG&amp;A cost reductions. The planned decreases will be partially offset by an anticipated $20 million increase in advertising costs in our Deckorators business unit to build our Surestone brand.</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prospects:</w:t>
      </w:r>
    </w:p>
    <w:p>
      <w:pPr>
        <w:spacing w:after="0" w:line="117" w:lineRule="exact"/>
        <w:rPr>
          <w:sz w:val="20"/>
          <w:szCs w:val="20"/>
          <w:color w:val="auto"/>
        </w:rPr>
      </w:pPr>
    </w:p>
    <w:p>
      <w:pPr>
        <w:ind w:left="720" w:right="179" w:hanging="319"/>
        <w:spacing w:after="0" w:line="273" w:lineRule="auto"/>
        <w:tabs>
          <w:tab w:leader="none" w:pos="7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Lumber prices, which impact our cost of goods sold and selling prices, have normalized due to additional capacity added by sawmills and demand falling from peak levels. We anticipate lumber prices will remain near current levels, and experience more typical seasonal trends, until there is a substantial change in the balance of supply and demand. In the event higher duties on Canadian softwood lumber and new tariffs are enacted on imports generally, we anticipate lumber prices will increase accordingly. We believe we are currently in a strong position to adapt quickly to duties and tariffs without a material adverse financial impact after a short adjustment period. However, a widespread increase in tariffs may adversely impact demand in the markets we serve.</w:t>
      </w:r>
    </w:p>
    <w:p>
      <w:pPr>
        <w:spacing w:after="0" w:line="63" w:lineRule="exact"/>
        <w:rPr>
          <w:rFonts w:ascii="Times New Roman" w:cs="Times New Roman" w:eastAsia="Times New Roman" w:hAnsi="Times New Roman"/>
          <w:sz w:val="17"/>
          <w:szCs w:val="17"/>
          <w:color w:val="auto"/>
        </w:rPr>
      </w:pPr>
    </w:p>
    <w:p>
      <w:pPr>
        <w:ind w:left="720" w:right="13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41% of our net sales for the first six months of 2025. When evaluating future demand for the segment, we analyze data such as the same-store sales growth of national home improvement retailers and forecasts of home remodeling activity. Based on this data, we currently anticipate market demand to be slightly down for the remainder of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right="35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24% of our net sales for the first six months of 2025. When evaluating future demand, we consider a number of metrics, including the Purchasing Managers Index (PMI), durable goods manufacturing, and U.S. real GDP. We currently believe overall demand in the markets we serve to be slightly down for the remainder of 2025.</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31% of our net sales for the first six months of 2025.</w:t>
      </w:r>
    </w:p>
    <w:p>
      <w:pPr>
        <w:spacing w:after="0" w:line="117" w:lineRule="exact"/>
        <w:rPr>
          <w:rFonts w:ascii="Times New Roman" w:cs="Times New Roman" w:eastAsia="Times New Roman" w:hAnsi="Times New Roman"/>
          <w:sz w:val="18"/>
          <w:szCs w:val="18"/>
          <w:color w:val="auto"/>
        </w:rPr>
      </w:pPr>
    </w:p>
    <w:p>
      <w:pPr>
        <w:ind w:left="1380" w:right="119" w:hanging="331"/>
        <w:spacing w:after="0" w:line="256" w:lineRule="auto"/>
        <w:tabs>
          <w:tab w:leader="none" w:pos="13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11% of our net sales for the first six months of 2025. Approximately one-third of site-built customers are multifamily builders. The industry consensus estimate of national housing starts for 2025 is 1.36 million, with estimates generally predicting flat to slightly negative growth in the coming year with multi-family generally showing stronger performance compared to single-family. We anticipate demand in the regions we operate to be down mid-single digits for the remainder of 2025.</w:t>
      </w:r>
    </w:p>
    <w:p>
      <w:pPr>
        <w:spacing w:after="0" w:line="79" w:lineRule="exact"/>
        <w:rPr>
          <w:rFonts w:ascii="Times New Roman" w:cs="Times New Roman" w:eastAsia="Times New Roman" w:hAnsi="Times New Roman"/>
          <w:sz w:val="18"/>
          <w:szCs w:val="18"/>
          <w:color w:val="auto"/>
        </w:rPr>
      </w:pPr>
    </w:p>
    <w:p>
      <w:pPr>
        <w:ind w:left="1380" w:right="119" w:hanging="331"/>
        <w:spacing w:after="0" w:line="289" w:lineRule="auto"/>
        <w:tabs>
          <w:tab w:leader="none" w:pos="13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factory-built housing business unit accounted for 13% of our net sales for the first six months of 2025. When evaluating future demand, we analyze data from production and shipments of manufactured housing. We currently believe overall demand will be slightly up for the remainder of 2025.</w:t>
      </w:r>
    </w:p>
    <w:p>
      <w:pPr>
        <w:spacing w:after="0" w:line="49" w:lineRule="exact"/>
        <w:rPr>
          <w:rFonts w:ascii="Times New Roman" w:cs="Times New Roman" w:eastAsia="Times New Roman" w:hAnsi="Times New Roman"/>
          <w:sz w:val="17"/>
          <w:szCs w:val="17"/>
          <w:color w:val="auto"/>
        </w:rPr>
      </w:pPr>
    </w:p>
    <w:p>
      <w:pPr>
        <w:ind w:left="1380" w:right="199" w:hanging="331"/>
        <w:spacing w:after="0" w:line="261" w:lineRule="auto"/>
        <w:tabs>
          <w:tab w:leader="none" w:pos="13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7% of our net sales for the first six months of 2025. When evaluating future demand, we analyze data from non-residential construction spending. We anticipate overall demand in these business units to be flat to slightly up for the remainder of 2025.</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68" w:lineRule="exact"/>
        <w:rPr>
          <w:sz w:val="20"/>
          <w:szCs w:val="20"/>
          <w:color w:val="auto"/>
        </w:rPr>
      </w:pPr>
    </w:p>
    <w:p>
      <w:pPr>
        <w:ind w:left="720" w:right="2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our board approved a quarterly cash dividend of $0.35 per share, which represents a 6% year over year increase. This dividend is payable on September 15, 2025, to shareholders of record on September 1, 2025.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our board authorized the repurchase of up to $300 million worth of our shares through July 31, 2026. This share authorization supersedes and replaces our prior share repurchase authorizations. Our objective is to repurchase our stock at sufficient amounts to offset issuances under our share-based compensation plans. In addition, we will opportunistically buy shares when the price trades at pre-determined levels we believe is at a significant discount to intrinsic value. Through August 4, 2025, we have approximately $290 million of remaining availability under this authorization.</w:t>
      </w:r>
    </w:p>
    <w:p>
      <w:pPr>
        <w:spacing w:after="0" w:line="79"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2025 is $300-$325 million, which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and take advantage of automation opportunities and drive strategies that have strong long-term growth potential for new and value-added products. Approximately $207 million in capital projects have been approved so far in 2025 and another $101 million are pending approval.</w:t>
      </w:r>
    </w:p>
    <w:p>
      <w:pPr>
        <w:spacing w:after="0" w:line="79"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58"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June 28, 2025,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28,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right="119" w:hanging="317"/>
        <w:spacing w:after="0" w:line="25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annual retainer payable to each of our non-employee directors (such portion for each director is $135,000 for 2025) is paid in shares of our common stock. The retainer is deemed earned in equal quarterly installments on February 1, May 1, August 1, and November 1. We use the market price per share on each such installment date (or the preceding day if there were no trades on that installment date) to determine the number of shares issuable to each non-employee director, and except as described below, the shares are issued to the director within five business days.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 maintain a Director Compensation Plan (the “Plan”) pursuant to which non-employee directors can elect to</w:t>
      </w:r>
    </w:p>
    <w:p>
      <w:pPr>
        <w:spacing w:after="0" w:line="27" w:lineRule="exact"/>
        <w:rPr>
          <w:sz w:val="20"/>
          <w:szCs w:val="20"/>
          <w:color w:val="auto"/>
        </w:rPr>
      </w:pPr>
    </w:p>
    <w:p>
      <w:pPr>
        <w:ind w:left="860" w:right="159" w:firstLine="7"/>
        <w:spacing w:after="0" w:line="251" w:lineRule="auto"/>
        <w:tabs>
          <w:tab w:leader="none" w:pos="11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shares of our common stock, on a deferred basis, in lieu of all or a portion of the annual retainer payable to the director in cash,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spacing w:after="0" w:line="193" w:lineRule="exact"/>
        <w:rPr>
          <w:sz w:val="20"/>
          <w:szCs w:val="20"/>
          <w:color w:val="auto"/>
        </w:rPr>
      </w:pPr>
    </w:p>
    <w:p>
      <w:pPr>
        <w:ind w:left="860" w:right="59"/>
        <w:spacing w:after="0" w:line="255" w:lineRule="auto"/>
        <w:rPr>
          <w:sz w:val="20"/>
          <w:szCs w:val="20"/>
          <w:color w:val="auto"/>
        </w:rPr>
      </w:pPr>
      <w:r>
        <w:rPr>
          <w:rFonts w:ascii="Times New Roman" w:cs="Times New Roman" w:eastAsia="Times New Roman" w:hAnsi="Times New Roman"/>
          <w:sz w:val="18"/>
          <w:szCs w:val="18"/>
          <w:color w:val="auto"/>
        </w:rPr>
        <w:t>During the second quarter of 2025, upon retirement of a non-employee director on April 23, 2025, 36,857 DSUs were converted to our common stock and issued to the retired director. Additionally, on May 1, 2025, the Company issued 1,011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4(2) of the Securities Act of 1933 due to the fact that the issuance of the shares was made on a private basis pursuant to the Plan.</w:t>
      </w:r>
    </w:p>
    <w:p>
      <w:pPr>
        <w:spacing w:after="0" w:line="189" w:lineRule="exact"/>
        <w:rPr>
          <w:sz w:val="20"/>
          <w:szCs w:val="20"/>
          <w:color w:val="auto"/>
        </w:rPr>
      </w:pPr>
    </w:p>
    <w:p>
      <w:pPr>
        <w:ind w:left="880" w:hanging="317"/>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 May 3, 2025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1,153,498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$ 104.56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1,153,498</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$ 108,250,305</w:t>
            </w: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4 - 31,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305,200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77,930,254</w:t>
            </w: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1 - 28,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415,581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415,581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37,464,642</w:t>
            </w:r>
          </w:p>
        </w:tc>
      </w:tr>
    </w:tbl>
    <w:p>
      <w:pPr>
        <w:spacing w:after="0" w:line="11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4"/>
          <w:szCs w:val="14"/>
          <w:color w:val="auto"/>
        </w:rPr>
        <w:t>Note: April includes 128 shares tendered by certain employees of the Company (and repurchased by the Company) in order to satisfy their respective tax withholding obligations resulting from the vesting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7"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repurchases made during the quarter ended June 28, 2025 reflected in the table above were repurchased pursuant to a share repurchase authorization approved by our board on July 24, 2024 and announced July 30, 2024, which authorized the purchase of up to $200 million of outstanding stock through July 31, 2025. This share repurchase authorization was subsequently increased by the board on April 23, 2025 from $200 million to $300 million worth of outstanding stock. On and effective as of July 23, 2025, our board authorized the repurchase of up to $300 million worth of our shares through July 31, 2026, which supersedes and replaces prior authorizations.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During the quarter ended June 28, 2025,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405"/>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4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40" w:type="dxa"/>
            <w:vAlign w:val="bottom"/>
            <w:gridSpan w:val="2"/>
          </w:tcPr>
          <w:p>
            <w:pPr>
              <w:ind w:left="1320"/>
              <w:spacing w:after="0" w:line="178"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98"/>
        </w:trPr>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40" w:type="dxa"/>
            <w:vAlign w:val="bottom"/>
            <w:gridSpan w:val="2"/>
          </w:tcPr>
          <w:p>
            <w:pPr>
              <w:ind w:left="1320"/>
              <w:spacing w:after="0" w:line="198" w:lineRule="exact"/>
              <w:rPr>
                <w:sz w:val="20"/>
                <w:szCs w:val="20"/>
                <w:color w:val="auto"/>
              </w:rPr>
            </w:pPr>
            <w:r>
              <w:rPr>
                <w:rFonts w:ascii="Times New Roman" w:cs="Times New Roman" w:eastAsia="Times New Roman" w:hAnsi="Times New Roman"/>
                <w:sz w:val="18"/>
                <w:szCs w:val="18"/>
                <w:color w:val="auto"/>
              </w:rPr>
              <w:t>Michael R. Cole,</w:t>
            </w:r>
          </w:p>
        </w:tc>
      </w:tr>
    </w:tbl>
    <w:p>
      <w:pPr>
        <w:ind w:left="4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225" w:lineRule="exact"/>
        <w:rPr>
          <w:sz w:val="20"/>
          <w:szCs w:val="20"/>
          <w:color w:val="auto"/>
        </w:rPr>
      </w:pPr>
    </w:p>
    <w:p>
      <w:pPr>
        <w:ind w:left="540" w:hanging="490"/>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and Principal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28,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28,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28,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28,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upperLetter"/>
      <w:start w:val="1"/>
    </w:lvl>
  </w:abstractNum>
  <w:abstractNum w:abstractNumId="3">
    <w:nsid w:val="8EDBDAB"/>
    <w:multiLevelType w:val="hybridMultilevel"/>
    <w:lvl w:ilvl="0">
      <w:lvlJc w:val="left"/>
      <w:lvlText w:val="(%1)"/>
      <w:numFmt w:val="lowerRoman"/>
      <w:start w:val="1"/>
    </w:lvl>
  </w:abstractNum>
  <w:abstractNum w:abstractNumId="4">
    <w:nsid w:val="79838CB2"/>
    <w:multiLevelType w:val="hybridMultilevel"/>
    <w:lvl w:ilvl="0">
      <w:lvlJc w:val="left"/>
      <w:lvlText w:val="%1."/>
      <w:numFmt w:val="upperLetter"/>
      <w:start w:val="2"/>
    </w:lvl>
  </w:abstractNum>
  <w:abstractNum w:abstractNumId="5">
    <w:nsid w:val="4353D0CD"/>
    <w:multiLevelType w:val="hybridMultilevel"/>
    <w:lvl w:ilvl="0">
      <w:lvlJc w:val="left"/>
      <w:lvlText w:val="%1."/>
      <w:numFmt w:val="upperLetter"/>
      <w:start w:val="3"/>
    </w:lvl>
  </w:abstractNum>
  <w:abstractNum w:abstractNumId="6">
    <w:nsid w:val="B03E0C6"/>
    <w:multiLevelType w:val="hybridMultilevel"/>
    <w:lvl w:ilvl="0">
      <w:lvlJc w:val="left"/>
      <w:lvlText w:val="%1."/>
      <w:numFmt w:val="upperLetter"/>
      <w:start w:val="4"/>
    </w:lvl>
  </w:abstractNum>
  <w:abstractNum w:abstractNumId="7">
    <w:nsid w:val="189A769B"/>
    <w:multiLevelType w:val="hybridMultilevel"/>
    <w:lvl w:ilvl="0">
      <w:lvlJc w:val="left"/>
      <w:lvlText w:val="%1."/>
      <w:numFmt w:val="upperLetter"/>
      <w:start w:val="5"/>
    </w:lvl>
  </w:abstractNum>
  <w:abstractNum w:abstractNumId="8">
    <w:nsid w:val="54E49EB4"/>
    <w:multiLevelType w:val="hybridMultilevel"/>
    <w:lvl w:ilvl="0">
      <w:lvlJc w:val="left"/>
      <w:lvlText w:val="%1."/>
      <w:numFmt w:val="upperLetter"/>
      <w:start w:val="6"/>
    </w:lvl>
  </w:abstractNum>
  <w:abstractNum w:abstractNumId="9">
    <w:nsid w:val="71F32454"/>
    <w:multiLevelType w:val="hybridMultilevel"/>
    <w:lvl w:ilvl="0">
      <w:lvlJc w:val="left"/>
      <w:lvlText w:val="%1."/>
      <w:numFmt w:val="upperLetter"/>
      <w:start w:val="7"/>
    </w:lvl>
  </w:abstractNum>
  <w:abstractNum w:abstractNumId="10">
    <w:nsid w:val="2CA88611"/>
    <w:multiLevelType w:val="hybridMultilevel"/>
    <w:lvl w:ilvl="0">
      <w:lvlJc w:val="left"/>
      <w:lvlText w:val="%1."/>
      <w:numFmt w:val="upperLetter"/>
      <w:start w:val="8"/>
    </w:lvl>
  </w:abstractNum>
  <w:abstractNum w:abstractNumId="11">
    <w:nsid w:val="836C40E"/>
    <w:multiLevelType w:val="hybridMultilevel"/>
    <w:lvl w:ilvl="0">
      <w:lvlJc w:val="left"/>
      <w:lvlText w:val="%1."/>
      <w:numFmt w:val="upperLetter"/>
      <w:start w:val="9"/>
    </w:lvl>
  </w:abstractNum>
  <w:abstractNum w:abstractNumId="12">
    <w:nsid w:val="2901D82"/>
    <w:multiLevelType w:val="hybridMultilevel"/>
    <w:lvl w:ilvl="0">
      <w:lvlJc w:val="left"/>
      <w:lvlText w:val="%1."/>
      <w:numFmt w:val="upperLetter"/>
      <w:start w:val="10"/>
    </w:lvl>
  </w:abstractNum>
  <w:abstractNum w:abstractNumId="13">
    <w:nsid w:val="3A95F874"/>
    <w:multiLevelType w:val="hybridMultilevel"/>
    <w:lvl w:ilvl="0">
      <w:lvlJc w:val="left"/>
      <w:lvlText w:val="%1."/>
      <w:numFmt w:val="upperLetter"/>
      <w:start w:val="1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31"/>
    </w:lvl>
    <w:lvl w:ilvl="1">
      <w:lvlJc w:val="left"/>
      <w:lvlText w:val="(%2)"/>
      <w:numFmt w:val="lowerLetter"/>
      <w:start w:val="1"/>
    </w:lvl>
  </w:abstractNum>
  <w:abstractNum w:abstractNumId="39">
    <w:nsid w:val="6A2342EC"/>
    <w:multiLevelType w:val="hybridMultilevel"/>
    <w:lvl w:ilvl="0">
      <w:lvlJc w:val="left"/>
      <w:lvlText w:val="%1"/>
      <w:numFmt w:val="decimal"/>
      <w:start w:val="101"/>
    </w:lvl>
  </w:abstractNum>
  <w:abstractNum w:abstractNumId="40">
    <w:nsid w:val="2A487CB0"/>
    <w:multiLevelType w:val="hybridMultilevel"/>
    <w:lvl w:ilvl="0">
      <w:lvlJc w:val="left"/>
      <w:lvlText w:val="%1"/>
      <w:numFmt w:val="decimal"/>
      <w:start w:val="10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2025-08-06T10:51:41Z</dcterms:created>
  <dcterms:modified xsi:type="dcterms:W3CDTF">2025-08-06T10:51:41Z</dcterms:modified>
</cp:coreProperties>
</file>