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-1158875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780" w:type="dxa"/>
            <w:vAlign w:val="bottom"/>
          </w:tcPr>
          <w:p>
            <w:pPr>
              <w:spacing w:after="0"/>
              <w:rPr>
                <w:sz w:val="20"/>
                <w:szCs w:val="20"/>
                <w:color w:val="auto"/>
              </w:rPr>
            </w:pPr>
            <w:r>
              <w:rPr>
                <w:rFonts w:ascii="Arial" w:cs="Arial" w:eastAsia="Arial" w:hAnsi="Arial"/>
                <w:sz w:val="18"/>
                <w:szCs w:val="18"/>
                <w:color w:val="auto"/>
              </w:rPr>
              <w:t>SEC 1913 (11-01)</w:t>
            </w: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2801 East Beltline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Rapids, MI 49525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21"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Annual Meeting of Shareholders of Universal Forest Products, Inc. will be held at the Company’s Technology and Training Building, 2880 East Beltline Lane NE, Grand Rapids, MI 49525, on Wednesday, April 15, 2009, at 8:30 a.m. local time (registration begins at 8:00 a.m.) for the following purposes:</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three directors for three year terms expiring in 2012.</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 and vote upon a proposal to amend and restate the Company’s 1999 Long Term Stock Incentive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fiscal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 thereof.</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Shareholders of record at the close of business on February 18, 2009, are entitled to notice of and to vote at the meeting. To vote by telephone, shareholders of record may call toll free on a touch-tone telephone, 1-800-690-6903, enter the control number located on their Notice, and follow the recorded instructions. To vote on the Internet, shareholders of record may go to the Internet address http://www.proxyvote.com, enter the control number located on their Notice, and follow the instructions provided.</w:t>
      </w: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Missad,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vote is important. Even if you plan to attend the meeting,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SOLICITATION OF PROXIES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VOTING AT THE MEETING</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VOTING AT THE MEETING</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ELECTION OF DIRECTORS</w:t>
        </w:r>
      </w:hyperlink>
    </w:p>
    <w:p>
      <w:pPr>
        <w:spacing w:after="0" w:line="1" w:lineRule="exact"/>
        <w:rPr>
          <w:sz w:val="20"/>
          <w:szCs w:val="20"/>
          <w:color w:val="auto"/>
        </w:rPr>
      </w:pPr>
    </w:p>
    <w:p>
      <w:pPr>
        <w:ind w:right="56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PROPOSAL TO APPROVE THE FIRST AMENDMENT TO AND RESTATEMENT OF THE UNIVERSAL</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FOREST PRODUCTS, INC. 1999 LONG TERM STOCK INCENTIVE PLAN</w:t>
        </w:r>
      </w:hyperlink>
    </w:p>
    <w:p>
      <w:pPr>
        <w:spacing w:after="0" w:line="1"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RATIFICATION OF ERNST &amp; YOUNG LLP AS INDEPENDENT PUBLIC ACCOUNTANTS FOR FISCAL 2009</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INDEPENDENT PUBLIC ACCOUNTANTS — DISCLOSURE OF FEES</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OWNERSHIP OF COMMON STOCK</w:t>
        </w:r>
      </w:hyperlink>
    </w:p>
    <w:p>
      <w:pPr>
        <w:spacing w:after="0" w:line="232"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SECURITIES OWNERSHIP OF MANAGEMENT</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EXECUTIVE COMPENSATION</w:t>
        </w:r>
      </w:hyperlink>
    </w:p>
    <w:p>
      <w:pPr>
        <w:ind w:right="4440"/>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PERSONNEL AND COMPENSATION COMMITTEE REPORT</w:t>
        </w:r>
      </w:hyperlink>
      <w:r>
        <w:rPr>
          <w:rFonts w:ascii="Arial" w:cs="Arial" w:eastAsia="Arial" w:hAnsi="Arial"/>
          <w:sz w:val="22"/>
          <w:szCs w:val="22"/>
          <w:u w:val="single" w:color="auto"/>
          <w:color w:val="0000EE"/>
        </w:rPr>
        <w:t xml:space="preserve"> </w:t>
      </w:r>
      <w:hyperlink w:anchor="page32">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SECTION 16(A) BENEFICIAL OWNERSHIP REPORTING COMPLIANCE</w:t>
        </w:r>
      </w:hyperlink>
    </w:p>
    <w:p>
      <w:pPr>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RELATED PARTY TRANSACTIONS</w:t>
        </w:r>
      </w:hyperlink>
    </w:p>
    <w:p>
      <w:pPr>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AVAILABILITY OF FORM 10-K</w:t>
        </w:r>
      </w:hyperlink>
    </w:p>
    <w:p>
      <w:pPr>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SHAREHOLDER PROPOSALS</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HOUSEHOLDING OF PROXY MATERIALS</w:t>
        </w:r>
      </w:hyperlink>
    </w:p>
    <w:p>
      <w:pPr>
        <w:spacing w:after="0"/>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FUTURE PROXY SOLICITATION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820" w:top="112" w:right="9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Rapids, MI 49525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15, 2009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Proxy Statement and the enclosed Proxy are being furnished to holders of common stock, no par value, of Universal Forest Products, Inc. (the “Company”). Our Board of Directors (the “Board”) is soliciting proxies for use at our Annual Meeting of Shareholders to be held on April 15, 2009, and at any adjournment of that meeting, at our Technology and Training Building, 2880 East Beltline Lane NE, Grand Rapids, MI 49525, at 8:30 a.m. local time. Registration for the meeting begins at 8:00 a.m.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AT THE MEETING</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enclosed Proxy is properly signed and returned, the shares represented by the Proxy will be voted at our Annual Meeting of Shareholders and at any adjournment of the meeting. If a shareholder specifies a choice, the Proxy will be voted as specified. If no choice is specified, the shares represented by the Proxy will be voted for the election of all nominees named in the Proxy Statement, for the proposed amendment and restatement of our 1999 Long Term Stock Incentive Plan, for the ratification of the appointment of our independent public accountants, and in accordance with the judgment of the persons named as proxies with respect to any other matter which may come before the meeting.</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Returning your completed Proxy will not prevent you from voting in person at our Annual Meeting of Shareholders, if you wish to do so. In addition, you may revoke your Proxy at any time before it is voted, by written notice to our secretary prior to our Annual Meeting of Shareholders, by submission of a later-dated Proxy, or by the withdrawal of your Proxy and voting in person at our Annual Meeting of Shareholders.</w:t>
      </w:r>
    </w:p>
    <w:p>
      <w:pPr>
        <w:spacing w:after="0" w:line="1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cost of the solicitation of proxies will be paid by our Company. In addition to the use of the mail, proxies may be solicited personally, by telephone, by facsimile, or by electronic mail by our employees who will not receive additional compensation for soliciting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SECURITIES</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Holders of record of common stock at the close of business on February 18, 2009, will be entitled to vote at the Annual Meeting of Shareholders. As of February 18, 2009, there were 19,237,568 shares of common stock outstanding. The presence in person or by Proxy of at least 51% of such shares constitutes a quorum. A shareholder is entitled to one vote for each share of common stock registered in the shareholder’s name at the close of business on February 18, 2009. Under Michigan law, abstentions are treated as present and entitled to vote and therefore have the effect of a vote against the matter. A broker non-vote on a matter is considered not entitled to vote on that matter and, therefore, is not counted in determining whether a matter requiring approval of a majority of the shares present and entitled to vote has been approved. Votes cast at the meeting or submitted by Proxy will be counted by inspectors of the meeting appointed by our Company. There is no right to cumulative voting on any matter.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presently consists of ten members; however, due to the retirement of Peter F. Secchia, discussed below, our Board will consist of nine members as of April 15, 2009. These members are divided into three classes, as equal in number as possible, with the classes to hold office for staggered terms of three years each. Our Board nominated incumbent directors Dan M. Dutton, William R. Payne, and Louis A. Smith to three year terms expiring at our 2012 Annual Meeting of Shareholders.</w:t>
      </w:r>
    </w:p>
    <w:p>
      <w:pPr>
        <w:spacing w:after="0" w:line="16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effectiveness of each of our directors is monitored by an annual assessment, and any director who does not meet the Board’s standards will not be permitted to continue service. In addition, our Board has maintained an age limit of 72 for service on the Board, which allows for an orderly transition and proper succession planning. Peter F. Secchia, who is Chairman Emeritus, has been a director since 1967 and his current term expires on April 15, 2009. However, he will turn 72 years old this year and will therefore retire from our Board on April 15, 2009. We extend our heartfelt appreciation to Mr. Secchia for his 47 years of service to our Company.</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persons named as proxy holders in the accompanying Proxy will vote for the above-named nominees, unless a shareholder directs them differently on a proxy card. If a nominee is not available for election as a director at the time of the Annual Meeting of Shareholders (a situation which is not now anticipated), the Board may designate a substitute nominee, and the accompanying Proxy will be voted for the substituted nominee.</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person nominated by the Board.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provides certain biographical information for each person who is nominated for election as a director at our Annual Meeting of Shareholders and for each person who is continuing as an incumbent director.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4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Service as a Director</w:t>
            </w:r>
          </w:p>
        </w:tc>
        <w:tc>
          <w:tcPr>
            <w:tcW w:w="0" w:type="dxa"/>
            <w:vAlign w:val="bottom"/>
          </w:tcPr>
          <w:p>
            <w:pPr>
              <w:spacing w:after="0"/>
              <w:rPr>
                <w:sz w:val="1"/>
                <w:szCs w:val="1"/>
                <w:color w:val="auto"/>
              </w:rPr>
            </w:pPr>
          </w:p>
        </w:tc>
      </w:tr>
      <w:tr>
        <w:trPr>
          <w:trHeight w:val="171"/>
        </w:trPr>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4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7260" w:type="dxa"/>
            <w:vAlign w:val="bottom"/>
          </w:tcPr>
          <w:p>
            <w:pPr>
              <w:ind w:left="4340"/>
              <w:spacing w:after="0"/>
              <w:rPr>
                <w:sz w:val="20"/>
                <w:szCs w:val="20"/>
                <w:color w:val="auto"/>
              </w:rPr>
            </w:pPr>
            <w:r>
              <w:rPr>
                <w:rFonts w:ascii="Arial" w:cs="Arial" w:eastAsia="Arial" w:hAnsi="Arial"/>
                <w:sz w:val="18"/>
                <w:szCs w:val="18"/>
                <w:b w:val="1"/>
                <w:bCs w:val="1"/>
                <w:color w:val="auto"/>
                <w:w w:val="97"/>
              </w:rPr>
              <w:t>Nominee for Term Expiring in 2012</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rPr>
              <w:t xml:space="preserve">Dan M. Dutton </w:t>
            </w:r>
            <w:r>
              <w:rPr>
                <w:rFonts w:ascii="Arial" w:cs="Arial" w:eastAsia="Arial" w:hAnsi="Arial"/>
                <w:sz w:val="18"/>
                <w:szCs w:val="18"/>
                <w:color w:val="auto"/>
              </w:rPr>
              <w:t>(61) is Chairman of the Board of Stimson Lumber Company of Portland,</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2003.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Oregon with whom he has been affiliated since 1988.</w:t>
            </w:r>
          </w:p>
        </w:tc>
        <w:tc>
          <w:tcPr>
            <w:tcW w:w="4160" w:type="dxa"/>
            <w:vAlign w:val="bottom"/>
          </w:tcPr>
          <w:p>
            <w:pPr>
              <w:ind w:left="180"/>
              <w:spacing w:after="0"/>
              <w:rPr>
                <w:sz w:val="20"/>
                <w:szCs w:val="20"/>
                <w:color w:val="auto"/>
              </w:rPr>
            </w:pPr>
            <w:r>
              <w:rPr>
                <w:rFonts w:ascii="Arial" w:cs="Arial" w:eastAsia="Arial" w:hAnsi="Arial"/>
                <w:sz w:val="18"/>
                <w:szCs w:val="18"/>
                <w:color w:val="auto"/>
              </w:rPr>
              <w:t>Chairman of Nominating and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Corporate Governance Committee.</w:t>
            </w: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rPr>
              <w:t xml:space="preserve">William R. Payne </w:t>
            </w:r>
            <w:r>
              <w:rPr>
                <w:rFonts w:ascii="Arial" w:cs="Arial" w:eastAsia="Arial" w:hAnsi="Arial"/>
                <w:sz w:val="18"/>
                <w:szCs w:val="18"/>
                <w:color w:val="auto"/>
              </w:rPr>
              <w:t>(55) is Chief of Staff of Alticor of Ada, Michigan, a position he has held</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2008.</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since November 1999. Mr. Payne also sits on the Advisory Board at Macatawa Bank.</w:t>
            </w: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Nominating and</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Corporate Governance Committee.</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Personnel and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rPr>
              <w:t xml:space="preserve">Louis A. Smith </w:t>
            </w:r>
            <w:r>
              <w:rPr>
                <w:rFonts w:ascii="Arial" w:cs="Arial" w:eastAsia="Arial" w:hAnsi="Arial"/>
                <w:sz w:val="18"/>
                <w:szCs w:val="18"/>
                <w:color w:val="auto"/>
              </w:rPr>
              <w:t>(69) is President of the law firm of Smith and Johnson, Attorneys, P.C., of</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1993.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Traverse City, Michigan. Mr. Smith also serves on the Advisory Board of the Huntington</w:t>
            </w: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Audit Committee.</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National Bank of Traverse City and serves as a member of the Advisory Council to the</w:t>
            </w: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Personnel and</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8"/>
              </w:rPr>
              <w:t>University of Notre Dame Law School. Mr. Smith currently serves on The State Board of Law</w:t>
            </w:r>
          </w:p>
        </w:tc>
        <w:tc>
          <w:tcPr>
            <w:tcW w:w="4160" w:type="dxa"/>
            <w:vAlign w:val="bottom"/>
          </w:tcPr>
          <w:p>
            <w:pPr>
              <w:ind w:left="40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w w:val="98"/>
              </w:rPr>
              <w:t>Examiners upon nomination by the Michigan Supreme Court and gubernatorial appointment.</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20" w:type="dxa"/>
            <w:vAlign w:val="bottom"/>
            <w:gridSpan w:val="2"/>
          </w:tcPr>
          <w:p>
            <w:pPr>
              <w:ind w:left="3880"/>
              <w:spacing w:after="0"/>
              <w:rPr>
                <w:sz w:val="20"/>
                <w:szCs w:val="20"/>
                <w:color w:val="auto"/>
              </w:rPr>
            </w:pPr>
            <w:r>
              <w:rPr>
                <w:rFonts w:ascii="Arial" w:cs="Arial" w:eastAsia="Arial" w:hAnsi="Arial"/>
                <w:sz w:val="18"/>
                <w:szCs w:val="18"/>
                <w:b w:val="1"/>
                <w:bCs w:val="1"/>
                <w:color w:val="auto"/>
              </w:rPr>
              <w:t>Incumbent Directors — Terms Expiring in 2010</w:t>
            </w: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w w:val="98"/>
              </w:rPr>
              <w:t xml:space="preserve">William G. Currie </w:t>
            </w:r>
            <w:r>
              <w:rPr>
                <w:rFonts w:ascii="Arial" w:cs="Arial" w:eastAsia="Arial" w:hAnsi="Arial"/>
                <w:sz w:val="18"/>
                <w:szCs w:val="18"/>
                <w:color w:val="auto"/>
                <w:w w:val="98"/>
              </w:rPr>
              <w:t>(61) is Chairman of the Board of the Company. He joined the Company in</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1978.</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4"/>
              </w:rPr>
              <w:t>1971, serving as a salesman, general manager, vice president, and executive vice president. He</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8"/>
              </w:rPr>
              <w:t>was the Chief Executive Officer of the Company from 1989 to 2006, and on January 1, 2000,</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8"/>
              </w:rPr>
              <w:t>also became Vice Chairman of the Board. On April 19, 2006, he was named Chairman of the</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Board of the Company and serves as an employee with the title of Executive Chairman.</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Mr. Currie also serves on the board of Forestar Real Estate Group Inc.</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w w:val="99"/>
              </w:rPr>
              <w:t xml:space="preserve">John M. Engler </w:t>
            </w:r>
            <w:r>
              <w:rPr>
                <w:rFonts w:ascii="Arial" w:cs="Arial" w:eastAsia="Arial" w:hAnsi="Arial"/>
                <w:sz w:val="18"/>
                <w:szCs w:val="18"/>
                <w:color w:val="auto"/>
                <w:w w:val="99"/>
              </w:rPr>
              <w:t>(60) is President and Chief Executive Officer of the National Association of</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2003.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Manufacturers, with whom he has been affiliated since October 2004. He was President of</w:t>
            </w: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Nominating and</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7"/>
              </w:rPr>
              <w:t>State and Local Government Business and Vice President of Government Solutions for North</w:t>
            </w:r>
          </w:p>
        </w:tc>
        <w:tc>
          <w:tcPr>
            <w:tcW w:w="4160" w:type="dxa"/>
            <w:vAlign w:val="bottom"/>
          </w:tcPr>
          <w:p>
            <w:pPr>
              <w:ind w:left="440"/>
              <w:spacing w:after="0"/>
              <w:rPr>
                <w:sz w:val="20"/>
                <w:szCs w:val="20"/>
                <w:color w:val="auto"/>
              </w:rPr>
            </w:pPr>
            <w:r>
              <w:rPr>
                <w:rFonts w:ascii="Arial" w:cs="Arial" w:eastAsia="Arial" w:hAnsi="Arial"/>
                <w:sz w:val="18"/>
                <w:szCs w:val="18"/>
                <w:color w:val="auto"/>
              </w:rPr>
              <w:t>Corporate Governance Committee.</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8"/>
              </w:rPr>
              <w:t>America for EDS in Herndon, Virginia from February 2003 to September 2004. He served as</w:t>
            </w:r>
          </w:p>
        </w:tc>
        <w:tc>
          <w:tcPr>
            <w:tcW w:w="4160" w:type="dxa"/>
            <w:vAlign w:val="bottom"/>
          </w:tcPr>
          <w:p>
            <w:pPr>
              <w:ind w:left="180"/>
              <w:spacing w:after="0"/>
              <w:rPr>
                <w:sz w:val="20"/>
                <w:szCs w:val="20"/>
                <w:color w:val="auto"/>
              </w:rPr>
            </w:pPr>
            <w:r>
              <w:rPr>
                <w:rFonts w:ascii="Arial" w:cs="Arial" w:eastAsia="Arial" w:hAnsi="Arial"/>
                <w:sz w:val="18"/>
                <w:szCs w:val="18"/>
                <w:color w:val="auto"/>
              </w:rPr>
              <w:t>Member of Personnel and</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7"/>
              </w:rPr>
              <w:t>Governor of the State of Michigan from 1991 to 2003. Mr. Engler also serves on the boards of</w:t>
            </w:r>
          </w:p>
        </w:tc>
        <w:tc>
          <w:tcPr>
            <w:tcW w:w="4160" w:type="dxa"/>
            <w:vAlign w:val="bottom"/>
          </w:tcPr>
          <w:p>
            <w:pPr>
              <w:ind w:left="40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Munder Capital Management and Delta Airlines.</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b w:val="1"/>
                <w:bCs w:val="1"/>
                <w:color w:val="auto"/>
                <w:w w:val="98"/>
              </w:rPr>
              <w:t xml:space="preserve">Michael B. Glenn </w:t>
            </w:r>
            <w:r>
              <w:rPr>
                <w:rFonts w:ascii="Arial" w:cs="Arial" w:eastAsia="Arial" w:hAnsi="Arial"/>
                <w:sz w:val="18"/>
                <w:szCs w:val="18"/>
                <w:color w:val="auto"/>
                <w:w w:val="98"/>
              </w:rPr>
              <w:t>(57) is Chief Executive Officer of the Company. He joined the Company in</w:t>
            </w:r>
          </w:p>
        </w:tc>
        <w:tc>
          <w:tcPr>
            <w:tcW w:w="4160" w:type="dxa"/>
            <w:vAlign w:val="bottom"/>
          </w:tcPr>
          <w:p>
            <w:pPr>
              <w:ind w:left="180"/>
              <w:spacing w:after="0"/>
              <w:rPr>
                <w:sz w:val="20"/>
                <w:szCs w:val="20"/>
                <w:color w:val="auto"/>
              </w:rPr>
            </w:pPr>
            <w:r>
              <w:rPr>
                <w:rFonts w:ascii="Arial" w:cs="Arial" w:eastAsia="Arial" w:hAnsi="Arial"/>
                <w:sz w:val="18"/>
                <w:szCs w:val="18"/>
                <w:color w:val="auto"/>
              </w:rPr>
              <w:t>Director since 2006.</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w w:val="95"/>
              </w:rPr>
              <w:t>1974, serving as a salesman, vice president, senior vice president, and divisional president. He</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4800"/>
        <w:spacing w:after="0" w:line="261" w:lineRule="auto"/>
        <w:rPr>
          <w:sz w:val="20"/>
          <w:szCs w:val="20"/>
          <w:color w:val="auto"/>
        </w:rPr>
      </w:pPr>
      <w:r>
        <w:rPr>
          <w:rFonts w:ascii="Arial" w:cs="Arial" w:eastAsia="Arial" w:hAnsi="Arial"/>
          <w:sz w:val="18"/>
          <w:szCs w:val="18"/>
          <w:color w:val="auto"/>
        </w:rPr>
        <w:t>was named President of the Company in 2000. On July 1, 2006, he became Chief Executive Officer of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20"/>
                <w:szCs w:val="20"/>
                <w:color w:val="auto"/>
              </w:rPr>
            </w:pPr>
            <w:r>
              <w:rPr>
                <w:rFonts w:ascii="Arial" w:cs="Arial" w:eastAsia="Arial" w:hAnsi="Arial"/>
                <w:sz w:val="14"/>
                <w:szCs w:val="14"/>
                <w:b w:val="1"/>
                <w:bCs w:val="1"/>
                <w:color w:val="auto"/>
              </w:rPr>
              <w:t>Names, (Ages), Positions, and Backgrounds</w:t>
            </w:r>
          </w:p>
        </w:tc>
        <w:tc>
          <w:tcPr>
            <w:tcW w:w="43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Service as a Director</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Directors and Nominees</w:t>
            </w:r>
          </w:p>
        </w:tc>
        <w:tc>
          <w:tcPr>
            <w:tcW w:w="4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420" w:type="dxa"/>
            <w:vAlign w:val="bottom"/>
            <w:gridSpan w:val="2"/>
          </w:tcPr>
          <w:p>
            <w:pPr>
              <w:ind w:left="3880"/>
              <w:spacing w:after="0"/>
              <w:rPr>
                <w:sz w:val="20"/>
                <w:szCs w:val="20"/>
                <w:color w:val="auto"/>
              </w:rPr>
            </w:pPr>
            <w:r>
              <w:rPr>
                <w:rFonts w:ascii="Arial" w:cs="Arial" w:eastAsia="Arial" w:hAnsi="Arial"/>
                <w:sz w:val="18"/>
                <w:szCs w:val="18"/>
                <w:b w:val="1"/>
                <w:bCs w:val="1"/>
                <w:color w:val="auto"/>
              </w:rPr>
              <w:t>Incumbent Directors — Terms Expiring in 2011</w:t>
            </w:r>
          </w:p>
        </w:tc>
        <w:tc>
          <w:tcPr>
            <w:tcW w:w="0" w:type="dxa"/>
            <w:vAlign w:val="bottom"/>
          </w:tcPr>
          <w:p>
            <w:pPr>
              <w:spacing w:after="0"/>
              <w:rPr>
                <w:sz w:val="1"/>
                <w:szCs w:val="1"/>
                <w:color w:val="auto"/>
              </w:rPr>
            </w:pPr>
          </w:p>
        </w:tc>
      </w:tr>
      <w:tr>
        <w:trPr>
          <w:trHeight w:val="418"/>
        </w:trPr>
        <w:tc>
          <w:tcPr>
            <w:tcW w:w="7080" w:type="dxa"/>
            <w:vAlign w:val="bottom"/>
          </w:tcPr>
          <w:p>
            <w:pPr>
              <w:spacing w:after="0"/>
              <w:rPr>
                <w:sz w:val="20"/>
                <w:szCs w:val="20"/>
                <w:color w:val="auto"/>
              </w:rPr>
            </w:pPr>
            <w:r>
              <w:rPr>
                <w:rFonts w:ascii="Arial" w:cs="Arial" w:eastAsia="Arial" w:hAnsi="Arial"/>
                <w:sz w:val="18"/>
                <w:szCs w:val="18"/>
                <w:b w:val="1"/>
                <w:bCs w:val="1"/>
                <w:color w:val="auto"/>
                <w:w w:val="95"/>
              </w:rPr>
              <w:t xml:space="preserve">John W. Garside </w:t>
            </w:r>
            <w:r>
              <w:rPr>
                <w:rFonts w:ascii="Arial" w:cs="Arial" w:eastAsia="Arial" w:hAnsi="Arial"/>
                <w:sz w:val="18"/>
                <w:szCs w:val="18"/>
                <w:color w:val="auto"/>
                <w:w w:val="95"/>
              </w:rPr>
              <w:t>(69) is President and Treasurer of Woodruff Coal Company of Kalamazoo,</w:t>
            </w:r>
          </w:p>
        </w:tc>
        <w:tc>
          <w:tcPr>
            <w:tcW w:w="4340" w:type="dxa"/>
            <w:vAlign w:val="bottom"/>
          </w:tcPr>
          <w:p>
            <w:pPr>
              <w:ind w:left="360"/>
              <w:spacing w:after="0"/>
              <w:rPr>
                <w:sz w:val="20"/>
                <w:szCs w:val="20"/>
                <w:color w:val="auto"/>
              </w:rPr>
            </w:pPr>
            <w:r>
              <w:rPr>
                <w:rFonts w:ascii="Arial" w:cs="Arial" w:eastAsia="Arial" w:hAnsi="Arial"/>
                <w:sz w:val="18"/>
                <w:szCs w:val="18"/>
                <w:color w:val="auto"/>
              </w:rPr>
              <w:t>Director since 1993.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Michigan. Mr. Garside is a former commissioner for the Michigan Department of</w:t>
            </w:r>
          </w:p>
        </w:tc>
        <w:tc>
          <w:tcPr>
            <w:tcW w:w="4340" w:type="dxa"/>
            <w:vAlign w:val="bottom"/>
          </w:tcPr>
          <w:p>
            <w:pPr>
              <w:ind w:left="360"/>
              <w:spacing w:after="0"/>
              <w:rPr>
                <w:sz w:val="20"/>
                <w:szCs w:val="20"/>
                <w:color w:val="auto"/>
              </w:rPr>
            </w:pPr>
            <w:r>
              <w:rPr>
                <w:rFonts w:ascii="Arial" w:cs="Arial" w:eastAsia="Arial" w:hAnsi="Arial"/>
                <w:sz w:val="18"/>
                <w:szCs w:val="18"/>
                <w:color w:val="auto"/>
              </w:rPr>
              <w:t>Chairman of Personnel and</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Transportation.</w:t>
            </w:r>
          </w:p>
        </w:tc>
        <w:tc>
          <w:tcPr>
            <w:tcW w:w="4340" w:type="dxa"/>
            <w:vAlign w:val="bottom"/>
          </w:tcPr>
          <w:p>
            <w:pPr>
              <w:ind w:left="58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418"/>
        </w:trPr>
        <w:tc>
          <w:tcPr>
            <w:tcW w:w="7080" w:type="dxa"/>
            <w:vAlign w:val="bottom"/>
          </w:tcPr>
          <w:p>
            <w:pPr>
              <w:spacing w:after="0"/>
              <w:rPr>
                <w:sz w:val="20"/>
                <w:szCs w:val="20"/>
                <w:color w:val="auto"/>
              </w:rPr>
            </w:pPr>
            <w:r>
              <w:rPr>
                <w:rFonts w:ascii="Arial" w:cs="Arial" w:eastAsia="Arial" w:hAnsi="Arial"/>
                <w:sz w:val="18"/>
                <w:szCs w:val="18"/>
                <w:b w:val="1"/>
                <w:bCs w:val="1"/>
                <w:color w:val="auto"/>
                <w:w w:val="98"/>
              </w:rPr>
              <w:t xml:space="preserve">Gary F. Goode </w:t>
            </w:r>
            <w:r>
              <w:rPr>
                <w:rFonts w:ascii="Arial" w:cs="Arial" w:eastAsia="Arial" w:hAnsi="Arial"/>
                <w:sz w:val="18"/>
                <w:szCs w:val="18"/>
                <w:color w:val="auto"/>
                <w:w w:val="98"/>
              </w:rPr>
              <w:t>(64) retired from Arthur Andersen LLP in March 2001 after 29 years. Since</w:t>
            </w:r>
          </w:p>
        </w:tc>
        <w:tc>
          <w:tcPr>
            <w:tcW w:w="4340" w:type="dxa"/>
            <w:vAlign w:val="bottom"/>
          </w:tcPr>
          <w:p>
            <w:pPr>
              <w:ind w:left="360"/>
              <w:spacing w:after="0"/>
              <w:rPr>
                <w:sz w:val="20"/>
                <w:szCs w:val="20"/>
                <w:color w:val="auto"/>
              </w:rPr>
            </w:pPr>
            <w:r>
              <w:rPr>
                <w:rFonts w:ascii="Arial" w:cs="Arial" w:eastAsia="Arial" w:hAnsi="Arial"/>
                <w:sz w:val="18"/>
                <w:szCs w:val="18"/>
                <w:color w:val="auto"/>
              </w:rPr>
              <w:t>Director since 2003.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5"/>
              </w:rPr>
              <w:t>his retirement, Mr. Goode has worked as an independent consultant, and has also served as</w:t>
            </w:r>
          </w:p>
        </w:tc>
        <w:tc>
          <w:tcPr>
            <w:tcW w:w="4340" w:type="dxa"/>
            <w:vAlign w:val="bottom"/>
          </w:tcPr>
          <w:p>
            <w:pPr>
              <w:ind w:left="360"/>
              <w:spacing w:after="0"/>
              <w:rPr>
                <w:sz w:val="20"/>
                <w:szCs w:val="20"/>
                <w:color w:val="auto"/>
              </w:rPr>
            </w:pPr>
            <w:r>
              <w:rPr>
                <w:rFonts w:ascii="Arial" w:cs="Arial" w:eastAsia="Arial" w:hAnsi="Arial"/>
                <w:sz w:val="18"/>
                <w:szCs w:val="18"/>
                <w:color w:val="auto"/>
              </w:rPr>
              <w:t>Chairman of Audit Committee.</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5"/>
              </w:rPr>
              <w:t>Chairman of Titan Sales and Consulting LLC since January 2004. Mr. Goode is on the Board</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7"/>
              </w:rPr>
              <w:t>of Directors of Gentex Corporation and serves on its Audit, Compensation, and Nominating</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9"/>
              </w:rPr>
              <w:t>Committees. Mr. Goode is also on the Advisory Board of the Business School at Western</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Michigan University.</w:t>
            </w: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80" w:type="dxa"/>
            <w:vAlign w:val="bottom"/>
          </w:tcPr>
          <w:p>
            <w:pPr>
              <w:spacing w:after="0"/>
              <w:rPr>
                <w:sz w:val="20"/>
                <w:szCs w:val="20"/>
                <w:color w:val="auto"/>
              </w:rPr>
            </w:pPr>
            <w:r>
              <w:rPr>
                <w:rFonts w:ascii="Arial" w:cs="Arial" w:eastAsia="Arial" w:hAnsi="Arial"/>
                <w:sz w:val="18"/>
                <w:szCs w:val="18"/>
                <w:b w:val="1"/>
                <w:bCs w:val="1"/>
                <w:color w:val="auto"/>
              </w:rPr>
              <w:t xml:space="preserve">Mark A. Murray </w:t>
            </w:r>
            <w:r>
              <w:rPr>
                <w:rFonts w:ascii="Arial" w:cs="Arial" w:eastAsia="Arial" w:hAnsi="Arial"/>
                <w:sz w:val="18"/>
                <w:szCs w:val="18"/>
                <w:color w:val="auto"/>
              </w:rPr>
              <w:t>(54) is President of Meijer, Inc. in Grand Rapids, Michigan. Mr. Murray</w:t>
            </w:r>
          </w:p>
        </w:tc>
        <w:tc>
          <w:tcPr>
            <w:tcW w:w="4340" w:type="dxa"/>
            <w:vAlign w:val="bottom"/>
          </w:tcPr>
          <w:p>
            <w:pPr>
              <w:ind w:left="360"/>
              <w:spacing w:after="0"/>
              <w:rPr>
                <w:sz w:val="20"/>
                <w:szCs w:val="20"/>
                <w:color w:val="auto"/>
              </w:rPr>
            </w:pPr>
            <w:r>
              <w:rPr>
                <w:rFonts w:ascii="Arial" w:cs="Arial" w:eastAsia="Arial" w:hAnsi="Arial"/>
                <w:sz w:val="18"/>
                <w:szCs w:val="18"/>
                <w:color w:val="auto"/>
              </w:rPr>
              <w:t>Director since 2004.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6"/>
              </w:rPr>
              <w:t>was Treasurer of the State of Michigan from January 1999 until July 2001, and he served as</w:t>
            </w:r>
          </w:p>
        </w:tc>
        <w:tc>
          <w:tcPr>
            <w:tcW w:w="4340" w:type="dxa"/>
            <w:vAlign w:val="bottom"/>
          </w:tcPr>
          <w:p>
            <w:pPr>
              <w:ind w:left="360"/>
              <w:spacing w:after="0"/>
              <w:rPr>
                <w:sz w:val="20"/>
                <w:szCs w:val="20"/>
                <w:color w:val="auto"/>
              </w:rPr>
            </w:pPr>
            <w:r>
              <w:rPr>
                <w:rFonts w:ascii="Arial" w:cs="Arial" w:eastAsia="Arial" w:hAnsi="Arial"/>
                <w:sz w:val="18"/>
                <w:szCs w:val="18"/>
                <w:color w:val="auto"/>
              </w:rPr>
              <w:t>Member of Audit Committee.</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Vice President of Finance and Administration for Michigan State University from</w:t>
            </w:r>
          </w:p>
        </w:tc>
        <w:tc>
          <w:tcPr>
            <w:tcW w:w="4340" w:type="dxa"/>
            <w:vAlign w:val="bottom"/>
          </w:tcPr>
          <w:p>
            <w:pPr>
              <w:ind w:left="360"/>
              <w:spacing w:after="0"/>
              <w:rPr>
                <w:sz w:val="20"/>
                <w:szCs w:val="20"/>
                <w:color w:val="auto"/>
              </w:rPr>
            </w:pPr>
            <w:r>
              <w:rPr>
                <w:rFonts w:ascii="Arial" w:cs="Arial" w:eastAsia="Arial" w:hAnsi="Arial"/>
                <w:sz w:val="18"/>
                <w:szCs w:val="18"/>
                <w:color w:val="auto"/>
              </w:rPr>
              <w:t>Member of Nominating and</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5"/>
              </w:rPr>
              <w:t>January 1998 until January 1999. Mr. Murray was President of Grand Valley State University</w:t>
            </w:r>
          </w:p>
        </w:tc>
        <w:tc>
          <w:tcPr>
            <w:tcW w:w="4340" w:type="dxa"/>
            <w:vAlign w:val="bottom"/>
          </w:tcPr>
          <w:p>
            <w:pPr>
              <w:ind w:left="580"/>
              <w:spacing w:after="0"/>
              <w:rPr>
                <w:sz w:val="20"/>
                <w:szCs w:val="20"/>
                <w:color w:val="auto"/>
              </w:rPr>
            </w:pPr>
            <w:r>
              <w:rPr>
                <w:rFonts w:ascii="Arial" w:cs="Arial" w:eastAsia="Arial" w:hAnsi="Arial"/>
                <w:sz w:val="18"/>
                <w:szCs w:val="18"/>
                <w:color w:val="auto"/>
              </w:rPr>
              <w:t>Corporate Governance Committee.</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 Allendale, Michigan from July 2001 until July 1, 2006. On August 1, 2006 he became</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President of Meijer, Inc.</w:t>
            </w: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8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 xml:space="preserve">Our Board is committed to sound and effective corporate governance practices. To assist in its governance, the Board has appointed three standing committees: the Audit Committee, the Nominating and Corporate Governance Committee, and the Personnel and Compensation Committee. Each of these committees has a written charter, the current versions of which are available for review on our website at </w:t>
      </w:r>
      <w:r>
        <w:rPr>
          <w:rFonts w:ascii="Arial" w:cs="Arial" w:eastAsia="Arial" w:hAnsi="Arial"/>
          <w:sz w:val="16"/>
          <w:szCs w:val="16"/>
          <w:u w:val="single" w:color="auto"/>
          <w:color w:val="auto"/>
        </w:rPr>
        <w:t>www.ufpi.com</w:t>
      </w:r>
      <w:r>
        <w:rPr>
          <w:rFonts w:ascii="Arial" w:cs="Arial" w:eastAsia="Arial" w:hAnsi="Arial"/>
          <w:sz w:val="16"/>
          <w:szCs w:val="16"/>
          <w:color w:val="auto"/>
        </w:rPr>
        <w:t xml:space="preserve"> under the tab “Investor Relations.”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Code of Ethics for Senior Financial Officers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We have adopted a Code of Business Conduct and Ethics that applies to our employees, officers, and directors. We have also adopted a Code of Ethics for Senior Financial Officers. Each Code is posted on our website, and any changes or waiver to either Code will be disclosed on our website at </w:t>
      </w:r>
      <w:r>
        <w:rPr>
          <w:rFonts w:ascii="Arial" w:cs="Arial" w:eastAsia="Arial" w:hAnsi="Arial"/>
          <w:sz w:val="18"/>
          <w:szCs w:val="18"/>
          <w:u w:val="single" w:color="auto"/>
          <w:color w:val="auto"/>
        </w:rPr>
        <w:t>www.ufpi.com</w:t>
      </w:r>
      <w:r>
        <w:rPr>
          <w:rFonts w:ascii="Arial" w:cs="Arial" w:eastAsia="Arial" w:hAnsi="Arial"/>
          <w:sz w:val="18"/>
          <w:szCs w:val="18"/>
          <w:color w:val="auto"/>
        </w:rPr>
        <w:t xml:space="preserve"> under the tab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Affirmative Determination Regarding Director Independence and Other Matters</w:t>
      </w:r>
    </w:p>
    <w:p>
      <w:pPr>
        <w:spacing w:after="0" w:line="20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Board has determined each of the following directors to be an “independent director” as such term is defined in Marketplace Rule 4200(a)(15) of the National Association of Securities Dealers (the “NASD”): Dan M. Dutton, John M. Engler, John W. Garside, Gary F. Goode, Mark A. Murray, William R. Payne, and Louis A. Smith. There are no family relationships between or among the directors and our executive officers.</w:t>
      </w:r>
    </w:p>
    <w:p>
      <w:pPr>
        <w:spacing w:after="0" w:line="1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completed by each of the directors. On the basis of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Each member of the Audit Committee is “independent” as that term is defined by Rule 4200(a)(15) of the Nasdaq Listing Standards as well as the applicable rules of the Securities Exchange Commission for audit committee membership. Our Board has determined that Mr. Goode and Mr. Murray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2008, the Audit Committee held five meetings.</w:t>
      </w:r>
    </w:p>
    <w:p>
      <w:pPr>
        <w:spacing w:after="0" w:line="13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Personnel and Compensation Committee</w:t>
      </w:r>
      <w:r>
        <w:rPr>
          <w:rFonts w:ascii="Arial" w:cs="Arial" w:eastAsia="Arial" w:hAnsi="Arial"/>
          <w:sz w:val="17"/>
          <w:szCs w:val="17"/>
          <w:color w:val="auto"/>
        </w:rPr>
        <w:t>. Each member of this Committee is independent, as that term is defined by the Nasdaq Listing Standards. The Committee is responsible for reviewing and recommending to the Board the timing and amount of compensation for key employees, including salaries, bonuses, and other benefits, as well as director compensation. The Compensation Committee is also responsible for administering our stock option and other equity-based incentive plans, recommending retainer and attendance fees for non-employee directors, and reviewing compensation plans and awards as they relate to key employees. While the Committee has the authority to retain consultants and third-party advisors for assistance, it has not done so. The Committee has the ultimate authority to determine matters of executive compensation; however, it may rely upon recommendations by our Chief Executive Officer for matters of compensation other than those applicable to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the Personnel and Compensation Committee Charter. During 2008, the Personnel and Compensation Committee held three meetings.</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Nominating and Corporate Governance Committee</w:t>
      </w:r>
      <w:r>
        <w:rPr>
          <w:rFonts w:ascii="Arial" w:cs="Arial" w:eastAsia="Arial" w:hAnsi="Arial"/>
          <w:sz w:val="17"/>
          <w:szCs w:val="17"/>
          <w:color w:val="auto"/>
        </w:rPr>
        <w:t>. Each member of the Nominating and Corporate Governance Committee is “independent” as that term is defined by the Nasdaq Listing Standards. The Nominating and Corporate Governance Committee considers and proposes director nominees for election at the Annual Meeting of Shareholders, selects candidates to fill Board vacancies as they may occur, makes recommendations to the Board regarding Board committee memberships, generally monitors our corporate governance system, and performs any other functions or duties deemed appropriate by the Board. The full responsibilities of the Nominating and Corporate Governance Committee are set forth in the Nominating and Corporate Governance Committee Charter. During 2008, the Nominating and Corporate Governance Committee held three meetings.</w:t>
      </w:r>
    </w:p>
    <w:p>
      <w:pPr>
        <w:spacing w:after="0" w:line="15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Our Articles of Incorporation contain certain procedural requirements applicable to shareholder nominations of directors. A shareholder who wishes to nominate a person to serve as a director must provides us with written notice. The notice must include: (1) the name and address of both the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director. The nominee’s written consent to the nomination and sufficient background information on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fewer than 60 days but not more than 90 days, prior to our Annual Meeting of Shareholders. The Nominating and Corporate Governance Committee may also make its own search for potential candidates that may include candidates identified by a variety of means as deemed appropriate by the Committee.</w:t>
      </w:r>
    </w:p>
    <w:p>
      <w:pPr>
        <w:spacing w:after="0" w:line="15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Nominating and Corporate Governance Committee has not established specific minimum age, education, years of business experience, or specific types of skills for potential candidates, but, in general, expects qualified candidates will have ample experience and a proven record of business success and leadership. The Committee requires that each member of our Board have the highest professional ethics, integrity, and values, and will consistently exercise sound and objective business judgment. In addition, it is anticipated that our Board, as a whole, will have individuals with significant, appropriate senior management and leadership experience, a comfort with technology, a long-term, strategic and global perspective, and the ability to advance constructive debate. It is important for our Board, as a whole, to operate in an atmosphere where the chemistry among the individuals is a key element.</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Upon receipt of a shareholder proposed candidate, the Chairman of the Nominating and Corporate Governance Committee assesses the Board’s needs, primarily whether there is a current or pending vacancy or a possible need to fulfill by adding or replacing a director, and then develops a director profile by comparing the current state of Board characteristics with the desired state and the candidate’s qualifications. The profile and the candidate’s submitted information are provided to the Chairman of the Board and Chief Executive Officer for discussion. Following this discussion, the profile and the candidate’s materials are forwarded to all Nominating and Corporate Governance Committee members, and consideration of the candidate is added as an agenda item for the next Committee meeting.</w:t>
      </w:r>
    </w:p>
    <w:p>
      <w:pPr>
        <w:spacing w:after="0" w:line="15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Similarly, if at any time the Nominating and Corporate Governance Committee or the Board determines there may be a need to add or replace a director, the Nominating and Corporate Governance Committee or the Board develops a director profile by comparing the current state of Board characteristics with the desired state. If no candidates are apparent from any source, the Committee will determine the appropriate method to conduct a search.</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has, to date, not paid any third party fees to assist in identifying and evaluating nominees. The Committee has not received any recommended nominations from any of our shareholders in connection with our Annual Meeting of Shareholders. The nominees that 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standing for election as directors at our 2009 Annual Meeting of Shareholders are incumbent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Generally, shareholders who have questions or concerns regarding our Company should contact our Investor Relations Department at 800-598-9663. However, any shareholder who wishes to address questions regarding the business or affairs of our Company directly with the Board, or any individual director, should direct his or her questions in writing to the Secretary of the Board at 2801 East Beltline NE, Grand Rapids, MI 49525. The Secretary has been directed to promptly forward all communications to the full Board or the specific director indicated in the letter.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Each director is expected to make a reasonable effort to attend all meetings of our Board, applicable committee meetings, and the Annual Meeting of Shareholders. All of our directors attended our Annual Meeting of Shareholders in 2008. During our last fiscal year, there were four regular meetings of the Board, and the Board took action by unanimous written consent on three occasions. Each director attended at least 90% of the meetings of the Board and meetings of committees they were eligible to attend. During fiscal 2008, the independent members of the Board met in executive session, without the presence of management, on three occasions.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TO APPROVE THE FIRST AMENDMENT TO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RESTATEMENT OF THE UNIVERSAL FOREST PRODUCTS,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1999 LONG TERM STOCK INCENTIVE PLAN</w:t>
      </w:r>
    </w:p>
    <w:p>
      <w:pPr>
        <w:spacing w:after="0" w:line="10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January 20, 1999, our Board of Directors adopted the Universal Forest Products, Inc. 1999 Long Term Stock Incentive Plan (the “Plan”). The Plan was subsequently approved by our shareholders on April 28, 1999. The term of the Plan currently expires on April 28, 2009. As of February 18, 2009, 1,925,635 shares remain available for issuance under the Plan.</w:t>
      </w:r>
    </w:p>
    <w:p>
      <w:pPr>
        <w:spacing w:after="0" w:line="7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January 22, 2009, our Board of Directors adopted the First Amendment to and Restatement of the Universal Forest Products, Inc. 1999 Long Term Stock Incentive Plan (the “Amendment and Restatement”), subject to approval by our shareholders. The purpose of the Amendment and Restatement is to extend the term of the Plan. If the Amendment and Restatement is approved by our shareholders, it will have the effect of extending the term of the Plan for an additional ten (10) years from the date of shareholder approval.</w:t>
      </w:r>
    </w:p>
    <w:p>
      <w:pPr>
        <w:spacing w:after="0" w:line="7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addition to extending the term of the Plan, the Amendment and Restatement changes the name of the Plan to the “Universal Forest Products, Inc. Long Term Stock Incentive Plan” to remove the reference to “1999.” The proposed Amendment and Restatement does not make any other substantive changes to the Plan.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following summary of the Plan and the proposed Amendment and Restatement is subject to the specific provisions contained in the complete text of the Plan and the complete text of the Amendment and Restatement, both of which are set forth in Appendix A to this Proxy Statement.</w:t>
      </w:r>
    </w:p>
    <w:p>
      <w:pPr>
        <w:spacing w:after="0" w:line="34" w:lineRule="exact"/>
        <w:rPr>
          <w:sz w:val="20"/>
          <w:szCs w:val="20"/>
          <w:color w:val="auto"/>
        </w:rPr>
      </w:pPr>
    </w:p>
    <w:p>
      <w:pPr>
        <w:ind w:right="560" w:firstLine="225"/>
        <w:spacing w:after="0" w:line="289" w:lineRule="auto"/>
        <w:rPr>
          <w:sz w:val="20"/>
          <w:szCs w:val="20"/>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the Plan is to promote the long-term success of our Company for the benefit of our shareholders through stock-based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by aligning the personal interests of our key employees with those of our shareholders. The Plan is designed to allow key employees to participate in our Company’s future, as well as to enable our Company to attract, retain, and reward such employees.</w:t>
      </w:r>
    </w:p>
    <w:p>
      <w:pPr>
        <w:spacing w:after="0" w:line="50" w:lineRule="exact"/>
        <w:rPr>
          <w:sz w:val="20"/>
          <w:szCs w:val="20"/>
          <w:color w:val="auto"/>
        </w:rPr>
      </w:pPr>
    </w:p>
    <w:p>
      <w:pPr>
        <w:ind w:right="80" w:firstLine="225"/>
        <w:spacing w:after="0" w:line="298" w:lineRule="auto"/>
        <w:rPr>
          <w:sz w:val="20"/>
          <w:szCs w:val="20"/>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will continue to be administered by the Personnel and Compensation Committee of our Board of Directors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composed of two or more “Non-employee Directors” within the meaning of Rule 16b-3 of the General Rules and Regulations under the Securities Exchange Act of 1934, as amended. Subject to our Articles of Incorporation, Bylaws, and the provisions of the Plan, the Committee has the authority to select key employees to whom Awards may be awarded; the type of Awards (or combination thereof) to be granted; the number of shares of Common Stock to be covered by each Award; and the terms and conditions of any Award, such as conditions of forfeiture, transfer restrictions, and vesting requirements.</w:t>
      </w:r>
    </w:p>
    <w:p>
      <w:pPr>
        <w:spacing w:after="0" w:line="5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Plan provides for the granting of a variety of stock-based Awards, described in more detail below, such as Options, including Incentive Stock Options, as defined in Section 422 of the Internal Revenue Code of 1986, as amended (the “Code”), Stock Appreciation Rights, Restricted Stock, Performance Shares, and Other Stock-Based Awards.</w:t>
      </w:r>
    </w:p>
    <w:p>
      <w:pPr>
        <w:spacing w:after="0" w:line="7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term of the Plan currently expires on April 28, 2009, such that no Awards may be granted under the Plan after that date. The primary purpose of the proposed Amendment and Restatement is to extend the term of the Plan for an additional ten (10) years.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Types of Awards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types of Awards may be granted under the Plan:</w:t>
      </w:r>
    </w:p>
    <w:p>
      <w:pPr>
        <w:spacing w:after="0" w:line="121" w:lineRule="exact"/>
        <w:rPr>
          <w:sz w:val="20"/>
          <w:szCs w:val="20"/>
          <w:color w:val="auto"/>
        </w:rPr>
      </w:pPr>
    </w:p>
    <w:p>
      <w:pPr>
        <w:ind w:firstLine="215"/>
        <w:spacing w:after="0" w:line="254" w:lineRule="auto"/>
        <w:rPr>
          <w:sz w:val="20"/>
          <w:szCs w:val="20"/>
          <w:color w:val="auto"/>
        </w:rPr>
      </w:pPr>
      <w:r>
        <w:rPr>
          <w:rFonts w:ascii="Arial" w:cs="Arial" w:eastAsia="Arial" w:hAnsi="Arial"/>
          <w:sz w:val="18"/>
          <w:szCs w:val="18"/>
          <w:color w:val="auto"/>
        </w:rPr>
        <w:t>An “Option” is a contractual right to purchase a number of shares at a price determined at the date the Option is granted. Options include Incentive Stock Options, as defined in Section 422 of the Code, as well as Nonqualified Stock Options. The exercise price included in both Incentive Stock Options and Nonqualified Stock Options must equal at least 100% of the fair market value of the stock at the date of grant. Awards of certain Options may also include Reload Options. A Reload Option is an Option to purchase shares equal to the number of shares of Common Stock delivered in payment of the exercise price (including, in the discretion of the Committee, the number of shares tendered to our Company to satisfy any withholding tax liability arising upon exercise) and is deemed to be granted upon such delivery without further action by the Committee. A Reload Option is subject to the same terms of the original Option, including the term thereof; however, the exercise price of the Reload Option must equal the fair market value of our Common Stock on the date of grant of the Reload Option.</w:t>
      </w:r>
    </w:p>
    <w:p>
      <w:pPr>
        <w:spacing w:after="0" w:line="84"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 “Stock Appreciation Right” is an Award of the right to receive stock or cash of an equivalent value in an amount equal to the difference between the price specified in the Stock Appreciation Right and the prevailing market price of our Common Stock at the time of exercise. Stock Appreciation Rights may be granted only in tandem with Options.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“Restricted Stock” are shares of Common Stock granted to an employee for no or nominal consideration. Title to the shares passes to the employee at the time of the grant; however, the ability to sell or otherwise dispose of the shares is subject to restrictions and conditions determined by the Committee.</w:t>
      </w:r>
    </w:p>
    <w:p>
      <w:pPr>
        <w:spacing w:after="0" w:line="16"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“Performance Shares” are an Award of the right to receive stock or cash of an equivalent value at the end of the specified performance period upon the attainment of specified performance goals.</w:t>
      </w:r>
    </w:p>
    <w:p>
      <w:pPr>
        <w:spacing w:after="0" w:line="62"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An “Other Stock-Based Award” is any other Award that may be granted under the Plan that is valued in whole or in part by reference to or is payable in or otherwise based on Common Stock.</w:t>
      </w:r>
    </w:p>
    <w:p>
      <w:pPr>
        <w:spacing w:after="0" w:line="58"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color w:val="auto"/>
        </w:rPr>
        <w:t>. One million four hundred six thousand twenty nine (1,406,029) shares of Common Stock, no par value, were reserved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on April 28, 1999. As noted above, 1,925,635 shares remain available for issuance under the Plan. The closing sale price of our Common Stock as quoted in the Nasdaq Global Select Market on February 18, 2009, was $24.83 per share.</w:t>
      </w:r>
    </w:p>
    <w:p>
      <w:pPr>
        <w:spacing w:after="0" w:line="72"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shares to be offered under the Plan are authorized and unissued shares, including shares reacquired by our Company which have that status. The number of shares that may be issued under the Plan and the number of shares subject to Options are subject to adjustments in the event of a merger, reorganization, consolidation, recapitalization, dividend (other than ordinary cash dividends), stock splits, or other change in corporate structure affecting the Common Stock. In addition, the number of shares that may be issued under the Plan is subject to an annual increase of no more than two hundred thousand (200,000) shares. Subject to certain restrictions, expired, forfeited, and cancelled Awards, and shares surrendered or withheld in payment for exercising Options may be reissued under the Plan.</w:t>
      </w:r>
    </w:p>
    <w:p>
      <w:pPr>
        <w:spacing w:after="0" w:line="81" w:lineRule="exact"/>
        <w:rPr>
          <w:sz w:val="20"/>
          <w:szCs w:val="20"/>
          <w:color w:val="auto"/>
        </w:rPr>
      </w:pPr>
    </w:p>
    <w:p>
      <w:pPr>
        <w:ind w:right="160" w:firstLine="225"/>
        <w:spacing w:after="0" w:line="303" w:lineRule="auto"/>
        <w:rPr>
          <w:sz w:val="20"/>
          <w:szCs w:val="20"/>
          <w:color w:val="auto"/>
        </w:rPr>
      </w:pPr>
      <w:r>
        <w:rPr>
          <w:rFonts w:ascii="Arial" w:cs="Arial" w:eastAsia="Arial" w:hAnsi="Arial"/>
          <w:sz w:val="16"/>
          <w:szCs w:val="16"/>
          <w:b w:val="1"/>
          <w:bCs w:val="1"/>
          <w:u w:val="single" w:color="auto"/>
          <w:color w:val="auto"/>
        </w:rPr>
        <w:t>Termination or Amendment of the Plan</w:t>
      </w:r>
      <w:r>
        <w:rPr>
          <w:rFonts w:ascii="Arial" w:cs="Arial" w:eastAsia="Arial" w:hAnsi="Arial"/>
          <w:sz w:val="16"/>
          <w:szCs w:val="16"/>
          <w:color w:val="auto"/>
        </w:rPr>
        <w:t>. Our Board may at any time amend, discontinue, or terminate the Plan or any part thereof; however,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required by law, after shareholder approval, the rights of a participant may not be impaired without the consent of such participant. In addition, without the approval of our shareholders, no amendment may be made which would increase the aggregate number of shares of Common Stock that may be issued under the Plan or decrease the Option price of any Option to less than 100% of the fair market value on the date of grant.</w:t>
      </w:r>
    </w:p>
    <w:p>
      <w:pPr>
        <w:spacing w:after="0" w:line="43"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color w:val="auto"/>
        </w:rPr>
        <w:t>. Key employees of our Company and its subsidiaries are eligible to be granted Awards under the Plan. Eligibility is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present, approximately 947 current and former employees and directors have been granted Awards or are otherwise participating in the Plan. It is not possible to predict the number or identity of future participants or, except as set forth in the Plan, to describe the restrictions that may be included in Award agreements. The Plan provides that no more than 25% of the total shares subject to issuance under the Plan may be awarded to any one employee.</w:t>
      </w:r>
    </w:p>
    <w:p>
      <w:pPr>
        <w:spacing w:after="0" w:line="43" w:lineRule="exact"/>
        <w:rPr>
          <w:sz w:val="20"/>
          <w:szCs w:val="20"/>
          <w:color w:val="auto"/>
        </w:rPr>
      </w:pPr>
    </w:p>
    <w:p>
      <w:pPr>
        <w:ind w:right="320" w:firstLine="225"/>
        <w:spacing w:after="0" w:line="313" w:lineRule="auto"/>
        <w:rPr>
          <w:sz w:val="20"/>
          <w:szCs w:val="20"/>
          <w:color w:val="auto"/>
        </w:rPr>
      </w:pPr>
      <w:r>
        <w:rPr>
          <w:rFonts w:ascii="Arial" w:cs="Arial" w:eastAsia="Arial" w:hAnsi="Arial"/>
          <w:sz w:val="17"/>
          <w:szCs w:val="17"/>
          <w:b w:val="1"/>
          <w:bCs w:val="1"/>
          <w:u w:val="single" w:color="auto"/>
          <w:color w:val="auto"/>
        </w:rPr>
        <w:t>Participation and Assignability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nor any Award agreement granted under the Plan, entitles any participant or other employee to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continued employment by our Company or any subsidiary. Generally, no Award or other benefit payable under the Plan may,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except as otherwise specifically provided by law, be subject in any manner to assignment, transfer, or encumbrance. However, Nonqualified Stock Options may be transferred without consideration to (i) an immediate family member of the optionee, (ii) a trust for the benefit of an immediate family member of the optionee, or (iii) a partnership or a limited liability company whose only partners or members are immediate family members, if the Option holder satisfies certain conditions as may be required by the Committee.</w:t>
      </w:r>
    </w:p>
    <w:p>
      <w:pPr>
        <w:spacing w:after="0" w:line="7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7"/>
          <w:szCs w:val="17"/>
          <w:b w:val="1"/>
          <w:bCs w:val="1"/>
          <w:u w:val="single" w:color="auto"/>
          <w:color w:val="auto"/>
        </w:rPr>
        <w:t>Federal Tax Consequences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U.S. federal income tax consequences to our Company and to Plan participants are complex and subject to change.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summarizes the general consequences of the grant and acquisition of Awards under the Plan for federal income tax purposes, based on management’s understanding of existing federal income tax laws. This summary is necessarily general in nature and does not purport to be complete. Also, state and local income tax consequences are not discussed and may vary from locality to locality. Participants under the Plan should consult their own tax advisors since a participant’s particular situation may be such that some variation of the rules described below will apply.</w:t>
      </w:r>
    </w:p>
    <w:p>
      <w:pPr>
        <w:spacing w:after="0" w:line="64"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participants will not recognize taxable income at the time an Option is granted under the Plan unless the Option has a readily ascertainable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value at the time of grant. Management understands that Options to be granted under the Plan will not have a readily ascertainable market value;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our Company will be entitled to a deduction equal to the amount of the optionee’s ordinary income. With respect to Incentive Stock Options, participants will not realize income for federal income tax purposes as a result of the exercise of such Options. In addition, if Common Stock acquired as a result of the exercise of an Incentive Stock Option is disposed of more than two years after the date the Option is granted and more than one year after the date the Option was exercised, the entire gain, if any, realized upon disposition of such Common Stock will be treated for federal income tax purposes as capital gain. Under these circumstances, no deduction will be allowable to our Company in connection with either the grant or exercise of an Incentive Stock Option. Exceptions to the general rules apply in the case of a “disqualifying disposition.”</w:t>
      </w:r>
    </w:p>
    <w:p>
      <w:pPr>
        <w:spacing w:after="0" w:line="61"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If a participant disposes of shares of Common Stock acquired pursuant to the exercise of an Incentive Stock Option before the expiration of one year after the date of exercise or two years after the date of grant, the sale of such stock will be treated as a “disqualifying disposition.” As a result, such a participant would recognize ordinary income and our Company would be entitled to a deduction in the year in which such disposition occurred. The amount of the deduction and the ordinary income recognized upon a disqualifying disposition would generally be equal to the lesser of: (a) the sale price of the shares sold minus the Option price, and (b) the fair market value of the shares at the time of exercise minus the Option price. If the disposition is to a related party (such as a spouse, brother, sister, lineal descendant, or certain trusts or business entities in which the seller holds a direct or indirect interest), the ordinary income recognized generally is equal to the excess of the fair market value of the shares at the time of exercise over the exercise price. Any additional gain recognized upon disposition, in excess of the ordinary income, will be taxable as capital gain.</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exercise of Incentive Stock Options may result in an alternative minimum tax liability.</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Reload Stock Options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will recognize no income on the grant of any Reload Option. The tax consequences to the participant and our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same as that for a Stock Option.</w:t>
      </w:r>
    </w:p>
    <w:p>
      <w:pPr>
        <w:spacing w:after="0" w:line="6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b w:val="1"/>
          <w:bCs w:val="1"/>
          <w:i w:val="1"/>
          <w:iCs w:val="1"/>
          <w:color w:val="auto"/>
        </w:rPr>
        <w:t>Stock Appreciation Rights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grant of a Stock Appreciation Right, the participant will realize no taxable income and our Company will receive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deduction. A participant will realize income at the time of exercise if the Award becomes vested and is no longer subject to forfeiture and the participant is entitled to receive the value of the Award. Our Company will receive a deduction of an equal amount in the same year the participant recognizes income.</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Recipients of shares of Restricted Stock that are not “transferable” and are subject to “substantial risks of forfeiture” at the time of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subject to federal income taxes until the lapse or release of the restrictions or sale of the shares, unless the recipient files a specified election under the Code to be taxed at the time of grant. The recipient’s income and our Company’s deduction will be equal to the excess of the then fair market value (or sale price) of the shares less any purchase price.</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b w:val="1"/>
          <w:bCs w:val="1"/>
          <w:i w:val="1"/>
          <w:iCs w:val="1"/>
          <w:color w:val="auto"/>
        </w:rPr>
        <w:t>Performance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are not taxed upon the grant of Performance Shares. Upon receipt of the underlying shares or cash, a participant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taxed at ordinary income tax rates (subject to withholding) on the amount of cash received and/or the current fair market value of stock received, and our Company will be entitled to a corresponding deduction. The participant’s basis in any Performance Shares received will be equal to the amount of ordinary income on which he or she was taxed and, upon subsequent disposition, any gain or loss will be capital gain or loss.</w:t>
      </w:r>
    </w:p>
    <w:p>
      <w:pPr>
        <w:spacing w:after="0" w:line="59"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u w:val="single" w:color="auto"/>
          <w:color w:val="auto"/>
        </w:rPr>
        <w:t>Required Vote for Approval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affirmative vote of a majority of our Common Stock voted at the Annual Meeting, by person or by proxy,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the proposed Amendment and Restatement. While broker nonvotes will not be treated as votes cast for this purpose, shares voted as abstentions will be counted as votes cast. Since a majority of the votes cast is required for approval, the sum of any negative votes and abstentions will necessitate offsetting affirmative votes to assure approval. Unless otherwise directed by marking the accompanying proxy, the proxy holders named therein will vote for the approval of the Amendment and Restatement.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the approval of the proposed Amendment and Restatement.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ERNST &amp; YOUNG LLP AS INDEPENDENT PUBLIC ACCOUNTANTS FOR FISCAL 2009</w:t>
      </w:r>
    </w:p>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Audit Committee has selected Ernst &amp; Young LLP (“E&amp;Y”) as our independent public accountants for the fiscal year ending December 27, 2009. The services provided to the Company and our shareholders by E&amp;Y for 2008 are described below under the caption “Independent Public Accountants - - Disclosure of Fees.”</w:t>
      </w:r>
    </w:p>
    <w:p>
      <w:pPr>
        <w:spacing w:after="0" w:line="14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are asking our shareholders to ratify the selection of E&amp;Y as our independent public accountants. Although ratification is not legally required, the Board is submitting the selection of E&amp;Y to our shareholders for ratification as a matter of good corporate governance. Representatives of E&amp;Y are expected to be present at the Annual Meeting of Shareholders to respond to appropriate questions and to make such statements as they may desire.</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affirmative vote of the holders of the majority of the shares represented in person or by proxy and entitled to vote on this item will be required for approval. All broker non-votes will not be treated as votes cast in this matter; shares voted as abstentions will be counted as votes cast and therefore will have the effect of a negative vote.</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our shareholders do not ratify the appointment, the appointment will be reconsidered by the Audit Committee and the Board. Even if the selection is ratified, the Audit Committee, in its discretion, may select a different registered public accounting firm at any time during the year if it determines that such a change would be in the best interest of the Company and our shareholders.</w:t>
      </w:r>
    </w:p>
    <w:p>
      <w:pPr>
        <w:spacing w:after="0" w:line="1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a vote for this proposal to ratify the appointment of E&amp;Y as the Company’s independent public accountants for fiscal 2009.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 — DISCLOSURE OF FEES</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E&amp;Y served as our independent public accountants for the fiscal years ended December 29, 2007 and December 27, 2008. The following sets forth the fees we paid to E&amp;Y for the last two fiscal years, all of which were pre-approved by the Audit Committee.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$ 419,000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$ 479,300</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Audit Related Fees</w:t>
            </w:r>
            <w:r>
              <w:rPr>
                <w:rFonts w:ascii="Arial" w:cs="Arial" w:eastAsia="Arial" w:hAnsi="Arial"/>
                <w:sz w:val="15"/>
                <w:szCs w:val="15"/>
                <w:color w:val="auto"/>
              </w:rPr>
              <w:t>(1)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307,732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368,603</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All Other Fees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$ 741,732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$ 863,903</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primarily of financial statement audits of employee benefit plans.</w:t>
      </w:r>
    </w:p>
    <w:p>
      <w:pPr>
        <w:spacing w:after="0" w:line="76" w:lineRule="exact"/>
        <w:rPr>
          <w:rFonts w:ascii="Arial" w:cs="Arial" w:eastAsia="Arial" w:hAnsi="Arial"/>
          <w:sz w:val="18"/>
          <w:szCs w:val="18"/>
          <w:color w:val="auto"/>
        </w:rPr>
      </w:pPr>
    </w:p>
    <w:p>
      <w:pPr>
        <w:ind w:left="460" w:right="40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primarily of U.S. federal, state and local tax consulting and compliance advice along with tax advice and assistance regarding statutory, regulatory, or administrative developments in the United States, Canada, or Mexico, including a federal research and development tax credit study.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color w:val="auto"/>
        </w:rPr>
        <w:t>. The Audit Committee has established a pre-approval policy, and procedures for audit, audit-related, and tax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can be performed by our independent public accountants.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E&amp;Y for services which are proscribed by rules of the Securities and Exchange Commission. In addition, the policy requires disclosure of non-audit services performed by our auditors. The pre-approval policy does not include a delegation of the Audit Committee’s responsibilities and authority under the policy.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COMMON STOCK</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information as to each shareholder known to have been the beneficial owner of more than five percent (5%) of our outstanding shares of common stock as of December 31,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20"/>
                <w:szCs w:val="20"/>
                <w:color w:val="auto"/>
              </w:rPr>
            </w:pPr>
            <w:r>
              <w:rPr>
                <w:rFonts w:ascii="Arial" w:cs="Arial" w:eastAsia="Arial" w:hAnsi="Arial"/>
                <w:sz w:val="14"/>
                <w:szCs w:val="14"/>
                <w:b w:val="1"/>
                <w:bCs w:val="1"/>
                <w:color w:val="auto"/>
              </w:rPr>
              <w:t>Name and Address of</w:t>
            </w:r>
          </w:p>
        </w:tc>
        <w:tc>
          <w:tcPr>
            <w:tcW w:w="2540" w:type="dxa"/>
            <w:vAlign w:val="bottom"/>
          </w:tcPr>
          <w:p>
            <w:pPr>
              <w:ind w:left="480"/>
              <w:spacing w:after="0"/>
              <w:rPr>
                <w:sz w:val="20"/>
                <w:szCs w:val="20"/>
                <w:color w:val="auto"/>
              </w:rPr>
            </w:pPr>
            <w:r>
              <w:rPr>
                <w:rFonts w:ascii="Arial" w:cs="Arial" w:eastAsia="Arial" w:hAnsi="Arial"/>
                <w:sz w:val="14"/>
                <w:szCs w:val="14"/>
                <w:b w:val="1"/>
                <w:bCs w:val="1"/>
                <w:color w:val="auto"/>
              </w:rPr>
              <w:t>Amount and Nature of</w:t>
            </w:r>
          </w:p>
        </w:tc>
        <w:tc>
          <w:tcPr>
            <w:tcW w:w="1460" w:type="dxa"/>
            <w:vAlign w:val="bottom"/>
          </w:tcPr>
          <w:p>
            <w:pPr>
              <w:ind w:left="460"/>
              <w:spacing w:after="0"/>
              <w:rPr>
                <w:sz w:val="20"/>
                <w:szCs w:val="20"/>
                <w:color w:val="auto"/>
              </w:rPr>
            </w:pPr>
            <w:r>
              <w:rPr>
                <w:rFonts w:ascii="Arial" w:cs="Arial" w:eastAsia="Arial" w:hAnsi="Arial"/>
                <w:sz w:val="14"/>
                <w:szCs w:val="14"/>
                <w:b w:val="1"/>
                <w:bCs w:val="1"/>
                <w:color w:val="auto"/>
              </w:rPr>
              <w:t>Percent</w:t>
            </w:r>
          </w:p>
        </w:tc>
      </w:tr>
      <w:tr>
        <w:trPr>
          <w:trHeight w:val="171"/>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25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Beneficial Ownership (1)</w:t>
            </w: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of Class (2)</w:t>
            </w:r>
          </w:p>
        </w:tc>
      </w:tr>
      <w:tr>
        <w:trPr>
          <w:trHeight w:val="223"/>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25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2,378,190(3)</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12.4%</w:t>
            </w: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 E. Pratt Street</w:t>
            </w:r>
          </w:p>
        </w:tc>
        <w:tc>
          <w:tcPr>
            <w:tcW w:w="2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Baltimore, MD 21202</w:t>
            </w: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rPr>
              <w:t>Franklin Resources, Inc.</w:t>
            </w:r>
          </w:p>
        </w:tc>
        <w:tc>
          <w:tcPr>
            <w:tcW w:w="2540" w:type="dxa"/>
            <w:vAlign w:val="bottom"/>
          </w:tcPr>
          <w:p>
            <w:pPr>
              <w:jc w:val="right"/>
              <w:ind w:right="376"/>
              <w:spacing w:after="0" w:line="201" w:lineRule="exact"/>
              <w:rPr>
                <w:sz w:val="20"/>
                <w:szCs w:val="20"/>
                <w:color w:val="auto"/>
              </w:rPr>
            </w:pPr>
            <w:r>
              <w:rPr>
                <w:rFonts w:ascii="Arial" w:cs="Arial" w:eastAsia="Arial" w:hAnsi="Arial"/>
                <w:sz w:val="18"/>
                <w:szCs w:val="18"/>
                <w:color w:val="auto"/>
              </w:rPr>
              <w:t>1,986,700(4)</w:t>
            </w:r>
          </w:p>
        </w:tc>
        <w:tc>
          <w:tcPr>
            <w:tcW w:w="1460" w:type="dxa"/>
            <w:vAlign w:val="bottom"/>
          </w:tcPr>
          <w:p>
            <w:pPr>
              <w:jc w:val="right"/>
              <w:ind w:right="96"/>
              <w:spacing w:after="0" w:line="201" w:lineRule="exact"/>
              <w:rPr>
                <w:sz w:val="20"/>
                <w:szCs w:val="20"/>
                <w:color w:val="auto"/>
              </w:rPr>
            </w:pPr>
            <w:r>
              <w:rPr>
                <w:rFonts w:ascii="Arial" w:cs="Arial" w:eastAsia="Arial" w:hAnsi="Arial"/>
                <w:sz w:val="18"/>
                <w:szCs w:val="18"/>
                <w:color w:val="auto"/>
              </w:rPr>
              <w:t>10.4%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One Franklin Parkway</w:t>
            </w: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San Mateo, CA 94403</w:t>
            </w: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25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1,310,731(5)</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w:t>
            </w: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Palisades West, Building One</w:t>
            </w:r>
          </w:p>
        </w:tc>
        <w:tc>
          <w:tcPr>
            <w:tcW w:w="2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6300 Bee Cave Road</w:t>
            </w:r>
          </w:p>
        </w:tc>
        <w:tc>
          <w:tcPr>
            <w:tcW w:w="2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rPr>
              <w:t>Barclays Global Investors, NA</w:t>
            </w:r>
          </w:p>
        </w:tc>
        <w:tc>
          <w:tcPr>
            <w:tcW w:w="2540" w:type="dxa"/>
            <w:vAlign w:val="bottom"/>
          </w:tcPr>
          <w:p>
            <w:pPr>
              <w:jc w:val="right"/>
              <w:ind w:right="376"/>
              <w:spacing w:after="0" w:line="201" w:lineRule="exact"/>
              <w:rPr>
                <w:sz w:val="20"/>
                <w:szCs w:val="20"/>
                <w:color w:val="auto"/>
              </w:rPr>
            </w:pPr>
            <w:r>
              <w:rPr>
                <w:rFonts w:ascii="Arial" w:cs="Arial" w:eastAsia="Arial" w:hAnsi="Arial"/>
                <w:sz w:val="18"/>
                <w:szCs w:val="18"/>
                <w:color w:val="auto"/>
              </w:rPr>
              <w:t>1,185,426(6)</w:t>
            </w:r>
          </w:p>
        </w:tc>
        <w:tc>
          <w:tcPr>
            <w:tcW w:w="1460" w:type="dxa"/>
            <w:vAlign w:val="bottom"/>
          </w:tcPr>
          <w:p>
            <w:pPr>
              <w:jc w:val="right"/>
              <w:ind w:right="96"/>
              <w:spacing w:after="0" w:line="201" w:lineRule="exact"/>
              <w:rPr>
                <w:sz w:val="20"/>
                <w:szCs w:val="20"/>
                <w:color w:val="auto"/>
              </w:rPr>
            </w:pPr>
            <w:r>
              <w:rPr>
                <w:rFonts w:ascii="Arial" w:cs="Arial" w:eastAsia="Arial" w:hAnsi="Arial"/>
                <w:sz w:val="18"/>
                <w:szCs w:val="18"/>
                <w:color w:val="auto"/>
              </w:rPr>
              <w:t>6.2%</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400 Howard Street</w:t>
            </w: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San Francisco, CA 94105</w:t>
            </w: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88" w:lineRule="exact"/>
        <w:rPr>
          <w:rFonts w:ascii="Arial" w:cs="Arial" w:eastAsia="Arial" w:hAnsi="Arial"/>
          <w:sz w:val="17"/>
          <w:szCs w:val="17"/>
          <w:color w:val="auto"/>
        </w:rPr>
      </w:pPr>
    </w:p>
    <w:p>
      <w:pPr>
        <w:ind w:left="460" w:right="1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outstanding for this calculation include 321,047 shares which are subject to options exercisable in 60 days, and 44,155 shares which are subject to issuance under our Director Retainer Stock Plan.</w:t>
      </w:r>
    </w:p>
    <w:p>
      <w:pPr>
        <w:spacing w:after="0" w:line="21"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securities are owned by various individuals and institutional investors for which T. Rowe Price Associates, Inc. (“Price Associates”) serves as investment advisor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 (as noted on the Schedule 13G it filed with the SEC on February 12,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Franklin Resources, Inc., either directly or through affiliated companies, beneficially owned this number of shares, as noted on the Schedule 13G it filed with the SEC on February 9, 2009.</w:t>
      </w:r>
    </w:p>
    <w:p>
      <w:pPr>
        <w:spacing w:after="0" w:line="21"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9, 2009. Dimensional expressly disclaims beneficial ownership of such securities.</w:t>
      </w:r>
    </w:p>
    <w:p>
      <w:pPr>
        <w:spacing w:after="0" w:line="39"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Barclays, either directly or through affiliated companies, beneficially owned this number of shares, as noted on the Schedule 13G it filed with the SEC on February 5, 2009.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OWNERSHIP OF MANAGEMENT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contains information with respect to ownership of our common stock by all directors, nominees for election as director, the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December 27,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Name of</w:t>
            </w:r>
          </w:p>
        </w:tc>
        <w:tc>
          <w:tcPr>
            <w:tcW w:w="4040" w:type="dxa"/>
            <w:vAlign w:val="bottom"/>
          </w:tcPr>
          <w:p>
            <w:pPr>
              <w:ind w:left="1860"/>
              <w:spacing w:after="0"/>
              <w:rPr>
                <w:sz w:val="20"/>
                <w:szCs w:val="20"/>
                <w:color w:val="auto"/>
              </w:rPr>
            </w:pPr>
            <w:r>
              <w:rPr>
                <w:rFonts w:ascii="Arial" w:cs="Arial" w:eastAsia="Arial" w:hAnsi="Arial"/>
                <w:sz w:val="14"/>
                <w:szCs w:val="14"/>
                <w:b w:val="1"/>
                <w:bCs w:val="1"/>
                <w:color w:val="auto"/>
              </w:rPr>
              <w:t>Amount and Nature of</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Beneficial Owner</w:t>
            </w:r>
          </w:p>
        </w:tc>
        <w:tc>
          <w:tcPr>
            <w:tcW w:w="4040" w:type="dxa"/>
            <w:vAlign w:val="bottom"/>
          </w:tcPr>
          <w:p>
            <w:pPr>
              <w:ind w:left="1860"/>
              <w:spacing w:after="0"/>
              <w:rPr>
                <w:sz w:val="20"/>
                <w:szCs w:val="20"/>
                <w:color w:val="auto"/>
              </w:rPr>
            </w:pPr>
            <w:r>
              <w:rPr>
                <w:rFonts w:ascii="Arial" w:cs="Arial" w:eastAsia="Arial" w:hAnsi="Arial"/>
                <w:sz w:val="14"/>
                <w:szCs w:val="14"/>
                <w:b w:val="1"/>
                <w:bCs w:val="1"/>
                <w:color w:val="auto"/>
              </w:rPr>
              <w:t>Beneficial Ownership (1)</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of Class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F. Secchia</w:t>
            </w:r>
          </w:p>
        </w:tc>
        <w:tc>
          <w:tcPr>
            <w:tcW w:w="40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713,185(3)</w:t>
            </w:r>
          </w:p>
        </w:tc>
        <w:tc>
          <w:tcPr>
            <w:tcW w:w="12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William G. Currie</w:t>
            </w:r>
          </w:p>
        </w:tc>
        <w:tc>
          <w:tcPr>
            <w:tcW w:w="4040" w:type="dxa"/>
            <w:vAlign w:val="bottom"/>
          </w:tcPr>
          <w:p>
            <w:pPr>
              <w:jc w:val="right"/>
              <w:ind w:right="292"/>
              <w:spacing w:after="0"/>
              <w:rPr>
                <w:sz w:val="20"/>
                <w:szCs w:val="20"/>
                <w:color w:val="auto"/>
              </w:rPr>
            </w:pPr>
            <w:r>
              <w:rPr>
                <w:rFonts w:ascii="Arial" w:cs="Arial" w:eastAsia="Arial" w:hAnsi="Arial"/>
                <w:sz w:val="18"/>
                <w:szCs w:val="18"/>
                <w:color w:val="auto"/>
              </w:rPr>
              <w:t>399,795(4)(5)</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4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240,542(4)(5)</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 Scott Greene</w:t>
            </w:r>
          </w:p>
        </w:tc>
        <w:tc>
          <w:tcPr>
            <w:tcW w:w="4040" w:type="dxa"/>
            <w:vAlign w:val="bottom"/>
          </w:tcPr>
          <w:p>
            <w:pPr>
              <w:jc w:val="right"/>
              <w:ind w:right="292"/>
              <w:spacing w:after="0"/>
              <w:rPr>
                <w:sz w:val="20"/>
                <w:szCs w:val="20"/>
                <w:color w:val="auto"/>
              </w:rPr>
            </w:pPr>
            <w:r>
              <w:rPr>
                <w:rFonts w:ascii="Arial" w:cs="Arial" w:eastAsia="Arial" w:hAnsi="Arial"/>
                <w:sz w:val="18"/>
                <w:szCs w:val="18"/>
                <w:color w:val="auto"/>
              </w:rPr>
              <w:t>80,734(4)(5)</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John W. Garside</w:t>
            </w:r>
          </w:p>
        </w:tc>
        <w:tc>
          <w:tcPr>
            <w:tcW w:w="40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47,424(6)</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Patrick M. Webster</w:t>
            </w:r>
          </w:p>
        </w:tc>
        <w:tc>
          <w:tcPr>
            <w:tcW w:w="4040" w:type="dxa"/>
            <w:vAlign w:val="bottom"/>
          </w:tcPr>
          <w:p>
            <w:pPr>
              <w:jc w:val="right"/>
              <w:ind w:right="292"/>
              <w:spacing w:after="0"/>
              <w:rPr>
                <w:sz w:val="20"/>
                <w:szCs w:val="20"/>
                <w:color w:val="auto"/>
              </w:rPr>
            </w:pPr>
            <w:r>
              <w:rPr>
                <w:rFonts w:ascii="Arial" w:cs="Arial" w:eastAsia="Arial" w:hAnsi="Arial"/>
                <w:sz w:val="18"/>
                <w:szCs w:val="18"/>
                <w:color w:val="auto"/>
              </w:rPr>
              <w:t>45,309(4)(5)</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4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35,905(4)(5)</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Louis A. Smith</w:t>
            </w:r>
          </w:p>
        </w:tc>
        <w:tc>
          <w:tcPr>
            <w:tcW w:w="4040" w:type="dxa"/>
            <w:vAlign w:val="bottom"/>
          </w:tcPr>
          <w:p>
            <w:pPr>
              <w:jc w:val="right"/>
              <w:ind w:right="492"/>
              <w:spacing w:after="0"/>
              <w:rPr>
                <w:sz w:val="20"/>
                <w:szCs w:val="20"/>
                <w:color w:val="auto"/>
              </w:rPr>
            </w:pPr>
            <w:r>
              <w:rPr>
                <w:rFonts w:ascii="Arial" w:cs="Arial" w:eastAsia="Arial" w:hAnsi="Arial"/>
                <w:sz w:val="18"/>
                <w:szCs w:val="18"/>
                <w:color w:val="auto"/>
              </w:rPr>
              <w:t>31,844(6)</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Gary F. Goode</w:t>
            </w:r>
          </w:p>
        </w:tc>
        <w:tc>
          <w:tcPr>
            <w:tcW w:w="40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10,883(6)</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Dan M. Dutton</w:t>
            </w:r>
          </w:p>
        </w:tc>
        <w:tc>
          <w:tcPr>
            <w:tcW w:w="4040" w:type="dxa"/>
            <w:vAlign w:val="bottom"/>
          </w:tcPr>
          <w:p>
            <w:pPr>
              <w:jc w:val="right"/>
              <w:ind w:right="492"/>
              <w:spacing w:after="0"/>
              <w:rPr>
                <w:sz w:val="20"/>
                <w:szCs w:val="20"/>
                <w:color w:val="auto"/>
              </w:rPr>
            </w:pPr>
            <w:r>
              <w:rPr>
                <w:rFonts w:ascii="Arial" w:cs="Arial" w:eastAsia="Arial" w:hAnsi="Arial"/>
                <w:sz w:val="18"/>
                <w:szCs w:val="18"/>
                <w:color w:val="auto"/>
              </w:rPr>
              <w:t>7,969(6)</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Mark A. Murray</w:t>
            </w:r>
          </w:p>
        </w:tc>
        <w:tc>
          <w:tcPr>
            <w:tcW w:w="40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6,985(6)</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John M. Engler</w:t>
            </w:r>
          </w:p>
        </w:tc>
        <w:tc>
          <w:tcPr>
            <w:tcW w:w="4040" w:type="dxa"/>
            <w:vAlign w:val="bottom"/>
          </w:tcPr>
          <w:p>
            <w:pPr>
              <w:jc w:val="right"/>
              <w:ind w:right="712"/>
              <w:spacing w:after="0"/>
              <w:rPr>
                <w:sz w:val="20"/>
                <w:szCs w:val="20"/>
                <w:color w:val="auto"/>
              </w:rPr>
            </w:pPr>
            <w:r>
              <w:rPr>
                <w:rFonts w:ascii="Arial" w:cs="Arial" w:eastAsia="Arial" w:hAnsi="Arial"/>
                <w:sz w:val="18"/>
                <w:szCs w:val="18"/>
                <w:color w:val="auto"/>
              </w:rPr>
              <w:t>1,800</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w:t>
            </w:r>
          </w:p>
        </w:tc>
        <w:tc>
          <w:tcPr>
            <w:tcW w:w="40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1,883,612(6)</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has sole voting and investment power with respect to the shares indicated.</w:t>
      </w:r>
    </w:p>
    <w:p>
      <w:pPr>
        <w:spacing w:after="0" w:line="88" w:lineRule="exact"/>
        <w:rPr>
          <w:rFonts w:ascii="Arial" w:cs="Arial" w:eastAsia="Arial" w:hAnsi="Arial"/>
          <w:sz w:val="17"/>
          <w:szCs w:val="17"/>
          <w:color w:val="auto"/>
        </w:rPr>
      </w:pPr>
    </w:p>
    <w:p>
      <w:pPr>
        <w:ind w:left="460" w:right="1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outstanding for this calculation include 321,047 shares which are subject to options exercisable in 60 days, and 44,155 shares which are subject to issuance under our Director Retainer Stock Plan.</w:t>
      </w:r>
    </w:p>
    <w:p>
      <w:pPr>
        <w:spacing w:after="0" w:line="21" w:lineRule="exact"/>
        <w:rPr>
          <w:rFonts w:ascii="Arial" w:cs="Arial" w:eastAsia="Arial" w:hAnsi="Arial"/>
          <w:sz w:val="18"/>
          <w:szCs w:val="18"/>
          <w:color w:val="auto"/>
        </w:rPr>
      </w:pPr>
    </w:p>
    <w:p>
      <w:pPr>
        <w:ind w:left="460" w:right="2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50,000 shares owned by Mr. Secchia’s wife; 151,973 shares held by limited liability companies of which Mr. Secchia is a member; 164,067 shares held by a family limited partnership of which Mr. Secchia is a partner; and 31,550 shares held by a family foundation.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Mr. Currie, Mr. Glenn, Mr. Cole, Mr. Greene, and Mr. Webster in the amount of 10,345 shares, 9,440 shares, 1,893 shares, 24,584 shares, and 19,165 shares, respectively.</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which may be acquired by Mr. Currie, Mr. Glenn, Mr. Cole, Mr. Greene, and Mr. Webster pursuant to options exercisable in 60 days in the amount of 30,000 shares, 12,500 shares, 8,000 shares, 18,844 shares, and 5,523 shares, respectively.</w:t>
      </w:r>
    </w:p>
    <w:p>
      <w:pPr>
        <w:spacing w:after="0" w:line="2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obtained through our Director Retainer Stock Plan for Mr. Dutton, Mr. Garside, Mr. Goode, Mr. Murray, and Mr. Smith who hold 5,969 shares, 6,974 shares, 8,983 shares, 4,785 shares, and 17,444 shares, respectively, through such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executive compensation program has been designed to motivate, reward, attract, and retain the management deemed essential to ensure the success of our Company. We believe our employees are our most important asset. The program seeks to align executive compensation with Company objectives, business strategy, and financial performance. In applying these principles, we seek 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Support an environment that rewards performance for achievement of Company goals;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Attract and retain key executives critical to the long-term success of our Company; and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Align the interests of executives with the long-term interests of shareholders through stock ownership initiatives and share ownership requirements.</w:t>
      </w:r>
    </w:p>
    <w:p>
      <w:pPr>
        <w:spacing w:after="0" w:line="196"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believe the compensation of our executives should reflect the performance of the business units in which they are involved. We further believe the performance of the executives in managing our Company, considered in light of general economic and specific Company, industry, and competitive conditions, should be the basis for determining their overall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Our Compensation Program is Designed to Reward</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program is designed to reward overall financial performance and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 Stock price performance has not been a factor in determining annual compensation because we believe the price of our common stock is subject to a variety of factors outside our control.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Components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responsibility for establishing, implementing, and monitoring adherence with our compensation philosophy and established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seeks to ensure that the total compensation paid to our executives is fair, reasonable, and competitive.</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Elements of compensation for our executives include base salary, performance incentives (whether in cash or in stock), health, disability and life insurance, and perquisites. Base salaries are set for our executive officers at the January meeting of the Committee. At this meeting, the Chief Executive Officer makes compensation recommendations to the Committee with respect to the executive officers who report to him. The Committee may accept or adjust such recommendations, and also makes the sole determination of the compensation for the Executive Chairman and Chief Executive Officer.</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elements fit into our overall compensation objectives by helping to secure the potential of our operations, facilitate our entry into new markets, provide proper compliance and regulatory guidance, and help to create a cohesive team.</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Historically, we have provided modest base salaries and created opportunities for significant performance-based incentive compensation.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complete discretion in determining base salary amounts (including the grant and amount of any annual discretionary incentive payments or stock or option awards), regardless of whether corporate or individual performance goals are achieved. The Committee uses the following factors to determine the amount of salary and other benefits to pay each executive: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Base salaries of similarly situated executives in our peer group and similarly sized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Performance against individual objectives for the previous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Difficulty of achieving desired results in the coming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Value of their unique skills and abilities to support the long-term performance of our Company; 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Contribution as a member of our executive management team.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salary increases to the Named Executives, identified below in the Summary Compensation Table,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Named Executive</w:t>
            </w:r>
          </w:p>
        </w:tc>
        <w:tc>
          <w:tcPr>
            <w:tcW w:w="5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Effective Date</w:t>
            </w:r>
          </w:p>
        </w:tc>
        <w:tc>
          <w:tcPr>
            <w:tcW w:w="500" w:type="dxa"/>
            <w:vAlign w:val="bottom"/>
          </w:tcPr>
          <w:p>
            <w:pPr>
              <w:spacing w:after="0"/>
              <w:rPr>
                <w:sz w:val="14"/>
                <w:szCs w:val="14"/>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New Salary</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Increase</w:t>
            </w:r>
          </w:p>
        </w:tc>
      </w:tr>
      <w:tr>
        <w:trPr>
          <w:trHeight w:val="195"/>
        </w:trPr>
        <w:tc>
          <w:tcPr>
            <w:tcW w:w="6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500"/>
              <w:spacing w:after="0" w:line="195" w:lineRule="exact"/>
              <w:rPr>
                <w:sz w:val="20"/>
                <w:szCs w:val="20"/>
                <w:color w:val="auto"/>
              </w:rPr>
            </w:pPr>
            <w:r>
              <w:rPr>
                <w:rFonts w:ascii="Arial" w:cs="Arial" w:eastAsia="Arial" w:hAnsi="Arial"/>
                <w:sz w:val="18"/>
                <w:szCs w:val="18"/>
                <w:color w:val="auto"/>
                <w:w w:val="91"/>
              </w:rPr>
              <w:t>February 1,</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17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2009</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$578,476</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Michael B. Glenn</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90"/>
              </w:rPr>
              <w:t>February 1, 2009</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$576,132</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3.0%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January 1, 2009</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$317,500</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 Scott Greene</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90"/>
              </w:rPr>
              <w:t>February 1, 2009</w:t>
            </w:r>
          </w:p>
        </w:tc>
        <w:tc>
          <w:tcPr>
            <w:tcW w:w="1200" w:type="dxa"/>
            <w:vAlign w:val="bottom"/>
          </w:tcPr>
          <w:p>
            <w:pPr>
              <w:jc w:val="right"/>
              <w:ind w:right="213"/>
              <w:spacing w:after="0"/>
              <w:rPr>
                <w:sz w:val="20"/>
                <w:szCs w:val="20"/>
                <w:color w:val="auto"/>
              </w:rPr>
            </w:pPr>
            <w:r>
              <w:rPr>
                <w:rFonts w:ascii="Arial" w:cs="Arial" w:eastAsia="Arial" w:hAnsi="Arial"/>
                <w:sz w:val="18"/>
                <w:szCs w:val="18"/>
                <w:color w:val="auto"/>
              </w:rPr>
              <w:t>$292,891</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2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February 1, 2009</w:t>
            </w:r>
          </w:p>
        </w:tc>
        <w:tc>
          <w:tcPr>
            <w:tcW w:w="12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$252,000</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w:t>
            </w:r>
          </w:p>
        </w:tc>
      </w:tr>
    </w:tbl>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Patrick M. Webster became the President of our Company on January 1, 2009. Prior to that, and since January 1, 2008, Mr. Webster was President of our Western Division.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Committee utilizes available compensation information from other publicly held companies to make informed decisions regarding pay and benefit practices, including base salaries. Surveys prepared by management are also used to periodically ensure that our Company is maintaining its labor market competitiveness. The Committee does not currently engage any consultant for executive and/or director compensation matters.</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Incentive Compensation</w:t>
      </w:r>
      <w:r>
        <w:rPr>
          <w:rFonts w:ascii="Arial" w:cs="Arial" w:eastAsia="Arial" w:hAnsi="Arial"/>
          <w:sz w:val="17"/>
          <w:szCs w:val="17"/>
          <w:color w:val="auto"/>
        </w:rPr>
        <w:t>. Our Performance Bonus Plan relies on annual Return on Investment (“ROI”) based incentive compensation to attract and retain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employees. Our Performance Bonus Plan is based on the ROI for the applicable business unit. For the Named Executives, other than C. Scott Greene and Patrick M. Webster, their bonus is based on the ROI of the Company as a whole. The bonus for Messrs. Greene and Webster is based on the performance of their respective business units. The allocation of the bonus pool of the business unit for the Named Executives is discretionary. ROI is determined based on the business unit’s pre-bonus operating profit less income taxes, divided by the average monthly investment of the business unit. Average investment is defined as the fiscal monthly average of inventory plus accounts receivable, plus net property, plant and equipment, plus intangibles, less accounts payable. The Committee has approved a bonus rate structure which provides for a percentage of pre-bonus operating profit to be available in a bonus pool for the benefit of key employees. The bonus pool for the business unit is calculated by multiplying the bonus rate corresponding to the business unit’s ROI times the pre-bonus operating profit for the business unit.</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order to adjust for current negative market conditions and trends, and to ensure that we retain key employees needed to drive our performance during these challenging economic times, on August 4, 2008, the Committee adopted and approved revisions to our Performance Bonus Plan for salaried employees effective for fiscal years 2008, 2009, and 2010, and approved a long-term stock incentive for key personnel. The revisions have the effect of permitting a bonus to be paid as long as an operation is profitable. The Committee also reduced the maximum bonus from 2.0 times succeeding base salary to 1.75 times succeeding base salary. Individuals who receive a bonus of greater than 100% of base pay, and who do not meet the minimum stock ownership requirement, must use the cash bonus in excess of 100% of their base pay, net of taxes, to purchase shares of our common stock.</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expect a certain level of stock ownership by our key employees and directors to ensure the interests of our shareholders are protected, the specifics of which are set forth in our Minimum Stock Ownership Policy described below. In 2008, the Committee approved a conditional stock grant for key employees and outside directors which vest in five (5) years, subject to certain exceptions for death, disability, and retirement.</w:t>
      </w:r>
    </w:p>
    <w:p>
      <w:pPr>
        <w:spacing w:after="0" w:line="13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i w:val="1"/>
          <w:iCs w:val="1"/>
          <w:color w:val="auto"/>
        </w:rPr>
        <w:t>Chief Executive Officer</w:t>
      </w:r>
      <w:r>
        <w:rPr>
          <w:rFonts w:ascii="Arial" w:cs="Arial" w:eastAsia="Arial" w:hAnsi="Arial"/>
          <w:sz w:val="18"/>
          <w:szCs w:val="18"/>
          <w:color w:val="auto"/>
        </w:rPr>
        <w:t>. Michael B. Glenn was named Chief Executive Officer of our Company on July 1, 2006. The Committee annually reviews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establishes our Chief Executive Officer’s base salary. His salary is based on comparable compensation data, the Committee’s assessment of his past performance, and its expectation as to his future contributions in leading our Company. Mr. Glenn’s base salary fell in the lower quartile of the salaries of comparable executives in our peer group. The Committee has complete discretion in setting base salary for Mr. Glenn (who does not have an employment agreement with our Company). For 2008, Mr. Glenn was eligible to receive 18% of the corporate business unit bonus pool. Mr. Glenn and Mr. Currie recommended that their bonus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percentages be reduced to provide other salaried employees with a larger bonus. For 2009, Mr. Glenn is eligible to receive 18% of the corporate business unit bonus pool.</w:t>
      </w:r>
    </w:p>
    <w:p>
      <w:pPr>
        <w:spacing w:after="0" w:line="14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Executive Chairman</w:t>
      </w:r>
      <w:r>
        <w:rPr>
          <w:rFonts w:ascii="Arial" w:cs="Arial" w:eastAsia="Arial" w:hAnsi="Arial"/>
          <w:sz w:val="18"/>
          <w:szCs w:val="18"/>
          <w:color w:val="auto"/>
        </w:rPr>
        <w:t>. Mr. Currie was Chief Executive Officer until June 30, 2006 and is now our Executive Chairman. For 2008, Mr. Currie was eligible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18% of the corporate business unit bonus pool. For 2009, Mr. Currie will be eligible to participate in the bonus pool for a pro rata share of the corporate business unit bonus pool.</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16, 2008, the Board ratified a Consulting and Non-Compete Agreement between our Company and William G. Currie (see the “Other Potential Post-Employment Compensation” section in this Proxy Statement), the substance of which was disclosed in 2007 and was filed with our Form 10-K for 2007. This Agreement will commence on July 21, 2009. The severance package calls for three annual payments equal to the average of Mr. Currie’s base salary and bonus for the five years preceding the effective date. This amount is calculated at $1,182,312 per year. He will also receive a stipend for the purchase of health insurance during the contract term.</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Incentive Bonus Program</w:t>
      </w:r>
      <w:r>
        <w:rPr>
          <w:rFonts w:ascii="Arial" w:cs="Arial" w:eastAsia="Arial" w:hAnsi="Arial"/>
          <w:sz w:val="18"/>
          <w:szCs w:val="18"/>
          <w:color w:val="auto"/>
        </w:rPr>
        <w:t>. For our Named Executives, incentive compensation is paid annually as provided in our Performance Bonus Plan, as approved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For fiscal 2009, we will continue to use the ROI-based Performance Bonus Plan.</w:t>
      </w:r>
    </w:p>
    <w:p>
      <w:pPr>
        <w:spacing w:after="0" w:line="13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Long-Term Stock Incentive Plan</w:t>
      </w:r>
      <w:r>
        <w:rPr>
          <w:rFonts w:ascii="Arial" w:cs="Arial" w:eastAsia="Arial" w:hAnsi="Arial"/>
          <w:sz w:val="18"/>
          <w:szCs w:val="18"/>
          <w:color w:val="auto"/>
        </w:rPr>
        <w:t>. In the past, we have provided long-term incentive compensation to our executive officers and key employees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grants of restricted shares, and other equity-based awards. The 1999 Long-Term Stock Incentive Plan (“LTSIP”) was approved by shareholders at our 1999 Annual Meeting of Shareholders. The Committee has complete discretion in determining eligibility for participation and the number of stock options and restricted stock, if any, to be granted to a participant. Due to the changes in accounting for stock options, the Committee decided not to grant broad-based stock options to salaried employees for 2006, 2007, or 2008.</w:t>
      </w:r>
    </w:p>
    <w:p>
      <w:pPr>
        <w:spacing w:after="0" w:line="14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On January 15, 2008, the Committee authorized grants of conditional stock to eligible salaried employees, including the Named Executives, on the basis of one share for each $500 in base salary, up to a maximum of 400 shares per eligible employee. The grants were made and valued as of February 8, 2008, are conditioned on the continued employment of the participants for three (3) years from the effective date, and will be issued no later than February 15, 2011.</w:t>
      </w:r>
    </w:p>
    <w:p>
      <w:pPr>
        <w:spacing w:after="0" w:line="10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desire to promote ownership by our employees to encourage each employee to conduct business in the best long term interest of our shareholders. Therefore, in 2002 we created a Minimum Stock Ownership Policy. This policy sets requirements for ownership of our common stock by our officers and other key employees,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00" w:type="dxa"/>
            <w:vAlign w:val="bottom"/>
            <w:tcBorders>
              <w:bottom w:val="single" w:sz="8" w:color="auto"/>
            </w:tcBorders>
          </w:tcPr>
          <w:p>
            <w:pPr>
              <w:jc w:val="right"/>
              <w:ind w:right="3934"/>
              <w:spacing w:after="0"/>
              <w:rPr>
                <w:sz w:val="20"/>
                <w:szCs w:val="20"/>
                <w:color w:val="auto"/>
              </w:rPr>
            </w:pPr>
            <w:r>
              <w:rPr>
                <w:rFonts w:ascii="Arial" w:cs="Arial" w:eastAsia="Arial" w:hAnsi="Arial"/>
                <w:sz w:val="14"/>
                <w:szCs w:val="14"/>
                <w:color w:val="auto"/>
              </w:rPr>
              <w:t>Title</w:t>
            </w:r>
          </w:p>
        </w:tc>
        <w:tc>
          <w:tcPr>
            <w:tcW w:w="480" w:type="dxa"/>
            <w:vAlign w:val="bottom"/>
          </w:tcPr>
          <w:p>
            <w:pPr>
              <w:spacing w:after="0"/>
              <w:rPr>
                <w:sz w:val="14"/>
                <w:szCs w:val="14"/>
                <w:color w:val="auto"/>
              </w:rPr>
            </w:pPr>
          </w:p>
        </w:tc>
        <w:tc>
          <w:tcPr>
            <w:tcW w:w="2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w w:val="97"/>
              </w:rPr>
              <w:t>Company Stock Ownership Requirement</w:t>
            </w: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Officers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6"/>
              </w:rPr>
              <w:t>200,000</w:t>
            </w: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General Manager of Operations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30"/>
              <w:spacing w:after="0"/>
              <w:rPr>
                <w:sz w:val="20"/>
                <w:szCs w:val="20"/>
                <w:color w:val="auto"/>
              </w:rPr>
            </w:pPr>
            <w:r>
              <w:rPr>
                <w:rFonts w:ascii="Arial" w:cs="Arial" w:eastAsia="Arial" w:hAnsi="Arial"/>
                <w:sz w:val="18"/>
                <w:szCs w:val="18"/>
                <w:color w:val="auto"/>
                <w:w w:val="86"/>
              </w:rPr>
              <w:t>100,000</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Managers, Plant Managers, Sales Managers, Executive Managers, and Senior Managers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50,000</w:t>
            </w:r>
          </w:p>
        </w:tc>
      </w:tr>
      <w:tr>
        <w:trPr>
          <w:trHeight w:val="405"/>
        </w:trPr>
        <w:tc>
          <w:tcPr>
            <w:tcW w:w="8320" w:type="dxa"/>
            <w:vAlign w:val="bottom"/>
            <w:gridSpan w:val="2"/>
          </w:tcPr>
          <w:p>
            <w:pPr>
              <w:jc w:val="right"/>
              <w:ind w:right="2434"/>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help our key employees (other than executive officers, who are not eligible to receive a loan once they become an executive officer) reach their minimum stock ownership requirement, we established an Executive Stock Purchase Assistance Plan (the “ESPAP”) under which key employees may borrow money from our Company to purchase stock with interest at the applicable rate.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 Deferred Compensation Plan (the “DCP”) which allows key employees to defer a portion of their compensation. Under the DCP, if a key employee’s ownership of our common stock is not at the required level, any money the key employee defers must be used to purchase shares of our common stock. Such shares are purchased at a 15% discount from the then prevailing market price of our common stock. The key employee will receive a payout of the money in their DCP account one year from the date they leave our Company unless they retire or pass away, in which case the employee or his or her beneficiary will receive the funds within 90 days.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an Employee Stock Purchase Plan (the “ESPP”) which allows an employee to have a payroll deduction or make a lump sum contribution, or both, for the purchase of our common stock. Shares of our common stock are purchased with the money in the employee’s account on the last stock trading day of the quarter, at a 15% discount from the then prevailing market price of our common stock. All eligible employees with at least one year of service may participate in the ESPP.</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 Stock Gift Program where each eligible employee receives a modest amount of our common stock on their specified service anniversaries with our Company.</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stock ownership programs are designed to encourage employees to own shares of our common stock and therefore align the interests of our employees with those of our shareholders.</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policy is to pay all earned compensation regardless of whether it exceeds the One Million Dollar ($1,000,000.00) limitation on compensation deductions set forth in Section 162(m) of the Internal Revenue Code. To ensure the maximum tax deductibility for our Company, we received shareholder approval of our Performance Bonus Plan at our 1999 Annual Meeting of Shareholders.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certain information regarding the compensation for our Chief Executive Officer, Chief Financial Officer, and our three other most highly compensated executive officers for fiscal 2008 (the “Named Executives”).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Change in</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Pension</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Incentive</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Venue and</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Nonqualified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9"/>
              </w:rPr>
              <w:t>All 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Compen-</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Deferred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3"/>
              </w:rPr>
              <w:t>Compen-</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520" w:type="dxa"/>
            <w:vAlign w:val="bottom"/>
            <w:gridSpan w:val="2"/>
          </w:tcPr>
          <w:p>
            <w:pPr>
              <w:spacing w:after="0" w:line="149" w:lineRule="exact"/>
              <w:rPr>
                <w:sz w:val="20"/>
                <w:szCs w:val="20"/>
                <w:color w:val="auto"/>
              </w:rPr>
            </w:pPr>
            <w:r>
              <w:rPr>
                <w:rFonts w:ascii="Arial" w:cs="Arial" w:eastAsia="Arial" w:hAnsi="Arial"/>
                <w:sz w:val="14"/>
                <w:szCs w:val="14"/>
                <w:color w:val="auto"/>
              </w:rPr>
              <w:t>Name and Principal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Salary</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6"/>
              </w:rPr>
              <w:t>sation</w:t>
            </w:r>
          </w:p>
        </w:tc>
        <w:tc>
          <w:tcPr>
            <w:tcW w:w="1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Compensation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0"/>
              </w:rPr>
              <w:t>sation</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Position</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Bonus</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(1)(4)</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3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2008</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$559,332</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$ 1,340</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$ 69,105</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103,000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36,460</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769,237</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463,545</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1,907</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81,548</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40,238</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587,238</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413,234</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29,098</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$427,108</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85,549</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878,016</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53,412</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1,886,417</w:t>
            </w:r>
          </w:p>
        </w:tc>
      </w:tr>
      <w:tr>
        <w:trPr>
          <w:trHeight w:val="202"/>
        </w:trPr>
        <w:tc>
          <w:tcPr>
            <w:tcW w:w="2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William G. Currie,</w:t>
            </w:r>
          </w:p>
        </w:tc>
        <w:tc>
          <w:tcPr>
            <w:tcW w:w="1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9"/>
              </w:rPr>
              <w:t>2008</w:t>
            </w:r>
          </w:p>
        </w:tc>
        <w:tc>
          <w:tcPr>
            <w:tcW w:w="106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561,576</w:t>
            </w:r>
          </w:p>
        </w:tc>
        <w:tc>
          <w:tcPr>
            <w:tcW w:w="98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398</w:t>
            </w:r>
          </w:p>
        </w:tc>
        <w:tc>
          <w:tcPr>
            <w:tcW w:w="108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133,264</w:t>
            </w:r>
          </w:p>
        </w:tc>
        <w:tc>
          <w:tcPr>
            <w:tcW w:w="122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103,000</w:t>
            </w:r>
          </w:p>
        </w:tc>
        <w:tc>
          <w:tcPr>
            <w:tcW w:w="136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line="201" w:lineRule="exact"/>
              <w:rPr>
                <w:sz w:val="20"/>
                <w:szCs w:val="20"/>
                <w:color w:val="auto"/>
              </w:rPr>
            </w:pPr>
            <w:r>
              <w:rPr>
                <w:rFonts w:ascii="Arial" w:cs="Arial" w:eastAsia="Arial" w:hAnsi="Arial"/>
                <w:sz w:val="18"/>
                <w:szCs w:val="18"/>
                <w:color w:val="auto"/>
              </w:rPr>
              <w:t>1,189,432</w:t>
            </w:r>
          </w:p>
        </w:tc>
        <w:tc>
          <w:tcPr>
            <w:tcW w:w="122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1,987,670</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w w:val="93"/>
              </w:rPr>
              <w:t>Executive Chairman</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2007</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536,794</w:t>
            </w: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1,357</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163,182</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412,956</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1,114,289</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2006</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534,902</w:t>
            </w: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26,378</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402,967</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140,789</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1,073,348</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86,339</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2,264,723</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2008</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240,000</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291</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31,904</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50,000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20,846</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343,041</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210,294</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1,575</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35,375</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20,586</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267,830</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209,268</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26,510</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50,427</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43,085</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420,348</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29,537</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779,175</w:t>
            </w:r>
          </w:p>
        </w:tc>
      </w:tr>
      <w:tr>
        <w:trPr>
          <w:trHeight w:val="202"/>
        </w:trPr>
        <w:tc>
          <w:tcPr>
            <w:tcW w:w="20" w:type="dxa"/>
            <w:vAlign w:val="bottom"/>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C. Scott Greene,</w:t>
            </w:r>
          </w:p>
        </w:tc>
        <w:tc>
          <w:tcPr>
            <w:tcW w:w="1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9"/>
              </w:rPr>
              <w:t>2008</w:t>
            </w:r>
          </w:p>
        </w:tc>
        <w:tc>
          <w:tcPr>
            <w:tcW w:w="106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283,891</w:t>
            </w:r>
          </w:p>
        </w:tc>
        <w:tc>
          <w:tcPr>
            <w:tcW w:w="98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181</w:t>
            </w:r>
          </w:p>
        </w:tc>
        <w:tc>
          <w:tcPr>
            <w:tcW w:w="108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34,331</w:t>
            </w:r>
          </w:p>
        </w:tc>
        <w:tc>
          <w:tcPr>
            <w:tcW w:w="122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59,700</w:t>
            </w:r>
          </w:p>
        </w:tc>
        <w:tc>
          <w:tcPr>
            <w:tcW w:w="136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line="201" w:lineRule="exact"/>
              <w:rPr>
                <w:sz w:val="20"/>
                <w:szCs w:val="20"/>
                <w:color w:val="auto"/>
              </w:rPr>
            </w:pPr>
            <w:r>
              <w:rPr>
                <w:rFonts w:ascii="Arial" w:cs="Arial" w:eastAsia="Arial" w:hAnsi="Arial"/>
                <w:sz w:val="18"/>
                <w:szCs w:val="18"/>
                <w:color w:val="auto"/>
              </w:rPr>
              <w:t>20,891</w:t>
            </w:r>
          </w:p>
        </w:tc>
        <w:tc>
          <w:tcPr>
            <w:tcW w:w="1220" w:type="dxa"/>
            <w:vAlign w:val="bottom"/>
            <w:gridSpan w:val="2"/>
          </w:tcPr>
          <w:p>
            <w:pPr>
              <w:jc w:val="right"/>
              <w:ind w:right="108"/>
              <w:spacing w:after="0" w:line="201" w:lineRule="exact"/>
              <w:rPr>
                <w:sz w:val="20"/>
                <w:szCs w:val="20"/>
                <w:color w:val="auto"/>
              </w:rPr>
            </w:pPr>
            <w:r>
              <w:rPr>
                <w:rFonts w:ascii="Arial" w:cs="Arial" w:eastAsia="Arial" w:hAnsi="Arial"/>
                <w:sz w:val="18"/>
                <w:szCs w:val="18"/>
                <w:color w:val="auto"/>
              </w:rPr>
              <w:t>398,994</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2007</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270,804</w:t>
            </w: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2,055</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40,920</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20,008</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333,787</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Universal Forest</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2006</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269,278</w:t>
            </w:r>
          </w:p>
        </w:tc>
        <w:tc>
          <w:tcPr>
            <w:tcW w:w="980" w:type="dxa"/>
            <w:vAlign w:val="bottom"/>
            <w:gridSpan w:val="2"/>
          </w:tcPr>
          <w:p>
            <w:pPr>
              <w:jc w:val="right"/>
              <w:ind w:right="108"/>
              <w:spacing w:after="0"/>
              <w:rPr>
                <w:sz w:val="20"/>
                <w:szCs w:val="20"/>
                <w:color w:val="auto"/>
              </w:rPr>
            </w:pPr>
            <w:r>
              <w:rPr>
                <w:rFonts w:ascii="Arial" w:cs="Arial" w:eastAsia="Arial" w:hAnsi="Arial"/>
                <w:sz w:val="18"/>
                <w:szCs w:val="18"/>
                <w:color w:val="auto"/>
              </w:rPr>
              <w:t>19,909</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159,146</w:t>
            </w: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48,206</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541,368</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28,072</w:t>
            </w:r>
          </w:p>
        </w:tc>
        <w:tc>
          <w:tcPr>
            <w:tcW w:w="1220" w:type="dxa"/>
            <w:vAlign w:val="bottom"/>
            <w:gridSpan w:val="2"/>
          </w:tcPr>
          <w:p>
            <w:pPr>
              <w:jc w:val="right"/>
              <w:ind w:right="108"/>
              <w:spacing w:after="0"/>
              <w:rPr>
                <w:sz w:val="20"/>
                <w:szCs w:val="20"/>
                <w:color w:val="auto"/>
              </w:rPr>
            </w:pPr>
            <w:r>
              <w:rPr>
                <w:rFonts w:ascii="Arial" w:cs="Arial" w:eastAsia="Arial" w:hAnsi="Arial"/>
                <w:sz w:val="18"/>
                <w:szCs w:val="18"/>
                <w:color w:val="auto"/>
              </w:rPr>
              <w:t>1,065,979</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Products Eastern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Division</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Patrick M. Webster,</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2008</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255,000</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192</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4,496</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96,200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18,731</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374,619</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3"/>
              </w:rPr>
              <w:t>President and Chief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212,604</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2,493</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5,193</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15,239</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235,529</w:t>
            </w: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Operating 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199,268</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1,638</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7,359</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350,000</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18,906</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577,171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deferred by Named Executives under our 401(k) Plan.</w:t>
      </w:r>
    </w:p>
    <w:p>
      <w:pPr>
        <w:spacing w:after="0" w:line="76" w:lineRule="exact"/>
        <w:rPr>
          <w:rFonts w:ascii="Arial" w:cs="Arial" w:eastAsia="Arial" w:hAnsi="Arial"/>
          <w:sz w:val="18"/>
          <w:szCs w:val="18"/>
          <w:color w:val="auto"/>
        </w:rPr>
      </w:pPr>
    </w:p>
    <w:p>
      <w:pPr>
        <w:ind w:left="460" w:right="20" w:hanging="452"/>
        <w:spacing w:after="0" w:line="29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set forth in this column represent the amounts recognized as compensation expense in fiscal 2008, 2007, and 2006, respectively, for financial reporting purposes in accordance with FAS 123R, except that the amounts do not reflect reductions for estimated forfeitures. The assumptions used in calculating these amounts are set forth in the notes to our consolidated financial statements for 2008 in the stock-based compensation section, included in our Annual Report on Form 10-K. There were no stock awards to the Named Executives for performance in fiscal 2008 or 2007. The amounts for 2006 represent the bonus earned by the Named Executives in 2006 that exceeded two times their base pay, that were awarded to them in February 2007.</w:t>
      </w:r>
    </w:p>
    <w:p>
      <w:pPr>
        <w:spacing w:after="0" w:line="9" w:lineRule="exact"/>
        <w:rPr>
          <w:rFonts w:ascii="Arial" w:cs="Arial" w:eastAsia="Arial" w:hAnsi="Arial"/>
          <w:sz w:val="16"/>
          <w:szCs w:val="16"/>
          <w:color w:val="auto"/>
        </w:rPr>
      </w:pPr>
    </w:p>
    <w:p>
      <w:pPr>
        <w:ind w:left="460" w:right="260" w:hanging="452"/>
        <w:spacing w:after="0" w:line="27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included in this column is the amount that would have been required to be recognized in 2008, 2007, and 2006 in accordance with FAS 123R under the modified prospective transition method with respect to stock options granted prior to 2006 that were not vested at the time we transitioned to FAS 123R, as noted in our financial statements for the years ended December 27, 2008, December 29, 2007, and December 30, 2006. The assumptions used in calculating these amounts are set forth in the notes to our consolidated financial statements for 2008 in the stock-based compensation section, included in our Annual Report on Form 10-K. No options were granted in 2008, 2007, or 2006.</w:t>
      </w:r>
    </w:p>
    <w:p>
      <w:pPr>
        <w:spacing w:after="0" w:line="23" w:lineRule="exact"/>
        <w:rPr>
          <w:rFonts w:ascii="Arial" w:cs="Arial" w:eastAsia="Arial" w:hAnsi="Arial"/>
          <w:sz w:val="17"/>
          <w:szCs w:val="17"/>
          <w:color w:val="auto"/>
        </w:rPr>
      </w:pPr>
    </w:p>
    <w:p>
      <w:pPr>
        <w:ind w:left="460" w:hanging="452"/>
        <w:spacing w:after="0" w:line="25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annual bonus payments under performance-based bonus plans tied to our operating profit and ROI, which cover substantially all salaried employees. The amounts in this column reflect the bonus earned for that year but paid in the subsequent year. The amount for Mr. Webster for 2008 includes a deferral under our Deferred Compensation Plan in the amount of $24,124. Under this plan, shares of our common stock are contributed to the Named Executive’s Deferred Compensation Plan account, in lieu of cash compensation. These shares must be held by the Named Executive until he or she retires from our Company. None of the Named Executives received a bonus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60"/>
        <w:spacing w:after="0" w:line="264" w:lineRule="auto"/>
        <w:rPr>
          <w:sz w:val="20"/>
          <w:szCs w:val="20"/>
          <w:color w:val="auto"/>
        </w:rPr>
      </w:pPr>
      <w:r>
        <w:rPr>
          <w:rFonts w:ascii="Arial" w:cs="Arial" w:eastAsia="Arial" w:hAnsi="Arial"/>
          <w:sz w:val="18"/>
          <w:szCs w:val="18"/>
          <w:color w:val="auto"/>
        </w:rPr>
        <w:t>for 2007, so there were no deferrals into our Deferred Compensation Plan for 2007. The 2006 amounts include deferrals under our Deferred Compensation Plan in the amount of $50,000, $100,000, $15,000, $100,000, and $50,000 by Mr. Glenn, Mr. Currie, Mr. Cole, Mr. Greene, and Mr. Webster, respectively.</w:t>
      </w:r>
    </w:p>
    <w:p>
      <w:pPr>
        <w:spacing w:after="0" w:line="33" w:lineRule="exact"/>
        <w:rPr>
          <w:sz w:val="20"/>
          <w:szCs w:val="20"/>
          <w:color w:val="auto"/>
        </w:rPr>
      </w:pPr>
    </w:p>
    <w:p>
      <w:pPr>
        <w:ind w:left="460" w:right="24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 this column represent contributions to our Profit Sharing and 401(k) Plan for 2008 in the amount of $6,900 for Messrs. Glenn, Currie, and Greene, $1,500 for Mr. Cole, and $6,048 for Mr. Webster Subject to certain requirements, including age and service requirements, all of our employees are eligible to participate in our Profit Sharing and 401(k) Plan.</w:t>
      </w:r>
    </w:p>
    <w:p>
      <w:pPr>
        <w:spacing w:after="0" w:line="32"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Also included in this column is personal use of corporate airplanes for 2008 in the amount of $7,914 for Mr. Currie and $10,545 for Mr. Glenn. We permit limited personal use of corporate aircraft by the Named Executives.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44" w:lineRule="exact"/>
        <w:rPr>
          <w:rFonts w:ascii="Arial" w:cs="Arial" w:eastAsia="Arial" w:hAnsi="Arial"/>
          <w:sz w:val="18"/>
          <w:szCs w:val="18"/>
          <w:color w:val="auto"/>
        </w:rPr>
      </w:pPr>
    </w:p>
    <w:p>
      <w:pPr>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The amount in this column also includes the following fringe benefits, none of which exceeded the greater of $25,000 or 10% of the Named Executive’s aggregate fringe benefits: automobile allowance, automobile insurance, reimbursement for gasoline expense, phone, internet access, use of Company-owned property, clothing allowance, life insurance premiums, and taxes paid on behalf of the Named Executive.</w:t>
      </w:r>
    </w:p>
    <w:p>
      <w:pPr>
        <w:spacing w:after="0" w:line="16"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Also included in this column is $1,154,452 which was required to be accrued for in 2008 for a consulting, non-compete, and severance agreement between our Company and Mr. Currie. No amounts are payable until after July 21,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Perquisites and Benefits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provide benefit programs to executive officers and other employees. The following table generally identifies such benefit plans and those employees who may be eligible to participate: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4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7"/>
              </w:rPr>
              <w:t>Certain</w:t>
            </w:r>
          </w:p>
        </w:tc>
        <w:tc>
          <w:tcPr>
            <w:tcW w:w="48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Full-Time Exempt</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Full-time Non-</w:t>
            </w:r>
          </w:p>
        </w:tc>
      </w:tr>
      <w:tr>
        <w:trPr>
          <w:trHeight w:val="167"/>
        </w:trPr>
        <w:tc>
          <w:tcPr>
            <w:tcW w:w="4520" w:type="dxa"/>
            <w:vAlign w:val="bottom"/>
            <w:gridSpan w:val="2"/>
          </w:tcPr>
          <w:p>
            <w:pPr>
              <w:spacing w:after="0"/>
              <w:rPr>
                <w:sz w:val="20"/>
                <w:szCs w:val="20"/>
                <w:color w:val="auto"/>
              </w:rPr>
            </w:pPr>
            <w:r>
              <w:rPr>
                <w:rFonts w:ascii="Arial" w:cs="Arial" w:eastAsia="Arial" w:hAnsi="Arial"/>
                <w:sz w:val="14"/>
                <w:szCs w:val="14"/>
                <w:color w:val="auto"/>
              </w:rPr>
              <w:t>Benefit Plan</w:t>
            </w:r>
          </w:p>
        </w:tc>
        <w:tc>
          <w:tcPr>
            <w:tcW w:w="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Officers</w:t>
            </w:r>
          </w:p>
        </w:tc>
        <w:tc>
          <w:tcPr>
            <w:tcW w:w="4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Managers</w:t>
            </w:r>
          </w:p>
        </w:tc>
        <w:tc>
          <w:tcPr>
            <w:tcW w:w="4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Employees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Exempt Employees</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401(k) Plan</w:t>
            </w:r>
          </w:p>
        </w:tc>
        <w:tc>
          <w:tcPr>
            <w:tcW w:w="46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4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Medical/Dental/Vision Plans</w:t>
            </w:r>
          </w:p>
        </w:tc>
        <w:tc>
          <w:tcPr>
            <w:tcW w:w="460" w:type="dxa"/>
            <w:vAlign w:val="bottom"/>
          </w:tcPr>
          <w:p>
            <w:pPr>
              <w:spacing w:after="0"/>
              <w:rPr>
                <w:sz w:val="18"/>
                <w:szCs w:val="18"/>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79"/>
              </w:rPr>
              <w:t>ü</w:t>
            </w:r>
          </w:p>
        </w:tc>
        <w:tc>
          <w:tcPr>
            <w:tcW w:w="1140" w:type="dxa"/>
            <w:vAlign w:val="bottom"/>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Life and Disability Insurance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79"/>
              </w:rPr>
              <w:t>ü</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460" w:type="dxa"/>
            <w:vAlign w:val="bottom"/>
          </w:tcPr>
          <w:p>
            <w:pPr>
              <w:spacing w:after="0"/>
              <w:rPr>
                <w:sz w:val="18"/>
                <w:szCs w:val="18"/>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79"/>
              </w:rPr>
              <w:t>ü</w:t>
            </w:r>
          </w:p>
        </w:tc>
        <w:tc>
          <w:tcPr>
            <w:tcW w:w="1140" w:type="dxa"/>
            <w:vAlign w:val="bottom"/>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ROI Bonus Plan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79"/>
              </w:rPr>
              <w:t>ü</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Hourly Performance Bonus</w:t>
            </w:r>
          </w:p>
        </w:tc>
        <w:tc>
          <w:tcPr>
            <w:tcW w:w="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Not Offered</w:t>
            </w:r>
          </w:p>
        </w:tc>
        <w:tc>
          <w:tcPr>
            <w:tcW w:w="1140" w:type="dxa"/>
            <w:vAlign w:val="bottom"/>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Incentive Plans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79"/>
              </w:rPr>
              <w:t>ü</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ü</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Change in Control and Severance Plan</w:t>
            </w:r>
          </w:p>
        </w:tc>
        <w:tc>
          <w:tcPr>
            <w:tcW w:w="460" w:type="dxa"/>
            <w:vAlign w:val="bottom"/>
          </w:tcPr>
          <w:p>
            <w:pPr>
              <w:spacing w:after="0"/>
              <w:rPr>
                <w:sz w:val="18"/>
                <w:szCs w:val="18"/>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Not Offered</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Not Offered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Supplemental Early Retirement Plan</w:t>
            </w:r>
          </w:p>
        </w:tc>
        <w:tc>
          <w:tcPr>
            <w:tcW w:w="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Not Offered</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Not Offered</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Plan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Offered</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Not Offered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 Offered</w:t>
            </w:r>
          </w:p>
        </w:tc>
      </w:tr>
    </w:tbl>
    <w:p>
      <w:pPr>
        <w:spacing w:after="0" w:line="16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believe perquisites for executive officers should be limited in scope and value. As a result, we have historically given nominal perquisites. The following table generally illustrates the perquisites we do and do not provide, and identifies those employees who may be eligible to receive them.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gridSpan w:val="2"/>
          </w:tcPr>
          <w:p>
            <w:pPr>
              <w:spacing w:after="0"/>
              <w:rPr>
                <w:sz w:val="20"/>
                <w:szCs w:val="20"/>
                <w:color w:val="auto"/>
              </w:rPr>
            </w:pPr>
            <w:r>
              <w:rPr>
                <w:rFonts w:ascii="Arial" w:cs="Arial" w:eastAsia="Arial" w:hAnsi="Arial"/>
                <w:sz w:val="14"/>
                <w:szCs w:val="14"/>
                <w:color w:val="auto"/>
              </w:rPr>
              <w:t>Type of Perquisites</w:t>
            </w:r>
          </w:p>
        </w:tc>
        <w:tc>
          <w:tcPr>
            <w:tcW w:w="42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Executive Officers</w:t>
            </w:r>
          </w:p>
        </w:tc>
        <w:tc>
          <w:tcPr>
            <w:tcW w:w="300" w:type="dxa"/>
            <w:vAlign w:val="bottom"/>
          </w:tcPr>
          <w:p>
            <w:pPr>
              <w:spacing w:after="0"/>
              <w:rPr>
                <w:sz w:val="14"/>
                <w:szCs w:val="14"/>
                <w:color w:val="auto"/>
              </w:rPr>
            </w:pPr>
          </w:p>
        </w:tc>
        <w:tc>
          <w:tcPr>
            <w:tcW w:w="2460" w:type="dxa"/>
            <w:vAlign w:val="bottom"/>
            <w:gridSpan w:val="2"/>
          </w:tcPr>
          <w:p>
            <w:pPr>
              <w:jc w:val="center"/>
              <w:ind w:right="600"/>
              <w:spacing w:after="0"/>
              <w:rPr>
                <w:sz w:val="20"/>
                <w:szCs w:val="20"/>
                <w:color w:val="auto"/>
              </w:rPr>
            </w:pPr>
            <w:r>
              <w:rPr>
                <w:rFonts w:ascii="Arial" w:cs="Arial" w:eastAsia="Arial" w:hAnsi="Arial"/>
                <w:sz w:val="14"/>
                <w:szCs w:val="14"/>
                <w:color w:val="auto"/>
                <w:w w:val="91"/>
              </w:rPr>
              <w:t>Certain Managers</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Full-Time Employees</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 Discount</w:t>
            </w:r>
          </w:p>
        </w:tc>
        <w:tc>
          <w:tcPr>
            <w:tcW w:w="42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ü</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ü</w:t>
            </w:r>
          </w:p>
        </w:tc>
        <w:tc>
          <w:tcPr>
            <w:tcW w:w="6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ü</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Financial Planning Allowance (1)</w:t>
            </w:r>
          </w:p>
        </w:tc>
        <w:tc>
          <w:tcPr>
            <w:tcW w:w="420" w:type="dxa"/>
            <w:vAlign w:val="bottom"/>
          </w:tcPr>
          <w:p>
            <w:pPr>
              <w:spacing w:after="0"/>
              <w:rPr>
                <w:sz w:val="18"/>
                <w:szCs w:val="18"/>
                <w:color w:val="auto"/>
              </w:rPr>
            </w:pP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ü</w:t>
            </w:r>
          </w:p>
        </w:tc>
        <w:tc>
          <w:tcPr>
            <w:tcW w:w="300" w:type="dxa"/>
            <w:vAlign w:val="bottom"/>
          </w:tcPr>
          <w:p>
            <w:pPr>
              <w:spacing w:after="0"/>
              <w:rPr>
                <w:sz w:val="18"/>
                <w:szCs w:val="18"/>
                <w:color w:val="auto"/>
              </w:rPr>
            </w:pPr>
          </w:p>
        </w:tc>
        <w:tc>
          <w:tcPr>
            <w:tcW w:w="2460" w:type="dxa"/>
            <w:vAlign w:val="bottom"/>
            <w:gridSpan w:val="2"/>
          </w:tcPr>
          <w:p>
            <w:pPr>
              <w:ind w:left="960"/>
              <w:spacing w:after="0"/>
              <w:rPr>
                <w:sz w:val="20"/>
                <w:szCs w:val="20"/>
                <w:color w:val="auto"/>
              </w:rPr>
            </w:pPr>
            <w:r>
              <w:rPr>
                <w:rFonts w:ascii="Arial" w:cs="Arial" w:eastAsia="Arial" w:hAnsi="Arial"/>
                <w:sz w:val="18"/>
                <w:szCs w:val="18"/>
                <w:color w:val="auto"/>
              </w:rPr>
              <w:t>ü</w:t>
            </w:r>
          </w:p>
        </w:tc>
        <w:tc>
          <w:tcPr>
            <w:tcW w:w="1380" w:type="dxa"/>
            <w:vAlign w:val="bottom"/>
          </w:tcPr>
          <w:p>
            <w:pPr>
              <w:ind w:left="260"/>
              <w:spacing w:after="0"/>
              <w:rPr>
                <w:sz w:val="20"/>
                <w:szCs w:val="20"/>
                <w:color w:val="auto"/>
              </w:rPr>
            </w:pPr>
            <w:r>
              <w:rPr>
                <w:rFonts w:ascii="Arial" w:cs="Arial" w:eastAsia="Arial" w:hAnsi="Arial"/>
                <w:sz w:val="18"/>
                <w:szCs w:val="18"/>
                <w:color w:val="auto"/>
              </w:rPr>
              <w:t>Not Offered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Automobile Allowance</w:t>
            </w:r>
          </w:p>
        </w:tc>
        <w:tc>
          <w:tcPr>
            <w:tcW w:w="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ü</w:t>
            </w:r>
          </w:p>
        </w:tc>
        <w:tc>
          <w:tcPr>
            <w:tcW w:w="3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ü</w:t>
            </w: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Not Offered (2)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Country Club Memberships</w:t>
            </w:r>
          </w:p>
        </w:tc>
        <w:tc>
          <w:tcPr>
            <w:tcW w:w="42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Not Offered</w:t>
            </w:r>
          </w:p>
        </w:tc>
        <w:tc>
          <w:tcPr>
            <w:tcW w:w="300" w:type="dxa"/>
            <w:vAlign w:val="bottom"/>
          </w:tcPr>
          <w:p>
            <w:pPr>
              <w:spacing w:after="0"/>
              <w:rPr>
                <w:sz w:val="18"/>
                <w:szCs w:val="18"/>
                <w:color w:val="auto"/>
              </w:rPr>
            </w:pPr>
          </w:p>
        </w:tc>
        <w:tc>
          <w:tcPr>
            <w:tcW w:w="24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Not Offered</w:t>
            </w:r>
          </w:p>
        </w:tc>
        <w:tc>
          <w:tcPr>
            <w:tcW w:w="1380" w:type="dxa"/>
            <w:vAlign w:val="bottom"/>
          </w:tcPr>
          <w:p>
            <w:pPr>
              <w:ind w:left="260"/>
              <w:spacing w:after="0"/>
              <w:rPr>
                <w:sz w:val="20"/>
                <w:szCs w:val="20"/>
                <w:color w:val="auto"/>
              </w:rPr>
            </w:pPr>
            <w:r>
              <w:rPr>
                <w:rFonts w:ascii="Arial" w:cs="Arial" w:eastAsia="Arial" w:hAnsi="Arial"/>
                <w:sz w:val="18"/>
                <w:szCs w:val="18"/>
                <w:color w:val="auto"/>
              </w:rPr>
              <w:t>Not Offered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Personal Use of Company Aircraft</w:t>
            </w:r>
          </w:p>
        </w:tc>
        <w:tc>
          <w:tcPr>
            <w:tcW w:w="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Only with CEO Approval</w:t>
            </w:r>
          </w:p>
        </w:tc>
        <w:tc>
          <w:tcPr>
            <w:tcW w:w="27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5"/>
              </w:rPr>
              <w:t>Only with CEO Approval</w:t>
            </w:r>
          </w:p>
        </w:tc>
        <w:tc>
          <w:tcPr>
            <w:tcW w:w="1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Offered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Security Services</w:t>
            </w:r>
          </w:p>
        </w:tc>
        <w:tc>
          <w:tcPr>
            <w:tcW w:w="420" w:type="dxa"/>
            <w:vAlign w:val="bottom"/>
          </w:tcPr>
          <w:p>
            <w:pPr>
              <w:spacing w:after="0"/>
              <w:rPr>
                <w:sz w:val="18"/>
                <w:szCs w:val="18"/>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Not Offered</w:t>
            </w:r>
          </w:p>
        </w:tc>
        <w:tc>
          <w:tcPr>
            <w:tcW w:w="300" w:type="dxa"/>
            <w:vAlign w:val="bottom"/>
          </w:tcPr>
          <w:p>
            <w:pPr>
              <w:spacing w:after="0"/>
              <w:rPr>
                <w:sz w:val="18"/>
                <w:szCs w:val="18"/>
                <w:color w:val="auto"/>
              </w:rPr>
            </w:pPr>
          </w:p>
        </w:tc>
        <w:tc>
          <w:tcPr>
            <w:tcW w:w="24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Not Offered</w:t>
            </w:r>
          </w:p>
        </w:tc>
        <w:tc>
          <w:tcPr>
            <w:tcW w:w="1380" w:type="dxa"/>
            <w:vAlign w:val="bottom"/>
          </w:tcPr>
          <w:p>
            <w:pPr>
              <w:ind w:left="260"/>
              <w:spacing w:after="0"/>
              <w:rPr>
                <w:sz w:val="20"/>
                <w:szCs w:val="20"/>
                <w:color w:val="auto"/>
              </w:rPr>
            </w:pPr>
            <w:r>
              <w:rPr>
                <w:rFonts w:ascii="Arial" w:cs="Arial" w:eastAsia="Arial" w:hAnsi="Arial"/>
                <w:sz w:val="18"/>
                <w:szCs w:val="18"/>
                <w:color w:val="auto"/>
              </w:rPr>
              <w:t>Not Offered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Dwellings for Personal Use (3)</w:t>
            </w:r>
          </w:p>
        </w:tc>
        <w:tc>
          <w:tcPr>
            <w:tcW w:w="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Not Offered</w:t>
            </w:r>
          </w:p>
        </w:tc>
        <w:tc>
          <w:tcPr>
            <w:tcW w:w="3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2"/>
              </w:rPr>
              <w:t>Not Offered</w:t>
            </w:r>
          </w:p>
        </w:tc>
        <w:tc>
          <w:tcPr>
            <w:tcW w:w="1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Offered</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provide our officers with a limited financial planning allowance via taxable reimbursements for financial planning services.</w:t>
      </w:r>
    </w:p>
    <w:p>
      <w:pPr>
        <w:spacing w:after="0" w:line="76" w:lineRule="exact"/>
        <w:rPr>
          <w:rFonts w:ascii="Arial" w:cs="Arial" w:eastAsia="Arial" w:hAnsi="Arial"/>
          <w:sz w:val="18"/>
          <w:szCs w:val="18"/>
          <w:color w:val="auto"/>
        </w:rPr>
      </w:pPr>
    </w:p>
    <w:p>
      <w:pPr>
        <w:ind w:left="460" w:right="32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sales and management personnel receive an automobile allowance. Other employees receive reimbursement, in accordance with the Internal Revenue Code, of various costs incurred in connection with the utilization of their personal vehicles in connection with business travel.</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provide dwellings for personal use except for temporary job relocation housing.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reflects the grant of plan-based awards in fiscal 2008 to the Named Executives, and sets forth information on possible payouts to the Named Executives under our Performance Bonus Plan for fiscal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All Other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All Other</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Stock</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Option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Awards:</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Awards:</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Exercise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0"/>
              </w:rPr>
              <w:t>Estimated Future Payouts</w:t>
            </w:r>
          </w:p>
        </w:tc>
        <w:tc>
          <w:tcPr>
            <w:tcW w:w="194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Estimated Future</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Number</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or Base</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5"/>
              </w:rPr>
              <w:t>Under Non-Equity</w:t>
            </w:r>
          </w:p>
        </w:tc>
        <w:tc>
          <w:tcPr>
            <w:tcW w:w="194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Payouts Under Equity</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of Shares</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Securities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Price of</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Stock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4"/>
                <w:szCs w:val="14"/>
                <w:color w:val="auto"/>
                <w:w w:val="93"/>
              </w:rPr>
              <w:t>Incentive Plan Awards</w:t>
            </w:r>
          </w:p>
        </w:tc>
        <w:tc>
          <w:tcPr>
            <w:tcW w:w="1940" w:type="dxa"/>
            <w:vAlign w:val="bottom"/>
            <w:gridSpan w:val="4"/>
          </w:tcPr>
          <w:p>
            <w:pPr>
              <w:ind w:left="200"/>
              <w:spacing w:after="0"/>
              <w:rPr>
                <w:sz w:val="20"/>
                <w:szCs w:val="20"/>
                <w:color w:val="auto"/>
              </w:rPr>
            </w:pPr>
            <w:r>
              <w:rPr>
                <w:rFonts w:ascii="Arial" w:cs="Arial" w:eastAsia="Arial" w:hAnsi="Arial"/>
                <w:sz w:val="14"/>
                <w:szCs w:val="14"/>
                <w:color w:val="auto"/>
              </w:rPr>
              <w:t>Incentive Plan Awards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of Stock</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Underlying</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Option</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Option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rPr>
              <w:t>Grant</w:t>
            </w:r>
          </w:p>
        </w:tc>
        <w:tc>
          <w:tcPr>
            <w:tcW w:w="960" w:type="dxa"/>
            <w:vAlign w:val="bottom"/>
            <w:tcBorders>
              <w:top w:val="single" w:sz="8" w:color="auto"/>
            </w:tcBorders>
            <w:gridSpan w:val="2"/>
          </w:tcPr>
          <w:p>
            <w:pPr>
              <w:jc w:val="center"/>
              <w:ind w:right="260"/>
              <w:spacing w:after="0" w:line="123" w:lineRule="exact"/>
              <w:rPr>
                <w:sz w:val="20"/>
                <w:szCs w:val="20"/>
                <w:color w:val="auto"/>
              </w:rPr>
            </w:pPr>
            <w:r>
              <w:rPr>
                <w:rFonts w:ascii="Arial" w:cs="Arial" w:eastAsia="Arial" w:hAnsi="Arial"/>
                <w:sz w:val="14"/>
                <w:szCs w:val="14"/>
                <w:color w:val="auto"/>
                <w:w w:val="93"/>
              </w:rPr>
              <w:t>Threshold</w:t>
            </w:r>
          </w:p>
        </w:tc>
        <w:tc>
          <w:tcPr>
            <w:tcW w:w="860" w:type="dxa"/>
            <w:vAlign w:val="bottom"/>
            <w:tcBorders>
              <w:top w:val="single" w:sz="8" w:color="auto"/>
            </w:tcBorders>
          </w:tcPr>
          <w:p>
            <w:pPr>
              <w:jc w:val="right"/>
              <w:ind w:right="35"/>
              <w:spacing w:after="0" w:line="123" w:lineRule="exact"/>
              <w:rPr>
                <w:sz w:val="20"/>
                <w:szCs w:val="20"/>
                <w:color w:val="auto"/>
              </w:rPr>
            </w:pPr>
            <w:r>
              <w:rPr>
                <w:rFonts w:ascii="Arial" w:cs="Arial" w:eastAsia="Arial" w:hAnsi="Arial"/>
                <w:sz w:val="14"/>
                <w:szCs w:val="14"/>
                <w:color w:val="auto"/>
              </w:rPr>
              <w:t>Maximum</w:t>
            </w:r>
          </w:p>
        </w:tc>
        <w:tc>
          <w:tcPr>
            <w:tcW w:w="260" w:type="dxa"/>
            <w:vAlign w:val="bottom"/>
          </w:tcPr>
          <w:p>
            <w:pPr>
              <w:spacing w:after="0"/>
              <w:rPr>
                <w:sz w:val="10"/>
                <w:szCs w:val="10"/>
                <w:color w:val="auto"/>
              </w:rPr>
            </w:pPr>
          </w:p>
        </w:tc>
        <w:tc>
          <w:tcPr>
            <w:tcW w:w="10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Threshold</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Maximum</w:t>
            </w:r>
          </w:p>
        </w:tc>
        <w:tc>
          <w:tcPr>
            <w:tcW w:w="240" w:type="dxa"/>
            <w:vAlign w:val="bottom"/>
          </w:tcPr>
          <w:p>
            <w:pPr>
              <w:spacing w:after="0"/>
              <w:rPr>
                <w:sz w:val="10"/>
                <w:szCs w:val="10"/>
                <w:color w:val="auto"/>
              </w:rPr>
            </w:pPr>
          </w:p>
        </w:tc>
        <w:tc>
          <w:tcPr>
            <w:tcW w:w="86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5"/>
              </w:rPr>
              <w:t>or Units</w:t>
            </w:r>
          </w:p>
        </w:tc>
        <w:tc>
          <w:tcPr>
            <w:tcW w:w="9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5"/>
              </w:rPr>
              <w:t>Options</w:t>
            </w:r>
          </w:p>
        </w:tc>
        <w:tc>
          <w:tcPr>
            <w:tcW w:w="80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Awards</w:t>
            </w:r>
          </w:p>
        </w:tc>
        <w:tc>
          <w:tcPr>
            <w:tcW w:w="80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Name</w:t>
            </w:r>
          </w:p>
        </w:tc>
        <w:tc>
          <w:tcPr>
            <w:tcW w:w="3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rPr>
              <w:t>Date</w:t>
            </w:r>
          </w:p>
        </w:tc>
        <w:tc>
          <w:tcPr>
            <w:tcW w:w="720" w:type="dxa"/>
            <w:vAlign w:val="bottom"/>
          </w:tcPr>
          <w:p>
            <w:pPr>
              <w:jc w:val="right"/>
              <w:ind w:right="19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($/Sh)</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02/08/08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$ 142,657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$ 1,008,231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$ 11,152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William G. Currie</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02/08/08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62,769</w:t>
            </w:r>
          </w:p>
        </w:tc>
        <w:tc>
          <w:tcPr>
            <w:tcW w:w="860" w:type="dxa"/>
            <w:vAlign w:val="bottom"/>
          </w:tcPr>
          <w:p>
            <w:pPr>
              <w:jc w:val="right"/>
              <w:spacing w:after="0"/>
              <w:rPr>
                <w:sz w:val="20"/>
                <w:szCs w:val="20"/>
                <w:color w:val="auto"/>
              </w:rPr>
            </w:pPr>
            <w:r>
              <w:rPr>
                <w:rFonts w:ascii="Arial" w:cs="Arial" w:eastAsia="Arial" w:hAnsi="Arial"/>
                <w:sz w:val="18"/>
                <w:szCs w:val="18"/>
                <w:color w:val="auto"/>
              </w:rPr>
              <w:t>1,012,333</w:t>
            </w: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02/08/08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27,738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441,000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 Scott Greene</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02/08/08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512,559</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02/08/08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95,104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555,625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We do not have any required future payouts under our non-equity incentive plans. All obligations are paid in cash within 75 days of our fiscal year-end. Any future awards are based on the ROI of the applicable business unit.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equity awards held by the Named Executives at December 27,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Option Awards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color w:val="auto"/>
              </w:rPr>
              <w:t>Stock Awards</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7"/>
              </w:rPr>
              <w:t>Equity</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Incentive</w:t>
            </w:r>
          </w:p>
        </w:tc>
        <w:tc>
          <w:tcPr>
            <w:tcW w:w="6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Equity</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Plan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Incentive Plan</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Awards: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Awards:</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Number of</w:t>
            </w:r>
          </w:p>
        </w:tc>
        <w:tc>
          <w:tcPr>
            <w:tcW w:w="6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Market or</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Unearned</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Payout Value</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or Units</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6"/>
              </w:rPr>
              <w:t>Shares,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of Unearned</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Stock</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Market Value</w:t>
            </w: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Units or</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Shares, Units</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8"/>
              </w:rPr>
              <w:t>Underlying</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8"/>
              </w:rPr>
              <w:t>Underlying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That</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of Shares or</w:t>
            </w: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or Other</w:t>
            </w: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2"/>
              </w:rPr>
              <w:t>Unexercised</w:t>
            </w: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Unexercised</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Have</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Units of Stock</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Rights That</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Rights That</w:t>
            </w:r>
          </w:p>
        </w:tc>
      </w:t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Vesting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Options</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Options</w:t>
            </w: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Exercise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Not</w:t>
            </w: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That Have Not</w:t>
            </w:r>
          </w:p>
        </w:tc>
        <w:tc>
          <w:tcPr>
            <w:tcW w:w="1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Have Not</w:t>
            </w:r>
          </w:p>
        </w:tc>
        <w:tc>
          <w:tcPr>
            <w:tcW w:w="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95"/>
              </w:rPr>
              <w:t>Have Not</w:t>
            </w:r>
          </w:p>
        </w:tc>
      </w:tr>
      <w:tr>
        <w:trPr>
          <w:trHeight w:val="142"/>
        </w:trPr>
        <w:tc>
          <w:tcPr>
            <w:tcW w:w="20" w:type="dxa"/>
            <w:vAlign w:val="bottom"/>
          </w:tcPr>
          <w:p>
            <w:pPr>
              <w:spacing w:after="0"/>
              <w:rPr>
                <w:sz w:val="12"/>
                <w:szCs w:val="12"/>
                <w:color w:val="auto"/>
              </w:rPr>
            </w:pPr>
          </w:p>
        </w:tc>
        <w:tc>
          <w:tcPr>
            <w:tcW w:w="1180" w:type="dxa"/>
            <w:vAlign w:val="bottom"/>
          </w:tcPr>
          <w:p>
            <w:pPr>
              <w:ind w:left="420"/>
              <w:spacing w:after="0" w:line="142" w:lineRule="exact"/>
              <w:rPr>
                <w:sz w:val="20"/>
                <w:szCs w:val="20"/>
                <w:color w:val="auto"/>
              </w:rPr>
            </w:pPr>
            <w:r>
              <w:rPr>
                <w:rFonts w:ascii="Arial" w:cs="Arial" w:eastAsia="Arial" w:hAnsi="Arial"/>
                <w:sz w:val="14"/>
                <w:szCs w:val="14"/>
                <w:color w:val="auto"/>
              </w:rPr>
              <w:t>Name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Grant Date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Date</w:t>
            </w:r>
          </w:p>
        </w:tc>
        <w:tc>
          <w:tcPr>
            <w:tcW w:w="940" w:type="dxa"/>
            <w:vAlign w:val="bottom"/>
          </w:tcPr>
          <w:p>
            <w:pPr>
              <w:jc w:val="center"/>
              <w:spacing w:after="0" w:line="142" w:lineRule="exact"/>
              <w:rPr>
                <w:sz w:val="20"/>
                <w:szCs w:val="20"/>
                <w:color w:val="auto"/>
              </w:rPr>
            </w:pPr>
            <w:r>
              <w:rPr>
                <w:rFonts w:ascii="Arial" w:cs="Arial" w:eastAsia="Arial" w:hAnsi="Arial"/>
                <w:sz w:val="14"/>
                <w:szCs w:val="14"/>
                <w:color w:val="auto"/>
                <w:w w:val="93"/>
              </w:rPr>
              <w:t>Exercisable</w:t>
            </w:r>
          </w:p>
        </w:tc>
        <w:tc>
          <w:tcPr>
            <w:tcW w:w="1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color w:val="auto"/>
                <w:w w:val="92"/>
              </w:rPr>
              <w:t>Unexercisable</w:t>
            </w:r>
          </w:p>
        </w:tc>
        <w:tc>
          <w:tcPr>
            <w:tcW w:w="1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87"/>
              </w:rPr>
              <w:t>Price</w:t>
            </w:r>
          </w:p>
        </w:tc>
        <w:tc>
          <w:tcPr>
            <w:tcW w:w="1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w w:val="94"/>
              </w:rPr>
              <w:t>Date</w:t>
            </w:r>
          </w:p>
        </w:tc>
        <w:tc>
          <w:tcPr>
            <w:tcW w:w="14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w w:val="91"/>
              </w:rPr>
              <w:t>Vested</w:t>
            </w:r>
          </w:p>
        </w:tc>
        <w:tc>
          <w:tcPr>
            <w:tcW w:w="14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color w:val="auto"/>
                <w:w w:val="87"/>
              </w:rPr>
              <w:t>Vested</w:t>
            </w: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2" w:lineRule="exact"/>
              <w:rPr>
                <w:sz w:val="20"/>
                <w:szCs w:val="20"/>
                <w:color w:val="auto"/>
              </w:rPr>
            </w:pPr>
            <w:r>
              <w:rPr>
                <w:rFonts w:ascii="Arial" w:cs="Arial" w:eastAsia="Arial" w:hAnsi="Arial"/>
                <w:sz w:val="14"/>
                <w:szCs w:val="14"/>
                <w:color w:val="auto"/>
                <w:w w:val="87"/>
              </w:rPr>
              <w:t>Vested</w:t>
            </w:r>
          </w:p>
        </w:tc>
        <w:tc>
          <w:tcPr>
            <w:tcW w:w="60" w:type="dxa"/>
            <w:vAlign w:val="bottom"/>
          </w:tcPr>
          <w:p>
            <w:pPr>
              <w:spacing w:after="0"/>
              <w:rPr>
                <w:sz w:val="12"/>
                <w:szCs w:val="12"/>
                <w:color w:val="auto"/>
              </w:rPr>
            </w:pPr>
          </w:p>
        </w:tc>
        <w:tc>
          <w:tcPr>
            <w:tcW w:w="840" w:type="dxa"/>
            <w:vAlign w:val="bottom"/>
            <w:gridSpan w:val="2"/>
          </w:tcPr>
          <w:p>
            <w:pPr>
              <w:jc w:val="center"/>
              <w:ind w:right="20"/>
              <w:spacing w:after="0" w:line="142" w:lineRule="exact"/>
              <w:rPr>
                <w:sz w:val="20"/>
                <w:szCs w:val="20"/>
                <w:color w:val="auto"/>
              </w:rPr>
            </w:pPr>
            <w:r>
              <w:rPr>
                <w:rFonts w:ascii="Arial" w:cs="Arial" w:eastAsia="Arial" w:hAnsi="Arial"/>
                <w:sz w:val="14"/>
                <w:szCs w:val="14"/>
                <w:color w:val="auto"/>
                <w:w w:val="87"/>
              </w:rPr>
              <w:t>Vested</w:t>
            </w:r>
          </w:p>
        </w:tc>
      </w:tr>
      <w:tr>
        <w:trPr>
          <w:trHeight w:val="195"/>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Michael B.</w:t>
            </w: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Glenn</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02/08/08</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02/15/11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400</w:t>
            </w: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$ 10,132</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01/31/00</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$12.50</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04/01/10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04/17/02</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04/17/11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12,500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24.46</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04/17/12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04/17/02</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04/17/14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12,500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24.46</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04/17/15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03/01/03</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03/01/09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12,500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17.10</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03/01/13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03/01/03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03/01/12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12,500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17.10</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03/01/13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03/01/03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03/01/15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12,500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17.10</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03/01/16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line="201" w:lineRule="exact"/>
              <w:rPr>
                <w:sz w:val="20"/>
                <w:szCs w:val="20"/>
                <w:color w:val="auto"/>
              </w:rPr>
            </w:pPr>
            <w:r>
              <w:rPr>
                <w:rFonts w:ascii="Arial" w:cs="Arial" w:eastAsia="Arial" w:hAnsi="Arial"/>
                <w:sz w:val="18"/>
                <w:szCs w:val="18"/>
                <w:color w:val="auto"/>
              </w:rPr>
              <w:t>William 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Currie</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02/08/08</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02/15/11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400</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10,132</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04/17/02</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07/20/12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10,000</w:t>
            </w: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253,300</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04/17/02</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04/17/11</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30,000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24.46</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04/17/12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03/01/03</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03/01/09</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30,000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17.10</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03/01/13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03/01/03</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03/01/12</w:t>
            </w:r>
          </w:p>
        </w:tc>
        <w:tc>
          <w:tcPr>
            <w:tcW w:w="140" w:type="dxa"/>
            <w:vAlign w:val="bottom"/>
          </w:tcPr>
          <w:p>
            <w:pPr>
              <w:spacing w:after="0"/>
              <w:rPr>
                <w:sz w:val="20"/>
                <w:szCs w:val="20"/>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30,000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17.10</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03/01/13</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1"/>
              </w:rPr>
              <w:t>Michael R. Cole</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02/08/08</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02/15/11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400</w:t>
            </w: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10,132</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08/01/04</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08/01/06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4,000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01/01/00</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19.77</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04/01/10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01/01/00</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22.88</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04/01/13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01/01/00</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26.49</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04/01/16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08/01/08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4,000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08/01/14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08/01/15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line="201" w:lineRule="exact"/>
              <w:rPr>
                <w:sz w:val="20"/>
                <w:szCs w:val="20"/>
                <w:color w:val="auto"/>
              </w:rPr>
            </w:pPr>
            <w:r>
              <w:rPr>
                <w:rFonts w:ascii="Arial" w:cs="Arial" w:eastAsia="Arial" w:hAnsi="Arial"/>
                <w:sz w:val="18"/>
                <w:szCs w:val="18"/>
                <w:color w:val="auto"/>
                <w:w w:val="89"/>
              </w:rPr>
              <w:t>C. Scott Greene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02/08/08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20"/>
              <w:spacing w:after="0" w:line="201" w:lineRule="exact"/>
              <w:rPr>
                <w:sz w:val="20"/>
                <w:szCs w:val="20"/>
                <w:color w:val="auto"/>
              </w:rPr>
            </w:pPr>
            <w:r>
              <w:rPr>
                <w:rFonts w:ascii="Arial" w:cs="Arial" w:eastAsia="Arial" w:hAnsi="Arial"/>
                <w:sz w:val="18"/>
                <w:szCs w:val="18"/>
                <w:color w:val="auto"/>
              </w:rPr>
              <w:t>02/15/11</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rPr>
              <w:t>400</w:t>
            </w:r>
          </w:p>
        </w:tc>
        <w:tc>
          <w:tcPr>
            <w:tcW w:w="1420" w:type="dxa"/>
            <w:vAlign w:val="bottom"/>
            <w:gridSpan w:val="2"/>
          </w:tcPr>
          <w:p>
            <w:pPr>
              <w:jc w:val="right"/>
              <w:ind w:right="268"/>
              <w:spacing w:after="0" w:line="201" w:lineRule="exact"/>
              <w:rPr>
                <w:sz w:val="20"/>
                <w:szCs w:val="20"/>
                <w:color w:val="auto"/>
              </w:rPr>
            </w:pPr>
            <w:r>
              <w:rPr>
                <w:rFonts w:ascii="Arial" w:cs="Arial" w:eastAsia="Arial" w:hAnsi="Arial"/>
                <w:sz w:val="18"/>
                <w:szCs w:val="18"/>
                <w:color w:val="auto"/>
              </w:rPr>
              <w:t>10,132</w:t>
            </w:r>
          </w:p>
        </w:tc>
        <w:tc>
          <w:tcPr>
            <w:tcW w:w="820" w:type="dxa"/>
            <w:vAlign w:val="bottom"/>
            <w:gridSpan w:val="2"/>
          </w:tcPr>
          <w:p>
            <w:pPr>
              <w:jc w:val="right"/>
              <w:ind w:right="188"/>
              <w:spacing w:after="0" w:line="201"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880" w:type="dxa"/>
            <w:vAlign w:val="bottom"/>
            <w:gridSpan w:val="2"/>
          </w:tcPr>
          <w:p>
            <w:pPr>
              <w:jc w:val="right"/>
              <w:ind w:right="248"/>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01/01/99</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04/01/08</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5,000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26.88</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04/01/09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01/01/99</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04/01/11</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31.11</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04/01/12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01/01/99</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04/01/14</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36.01</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04/01/15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01/31/00</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04/01/09</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12.50</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04/01/10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01/31/01</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01/31/04</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2,133</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14.13</w:t>
            </w:r>
          </w:p>
        </w:tc>
        <w:tc>
          <w:tcPr>
            <w:tcW w:w="102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01/31/11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01/31/02</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01/31/05</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3,711</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21.84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01/31/12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08/01/04</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08/01/06</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4,000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08/01/04</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08/01/08</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4,000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08/01/04</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08/01/10</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08/01/04</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08/01/12</w:t>
            </w:r>
          </w:p>
        </w:tc>
        <w:tc>
          <w:tcPr>
            <w:tcW w:w="14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08/01/14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08/01/04</w:t>
            </w: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08/01/14</w:t>
            </w:r>
          </w:p>
        </w:tc>
        <w:tc>
          <w:tcPr>
            <w:tcW w:w="140" w:type="dxa"/>
            <w:vAlign w:val="bottom"/>
          </w:tcPr>
          <w:p>
            <w:pPr>
              <w:spacing w:after="0"/>
              <w:rPr>
                <w:sz w:val="20"/>
                <w:szCs w:val="20"/>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248"/>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30.64</w:t>
            </w:r>
          </w:p>
        </w:tc>
        <w:tc>
          <w:tcPr>
            <w:tcW w:w="1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08/01/15</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Patrick M.</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Webster</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02/08/08</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02/15/11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400</w:t>
            </w: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10,132</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01/01/98</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21.13</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04/30/10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01/01/98</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04/01/13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24.46</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04/30/13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01/31/01</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01/31/04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3,120</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14.13</w:t>
            </w:r>
          </w:p>
        </w:tc>
        <w:tc>
          <w:tcPr>
            <w:tcW w:w="1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01/31/11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01/31/02</w:t>
            </w:r>
          </w:p>
        </w:tc>
        <w:tc>
          <w:tcPr>
            <w:tcW w:w="10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01/31/05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2,403</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21.84</w:t>
            </w:r>
          </w:p>
        </w:tc>
        <w:tc>
          <w:tcPr>
            <w:tcW w:w="1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01/31/12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number and value of options exercised in 2008 by the Named Executives.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color w:val="auto"/>
                <w:w w:val="95"/>
              </w:rPr>
              <w:t>Option Awards</w:t>
            </w:r>
          </w:p>
        </w:tc>
        <w:tc>
          <w:tcPr>
            <w:tcW w:w="12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Stock Awards</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right="57"/>
              <w:spacing w:after="0" w:line="123" w:lineRule="exact"/>
              <w:rPr>
                <w:sz w:val="20"/>
                <w:szCs w:val="20"/>
                <w:color w:val="auto"/>
              </w:rPr>
            </w:pPr>
            <w:r>
              <w:rPr>
                <w:rFonts w:ascii="Arial" w:cs="Arial" w:eastAsia="Arial" w:hAnsi="Arial"/>
                <w:sz w:val="14"/>
                <w:szCs w:val="14"/>
                <w:color w:val="auto"/>
                <w:w w:val="91"/>
              </w:rPr>
              <w:t>Value Realized on</w:t>
            </w: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Number of Shares</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Exercise</w:t>
            </w: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 of Shares</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Value Realized</w:t>
            </w:r>
          </w:p>
        </w:tc>
      </w:tr>
      <w:tr>
        <w:trPr>
          <w:trHeight w:val="167"/>
        </w:trPr>
        <w:tc>
          <w:tcPr>
            <w:tcW w:w="20" w:type="dxa"/>
            <w:vAlign w:val="bottom"/>
          </w:tcPr>
          <w:p>
            <w:pPr>
              <w:spacing w:after="0"/>
              <w:rPr>
                <w:sz w:val="14"/>
                <w:szCs w:val="14"/>
                <w:color w:val="auto"/>
              </w:rPr>
            </w:pPr>
          </w:p>
        </w:tc>
        <w:tc>
          <w:tcPr>
            <w:tcW w:w="4020" w:type="dxa"/>
            <w:vAlign w:val="bottom"/>
            <w:tcBorders>
              <w:bottom w:val="single" w:sz="8" w:color="auto"/>
            </w:tcBorders>
          </w:tcPr>
          <w:p>
            <w:pPr>
              <w:ind w:left="1820"/>
              <w:spacing w:after="0"/>
              <w:rPr>
                <w:sz w:val="20"/>
                <w:szCs w:val="20"/>
                <w:color w:val="auto"/>
              </w:rPr>
            </w:pPr>
            <w:r>
              <w:rPr>
                <w:rFonts w:ascii="Arial" w:cs="Arial" w:eastAsia="Arial" w:hAnsi="Arial"/>
                <w:sz w:val="14"/>
                <w:szCs w:val="14"/>
                <w:color w:val="auto"/>
              </w:rPr>
              <w:t>Name</w:t>
            </w:r>
          </w:p>
        </w:tc>
        <w:tc>
          <w:tcPr>
            <w:tcW w:w="38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Acquired on Exercise</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3"/>
              </w:rPr>
              <w:t>(1)</w:t>
            </w:r>
          </w:p>
        </w:tc>
        <w:tc>
          <w:tcPr>
            <w:tcW w:w="6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Acquired on Vesting</w:t>
            </w:r>
          </w:p>
        </w:tc>
        <w:tc>
          <w:tcPr>
            <w:tcW w:w="640" w:type="dxa"/>
            <w:vAlign w:val="bottom"/>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on Vesting</w:t>
            </w:r>
          </w:p>
        </w:tc>
        <w:tc>
          <w:tcPr>
            <w:tcW w:w="2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$127,548</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William G. Currie</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300,983</w:t>
            </w: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 Scott Greene</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17,100</w:t>
            </w: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certain information relating to each deferred compensation plan that provides for the deferral of compensation on a basis that is not tax qualified. The aggregate balance amounts are based entirely on employee deferrals and earnings on these deferrals.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Company</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Aggregate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Executive</w:t>
            </w:r>
          </w:p>
        </w:tc>
        <w:tc>
          <w:tcPr>
            <w:tcW w:w="16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Contributions</w:t>
            </w: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Earnings in</w:t>
            </w:r>
          </w:p>
        </w:tc>
        <w:tc>
          <w:tcPr>
            <w:tcW w:w="28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Aggregate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at December 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Contributions</w:t>
            </w:r>
          </w:p>
        </w:tc>
        <w:tc>
          <w:tcPr>
            <w:tcW w:w="3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in 2008</w:t>
            </w:r>
          </w:p>
        </w:tc>
        <w:tc>
          <w:tcPr>
            <w:tcW w:w="980" w:type="dxa"/>
            <w:vAlign w:val="bottom"/>
          </w:tcPr>
          <w:p>
            <w:pPr>
              <w:jc w:val="right"/>
              <w:ind w:right="258"/>
              <w:spacing w:after="0" w:line="149" w:lineRule="exact"/>
              <w:rPr>
                <w:sz w:val="20"/>
                <w:szCs w:val="20"/>
                <w:color w:val="auto"/>
              </w:rPr>
            </w:pPr>
            <w:r>
              <w:rPr>
                <w:rFonts w:ascii="Arial" w:cs="Arial" w:eastAsia="Arial" w:hAnsi="Arial"/>
                <w:sz w:val="14"/>
                <w:szCs w:val="14"/>
                <w:color w:val="auto"/>
              </w:rPr>
              <w:t>2008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Withdrawals /</w:t>
            </w:r>
          </w:p>
        </w:tc>
        <w:tc>
          <w:tcPr>
            <w:tcW w:w="1460" w:type="dxa"/>
            <w:vAlign w:val="bottom"/>
          </w:tcPr>
          <w:p>
            <w:pPr>
              <w:jc w:val="right"/>
              <w:ind w:right="498"/>
              <w:spacing w:after="0" w:line="149"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1300"/>
              <w:spacing w:after="0"/>
              <w:rPr>
                <w:sz w:val="20"/>
                <w:szCs w:val="20"/>
                <w:color w:val="auto"/>
              </w:rPr>
            </w:pPr>
            <w:r>
              <w:rPr>
                <w:rFonts w:ascii="Arial" w:cs="Arial" w:eastAsia="Arial" w:hAnsi="Arial"/>
                <w:sz w:val="14"/>
                <w:szCs w:val="14"/>
                <w:color w:val="auto"/>
              </w:rPr>
              <w:t>Names</w:t>
            </w:r>
          </w:p>
        </w:tc>
        <w:tc>
          <w:tcPr>
            <w:tcW w:w="3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in 2008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58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80" w:type="dxa"/>
            <w:vAlign w:val="bottom"/>
            <w:gridSpan w:val="3"/>
          </w:tcPr>
          <w:p>
            <w:pPr>
              <w:jc w:val="center"/>
              <w:ind w:right="300"/>
              <w:spacing w:after="0"/>
              <w:rPr>
                <w:sz w:val="20"/>
                <w:szCs w:val="20"/>
                <w:color w:val="auto"/>
              </w:rPr>
            </w:pPr>
            <w:r>
              <w:rPr>
                <w:rFonts w:ascii="Arial" w:cs="Arial" w:eastAsia="Arial" w:hAnsi="Arial"/>
                <w:sz w:val="14"/>
                <w:szCs w:val="14"/>
                <w:color w:val="auto"/>
                <w:w w:val="96"/>
              </w:rPr>
              <w:t>Distributions in 2008</w:t>
            </w:r>
          </w:p>
        </w:tc>
        <w:tc>
          <w:tcPr>
            <w:tcW w:w="1460" w:type="dxa"/>
            <w:vAlign w:val="bottom"/>
          </w:tcPr>
          <w:p>
            <w:pPr>
              <w:jc w:val="right"/>
              <w:ind w:right="55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Michael B. Glenn</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($242,615)</w:t>
            </w:r>
          </w:p>
        </w:tc>
        <w:tc>
          <w:tcPr>
            <w:tcW w:w="2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994,491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William G. Currie</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(583,347)</w:t>
            </w:r>
          </w:p>
        </w:tc>
        <w:tc>
          <w:tcPr>
            <w:tcW w:w="208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2,028,070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(7,927)</w:t>
            </w:r>
          </w:p>
        </w:tc>
        <w:tc>
          <w:tcPr>
            <w:tcW w:w="2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 Scott Greene</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(98,243)</w:t>
            </w:r>
          </w:p>
        </w:tc>
        <w:tc>
          <w:tcPr>
            <w:tcW w:w="208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622,737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$9,166</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(76,571)</w:t>
            </w:r>
          </w:p>
        </w:tc>
        <w:tc>
          <w:tcPr>
            <w:tcW w:w="2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does not contribute to this Plan.</w:t>
      </w:r>
    </w:p>
    <w:p>
      <w:pPr>
        <w:spacing w:after="0" w:line="76"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are credited to the participant’s deferred account(s). The losses reflect the losses on various investments in the participant’s deferred compensation account(s), including investments in our common stock.</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amounts deferred under our 1985 deferral plan by Mr. Glenn and Mr. Currie.</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Deferred Compensation Plan allows key employees to defer a portion of their incentive bonus and base salary. The maximum amount a Named Executive can defer is $100,000 from incentive compensation and $10,000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Post-Employment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 Consulting and Non-Compete Agreement with Mr. Currie will commence on July 21, 2009. The severance package calls for three annual payments equal to the average of Mr. Currie’s base salary and bonus for the five years preceding the effective date. This amount is calculated at $1,182,311 per year. He will also receive a stipend for the purchase of health insurance during the contract term.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severance agreements for any of the other Named Executives.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Death, Disability, Retirement, or Change in Control</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quantifies the incremental amounts that would have been vested and become payable on December 27, 2008 to each Named Executive in the event of death, permanent disability, retirement, or change in control.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Change in</w:t>
            </w: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Retirement</w:t>
            </w: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7"/>
              </w:rPr>
              <w:t>Control</w:t>
            </w:r>
          </w:p>
        </w:tc>
      </w:tr>
      <w:tr>
        <w:trPr>
          <w:trHeight w:val="167"/>
        </w:trPr>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Benefit</w:t>
            </w:r>
          </w:p>
        </w:tc>
        <w:tc>
          <w:tcPr>
            <w:tcW w:w="380" w:type="dxa"/>
            <w:vAlign w:val="bottom"/>
          </w:tcPr>
          <w:p>
            <w:pPr>
              <w:spacing w:after="0"/>
              <w:rPr>
                <w:sz w:val="14"/>
                <w:szCs w:val="14"/>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Death</w:t>
            </w:r>
          </w:p>
        </w:tc>
        <w:tc>
          <w:tcPr>
            <w:tcW w:w="360" w:type="dxa"/>
            <w:vAlign w:val="bottom"/>
          </w:tcPr>
          <w:p>
            <w:pPr>
              <w:spacing w:after="0"/>
              <w:rPr>
                <w:sz w:val="14"/>
                <w:szCs w:val="14"/>
                <w:color w:val="auto"/>
              </w:rPr>
            </w:pPr>
          </w:p>
        </w:tc>
        <w:tc>
          <w:tcPr>
            <w:tcW w:w="1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Disability</w:t>
            </w:r>
          </w:p>
        </w:tc>
        <w:tc>
          <w:tcPr>
            <w:tcW w:w="380" w:type="dxa"/>
            <w:vAlign w:val="bottom"/>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w:t>
            </w:r>
          </w:p>
        </w:tc>
      </w:tr>
      <w:tr>
        <w:trPr>
          <w:trHeight w:val="210"/>
        </w:trPr>
        <w:tc>
          <w:tcPr>
            <w:tcW w:w="20" w:type="dxa"/>
            <w:vAlign w:val="bottom"/>
          </w:tcPr>
          <w:p>
            <w:pPr>
              <w:spacing w:after="0"/>
              <w:rPr>
                <w:sz w:val="18"/>
                <w:szCs w:val="18"/>
                <w:color w:val="auto"/>
              </w:rPr>
            </w:pPr>
          </w:p>
        </w:tc>
        <w:tc>
          <w:tcPr>
            <w:tcW w:w="186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92"/>
              </w:rPr>
              <w:t>Michael B. Glenn (3)</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765,749</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765,749</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765,749</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$1,531,497</w:t>
            </w: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(5)</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 Restricted Stock</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10,132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Unexercisable Options</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407,355</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407,355</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407,355</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407,355</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20,700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1,203,936</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1,203,936</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1,203,936</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1,969,684</w:t>
            </w:r>
          </w:p>
        </w:tc>
      </w:tr>
      <w:tr>
        <w:trPr>
          <w:trHeight w:val="202"/>
        </w:trPr>
        <w:tc>
          <w:tcPr>
            <w:tcW w:w="20" w:type="dxa"/>
            <w:vAlign w:val="bottom"/>
          </w:tcPr>
          <w:p>
            <w:pPr>
              <w:spacing w:after="0"/>
              <w:rPr>
                <w:sz w:val="17"/>
                <w:szCs w:val="17"/>
                <w:color w:val="auto"/>
              </w:rPr>
            </w:pPr>
          </w:p>
        </w:tc>
        <w:tc>
          <w:tcPr>
            <w:tcW w:w="640" w:type="dxa"/>
            <w:vAlign w:val="bottom"/>
          </w:tcPr>
          <w:p>
            <w:pPr>
              <w:ind w:left="120"/>
              <w:spacing w:after="0" w:line="201" w:lineRule="exact"/>
              <w:rPr>
                <w:sz w:val="20"/>
                <w:szCs w:val="20"/>
                <w:color w:val="auto"/>
              </w:rPr>
            </w:pPr>
            <w:r>
              <w:rPr>
                <w:rFonts w:ascii="Arial" w:cs="Arial" w:eastAsia="Arial" w:hAnsi="Arial"/>
                <w:sz w:val="18"/>
                <w:szCs w:val="18"/>
                <w:color w:val="auto"/>
                <w:w w:val="86"/>
              </w:rPr>
              <w:t>William</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w w:val="71"/>
              </w:rPr>
              <w:t>G</w:t>
            </w:r>
          </w:p>
        </w:tc>
        <w:tc>
          <w:tcPr>
            <w:tcW w:w="640" w:type="dxa"/>
            <w:vAlign w:val="bottom"/>
          </w:tcPr>
          <w:p>
            <w:pPr>
              <w:ind w:left="60"/>
              <w:spacing w:after="0" w:line="201" w:lineRule="exact"/>
              <w:rPr>
                <w:sz w:val="20"/>
                <w:szCs w:val="20"/>
                <w:color w:val="auto"/>
              </w:rPr>
            </w:pPr>
            <w:r>
              <w:rPr>
                <w:rFonts w:ascii="Arial" w:cs="Arial" w:eastAsia="Arial" w:hAnsi="Arial"/>
                <w:sz w:val="18"/>
                <w:szCs w:val="18"/>
                <w:color w:val="auto"/>
              </w:rPr>
              <w:t>Currie</w:t>
            </w:r>
          </w:p>
        </w:tc>
        <w:tc>
          <w:tcPr>
            <w:tcW w:w="3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(6)</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Cash Severance (4)</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1,182,311</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1,182,311</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1,182,311</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1,182,311</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Equity: (5)</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 Restricted Stock</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253,300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253,300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253,300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253,300</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519,900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519,900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519,900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519,900</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Health and Welfare</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41,400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41,400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41,400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41,400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1,996,911</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1,996,911</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1,996,911</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1,996,911</w:t>
            </w:r>
          </w:p>
        </w:tc>
      </w:tr>
      <w:tr>
        <w:trPr>
          <w:trHeight w:val="216"/>
        </w:trPr>
        <w:tc>
          <w:tcPr>
            <w:tcW w:w="20" w:type="dxa"/>
            <w:vAlign w:val="bottom"/>
          </w:tcPr>
          <w:p>
            <w:pPr>
              <w:spacing w:after="0"/>
              <w:rPr>
                <w:sz w:val="18"/>
                <w:szCs w:val="18"/>
                <w:color w:val="auto"/>
              </w:rPr>
            </w:pPr>
          </w:p>
        </w:tc>
        <w:tc>
          <w:tcPr>
            <w:tcW w:w="1860" w:type="dxa"/>
            <w:vAlign w:val="bottom"/>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92"/>
              </w:rPr>
              <w:t>Michael R. Cole</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240,000</w:t>
            </w: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(5)</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 Restricted Stock</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10,132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Unexercisable Options</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40,050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40,050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40,050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40,050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20,700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430,882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430,882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430,882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310,882</w:t>
            </w:r>
          </w:p>
        </w:tc>
      </w:tr>
      <w:tr>
        <w:trPr>
          <w:trHeight w:val="202"/>
        </w:trPr>
        <w:tc>
          <w:tcPr>
            <w:tcW w:w="20" w:type="dxa"/>
            <w:vAlign w:val="bottom"/>
          </w:tcPr>
          <w:p>
            <w:pPr>
              <w:spacing w:after="0"/>
              <w:rPr>
                <w:sz w:val="17"/>
                <w:szCs w:val="17"/>
                <w:color w:val="auto"/>
              </w:rPr>
            </w:pPr>
          </w:p>
        </w:tc>
        <w:tc>
          <w:tcPr>
            <w:tcW w:w="1860" w:type="dxa"/>
            <w:vAlign w:val="bottom"/>
            <w:gridSpan w:val="4"/>
          </w:tcPr>
          <w:p>
            <w:pPr>
              <w:jc w:val="center"/>
              <w:ind w:right="360"/>
              <w:spacing w:after="0" w:line="201" w:lineRule="exact"/>
              <w:rPr>
                <w:sz w:val="20"/>
                <w:szCs w:val="20"/>
                <w:color w:val="auto"/>
              </w:rPr>
            </w:pPr>
            <w:r>
              <w:rPr>
                <w:rFonts w:ascii="Arial" w:cs="Arial" w:eastAsia="Arial" w:hAnsi="Arial"/>
                <w:sz w:val="18"/>
                <w:szCs w:val="18"/>
                <w:color w:val="auto"/>
                <w:w w:val="88"/>
              </w:rPr>
              <w:t>C. Scott Greene</w:t>
            </w: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Cash Severance (4)</w:t>
            </w:r>
          </w:p>
        </w:tc>
        <w:tc>
          <w:tcPr>
            <w:tcW w:w="1580" w:type="dxa"/>
            <w:vAlign w:val="bottom"/>
            <w:gridSpan w:val="2"/>
          </w:tcPr>
          <w:p>
            <w:pPr>
              <w:jc w:val="right"/>
              <w:ind w:right="168"/>
              <w:spacing w:after="0" w:line="201" w:lineRule="exact"/>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567,782</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Equity: (5)</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 Restricted Stock</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10,132</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10,132</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Unexercisable Options</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51,320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51,320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51,320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51,320</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Health and Welfare</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20,700</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20,700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507,989</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507,989</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507,989</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649,934</w:t>
            </w:r>
          </w:p>
        </w:tc>
      </w:tr>
      <w:tr>
        <w:trPr>
          <w:trHeight w:val="216"/>
        </w:trPr>
        <w:tc>
          <w:tcPr>
            <w:tcW w:w="20" w:type="dxa"/>
            <w:vAlign w:val="bottom"/>
          </w:tcPr>
          <w:p>
            <w:pPr>
              <w:spacing w:after="0"/>
              <w:rPr>
                <w:sz w:val="18"/>
                <w:szCs w:val="18"/>
                <w:color w:val="auto"/>
              </w:rPr>
            </w:pPr>
          </w:p>
        </w:tc>
        <w:tc>
          <w:tcPr>
            <w:tcW w:w="186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2"/>
              </w:rPr>
              <w:t>Patrick M. Webster</w:t>
            </w: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(4)</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382,500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382,500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382,500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510,000</w:t>
            </w: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(5)</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 Restricted Stock</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10,132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10,132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Unexercisable Options</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25,350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25,350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25,350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25,350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Health and Welfare</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20,700</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20,700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438,682</w:t>
            </w:r>
          </w:p>
        </w:tc>
        <w:tc>
          <w:tcPr>
            <w:tcW w:w="15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438,682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438,682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566,182</w:t>
            </w: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80" w:type="dxa"/>
            <w:vAlign w:val="bottom"/>
            <w:gridSpan w:val="2"/>
          </w:tcPr>
          <w:p>
            <w:pPr>
              <w:jc w:val="right"/>
              <w:ind w:right="828"/>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w:t>
      </w:r>
    </w:p>
    <w:p>
      <w:pPr>
        <w:spacing w:after="0" w:line="76"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Company has a change in control policy which provides payments to certain executives who would likely be subject to job loss or significant change in job duties upon a change in control. Mr. Glenn would have received three years of salary, Mr. Greene and Mr. Webster would have received two years of salary, and Mr. Cole would have received one year of salary.</w:t>
      </w:r>
    </w:p>
    <w:p>
      <w:pPr>
        <w:spacing w:after="0" w:line="32" w:lineRule="exact"/>
        <w:rPr>
          <w:rFonts w:ascii="Arial" w:cs="Arial" w:eastAsia="Arial" w:hAnsi="Arial"/>
          <w:sz w:val="18"/>
          <w:szCs w:val="18"/>
          <w:color w:val="auto"/>
        </w:rPr>
      </w:pPr>
    </w:p>
    <w:p>
      <w:pPr>
        <w:ind w:left="460" w:right="16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accordance with our Company’s practice, Mr. Glenn and the Personnel and Compensation Committee will determine an appropriate severance package commensurate with his service to the Company at an appropriate time. Amounts listed for Mr. Glenn are based on the standard officer policy.</w:t>
      </w:r>
    </w:p>
    <w:p>
      <w:pPr>
        <w:spacing w:after="0" w:line="1" w:lineRule="exact"/>
        <w:rPr>
          <w:rFonts w:ascii="Arial" w:cs="Arial" w:eastAsia="Arial" w:hAnsi="Arial"/>
          <w:sz w:val="16"/>
          <w:szCs w:val="16"/>
          <w:color w:val="auto"/>
        </w:rPr>
      </w:pPr>
    </w:p>
    <w:p>
      <w:pPr>
        <w:ind w:left="460" w:right="24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none of our Named Executives has an employment agreement with our Company, our Board has approved a severance policy for officers who have been employed by our Company for twenty years and officers for ten years. Upon death, permanent disability, or approved retirement, Named Executives will receive three annual cash payments, with each payment equal to one-half the base salary for the period prior to the separation, plus payments for COBRA coverage for 18 months. The payments for COBRA are listed in the Health and Welfare line on the table. Mr. Greene and Mr. Cole have not yet met the service requirements of the policy, so payments upon death, disability, or approved retirement would be at the sole discretion of the Personnel and Compensation Committee.</w:t>
      </w:r>
    </w:p>
    <w:p>
      <w:pPr>
        <w:spacing w:after="0" w:line="44"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awards and stock options which are already vested are not included. Earned but unpaid cash bonuses are not included in this table. Unexercisable stock options are shown at the market value on December 27, 2008, less the exercise price.</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Currie has entered into a Consulting and Non-Compete Agreement which begins in July 2009. The payments listed are specified in that agreement and disclosed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information regarding the compensation earned by or awarded to each non-employee director who served on our Board in 2008. Messrs. Currie and Glenn are not separately compensated for their service as directors.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Fees Earned or</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32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color w:val="auto"/>
              </w:rPr>
              <w:t>Non-Equity</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Paid in Cash</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Awards</w:t>
            </w:r>
          </w:p>
        </w:tc>
        <w:tc>
          <w:tcPr>
            <w:tcW w:w="180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Incentive Plan</w:t>
            </w:r>
          </w:p>
        </w:tc>
        <w:tc>
          <w:tcPr>
            <w:tcW w:w="194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tcPr>
          <w:p>
            <w:pPr>
              <w:ind w:left="1420"/>
              <w:spacing w:after="0"/>
              <w:rPr>
                <w:sz w:val="20"/>
                <w:szCs w:val="20"/>
                <w:color w:val="auto"/>
              </w:rPr>
            </w:pPr>
            <w:r>
              <w:rPr>
                <w:rFonts w:ascii="Arial" w:cs="Arial" w:eastAsia="Arial" w:hAnsi="Arial"/>
                <w:sz w:val="14"/>
                <w:szCs w:val="14"/>
                <w:color w:val="auto"/>
              </w:rPr>
              <w:t>Names</w:t>
            </w: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color w:val="auto"/>
                <w:w w:val="90"/>
              </w:rPr>
              <w:t>Compensation</w:t>
            </w:r>
          </w:p>
        </w:tc>
        <w:tc>
          <w:tcPr>
            <w:tcW w:w="1940" w:type="dxa"/>
            <w:vAlign w:val="bottom"/>
            <w:gridSpan w:val="2"/>
          </w:tcPr>
          <w:p>
            <w:pPr>
              <w:jc w:val="right"/>
              <w:ind w:right="900"/>
              <w:spacing w:after="0"/>
              <w:rPr>
                <w:sz w:val="20"/>
                <w:szCs w:val="20"/>
                <w:color w:val="auto"/>
              </w:rPr>
            </w:pPr>
            <w:r>
              <w:rPr>
                <w:rFonts w:ascii="Arial" w:cs="Arial" w:eastAsia="Arial" w:hAnsi="Arial"/>
                <w:sz w:val="14"/>
                <w:szCs w:val="14"/>
                <w:color w:val="auto"/>
              </w:rPr>
              <w:t>Compensation</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Dan M. Dutton</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$46,294</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$11,0920</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$ 75,694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John M. Engler</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43,000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5,546</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John W. Garside</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48,517</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8,319</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Gary F. Goode (3)</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70,605</w:t>
            </w:r>
          </w:p>
        </w:tc>
        <w:tc>
          <w:tcPr>
            <w:tcW w:w="840" w:type="dxa"/>
            <w:vAlign w:val="bottom"/>
          </w:tcPr>
          <w:p>
            <w:pPr>
              <w:jc w:val="right"/>
              <w:spacing w:after="0"/>
              <w:rPr>
                <w:sz w:val="20"/>
                <w:szCs w:val="20"/>
                <w:color w:val="auto"/>
              </w:rPr>
            </w:pPr>
            <w:r>
              <w:rPr>
                <w:rFonts w:ascii="Arial" w:cs="Arial" w:eastAsia="Arial" w:hAnsi="Arial"/>
                <w:sz w:val="18"/>
                <w:szCs w:val="18"/>
                <w:color w:val="auto"/>
              </w:rPr>
              <w:t>11,092</w:t>
            </w:r>
          </w:p>
        </w:tc>
        <w:tc>
          <w:tcPr>
            <w:tcW w:w="340" w:type="dxa"/>
            <w:vAlign w:val="bottom"/>
          </w:tcPr>
          <w:p>
            <w:pPr>
              <w:spacing w:after="0"/>
              <w:rPr>
                <w:sz w:val="18"/>
                <w:szCs w:val="18"/>
                <w:color w:val="auto"/>
              </w:rPr>
            </w:pP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Mark A. Murray</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48,577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3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William R. Payne</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20,500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Peter F. Secchia</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39,000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$238,816(4)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Louis A. Smith</w:t>
            </w: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50,807</w:t>
            </w:r>
          </w:p>
        </w:tc>
        <w:tc>
          <w:tcPr>
            <w:tcW w:w="840" w:type="dxa"/>
            <w:vAlign w:val="bottom"/>
          </w:tcPr>
          <w:p>
            <w:pPr>
              <w:jc w:val="right"/>
              <w:spacing w:after="0"/>
              <w:rPr>
                <w:sz w:val="20"/>
                <w:szCs w:val="20"/>
                <w:color w:val="auto"/>
              </w:rPr>
            </w:pPr>
            <w:r>
              <w:rPr>
                <w:rFonts w:ascii="Arial" w:cs="Arial" w:eastAsia="Arial" w:hAnsi="Arial"/>
                <w:sz w:val="18"/>
                <w:szCs w:val="18"/>
                <w:color w:val="auto"/>
              </w:rPr>
              <w:t>11,092</w:t>
            </w:r>
          </w:p>
        </w:tc>
        <w:tc>
          <w:tcPr>
            <w:tcW w:w="340" w:type="dxa"/>
            <w:vAlign w:val="bottom"/>
          </w:tcPr>
          <w:p>
            <w:pPr>
              <w:spacing w:after="0"/>
              <w:rPr>
                <w:sz w:val="20"/>
                <w:szCs w:val="20"/>
                <w:color w:val="auto"/>
              </w:rPr>
            </w:pP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80,207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who is not an employee of our Company receives a $35,000 annual retainer fee and $1,000 for attendance at each regular and special meeting of the Board, and $1,000 for each committee meeting they attend. Each director who is not an employee of our Company may participate in the Director Retainer Stock Plan (the “DRSP”). The DRSP provides that each director may elect to receive Company stock, on a deferred basis, in lieu of cash compensation for the director’s retainer and meeting fees.</w:t>
      </w:r>
    </w:p>
    <w:p>
      <w:pPr>
        <w:spacing w:after="0" w:line="38" w:lineRule="exact"/>
        <w:rPr>
          <w:rFonts w:ascii="Arial" w:cs="Arial" w:eastAsia="Arial" w:hAnsi="Arial"/>
          <w:sz w:val="18"/>
          <w:szCs w:val="18"/>
          <w:color w:val="auto"/>
        </w:rPr>
      </w:pPr>
    </w:p>
    <w:p>
      <w:pPr>
        <w:ind w:left="460" w:right="260" w:hanging="452"/>
        <w:spacing w:after="0" w:line="30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set forth in this column represent the amounts recognized as compensation expense in fiscal 2008 for financial reporting purposes in accordance with FAS 123R. The assumptions used in calculating these amounts are set forth in the notes to our consolidated financial statements for 2008 in the stock-based compensation section, included in our Annual Report on Form 10-K. Each director who is not an employee of our Company receives 100 shares of common stock for each Board meeting they attend, up to a maximum of 400 shares per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Goode is Chairman of the Audit Committee and receives an additional $20,000 per year for serving in that capacity.</w:t>
      </w:r>
    </w:p>
    <w:p>
      <w:pPr>
        <w:spacing w:after="0" w:line="76"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2008, Mr. Secchia received $150,000 pursuant to his non-compete agreement and $88,816 as a payout on a deferred compensation plan from amounts deferred in prior years.</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director is also entitled to reimbursement for his or her reasonable out-of-pocket expenses incurred in connection with travel to and from, and attendance at, meetings of our Board or its committees and related activities, including director education courses and materials. Each director is required to own a minimum of 1,000 shares of our Company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27, 2008.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ind w:left="380"/>
              <w:spacing w:after="0"/>
              <w:rPr>
                <w:sz w:val="20"/>
                <w:szCs w:val="20"/>
                <w:color w:val="auto"/>
              </w:rPr>
            </w:pPr>
            <w:r>
              <w:rPr>
                <w:rFonts w:ascii="Arial" w:cs="Arial" w:eastAsia="Arial" w:hAnsi="Arial"/>
                <w:sz w:val="14"/>
                <w:szCs w:val="14"/>
                <w:color w:val="auto"/>
              </w:rPr>
              <w:t>Number of shares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remaining available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3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Number of</w:t>
            </w:r>
          </w:p>
        </w:tc>
        <w:tc>
          <w:tcPr>
            <w:tcW w:w="1560" w:type="dxa"/>
            <w:vAlign w:val="bottom"/>
          </w:tcPr>
          <w:p>
            <w:pPr>
              <w:ind w:left="380"/>
              <w:spacing w:after="0" w:line="149" w:lineRule="exact"/>
              <w:rPr>
                <w:sz w:val="20"/>
                <w:szCs w:val="20"/>
                <w:color w:val="auto"/>
              </w:rPr>
            </w:pPr>
            <w:r>
              <w:rPr>
                <w:rFonts w:ascii="Arial" w:cs="Arial" w:eastAsia="Arial" w:hAnsi="Arial"/>
                <w:sz w:val="14"/>
                <w:szCs w:val="14"/>
                <w:color w:val="auto"/>
              </w:rPr>
              <w:t>Weighted</w:t>
            </w: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for future issuance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3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shares to be</w:t>
            </w:r>
          </w:p>
        </w:tc>
        <w:tc>
          <w:tcPr>
            <w:tcW w:w="1560" w:type="dxa"/>
            <w:vAlign w:val="bottom"/>
          </w:tcPr>
          <w:p>
            <w:pPr>
              <w:ind w:left="380"/>
              <w:spacing w:after="0" w:line="149" w:lineRule="exact"/>
              <w:rPr>
                <w:sz w:val="20"/>
                <w:szCs w:val="20"/>
                <w:color w:val="auto"/>
              </w:rPr>
            </w:pPr>
            <w:r>
              <w:rPr>
                <w:rFonts w:ascii="Arial" w:cs="Arial" w:eastAsia="Arial" w:hAnsi="Arial"/>
                <w:sz w:val="14"/>
                <w:szCs w:val="14"/>
                <w:color w:val="auto"/>
              </w:rPr>
              <w:t>average</w:t>
            </w: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under equity</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3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issued upon</w:t>
            </w:r>
          </w:p>
        </w:tc>
        <w:tc>
          <w:tcPr>
            <w:tcW w:w="1560" w:type="dxa"/>
            <w:vAlign w:val="bottom"/>
          </w:tcPr>
          <w:p>
            <w:pPr>
              <w:ind w:left="380"/>
              <w:spacing w:after="0" w:line="149" w:lineRule="exact"/>
              <w:rPr>
                <w:sz w:val="20"/>
                <w:szCs w:val="20"/>
                <w:color w:val="auto"/>
              </w:rPr>
            </w:pPr>
            <w:r>
              <w:rPr>
                <w:rFonts w:ascii="Arial" w:cs="Arial" w:eastAsia="Arial" w:hAnsi="Arial"/>
                <w:sz w:val="14"/>
                <w:szCs w:val="14"/>
                <w:color w:val="auto"/>
              </w:rPr>
              <w:t>exercise price</w:t>
            </w: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3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exercise of</w:t>
            </w:r>
          </w:p>
        </w:tc>
        <w:tc>
          <w:tcPr>
            <w:tcW w:w="1560" w:type="dxa"/>
            <w:vAlign w:val="bottom"/>
          </w:tcPr>
          <w:p>
            <w:pPr>
              <w:ind w:left="380"/>
              <w:spacing w:after="0" w:line="149" w:lineRule="exact"/>
              <w:rPr>
                <w:sz w:val="20"/>
                <w:szCs w:val="20"/>
                <w:color w:val="auto"/>
              </w:rPr>
            </w:pPr>
            <w:r>
              <w:rPr>
                <w:rFonts w:ascii="Arial" w:cs="Arial" w:eastAsia="Arial" w:hAnsi="Arial"/>
                <w:sz w:val="14"/>
                <w:szCs w:val="14"/>
                <w:color w:val="auto"/>
              </w:rPr>
              <w:t>of</w:t>
            </w: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plans [excluding</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3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outstanding</w:t>
            </w:r>
          </w:p>
        </w:tc>
        <w:tc>
          <w:tcPr>
            <w:tcW w:w="1560" w:type="dxa"/>
            <w:vAlign w:val="bottom"/>
          </w:tcPr>
          <w:p>
            <w:pPr>
              <w:ind w:left="380"/>
              <w:spacing w:after="0" w:line="149" w:lineRule="exact"/>
              <w:rPr>
                <w:sz w:val="20"/>
                <w:szCs w:val="20"/>
                <w:color w:val="auto"/>
              </w:rPr>
            </w:pPr>
            <w:r>
              <w:rPr>
                <w:rFonts w:ascii="Arial" w:cs="Arial" w:eastAsia="Arial" w:hAnsi="Arial"/>
                <w:sz w:val="14"/>
                <w:szCs w:val="14"/>
                <w:color w:val="auto"/>
              </w:rPr>
              <w:t>outstanding</w:t>
            </w:r>
          </w:p>
        </w:tc>
        <w:tc>
          <w:tcPr>
            <w:tcW w:w="2000" w:type="dxa"/>
            <w:vAlign w:val="bottom"/>
          </w:tcPr>
          <w:p>
            <w:pPr>
              <w:ind w:left="380"/>
              <w:spacing w:after="0" w:line="149" w:lineRule="exact"/>
              <w:rPr>
                <w:sz w:val="20"/>
                <w:szCs w:val="20"/>
                <w:color w:val="auto"/>
              </w:rPr>
            </w:pPr>
            <w:r>
              <w:rPr>
                <w:rFonts w:ascii="Arial" w:cs="Arial" w:eastAsia="Arial" w:hAnsi="Arial"/>
                <w:sz w:val="14"/>
                <w:szCs w:val="14"/>
                <w:color w:val="auto"/>
              </w:rPr>
              <w:t>shares reflected in</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2380" w:type="dxa"/>
            <w:vAlign w:val="bottom"/>
            <w:gridSpan w:val="2"/>
          </w:tcPr>
          <w:p>
            <w:pPr>
              <w:ind w:left="1140"/>
              <w:spacing w:after="0"/>
              <w:rPr>
                <w:sz w:val="20"/>
                <w:szCs w:val="20"/>
                <w:color w:val="auto"/>
              </w:rPr>
            </w:pPr>
            <w:r>
              <w:rPr>
                <w:rFonts w:ascii="Arial" w:cs="Arial" w:eastAsia="Arial" w:hAnsi="Arial"/>
                <w:sz w:val="14"/>
                <w:szCs w:val="14"/>
                <w:color w:val="auto"/>
              </w:rPr>
              <w:t>options</w:t>
            </w:r>
          </w:p>
        </w:tc>
        <w:tc>
          <w:tcPr>
            <w:tcW w:w="1560" w:type="dxa"/>
            <w:vAlign w:val="bottom"/>
          </w:tcPr>
          <w:p>
            <w:pPr>
              <w:ind w:left="380"/>
              <w:spacing w:after="0"/>
              <w:rPr>
                <w:sz w:val="20"/>
                <w:szCs w:val="20"/>
                <w:color w:val="auto"/>
              </w:rPr>
            </w:pPr>
            <w:r>
              <w:rPr>
                <w:rFonts w:ascii="Arial" w:cs="Arial" w:eastAsia="Arial" w:hAnsi="Arial"/>
                <w:sz w:val="14"/>
                <w:szCs w:val="14"/>
                <w:color w:val="auto"/>
              </w:rPr>
              <w:t>options</w:t>
            </w:r>
          </w:p>
        </w:tc>
        <w:tc>
          <w:tcPr>
            <w:tcW w:w="2000" w:type="dxa"/>
            <w:vAlign w:val="bottom"/>
          </w:tcPr>
          <w:p>
            <w:pPr>
              <w:ind w:left="380"/>
              <w:spacing w:after="0"/>
              <w:rPr>
                <w:sz w:val="20"/>
                <w:szCs w:val="20"/>
                <w:color w:val="auto"/>
              </w:rPr>
            </w:pPr>
            <w:r>
              <w:rPr>
                <w:rFonts w:ascii="Arial" w:cs="Arial" w:eastAsia="Arial" w:hAnsi="Arial"/>
                <w:sz w:val="14"/>
                <w:szCs w:val="14"/>
                <w:color w:val="auto"/>
              </w:rPr>
              <w:t>column (a)]</w:t>
            </w:r>
          </w:p>
        </w:tc>
        <w:tc>
          <w:tcPr>
            <w:tcW w:w="0" w:type="dxa"/>
            <w:vAlign w:val="bottom"/>
          </w:tcPr>
          <w:p>
            <w:pPr>
              <w:spacing w:after="0"/>
              <w:rPr>
                <w:sz w:val="1"/>
                <w:szCs w:val="1"/>
                <w:color w:val="auto"/>
              </w:rPr>
            </w:pPr>
          </w:p>
        </w:tc>
      </w:tr>
      <w:tr>
        <w:trPr>
          <w:trHeight w:val="156"/>
        </w:trPr>
        <w:tc>
          <w:tcPr>
            <w:tcW w:w="5480" w:type="dxa"/>
            <w:vAlign w:val="bottom"/>
            <w:vMerge w:val="restart"/>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4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(a)</w:t>
            </w:r>
          </w:p>
        </w:tc>
        <w:tc>
          <w:tcPr>
            <w:tcW w:w="156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(b)</w:t>
            </w:r>
          </w:p>
        </w:tc>
        <w:tc>
          <w:tcPr>
            <w:tcW w:w="2000" w:type="dxa"/>
            <w:vAlign w:val="bottom"/>
            <w:tcBorders>
              <w:top w:val="single" w:sz="8" w:color="auto"/>
              <w:bottom w:val="single" w:sz="8" w:color="auto"/>
            </w:tcBorders>
          </w:tcPr>
          <w:p>
            <w:pPr>
              <w:ind w:left="1100"/>
              <w:spacing w:after="0" w:line="155"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600,047</w:t>
            </w:r>
          </w:p>
        </w:tc>
        <w:tc>
          <w:tcPr>
            <w:tcW w:w="1560" w:type="dxa"/>
            <w:vAlign w:val="bottom"/>
          </w:tcPr>
          <w:p>
            <w:pPr>
              <w:ind w:left="640"/>
              <w:spacing w:after="0"/>
              <w:rPr>
                <w:sz w:val="20"/>
                <w:szCs w:val="20"/>
                <w:color w:val="auto"/>
              </w:rPr>
            </w:pPr>
            <w:r>
              <w:rPr>
                <w:rFonts w:ascii="Arial" w:cs="Arial" w:eastAsia="Arial" w:hAnsi="Arial"/>
                <w:sz w:val="18"/>
                <w:szCs w:val="18"/>
                <w:color w:val="auto"/>
              </w:rPr>
              <w:t>$22.16</w:t>
            </w:r>
          </w:p>
        </w:tc>
        <w:tc>
          <w:tcPr>
            <w:tcW w:w="2000" w:type="dxa"/>
            <w:vAlign w:val="bottom"/>
          </w:tcPr>
          <w:p>
            <w:pPr>
              <w:ind w:left="840"/>
              <w:spacing w:after="0"/>
              <w:rPr>
                <w:sz w:val="20"/>
                <w:szCs w:val="20"/>
                <w:color w:val="auto"/>
              </w:rPr>
            </w:pPr>
            <w:r>
              <w:rPr>
                <w:rFonts w:ascii="Arial" w:cs="Arial" w:eastAsia="Arial" w:hAnsi="Arial"/>
                <w:sz w:val="18"/>
                <w:szCs w:val="18"/>
                <w:color w:val="auto"/>
              </w:rPr>
              <w:t>1,632,247</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40" w:type="dxa"/>
            <w:vAlign w:val="bottom"/>
          </w:tcPr>
          <w:p>
            <w:pPr>
              <w:spacing w:after="0"/>
              <w:rPr>
                <w:sz w:val="20"/>
                <w:szCs w:val="20"/>
                <w:color w:val="auto"/>
              </w:rPr>
            </w:pPr>
          </w:p>
        </w:tc>
        <w:tc>
          <w:tcPr>
            <w:tcW w:w="1240" w:type="dxa"/>
            <w:vAlign w:val="bottom"/>
          </w:tcPr>
          <w:p>
            <w:pPr>
              <w:jc w:val="center"/>
              <w:ind w:right="16"/>
              <w:spacing w:after="0"/>
              <w:rPr>
                <w:sz w:val="20"/>
                <w:szCs w:val="20"/>
                <w:color w:val="auto"/>
              </w:rPr>
            </w:pPr>
            <w:r>
              <w:rPr>
                <w:rFonts w:ascii="Arial" w:cs="Arial" w:eastAsia="Arial" w:hAnsi="Arial"/>
                <w:sz w:val="18"/>
                <w:szCs w:val="18"/>
                <w:color w:val="auto"/>
                <w:w w:val="84"/>
              </w:rPr>
              <w:t>none</w:t>
            </w: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PERSONNEL AND COMPENSATION COMMITTEE REPORT</w:t>
      </w:r>
    </w:p>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primary purpose of the Personnel and Compensation Committee of the Board of Directors is to assist the Board in discharging its responsibilities related to the compensation of our Company’s executives. The Committee’s responsibilities are more fully described in its charter, which is available on our website.</w:t>
      </w:r>
    </w:p>
    <w:p>
      <w:pPr>
        <w:spacing w:after="0" w:line="83"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At the meeting of the Personnel and Compensation Committee on January 21, 2009, the Committee reviewed and discussed our Compensation Discussion and Analysis with management. Based on that review and those discussions, the Committee recommended to our Board of Directors that the Compensation Discussion and Analysis be included in our Proxy Statement relative to our 2009 Annual Meeting of Shareholders.</w:t>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W. Garside,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M. Engler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February 23, 2009, the Audit Committee (the “Committee”) submitted to the Board of Directors the following report: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reviewed and discussed with management the Company’s audited financial statements as of and for the year ended December 27, 2008.</w:t>
      </w:r>
    </w:p>
    <w:p>
      <w:pPr>
        <w:spacing w:after="0" w:line="14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Committee has discussed with the independent auditors the matters required to be discussed by Statement on Auditing Standards No. 61, </w:t>
      </w:r>
      <w:r>
        <w:rPr>
          <w:rFonts w:ascii="Arial" w:cs="Arial" w:eastAsia="Arial" w:hAnsi="Arial"/>
          <w:sz w:val="17"/>
          <w:szCs w:val="17"/>
          <w:i w:val="1"/>
          <w:iCs w:val="1"/>
          <w:color w:val="auto"/>
        </w:rPr>
        <w:t>Communication</w:t>
      </w:r>
      <w:r>
        <w:rPr>
          <w:rFonts w:ascii="Arial" w:cs="Arial" w:eastAsia="Arial" w:hAnsi="Arial"/>
          <w:sz w:val="17"/>
          <w:szCs w:val="17"/>
          <w:color w:val="auto"/>
        </w:rPr>
        <w:t xml:space="preserve"> </w:t>
      </w:r>
      <w:r>
        <w:rPr>
          <w:rFonts w:ascii="Arial" w:cs="Arial" w:eastAsia="Arial" w:hAnsi="Arial"/>
          <w:sz w:val="17"/>
          <w:szCs w:val="17"/>
          <w:i w:val="1"/>
          <w:iCs w:val="1"/>
          <w:color w:val="auto"/>
        </w:rPr>
        <w:t>with Audit Committees</w:t>
      </w:r>
      <w:r>
        <w:rPr>
          <w:rFonts w:ascii="Arial" w:cs="Arial" w:eastAsia="Arial" w:hAnsi="Arial"/>
          <w:sz w:val="17"/>
          <w:szCs w:val="17"/>
          <w:color w:val="auto"/>
        </w:rPr>
        <w:t>, as amended, by the Auditing Standards Board of the American Institute of Certified Public Accountants.</w:t>
      </w:r>
    </w:p>
    <w:p>
      <w:pPr>
        <w:spacing w:after="0" w:line="3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The Committee has received and reviewed the written disclosures and letter from the independent auditors required by Rule 3526 of the Public Company Accounting Oversight Board,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xml:space="preserve"> and has discussed with the auditors the auditors’ independence.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the reviews and discussions referred to above, the Committee recommends to the Board of Directors that the financial statements referred to above be included in the Company’s Annual Report on Form 10-K for the year ended December 27, 2008.</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M. Goode,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A. Murray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Louis A. Smith</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reports of the Audit Committee and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complied with except for Messrs. Glenn, Greene, and Secchia who each filed one late report, each covering one transaction.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December 31, 2002, Peter F. Secchia, Chairman Emeritus entered into a non-compete agreement with the Company which provides for monthly payments of $12,500 until December 31, 2009 when the non-compete agreement expires.</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Dan M. Dutton is Chairman of Stimson Lumber Company, which had sales of $1.9 million to our Company for 2008. This amount is less than 5% of Stimson’s total sales in 2008, and is less than 5% of our total purchases for 2008.</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Audit Committee has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on the basis of what is fair to the Company and in the best interest of our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AVAILABILITY OF FORM 10-K</w:t>
      </w:r>
    </w:p>
    <w:p>
      <w:pPr>
        <w:spacing w:after="0" w:line="121"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Shares of our common stock are traded under the symbol UFPI on The Nasdaq Stock Market. Our Form 10-K filed with the Securities and Exchange Commission will be provided free of charge to any shareholder upon written request. Significant financial information is available on our website at http://www.ufpi.com. For more information, contact our Investor Relations Department, 2801 East Beltline NE, Grand Rapids, MI 49525.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Shareholders who intend to submit a proposal for inclusion in our proxy materials for our 2010 Annual Meeting of Shareholders may do so by following the procedures described in SEC Rule 14a-8. To be eligible for inclusion, shareholder proposals must be received by our Secretary no later than November 6, 2009.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30 days prior to the date of the originally scheduled meeting. This requirement is separate from and in addition to the Securities and Exchange Commission’s requirements that a shareholder must meet in order to have a shareholder proposal included in our proxy materials. For any proposal that is not submitted for inclusion in next year’s Proxy Statement, but is instead sought to be presented directly at the 2010 Annual Shareholder meeting, the SEC rules permit management to vote proxies at its discretion if we (i) receive notice of the proposal before the close of business on January 20, 2010, and advise shareholders in the 2010 Proxy Statement about the nature of the matter and how management intends to vote on such matter, or (ii) do not receive a notice of the proposal prior to the close of business on January 20, 2010.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Effective with the 2002 Annual Meeting of Shareholders, 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2801 East Beltline NE, Grand Rapids, MI 49525, or call 800-598-9663.</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PROXY SOLICITATION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expanded our use of the Internet to solicit proxies from our shareholders. We have elected to follow the Notice and Access provisions prescribed by the SEC. As stated on the Notice of Annual Meeting, we will also accept voting by telephone, via electronic mail, or through the mail.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1758315" cy="514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583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Missad, Secretary</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AND RESTATEMENT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1999 LONG TERM STOCK INCENTIVE PLAN</w:t>
      </w:r>
    </w:p>
    <w:p>
      <w:pPr>
        <w:spacing w:after="0" w:line="103"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FIRST AMENDMENT TO AND RESTATEMENT OF THE UNIVERSAL FOREST PRODUCTS, INC. 1999 LONG TERM STOCK INCENTIVE PLAN as adopted by the Board of Directors of Universal Forest Products, Inc. (the “Company”) the 22</w:t>
      </w:r>
      <w:r>
        <w:rPr>
          <w:rFonts w:ascii="Arial" w:cs="Arial" w:eastAsia="Arial" w:hAnsi="Arial"/>
          <w:sz w:val="15"/>
          <w:szCs w:val="15"/>
          <w:color w:val="auto"/>
        </w:rPr>
        <w:t>nd</w:t>
      </w:r>
      <w:r>
        <w:rPr>
          <w:rFonts w:ascii="Arial" w:cs="Arial" w:eastAsia="Arial" w:hAnsi="Arial"/>
          <w:sz w:val="18"/>
          <w:szCs w:val="18"/>
          <w:color w:val="auto"/>
        </w:rPr>
        <w:t xml:space="preserve"> day of January, 2009, with reference to the following:</w:t>
      </w:r>
    </w:p>
    <w:p>
      <w:pPr>
        <w:spacing w:after="0" w:line="73"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 The Universal Forest Products, Inc. 1999 Long Term Stock Incentive Plan (the “Plan”) was adopted by the Company’s Board of Directors on January 20, 1999, and was approved by the Company’s shareholders on April 28, 1999.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Under Article 11 of the Plan, the Board of Directors has the authority, subject to certain conditions, to amend the Plan from time to time.</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C. The Board has elected to amend and restate the Plan, subject to the approval of the Company’s shareholders, to extend the Term of the Plan to the tenth anniversary of the date on which the Company’s shareholders approve this Amendment and Restatement.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Plan is amended as follows:</w:t>
      </w:r>
    </w:p>
    <w:p>
      <w:pPr>
        <w:spacing w:after="0" w:line="117" w:lineRule="exact"/>
        <w:rPr>
          <w:sz w:val="20"/>
          <w:szCs w:val="20"/>
          <w:color w:val="auto"/>
        </w:rPr>
      </w:pPr>
    </w:p>
    <w:p>
      <w:pPr>
        <w:ind w:left="400" w:hanging="16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and title of the Plan shall now be known as the “Universal Forest Products, Inc. Long Term Stock Incentive Plan.”</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1.1 of the Plan is hereby amended by deleting the last sentence of that section, in its entirety.</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1.3 of the Plan is hereby amended, in its entirety, to read as follows:</w:t>
      </w:r>
    </w:p>
    <w:p>
      <w:pPr>
        <w:spacing w:after="0" w:line="117" w:lineRule="exact"/>
        <w:rPr>
          <w:sz w:val="20"/>
          <w:szCs w:val="20"/>
          <w:color w:val="auto"/>
        </w:rPr>
      </w:pPr>
    </w:p>
    <w:p>
      <w:pPr>
        <w:ind w:left="240" w:right="100" w:firstLine="225"/>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Term of Plan</w:t>
      </w:r>
      <w:r>
        <w:rPr>
          <w:rFonts w:ascii="Arial" w:cs="Arial" w:eastAsia="Arial" w:hAnsi="Arial"/>
          <w:sz w:val="18"/>
          <w:szCs w:val="18"/>
          <w:color w:val="auto"/>
        </w:rPr>
        <w:t>. No Awards shall be granted pursuant to the Plan on or after April 15, 2019 (“Termination Date”), provided that Awards granted prior to the Termination Date may extend beyond that date, and Cash Payment Rights and Reload Options may be effected pursuant to the terms of Awards granted prior to the Termination Date.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 In all other respects the Plan shall continue in full force and effect.</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foregoing First Amendment to and Restatement of the Plan was adopted by the Board of Directors on January 22, 2009.</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 TERM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April 15, 2009)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ESTABLISHMENT AND PURPOSE OF THE PLAN</w:t>
      </w:r>
    </w:p>
    <w:p>
      <w:pPr>
        <w:spacing w:after="0" w:line="103"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Establishment of the Plan</w:t>
      </w:r>
      <w:r>
        <w:rPr>
          <w:rFonts w:ascii="Arial" w:cs="Arial" w:eastAsia="Arial" w:hAnsi="Arial"/>
          <w:sz w:val="16"/>
          <w:szCs w:val="16"/>
          <w:color w:val="auto"/>
        </w:rPr>
        <w:t>. Universal Forest Product, Inc., a Michigan corporation (the “Company”), hereby establishes an incentive compensation plan to be known as the “Universal Forest Products, Inc. Long Term Stock Incentive Plan” (the “Plan”), as set forth in this document. The Plan permits the granting of stock options, stock appreciation rights, restricted stock, and other stock-based awards to key employees of the Company and its Subsidiaries.</w:t>
      </w:r>
    </w:p>
    <w:p>
      <w:pPr>
        <w:spacing w:after="0" w:line="39"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Purpose of the Plan</w:t>
      </w:r>
      <w:r>
        <w:rPr>
          <w:rFonts w:ascii="Arial" w:cs="Arial" w:eastAsia="Arial" w:hAnsi="Arial"/>
          <w:sz w:val="16"/>
          <w:szCs w:val="16"/>
          <w:color w:val="auto"/>
        </w:rPr>
        <w:t>.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 The Plan supersedes and replaces the Company’s Long Term Inventive Plan, adopted by the Company’s shareholders in 1997.</w:t>
      </w:r>
    </w:p>
    <w:p>
      <w:pPr>
        <w:spacing w:after="0" w:line="46"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Term of Plan</w:t>
      </w:r>
      <w:r>
        <w:rPr>
          <w:rFonts w:ascii="Arial" w:cs="Arial" w:eastAsia="Arial" w:hAnsi="Arial"/>
          <w:sz w:val="18"/>
          <w:szCs w:val="18"/>
          <w:color w:val="auto"/>
        </w:rPr>
        <w:t>. No Awards shall be granted pursuant to the Plan on or after April 15, 2019 (“Termination Date”), provided that Awards granted prior to the Termination Date may extend beyond that date, and Cash Payment Rights and Reload Options may be effected pursuant to the terms of Awards granted prior to the Termination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Plan, the following terms shall have the meanings set forth below:</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2.1 “Award” shall mean any award under this Plan of any Options, Stock Appreciation Rights, Restricted Stock, Performance Shares or Other Stock-Based Award.</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 “Award Date” shall mean the date that an Award is made, as specified in an Award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 “Board” shall mean the Board of Directors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 “Code” shall mean the Internal Revenue Code of 1986,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“Committee” shall mean the Committee, as specified in Article 3, appointed by the Board to administer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 “Common Stock” shall mean the Common Stock of the Company.</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2.8 “Disability” shall mean permanent and total disability as determined under the rules and guidelines established by the Committee for purposes of the Plan.</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2.9 “Fair Market Value” shall be the mean between the highest and lowest sales prices per share of the Common Stock for such date on the National Association of Securities Dealers Automated Quotation System or any 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2.11 “Insider” shall mean an employee who is an officer (as defined in Rule 16a-1(f) of the Exchange Act) or director of the Company, or holder of more than ten percent (10%) of its outstanding shares of Common Stock.</w:t>
      </w:r>
    </w:p>
    <w:p>
      <w:pPr>
        <w:spacing w:after="0" w:line="62"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38"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2.13 “Nonqualified Stock Option” or “NQSO” shall mean an option to purchase shares of Common Stock, granted under Article 6, which is not an Incentive Stock Option.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2.14 “Option” means an Incentive Stock Option, a Nonqualified Stock Option, or a Reload Option.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2.15 “Option Price” shall mean the price at which a share of Common Stock may be purchased by a Participant pursuant to an Option, as determined by the Committee.</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2.16 “Other Stock-Based Award” shall mean an Award under Article 10 of this Plan that is valued in whole or in part by reference to, or is payable in or otherwise based on, Common Stock.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2.17 “Participant” shall mean an employee of the Company or a Subsidiary who holds an outstanding Award granted under the Plan.</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2.18 “Performance Shares” shall mean an Award granted under Article 9 of this Plan evidencing the right to receive Common Stock or cash of an equivalent value at the end of a specified performance period.</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2.20 “Reload Option” shall mean an Option that is awarded under the conditions of Section 6.5 of the Plan.</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2.21 “Retirement” shall mean the termination of a Participant’s employment with the Company or a Subsidiary after the Participant attains normal retirement age as established by the Committee at the time an Award is made.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2.22 “Restricted Stock” shall mean an Award granted to a Participant under Article 8 of this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2.23 “Stock Appreciation Right” or “SAR” shall mean an Award granted to a Participant under Article 7 of this Plan.</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2.24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2.25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0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Committee</w:t>
      </w:r>
      <w:r>
        <w:rPr>
          <w:rFonts w:ascii="Arial" w:cs="Arial" w:eastAsia="Arial" w:hAnsi="Arial"/>
          <w:sz w:val="18"/>
          <w:szCs w:val="18"/>
          <w:color w:val="auto"/>
        </w:rPr>
        <w:t>. The Plan shall be administered by a Committee designated by the Board consisting of not less than two (2) directors who shall be appointed from time to time by the Board, each of whom shall qualify as a Nonemployee Director.</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Committee Authority</w:t>
      </w:r>
      <w:r>
        <w:rPr>
          <w:rFonts w:ascii="Arial" w:cs="Arial" w:eastAsia="Arial" w:hAnsi="Arial"/>
          <w:sz w:val="18"/>
          <w:szCs w:val="18"/>
          <w:color w:val="auto"/>
        </w:rPr>
        <w:t>. Subject to the Company’s Articles of Incorporation, Bylaws and the provisions of this Plan, the Committee shall have full authority to grant Awards to key employees of the Company or a Subsidiary. Awards may be granted singly, in combination, or in tandem. The authority of the Committee shall include the following:</w:t>
      </w:r>
    </w:p>
    <w:p>
      <w:pPr>
        <w:spacing w:after="0" w:line="73" w:lineRule="exact"/>
        <w:rPr>
          <w:sz w:val="20"/>
          <w:szCs w:val="20"/>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select the key employees of the Company or a Subsidiary to whom Awards may be granted under the Plan;</w:t>
      </w:r>
    </w:p>
    <w:p>
      <w:pPr>
        <w:spacing w:after="0" w:line="117" w:lineRule="exact"/>
        <w:rPr>
          <w:rFonts w:ascii="Arial" w:cs="Arial" w:eastAsia="Arial" w:hAnsi="Arial"/>
          <w:sz w:val="18"/>
          <w:szCs w:val="18"/>
          <w:color w:val="auto"/>
        </w:rPr>
      </w:pPr>
    </w:p>
    <w:p>
      <w:pPr>
        <w:ind w:right="620" w:firstLine="458"/>
        <w:spacing w:after="0" w:line="277"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determine whether and to what extent Options, Stock Appreciation Rights, Restricted Stock, Performance Shares and Other Stock-Based Awards, or any combination thereof are to be granted under the Plan;</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Award;</w:t>
      </w:r>
    </w:p>
    <w:p>
      <w:pPr>
        <w:spacing w:after="0" w:line="117" w:lineRule="exact"/>
        <w:rPr>
          <w:rFonts w:ascii="Arial" w:cs="Arial" w:eastAsia="Arial" w:hAnsi="Arial"/>
          <w:sz w:val="18"/>
          <w:szCs w:val="18"/>
          <w:color w:val="auto"/>
        </w:rPr>
      </w:pPr>
    </w:p>
    <w:p>
      <w:pPr>
        <w:ind w:right="40" w:firstLine="458"/>
        <w:spacing w:after="0" w:line="264"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spacing w:after="0" w:line="73" w:lineRule="exact"/>
        <w:rPr>
          <w:rFonts w:ascii="Arial" w:cs="Arial" w:eastAsia="Arial" w:hAnsi="Arial"/>
          <w:sz w:val="18"/>
          <w:szCs w:val="18"/>
          <w:color w:val="auto"/>
        </w:rPr>
      </w:pPr>
    </w:p>
    <w:p>
      <w:pPr>
        <w:ind w:right="60" w:firstLine="458"/>
        <w:spacing w:after="0" w:line="277" w:lineRule="auto"/>
        <w:tabs>
          <w:tab w:leader="none" w:pos="6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grants of Awards are to operate on a tandem basis and/or in conjunction with or apart from other cash compensation arrangement made by the Company other than under the terms of this Plan;</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determine under what circumstances an Award may be settled in cash, Common Stock, or a combination thereof;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determine to what extent and under what circumstances shares of Common Stock and other amounts payable with respect to an Award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deferred.</w:t>
      </w:r>
    </w:p>
    <w:p>
      <w:pPr>
        <w:spacing w:after="0" w:line="10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SUBJECT TO THE PLAN</w:t>
      </w:r>
    </w:p>
    <w:p>
      <w:pPr>
        <w:spacing w:after="0" w:line="103"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Subject to adjustment as provided in Section 13.1, the maximum aggregate number of shares of Common Stock which may be issued under this Plan, which may be either unauthorized and unissued Common Stock or issued Common Stock reacquired by the Company (“Plan Shares”), shall be:</w:t>
      </w:r>
    </w:p>
    <w:p>
      <w:pPr>
        <w:spacing w:after="0" w:line="16" w:lineRule="exact"/>
        <w:rPr>
          <w:sz w:val="20"/>
          <w:szCs w:val="20"/>
          <w:color w:val="auto"/>
        </w:rPr>
      </w:pPr>
    </w:p>
    <w:p>
      <w:pPr>
        <w:ind w:left="700" w:hanging="24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1,000,000 Shares; plus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approved but not covered by options or other stock rights granted under the 1997 Long Term Incentive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8"/>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increase in the number of Shares determined and to be effective on the date of each annual meeting of the Company’s shareholders (commencing with the annual meeting in the year 2000), equal to the lesser of (i) 200,000 Shares, (ii) one percent (1.0%) of the sum of (1) the outstanding Shares, plus (2) the number of Shares subject to outstanding options issues under the Plan on such date, or (iii) such number of Shares as determined by the Board.</w:t>
      </w:r>
    </w:p>
    <w:p>
      <w:pPr>
        <w:spacing w:after="0" w:line="7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Determinations as to the number of Plan Shares that remain available for issuance under the Plan shall be made in accordance with such rules and procedures as the Committee shall determine from time to time. If an Award expires unexercised or is forfeited, canceled, terminated or settled in cash in lieu of Common Stock, the shares of Common Stock that were theretofore subject (or potentially subject) to such Award may again be made subject to an Award Agreement. In addition, Shares from the following sources shall be added to the number of Plan Shares available for issuance under the Plan: (1) any Shares of the Company’s Common Stock surrendered in payment of the exercise price of Options or to pay the tax withholding obligations incurred upon the exercise of Options; and (2) Options withheld to pay the exercise price or tax withholding obligations incurred upon the exercise of Options.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103"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Participants may hold more than one Award, but only on the terms and subject to the restrictions set forth in the Plan and their respective Award Agreements. No participant may receive Awards under the Plan covering more than twenty-five percent (25%) of Plan Shares.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10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Options</w:t>
      </w:r>
      <w:r>
        <w:rPr>
          <w:rFonts w:ascii="Arial" w:cs="Arial" w:eastAsia="Arial" w:hAnsi="Arial"/>
          <w:sz w:val="18"/>
          <w:szCs w:val="18"/>
          <w:color w:val="auto"/>
        </w:rPr>
        <w:t>. Options may be granted alone or in addition to other Awards granted under this Plan. Each Option granted under this Plan shall be either an Incentive Stock Option (ISO) or a Nonqualified Stock Option (NQSO).</w:t>
      </w:r>
    </w:p>
    <w:p>
      <w:pPr>
        <w:spacing w:after="0" w:line="62"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Grants</w:t>
      </w:r>
      <w:r>
        <w:rPr>
          <w:rFonts w:ascii="Arial" w:cs="Arial" w:eastAsia="Arial" w:hAnsi="Arial"/>
          <w:sz w:val="17"/>
          <w:szCs w:val="17"/>
          <w:color w:val="auto"/>
        </w:rPr>
        <w: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5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85"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Terms of Options</w:t>
      </w:r>
      <w:r>
        <w:rPr>
          <w:rFonts w:ascii="Arial" w:cs="Arial" w:eastAsia="Arial" w:hAnsi="Arial"/>
          <w:sz w:val="18"/>
          <w:szCs w:val="18"/>
          <w:color w:val="auto"/>
        </w:rPr>
        <w:t>. Options granted under the Plan shall be evidenced by Award Agreements in such form as the Committee shall from time to time approve. Each Agreement shall comply with and be subject to the following terms and conditions:</w:t>
      </w:r>
    </w:p>
    <w:p>
      <w:pPr>
        <w:spacing w:after="0" w:line="62" w:lineRule="exact"/>
        <w:rPr>
          <w:sz w:val="20"/>
          <w:szCs w:val="20"/>
          <w:color w:val="auto"/>
        </w:rPr>
      </w:pPr>
    </w:p>
    <w:p>
      <w:pPr>
        <w:ind w:firstLine="458"/>
        <w:spacing w:after="0" w:line="264"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Participant’s Agreement</w:t>
      </w:r>
      <w:r>
        <w:rPr>
          <w:rFonts w:ascii="Arial" w:cs="Arial" w:eastAsia="Arial" w:hAnsi="Arial"/>
          <w:sz w:val="18"/>
          <w:szCs w:val="18"/>
          <w:color w:val="auto"/>
        </w:rPr>
        <w: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8"/>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per share of Common Stock purchasable under an Option shall be determined by the Committee at the time of grant but shall be not less than one hundred percent (100%) of the Fair Market Value of the Common Stock at the Award Date, provided that the Option Price per share of Common Stock subject to an Incentive Stock Option granted to an Insider shall be no less than 110 percent of the Fair Market Value of the shares of Common Stock on the Award Date.</w:t>
      </w:r>
    </w:p>
    <w:p>
      <w:pPr>
        <w:spacing w:after="0" w:line="78" w:lineRule="exact"/>
        <w:rPr>
          <w:rFonts w:ascii="Arial" w:cs="Arial" w:eastAsia="Arial" w:hAnsi="Arial"/>
          <w:sz w:val="18"/>
          <w:szCs w:val="18"/>
          <w:color w:val="auto"/>
        </w:rPr>
      </w:pPr>
    </w:p>
    <w:p>
      <w:pPr>
        <w:ind w:right="60" w:firstLine="458"/>
        <w:spacing w:after="0" w:line="342"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spacing w:after="0" w:line="15" w:lineRule="exact"/>
        <w:rPr>
          <w:rFonts w:ascii="Arial" w:cs="Arial" w:eastAsia="Arial" w:hAnsi="Arial"/>
          <w:sz w:val="16"/>
          <w:szCs w:val="16"/>
          <w:color w:val="auto"/>
        </w:rPr>
      </w:pPr>
    </w:p>
    <w:p>
      <w:pPr>
        <w:ind w:right="140" w:firstLine="458"/>
        <w:spacing w:after="0" w:line="257"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Except as provided in Section 13.2, no Option shall be exercisable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80" w:lineRule="exact"/>
        <w:rPr>
          <w:rFonts w:ascii="Arial" w:cs="Arial" w:eastAsia="Arial" w:hAnsi="Arial"/>
          <w:sz w:val="18"/>
          <w:szCs w:val="18"/>
          <w:color w:val="auto"/>
        </w:rPr>
      </w:pPr>
    </w:p>
    <w:p>
      <w:pPr>
        <w:ind w:firstLine="458"/>
        <w:spacing w:after="0" w:line="268"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and with respect to any shares of Common Stock acquired upon the exercise of an Option, has been held by the Optionee for a period of at least six (6) consecutive months)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therefore.</w:t>
      </w:r>
    </w:p>
    <w:p>
      <w:pPr>
        <w:spacing w:after="0" w:line="75" w:lineRule="exact"/>
        <w:rPr>
          <w:rFonts w:ascii="Arial" w:cs="Arial" w:eastAsia="Arial" w:hAnsi="Arial"/>
          <w:sz w:val="17"/>
          <w:szCs w:val="17"/>
          <w:color w:val="auto"/>
        </w:rPr>
      </w:pPr>
    </w:p>
    <w:p>
      <w:pPr>
        <w:ind w:right="40" w:firstLine="458"/>
        <w:spacing w:after="0" w:line="269" w:lineRule="auto"/>
        <w:tabs>
          <w:tab w:leader="none" w:pos="67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Options</w:t>
      </w:r>
      <w:r>
        <w:rPr>
          <w:rFonts w:ascii="Arial" w:cs="Arial" w:eastAsia="Arial" w:hAnsi="Arial"/>
          <w:sz w:val="17"/>
          <w:szCs w:val="17"/>
          <w:color w:val="auto"/>
        </w:rPr>
        <w:t>.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 (i) 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 (iii) 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8"/>
        <w:spacing w:after="0" w:line="293"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for Reasons other than Disability or Death</w:t>
      </w:r>
      <w:r>
        <w:rPr>
          <w:rFonts w:ascii="Arial" w:cs="Arial" w:eastAsia="Arial" w:hAnsi="Arial"/>
          <w:sz w:val="16"/>
          <w:szCs w:val="16"/>
          <w:color w:val="auto"/>
        </w:rPr>
        <w:t>.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 (3) 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56" w:lineRule="exact"/>
        <w:rPr>
          <w:rFonts w:ascii="Arial" w:cs="Arial" w:eastAsia="Arial" w:hAnsi="Arial"/>
          <w:sz w:val="16"/>
          <w:szCs w:val="16"/>
          <w:color w:val="auto"/>
        </w:rPr>
      </w:pPr>
    </w:p>
    <w:p>
      <w:pPr>
        <w:ind w:firstLine="458"/>
        <w:spacing w:after="0" w:line="257"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Disability</w:t>
      </w:r>
      <w:r>
        <w:rPr>
          <w:rFonts w:ascii="Arial" w:cs="Arial" w:eastAsia="Arial" w:hAnsi="Arial"/>
          <w:sz w:val="18"/>
          <w:szCs w:val="18"/>
          <w:color w:val="auto"/>
        </w:rPr>
        <w:t>. Upon Termination of Employment by reason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80" w:lineRule="exact"/>
        <w:rPr>
          <w:rFonts w:ascii="Arial" w:cs="Arial" w:eastAsia="Arial" w:hAnsi="Arial"/>
          <w:sz w:val="18"/>
          <w:szCs w:val="18"/>
          <w:color w:val="auto"/>
        </w:rPr>
      </w:pPr>
    </w:p>
    <w:p>
      <w:pPr>
        <w:ind w:right="160" w:firstLine="458"/>
        <w:spacing w:after="0" w:line="285" w:lineRule="auto"/>
        <w:tabs>
          <w:tab w:leader="none" w:pos="66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for Death</w:t>
      </w:r>
      <w:r>
        <w:rPr>
          <w:rFonts w:ascii="Arial" w:cs="Arial" w:eastAsia="Arial" w:hAnsi="Arial"/>
          <w:sz w:val="16"/>
          <w:szCs w:val="16"/>
          <w:color w:val="auto"/>
        </w:rPr>
        <w:t>.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w:t>
      </w:r>
    </w:p>
    <w:p>
      <w:pPr>
        <w:spacing w:after="0" w:line="2" w:lineRule="exact"/>
        <w:rPr>
          <w:rFonts w:ascii="Arial" w:cs="Arial" w:eastAsia="Arial" w:hAnsi="Arial"/>
          <w:sz w:val="16"/>
          <w:szCs w:val="16"/>
          <w:color w:val="auto"/>
        </w:rPr>
      </w:pPr>
    </w:p>
    <w:p>
      <w:pPr>
        <w:ind w:right="20"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82" w:lineRule="exact"/>
        <w:rPr>
          <w:rFonts w:ascii="Arial" w:cs="Arial" w:eastAsia="Arial" w:hAnsi="Arial"/>
          <w:sz w:val="18"/>
          <w:szCs w:val="18"/>
          <w:color w:val="auto"/>
        </w:rPr>
      </w:pPr>
    </w:p>
    <w:p>
      <w:pPr>
        <w:ind w:right="740" w:firstLine="458"/>
        <w:spacing w:after="0" w:line="277" w:lineRule="auto"/>
        <w:tabs>
          <w:tab w:leader="none" w:pos="66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of Options</w:t>
      </w:r>
      <w:r>
        <w:rPr>
          <w:rFonts w:ascii="Arial" w:cs="Arial" w:eastAsia="Arial" w:hAnsi="Arial"/>
          <w:sz w:val="18"/>
          <w:szCs w:val="18"/>
          <w:color w:val="auto"/>
        </w:rPr>
        <w:t>. Any Option that is not exercised within whichever of the exercise periods specified in Sections 6.4(g), (h) or (i) is applicable shall terminate upon expiration of such exercise period.</w:t>
      </w:r>
    </w:p>
    <w:p>
      <w:pPr>
        <w:spacing w:after="0" w:line="62" w:lineRule="exact"/>
        <w:rPr>
          <w:rFonts w:ascii="Arial" w:cs="Arial" w:eastAsia="Arial" w:hAnsi="Arial"/>
          <w:sz w:val="18"/>
          <w:szCs w:val="18"/>
          <w:color w:val="auto"/>
        </w:rPr>
      </w:pPr>
    </w:p>
    <w:p>
      <w:pPr>
        <w:ind w:right="300" w:firstLine="458"/>
        <w:spacing w:after="0" w:line="293"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Purchase and Settlement Provisions</w:t>
      </w:r>
      <w:r>
        <w:rPr>
          <w:rFonts w:ascii="Arial" w:cs="Arial" w:eastAsia="Arial" w:hAnsi="Arial"/>
          <w:sz w:val="16"/>
          <w:szCs w:val="16"/>
          <w:color w:val="auto"/>
        </w:rPr>
        <w:t>.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57"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Reload Options</w:t>
      </w:r>
      <w:r>
        <w:rPr>
          <w:rFonts w:ascii="Arial" w:cs="Arial" w:eastAsia="Arial" w:hAnsi="Arial"/>
          <w:sz w:val="17"/>
          <w:szCs w:val="17"/>
          <w:color w:val="auto"/>
        </w:rPr>
        <w:t>. Without in any way limiting the authority of the Committee to make grants hereunder, and in order to induce employees to retain ownership of shares of Common Stock, the Committee shall have the authority (but not an obligation) to include within any Award Agreement a provision entitling the Participant to a further Option (a “Reload Option”) in the event the Participant exercises the Option evidenced by the Award Agreement, in whole or in part, by surrendering shares of Common Stock previously owned by the Participant, in accordance with this Plan and the terms and conditions of the Award Agreement. A Reload Option shall entitle a Participant to purchase a number of shares of Common Stock equal to the number of such shares so delivered upon exercise of the original Option and, in the discretion of the Committee, the number of shares, if any, tendered to the Company to satisfy any withholding tax liability arising in connection with the exercise of the original Option. A Reload Option shall: (a) have an Option Price of not less than one hundred percent (100%) of the per share Fair Market Value of the Common Stock on the date of grant of such Reload Option; (b) have a term not longer than the remaining term of the original Option at the time of exercise thereof; (c) become exercisable in the event the shares acquired upon exercise of the original Option are held for a minimum period of time established by the Committee; and (d) be subject to such other terms and conditions as the Committee may determine.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0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SARs</w:t>
      </w:r>
      <w:r>
        <w:rPr>
          <w:rFonts w:ascii="Arial" w:cs="Arial" w:eastAsia="Arial" w:hAnsi="Arial"/>
          <w:sz w:val="18"/>
          <w:szCs w:val="18"/>
          <w:color w:val="auto"/>
        </w:rPr>
        <w:t>.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85"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Payment of SAR Amount</w:t>
      </w:r>
      <w:r>
        <w:rPr>
          <w:rFonts w:ascii="Arial" w:cs="Arial" w:eastAsia="Arial" w:hAnsi="Arial"/>
          <w:sz w:val="18"/>
          <w:szCs w:val="18"/>
          <w:color w:val="auto"/>
        </w:rPr>
        <w: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03"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Awards of Restricted Stock</w:t>
      </w:r>
      <w:r>
        <w:rPr>
          <w:rFonts w:ascii="Arial" w:cs="Arial" w:eastAsia="Arial" w:hAnsi="Arial"/>
          <w:sz w:val="18"/>
          <w:szCs w:val="18"/>
          <w:color w:val="auto"/>
        </w:rPr>
        <w:t>.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81"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Awards and Certificates</w:t>
      </w:r>
      <w:r>
        <w:rPr>
          <w:rFonts w:ascii="Arial" w:cs="Arial" w:eastAsia="Arial" w:hAnsi="Arial"/>
          <w:sz w:val="16"/>
          <w:szCs w:val="16"/>
          <w:color w:val="auto"/>
        </w:rPr>
        <w:t>.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39" w:lineRule="exact"/>
        <w:rPr>
          <w:sz w:val="20"/>
          <w:szCs w:val="20"/>
          <w:color w:val="auto"/>
        </w:rPr>
      </w:pPr>
    </w:p>
    <w:p>
      <w:pPr>
        <w:ind w:right="60" w:firstLine="458"/>
        <w:spacing w:after="0" w:line="26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73" w:lineRule="exact"/>
        <w:rPr>
          <w:rFonts w:ascii="Arial" w:cs="Arial" w:eastAsia="Arial" w:hAnsi="Arial"/>
          <w:sz w:val="18"/>
          <w:szCs w:val="18"/>
          <w:color w:val="auto"/>
        </w:rPr>
      </w:pPr>
    </w:p>
    <w:p>
      <w:pPr>
        <w:ind w:right="220" w:firstLine="458"/>
        <w:spacing w:after="0" w:line="264"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Universal Forest Products, Inc. Long Term Stock Incentive Plan and related Award Agreement entered into between the registered owner and the Company, dated ______. Copies of such Plan and Agreement are on file in the offices of the Company, 2801 East Beltline NE, Grand Rapids, Michigan 49525.”</w:t>
      </w:r>
    </w:p>
    <w:p>
      <w:pPr>
        <w:spacing w:after="0" w:line="79" w:lineRule="exact"/>
        <w:rPr>
          <w:sz w:val="20"/>
          <w:szCs w:val="20"/>
          <w:color w:val="auto"/>
        </w:rPr>
      </w:pPr>
    </w:p>
    <w:p>
      <w:pPr>
        <w:ind w:right="160" w:firstLine="458"/>
        <w:spacing w:after="0" w:line="264"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Custody</w:t>
      </w:r>
      <w:r>
        <w:rPr>
          <w:rFonts w:ascii="Arial" w:cs="Arial" w:eastAsia="Arial" w:hAnsi="Arial"/>
          <w:sz w:val="18"/>
          <w:szCs w:val="18"/>
          <w:color w:val="auto"/>
        </w:rPr>
        <w:t>.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shares of Restricted Stock awarded pursuant to this Plan shall be subject to the following restrictions and conditions:</w:t>
      </w:r>
    </w:p>
    <w:p>
      <w:pPr>
        <w:spacing w:after="0" w:line="140" w:lineRule="exact"/>
        <w:rPr>
          <w:sz w:val="20"/>
          <w:szCs w:val="20"/>
          <w:color w:val="auto"/>
        </w:rPr>
      </w:pPr>
    </w:p>
    <w:p>
      <w:pPr>
        <w:ind w:firstLine="458"/>
        <w:spacing w:after="0" w:line="257"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80" w:lineRule="exact"/>
        <w:rPr>
          <w:rFonts w:ascii="Arial" w:cs="Arial" w:eastAsia="Arial" w:hAnsi="Arial"/>
          <w:sz w:val="18"/>
          <w:szCs w:val="18"/>
          <w:color w:val="auto"/>
        </w:rPr>
      </w:pPr>
    </w:p>
    <w:p>
      <w:pPr>
        <w:ind w:right="100" w:firstLine="458"/>
        <w:spacing w:after="0" w:line="257"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80" w:lineRule="exact"/>
        <w:rPr>
          <w:rFonts w:ascii="Arial" w:cs="Arial" w:eastAsia="Arial" w:hAnsi="Arial"/>
          <w:sz w:val="18"/>
          <w:szCs w:val="18"/>
          <w:color w:val="auto"/>
        </w:rPr>
      </w:pPr>
    </w:p>
    <w:p>
      <w:pPr>
        <w:jc w:val="both"/>
        <w:ind w:right="120" w:firstLine="458"/>
        <w:spacing w:after="0" w:line="264"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73" w:lineRule="exact"/>
        <w:rPr>
          <w:rFonts w:ascii="Arial" w:cs="Arial" w:eastAsia="Arial" w:hAnsi="Arial"/>
          <w:sz w:val="18"/>
          <w:szCs w:val="18"/>
          <w:color w:val="auto"/>
        </w:rPr>
      </w:pPr>
    </w:p>
    <w:p>
      <w:pPr>
        <w:ind w:right="260" w:firstLine="458"/>
        <w:spacing w:after="0" w:line="277"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If and when the Restriction Period expires without a prior forfeiture of the Restricted Stock, the certificates for such shares shall be delivered to the Participant.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w:t>
      </w:r>
    </w:p>
    <w:p>
      <w:pPr>
        <w:spacing w:after="0" w:line="103"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Award of Performance Shares</w:t>
      </w:r>
      <w:r>
        <w:rPr>
          <w:rFonts w:ascii="Arial" w:cs="Arial" w:eastAsia="Arial" w:hAnsi="Arial"/>
          <w:sz w:val="16"/>
          <w:szCs w:val="16"/>
          <w:color w:val="auto"/>
        </w:rPr>
        <w:t>.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Performance Shares awarded pursuant to this Article 9 shall be subject to the following terms and conditions:</w:t>
      </w:r>
    </w:p>
    <w:p>
      <w:pPr>
        <w:spacing w:after="0" w:line="117" w:lineRule="exact"/>
        <w:rPr>
          <w:sz w:val="20"/>
          <w:szCs w:val="20"/>
          <w:color w:val="auto"/>
        </w:rPr>
      </w:pPr>
    </w:p>
    <w:p>
      <w:pPr>
        <w:ind w:right="100" w:firstLine="458"/>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78" w:lineRule="exact"/>
        <w:rPr>
          <w:rFonts w:ascii="Arial" w:cs="Arial" w:eastAsia="Arial" w:hAnsi="Arial"/>
          <w:sz w:val="18"/>
          <w:szCs w:val="18"/>
          <w:color w:val="auto"/>
        </w:rPr>
      </w:pPr>
    </w:p>
    <w:p>
      <w:pPr>
        <w:ind w:right="560" w:firstLine="458"/>
        <w:spacing w:after="0" w:line="342"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15" w:lineRule="exact"/>
        <w:rPr>
          <w:rFonts w:ascii="Arial" w:cs="Arial" w:eastAsia="Arial" w:hAnsi="Arial"/>
          <w:sz w:val="16"/>
          <w:szCs w:val="16"/>
          <w:color w:val="auto"/>
        </w:rPr>
      </w:pPr>
    </w:p>
    <w:p>
      <w:pPr>
        <w:ind w:right="60" w:firstLine="458"/>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Subject to the provisions of the Award Agreement and this Article 9, upon Termination of Employment for any reason during the Performance Period for a given Award,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Performance Shares in question will vest or be forfeited in accordance with the terms and conditions established by the Committee at or after grant.</w:t>
      </w:r>
    </w:p>
    <w:p>
      <w:pPr>
        <w:spacing w:after="0" w:line="129" w:lineRule="exact"/>
        <w:rPr>
          <w:sz w:val="20"/>
          <w:szCs w:val="20"/>
          <w:color w:val="auto"/>
        </w:rPr>
      </w:pPr>
    </w:p>
    <w:p>
      <w:pPr>
        <w:ind w:right="40" w:firstLine="458"/>
        <w:spacing w:after="0" w:line="264"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0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Awards</w:t>
      </w:r>
      <w:r>
        <w:rPr>
          <w:rFonts w:ascii="Arial" w:cs="Arial" w:eastAsia="Arial" w:hAnsi="Arial"/>
          <w:sz w:val="18"/>
          <w:szCs w:val="18"/>
          <w:color w:val="auto"/>
        </w:rPr>
        <w:t>.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Other Stock-Based Awards made pursuant to this Article 10 shall be set forth in an Award Agreement and shall be subject to the following terms and conditions:</w:t>
      </w:r>
    </w:p>
    <w:p>
      <w:pPr>
        <w:spacing w:after="0" w:line="62" w:lineRule="exact"/>
        <w:rPr>
          <w:sz w:val="20"/>
          <w:szCs w:val="20"/>
          <w:color w:val="auto"/>
        </w:rPr>
      </w:pPr>
    </w:p>
    <w:p>
      <w:pPr>
        <w:jc w:val="both"/>
        <w:ind w:right="260" w:firstLine="458"/>
        <w:spacing w:after="0" w:line="264"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73" w:lineRule="exact"/>
        <w:rPr>
          <w:rFonts w:ascii="Arial" w:cs="Arial" w:eastAsia="Arial" w:hAnsi="Arial"/>
          <w:sz w:val="18"/>
          <w:szCs w:val="18"/>
          <w:color w:val="auto"/>
        </w:rPr>
      </w:pPr>
    </w:p>
    <w:p>
      <w:pPr>
        <w:ind w:right="100" w:firstLine="458"/>
        <w:spacing w:after="0" w:line="264"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73" w:lineRule="exact"/>
        <w:rPr>
          <w:rFonts w:ascii="Arial" w:cs="Arial" w:eastAsia="Arial" w:hAnsi="Arial"/>
          <w:sz w:val="18"/>
          <w:szCs w:val="18"/>
          <w:color w:val="auto"/>
        </w:rPr>
      </w:pPr>
    </w:p>
    <w:p>
      <w:pPr>
        <w:ind w:right="120" w:firstLine="458"/>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Any Award under this Article 10 and any Common Stock covered by any such Award shall vest or be forfeited to the extent so provided in the Award Agreement, as determined by the Committee, in its sole discretion.</w:t>
      </w:r>
    </w:p>
    <w:p>
      <w:pPr>
        <w:spacing w:after="0" w:line="62" w:lineRule="exact"/>
        <w:rPr>
          <w:rFonts w:ascii="Arial" w:cs="Arial" w:eastAsia="Arial" w:hAnsi="Arial"/>
          <w:sz w:val="18"/>
          <w:szCs w:val="18"/>
          <w:color w:val="auto"/>
        </w:rPr>
      </w:pPr>
    </w:p>
    <w:p>
      <w:pPr>
        <w:ind w:right="200" w:firstLine="458"/>
        <w:spacing w:after="0" w:line="264"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Waiver of Limitation</w:t>
      </w:r>
      <w:r>
        <w:rPr>
          <w:rFonts w:ascii="Arial" w:cs="Arial" w:eastAsia="Arial" w:hAnsi="Arial"/>
          <w:sz w:val="18"/>
          <w:szCs w:val="18"/>
          <w:color w:val="auto"/>
        </w:rPr>
        <w:t>.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73" w:lineRule="exact"/>
        <w:rPr>
          <w:rFonts w:ascii="Arial" w:cs="Arial" w:eastAsia="Arial" w:hAnsi="Arial"/>
          <w:sz w:val="18"/>
          <w:szCs w:val="18"/>
          <w:color w:val="auto"/>
        </w:rPr>
      </w:pPr>
    </w:p>
    <w:p>
      <w:pPr>
        <w:ind w:right="220" w:firstLine="458"/>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Common Stock issued or sold under this Article 10 may be issued or sold for no cash consideration or such consideration as the Committee shall determine and specify in the Award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OR AMENDMENT OF THE PLAN</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4 or by Section 13.1); or (ii) decrease the option price of any Option to less than one hundred percent (100%) 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UNFUNDED PLAN</w:t>
      </w:r>
    </w:p>
    <w:p>
      <w:pPr>
        <w:spacing w:after="0" w:line="103"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 PROVISIONS</w:t>
      </w:r>
    </w:p>
    <w:p>
      <w:pPr>
        <w:spacing w:after="0" w:line="10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Antidilution</w:t>
      </w:r>
      <w:r>
        <w:rPr>
          <w:rFonts w:ascii="Arial" w:cs="Arial" w:eastAsia="Arial" w:hAnsi="Arial"/>
          <w:sz w:val="18"/>
          <w:szCs w:val="18"/>
          <w:color w:val="auto"/>
        </w:rPr>
        <w:t>.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8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Adjustments by Committee</w:t>
      </w:r>
      <w:r>
        <w:rPr>
          <w:rFonts w:ascii="Arial" w:cs="Arial" w:eastAsia="Arial" w:hAnsi="Arial"/>
          <w:sz w:val="18"/>
          <w:szCs w:val="18"/>
          <w:color w:val="auto"/>
        </w:rPr>
        <w:t>.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03"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Legend</w:t>
      </w:r>
      <w:r>
        <w:rPr>
          <w:rFonts w:ascii="Arial" w:cs="Arial" w:eastAsia="Arial" w:hAnsi="Arial"/>
          <w:sz w:val="17"/>
          <w:szCs w:val="17"/>
          <w:color w:val="auto"/>
        </w:rPr>
        <w:t>.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57"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Withholding of Taxes</w:t>
      </w:r>
      <w:r>
        <w:rPr>
          <w:rFonts w:ascii="Arial" w:cs="Arial" w:eastAsia="Arial" w:hAnsi="Arial"/>
          <w:sz w:val="16"/>
          <w:szCs w:val="16"/>
          <w:color w:val="auto"/>
        </w:rPr>
        <w:t>.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 (b) authorizing the Company to withhold from the shares otherwise issuable to the Participant a number of shares having a Fair Market Value as of the “Tax Date”, less than or equal to the amount of the withholding tax obligation; or (c) 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Assignment of Benefits</w:t>
      </w:r>
      <w:r>
        <w:rPr>
          <w:rFonts w:ascii="Arial" w:cs="Arial" w:eastAsia="Arial" w:hAnsi="Arial"/>
          <w:sz w:val="18"/>
          <w:szCs w:val="18"/>
          <w:color w:val="auto"/>
        </w:rPr>
        <w:t>.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actions taken in connection herewith shall be governed and construed in accordance with the laws and in the courts of the state of Michigan.</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The proceeds received by the Company from the sale of shares of Common Stock pursuant to Awards granted under this Plan will be used for general corporate purposes.</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Rights as a Shareholder</w:t>
      </w:r>
      <w:r>
        <w:rPr>
          <w:rFonts w:ascii="Arial" w:cs="Arial" w:eastAsia="Arial" w:hAnsi="Arial"/>
          <w:sz w:val="18"/>
          <w:szCs w:val="18"/>
          <w:color w:val="auto"/>
        </w:rPr>
        <w:t>. Except as otherwise provided in an Award Agreement, a Participant shall have no rights as a shareholder of the Company until he or she becomes the holder of record of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4747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84747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192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819213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466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846645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174740" cy="7992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7992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o"/>
      <w:numFmt w:val="bullet"/>
      <w:start w:val="1"/>
    </w:lvl>
    <w:lvl w:ilvl="1">
      <w:lvlJc w:val="left"/>
      <w:lvlText w:val="%2)"/>
      <w:numFmt w:val="decimal"/>
      <w:start w:val="1"/>
    </w:lvl>
  </w:abstractNum>
  <w:abstractNum w:abstractNumId="3">
    <w:nsid w:val="62BBD95A"/>
    <w:multiLevelType w:val="hybridMultilevel"/>
    <w:lvl w:ilvl="0">
      <w:lvlJc w:val="left"/>
      <w:lvlText w:val="o"/>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4"/>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endash "/>
      <w:numFmt w:val="bullet"/>
      <w:start w:val="1"/>
    </w:lvl>
  </w:abstractNum>
  <w:abstractNum w:abstractNumId="13">
    <w:nsid w:val="79838CB2"/>
    <w:multiLevelType w:val="hybridMultilevel"/>
    <w:lvl w:ilvl="0">
      <w:lvlJc w:val="left"/>
      <w:lvlText w:val="\endash "/>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5"/>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3"/>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lowerLetter"/>
      <w:start w:val="1"/>
    </w:lvl>
    <w:lvl w:ilvl="1">
      <w:lvlJc w:val="left"/>
      <w:lvlText w:val="(%2)"/>
      <w:numFmt w:val="lowerLetter"/>
      <w:start w:val="7"/>
    </w:lvl>
  </w:abstractNum>
  <w:abstractNum w:abstractNumId="29">
    <w:nsid w:val="4516DDE9"/>
    <w:multiLevelType w:val="hybridMultilevel"/>
    <w:lvl w:ilvl="0">
      <w:lvlJc w:val="left"/>
      <w:lvlText w:val="(%1)"/>
      <w:numFmt w:val="lowerLetter"/>
      <w:start w:val="35"/>
    </w:lvl>
    <w:lvl w:ilvl="1">
      <w:lvlJc w:val="left"/>
      <w:lvlText w:val="(%2)"/>
      <w:numFmt w:val="lowerLetter"/>
      <w:start w:val="10"/>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3"/>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4"/>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2019-12-10T11:31:14Z</dcterms:created>
  <dcterms:modified xsi:type="dcterms:W3CDTF">2019-12-10T11:31:14Z</dcterms:modified>
</cp:coreProperties>
</file>