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00" w:lineRule="exact"/>
        <w:rPr>
          <w:sz w:val="24"/>
          <w:szCs w:val="24"/>
          <w:color w:val="auto"/>
        </w:rPr>
      </w:pP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Pursuant to Section 13 or 15(d) of the</w:t>
      </w:r>
    </w:p>
    <w:p>
      <w:pPr>
        <w:jc w:val="center"/>
        <w:spacing w:after="0"/>
        <w:rPr>
          <w:sz w:val="20"/>
          <w:szCs w:val="20"/>
          <w:color w:val="auto"/>
        </w:rPr>
      </w:pPr>
      <w:r>
        <w:rPr>
          <w:rFonts w:ascii="Arial" w:cs="Arial" w:eastAsia="Arial" w:hAnsi="Arial"/>
          <w:sz w:val="22"/>
          <w:szCs w:val="22"/>
          <w:color w:val="auto"/>
        </w:rPr>
        <w:t>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Date of Report (date of earliest event reported): June 18, 2018</w:t>
      </w:r>
    </w:p>
    <w:p>
      <w:pPr>
        <w:spacing w:after="0" w:line="200" w:lineRule="exact"/>
        <w:rPr>
          <w:sz w:val="24"/>
          <w:szCs w:val="24"/>
          <w:color w:val="auto"/>
        </w:rPr>
      </w:pPr>
    </w:p>
    <w:p>
      <w:pPr>
        <w:spacing w:after="0" w:line="27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UNIVERSAL FOREST PRODUCTS, INC.</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(Exact Name of Registrant as Specified in Charter)</w:t>
      </w:r>
    </w:p>
    <w:p>
      <w:pPr>
        <w:spacing w:after="0" w:line="200" w:lineRule="exact"/>
        <w:rPr>
          <w:sz w:val="24"/>
          <w:szCs w:val="24"/>
          <w:color w:val="auto"/>
        </w:rPr>
      </w:pPr>
    </w:p>
    <w:p>
      <w:pPr>
        <w:spacing w:after="0" w:line="248" w:lineRule="exact"/>
        <w:rPr>
          <w:sz w:val="24"/>
          <w:szCs w:val="24"/>
          <w:color w:val="auto"/>
        </w:rPr>
      </w:pPr>
    </w:p>
    <w:tbl>
      <w:tblPr>
        <w:tblLayout w:type="fixed"/>
        <w:tblInd w:w="381" w:type="dxa"/>
        <w:tblCellMar>
          <w:top w:w="0" w:type="dxa"/>
          <w:left w:w="0" w:type="dxa"/>
          <w:bottom w:w="0" w:type="dxa"/>
          <w:right w:w="0" w:type="dxa"/>
        </w:tblCellMar>
      </w:tblPr>
      <w:tr>
        <w:trPr>
          <w:trHeight w:val="253"/>
        </w:trPr>
        <w:tc>
          <w:tcPr>
            <w:tcW w:w="4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Michigan</w:t>
            </w:r>
          </w:p>
        </w:tc>
        <w:tc>
          <w:tcPr>
            <w:tcW w:w="2620" w:type="dxa"/>
            <w:vAlign w:val="bottom"/>
          </w:tcPr>
          <w:p>
            <w:pPr>
              <w:jc w:val="center"/>
              <w:ind w:right="32"/>
              <w:spacing w:after="0"/>
              <w:rPr>
                <w:sz w:val="20"/>
                <w:szCs w:val="20"/>
                <w:color w:val="auto"/>
              </w:rPr>
            </w:pPr>
            <w:r>
              <w:rPr>
                <w:rFonts w:ascii="Arial" w:cs="Arial" w:eastAsia="Arial" w:hAnsi="Arial"/>
                <w:sz w:val="22"/>
                <w:szCs w:val="22"/>
                <w:b w:val="1"/>
                <w:bCs w:val="1"/>
                <w:color w:val="auto"/>
                <w:w w:val="90"/>
              </w:rPr>
              <w:t>00-22684</w:t>
            </w:r>
          </w:p>
        </w:tc>
        <w:tc>
          <w:tcPr>
            <w:tcW w:w="2400" w:type="dxa"/>
            <w:vAlign w:val="bottom"/>
          </w:tcPr>
          <w:p>
            <w:pPr>
              <w:jc w:val="right"/>
              <w:ind w:right="172"/>
              <w:spacing w:after="0"/>
              <w:rPr>
                <w:sz w:val="20"/>
                <w:szCs w:val="20"/>
                <w:color w:val="auto"/>
              </w:rPr>
            </w:pPr>
            <w:r>
              <w:rPr>
                <w:rFonts w:ascii="Arial" w:cs="Arial" w:eastAsia="Arial" w:hAnsi="Arial"/>
                <w:sz w:val="22"/>
                <w:szCs w:val="22"/>
                <w:b w:val="1"/>
                <w:bCs w:val="1"/>
                <w:color w:val="auto"/>
              </w:rPr>
              <w:t>38-1465835</w:t>
            </w:r>
          </w:p>
        </w:tc>
      </w:tr>
      <w:tr>
        <w:trPr>
          <w:trHeight w:val="243"/>
        </w:trPr>
        <w:tc>
          <w:tcPr>
            <w:tcW w:w="4020" w:type="dxa"/>
            <w:vAlign w:val="bottom"/>
          </w:tcPr>
          <w:p>
            <w:pPr>
              <w:jc w:val="center"/>
              <w:ind w:right="572"/>
              <w:spacing w:after="0" w:line="243" w:lineRule="exact"/>
              <w:rPr>
                <w:sz w:val="20"/>
                <w:szCs w:val="20"/>
                <w:color w:val="auto"/>
              </w:rPr>
            </w:pPr>
            <w:r>
              <w:rPr>
                <w:rFonts w:ascii="Arial" w:cs="Arial" w:eastAsia="Arial" w:hAnsi="Arial"/>
                <w:sz w:val="22"/>
                <w:szCs w:val="22"/>
                <w:color w:val="auto"/>
                <w:w w:val="89"/>
              </w:rPr>
              <w:t>(State or Other Jurisdiction</w:t>
            </w:r>
          </w:p>
        </w:tc>
        <w:tc>
          <w:tcPr>
            <w:tcW w:w="2620" w:type="dxa"/>
            <w:vAlign w:val="bottom"/>
          </w:tcPr>
          <w:p>
            <w:pPr>
              <w:jc w:val="center"/>
              <w:ind w:right="32"/>
              <w:spacing w:after="0" w:line="243" w:lineRule="exact"/>
              <w:rPr>
                <w:sz w:val="20"/>
                <w:szCs w:val="20"/>
                <w:color w:val="auto"/>
              </w:rPr>
            </w:pPr>
            <w:r>
              <w:rPr>
                <w:rFonts w:ascii="Arial" w:cs="Arial" w:eastAsia="Arial" w:hAnsi="Arial"/>
                <w:sz w:val="22"/>
                <w:szCs w:val="22"/>
                <w:color w:val="auto"/>
                <w:w w:val="90"/>
              </w:rPr>
              <w:t>(Commission</w:t>
            </w:r>
          </w:p>
        </w:tc>
        <w:tc>
          <w:tcPr>
            <w:tcW w:w="2400" w:type="dxa"/>
            <w:vAlign w:val="bottom"/>
          </w:tcPr>
          <w:p>
            <w:pPr>
              <w:jc w:val="center"/>
              <w:ind w:left="692"/>
              <w:spacing w:after="0" w:line="243" w:lineRule="exact"/>
              <w:rPr>
                <w:sz w:val="20"/>
                <w:szCs w:val="20"/>
                <w:color w:val="auto"/>
              </w:rPr>
            </w:pPr>
            <w:r>
              <w:rPr>
                <w:rFonts w:ascii="Arial" w:cs="Arial" w:eastAsia="Arial" w:hAnsi="Arial"/>
                <w:sz w:val="22"/>
                <w:szCs w:val="22"/>
                <w:color w:val="auto"/>
                <w:w w:val="92"/>
              </w:rPr>
              <w:t>(IRS Employer</w:t>
            </w:r>
          </w:p>
        </w:tc>
      </w:tr>
      <w:tr>
        <w:trPr>
          <w:trHeight w:val="275"/>
        </w:trPr>
        <w:tc>
          <w:tcPr>
            <w:tcW w:w="4020" w:type="dxa"/>
            <w:vAlign w:val="bottom"/>
          </w:tcPr>
          <w:p>
            <w:pPr>
              <w:jc w:val="center"/>
              <w:ind w:right="552"/>
              <w:spacing w:after="0"/>
              <w:rPr>
                <w:sz w:val="20"/>
                <w:szCs w:val="20"/>
                <w:color w:val="auto"/>
              </w:rPr>
            </w:pPr>
            <w:r>
              <w:rPr>
                <w:rFonts w:ascii="Arial" w:cs="Arial" w:eastAsia="Arial" w:hAnsi="Arial"/>
                <w:sz w:val="22"/>
                <w:szCs w:val="22"/>
                <w:color w:val="auto"/>
                <w:w w:val="92"/>
              </w:rPr>
              <w:t>of Incorporation)</w:t>
            </w:r>
          </w:p>
        </w:tc>
        <w:tc>
          <w:tcPr>
            <w:tcW w:w="2620" w:type="dxa"/>
            <w:vAlign w:val="bottom"/>
          </w:tcPr>
          <w:p>
            <w:pPr>
              <w:jc w:val="center"/>
              <w:ind w:right="32"/>
              <w:spacing w:after="0"/>
              <w:rPr>
                <w:sz w:val="20"/>
                <w:szCs w:val="20"/>
                <w:color w:val="auto"/>
              </w:rPr>
            </w:pPr>
            <w:r>
              <w:rPr>
                <w:rFonts w:ascii="Arial" w:cs="Arial" w:eastAsia="Arial" w:hAnsi="Arial"/>
                <w:sz w:val="22"/>
                <w:szCs w:val="22"/>
                <w:color w:val="auto"/>
                <w:w w:val="91"/>
              </w:rPr>
              <w:t>File Number)</w:t>
            </w:r>
          </w:p>
        </w:tc>
        <w:tc>
          <w:tcPr>
            <w:tcW w:w="2400" w:type="dxa"/>
            <w:vAlign w:val="bottom"/>
          </w:tcPr>
          <w:p>
            <w:pPr>
              <w:jc w:val="center"/>
              <w:ind w:left="692"/>
              <w:spacing w:after="0"/>
              <w:rPr>
                <w:sz w:val="20"/>
                <w:szCs w:val="20"/>
                <w:color w:val="auto"/>
              </w:rPr>
            </w:pPr>
            <w:r>
              <w:rPr>
                <w:rFonts w:ascii="Arial" w:cs="Arial" w:eastAsia="Arial" w:hAnsi="Arial"/>
                <w:sz w:val="22"/>
                <w:szCs w:val="22"/>
                <w:color w:val="auto"/>
                <w:w w:val="93"/>
              </w:rPr>
              <w:t>Identification No.)</w:t>
            </w:r>
          </w:p>
        </w:tc>
      </w:tr>
      <w:tr>
        <w:trPr>
          <w:trHeight w:val="449"/>
        </w:trPr>
        <w:tc>
          <w:tcPr>
            <w:tcW w:w="4020" w:type="dxa"/>
            <w:vAlign w:val="bottom"/>
          </w:tcPr>
          <w:p>
            <w:pPr>
              <w:jc w:val="center"/>
              <w:ind w:right="572"/>
              <w:spacing w:after="0"/>
              <w:rPr>
                <w:sz w:val="20"/>
                <w:szCs w:val="20"/>
                <w:color w:val="auto"/>
              </w:rPr>
            </w:pPr>
            <w:r>
              <w:rPr>
                <w:rFonts w:ascii="Arial" w:cs="Arial" w:eastAsia="Arial" w:hAnsi="Arial"/>
                <w:sz w:val="22"/>
                <w:szCs w:val="22"/>
                <w:b w:val="1"/>
                <w:bCs w:val="1"/>
                <w:color w:val="auto"/>
                <w:w w:val="90"/>
              </w:rPr>
              <w:t>2801 East Beltline, N.E.</w:t>
            </w:r>
          </w:p>
        </w:tc>
        <w:tc>
          <w:tcPr>
            <w:tcW w:w="262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49"/>
        </w:trPr>
        <w:tc>
          <w:tcPr>
            <w:tcW w:w="4020" w:type="dxa"/>
            <w:vAlign w:val="bottom"/>
          </w:tcPr>
          <w:p>
            <w:pPr>
              <w:jc w:val="center"/>
              <w:ind w:right="612"/>
              <w:spacing w:after="0" w:line="249" w:lineRule="exact"/>
              <w:rPr>
                <w:sz w:val="20"/>
                <w:szCs w:val="20"/>
                <w:color w:val="auto"/>
              </w:rPr>
            </w:pPr>
            <w:r>
              <w:rPr>
                <w:rFonts w:ascii="Arial" w:cs="Arial" w:eastAsia="Arial" w:hAnsi="Arial"/>
                <w:sz w:val="22"/>
                <w:szCs w:val="22"/>
                <w:b w:val="1"/>
                <w:bCs w:val="1"/>
                <w:color w:val="auto"/>
                <w:w w:val="92"/>
              </w:rPr>
              <w:t>Grand Rapids, Michigan</w:t>
            </w:r>
          </w:p>
        </w:tc>
        <w:tc>
          <w:tcPr>
            <w:tcW w:w="2620" w:type="dxa"/>
            <w:vAlign w:val="bottom"/>
          </w:tcPr>
          <w:p>
            <w:pPr>
              <w:spacing w:after="0"/>
              <w:rPr>
                <w:sz w:val="21"/>
                <w:szCs w:val="21"/>
                <w:color w:val="auto"/>
              </w:rPr>
            </w:pPr>
          </w:p>
        </w:tc>
        <w:tc>
          <w:tcPr>
            <w:tcW w:w="2400" w:type="dxa"/>
            <w:vAlign w:val="bottom"/>
          </w:tcPr>
          <w:p>
            <w:pPr>
              <w:jc w:val="right"/>
              <w:ind w:right="432"/>
              <w:spacing w:after="0" w:line="249" w:lineRule="exact"/>
              <w:rPr>
                <w:sz w:val="20"/>
                <w:szCs w:val="20"/>
                <w:color w:val="auto"/>
              </w:rPr>
            </w:pPr>
            <w:r>
              <w:rPr>
                <w:rFonts w:ascii="Arial" w:cs="Arial" w:eastAsia="Arial" w:hAnsi="Arial"/>
                <w:sz w:val="22"/>
                <w:szCs w:val="22"/>
                <w:b w:val="1"/>
                <w:bCs w:val="1"/>
                <w:color w:val="auto"/>
              </w:rPr>
              <w:t>49525</w:t>
            </w:r>
          </w:p>
        </w:tc>
      </w:tr>
      <w:tr>
        <w:trPr>
          <w:trHeight w:val="275"/>
        </w:trPr>
        <w:tc>
          <w:tcPr>
            <w:tcW w:w="4020" w:type="dxa"/>
            <w:vAlign w:val="bottom"/>
          </w:tcPr>
          <w:p>
            <w:pPr>
              <w:jc w:val="center"/>
              <w:ind w:right="572"/>
              <w:spacing w:after="0"/>
              <w:rPr>
                <w:sz w:val="20"/>
                <w:szCs w:val="20"/>
                <w:color w:val="auto"/>
              </w:rPr>
            </w:pPr>
            <w:r>
              <w:rPr>
                <w:rFonts w:ascii="Arial" w:cs="Arial" w:eastAsia="Arial" w:hAnsi="Arial"/>
                <w:sz w:val="22"/>
                <w:szCs w:val="22"/>
                <w:color w:val="auto"/>
                <w:w w:val="91"/>
              </w:rPr>
              <w:t>(Address of principal executive office)</w:t>
            </w:r>
          </w:p>
        </w:tc>
        <w:tc>
          <w:tcPr>
            <w:tcW w:w="2620" w:type="dxa"/>
            <w:vAlign w:val="bottom"/>
          </w:tcPr>
          <w:p>
            <w:pPr>
              <w:spacing w:after="0"/>
              <w:rPr>
                <w:sz w:val="23"/>
                <w:szCs w:val="23"/>
                <w:color w:val="auto"/>
              </w:rPr>
            </w:pPr>
          </w:p>
        </w:tc>
        <w:tc>
          <w:tcPr>
            <w:tcW w:w="24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 xml:space="preserve">Registrant's telephone number, including area code: </w:t>
      </w:r>
      <w:r>
        <w:rPr>
          <w:rFonts w:ascii="Arial" w:cs="Arial" w:eastAsia="Arial" w:hAnsi="Arial"/>
          <w:sz w:val="22"/>
          <w:szCs w:val="22"/>
          <w:b w:val="1"/>
          <w:bCs w:val="1"/>
          <w:color w:val="auto"/>
        </w:rPr>
        <w:t>(616) 364-6161</w:t>
      </w:r>
    </w:p>
    <w:p>
      <w:pPr>
        <w:spacing w:after="0" w:line="244" w:lineRule="exact"/>
        <w:rPr>
          <w:sz w:val="24"/>
          <w:szCs w:val="24"/>
          <w:color w:val="auto"/>
        </w:rPr>
      </w:pPr>
    </w:p>
    <w:p>
      <w:pPr>
        <w:ind w:left="1"/>
        <w:spacing w:after="0" w:line="260" w:lineRule="auto"/>
        <w:rPr>
          <w:sz w:val="20"/>
          <w:szCs w:val="20"/>
          <w:color w:val="auto"/>
        </w:rPr>
      </w:pPr>
      <w:r>
        <w:rPr>
          <w:rFonts w:ascii="Arial" w:cs="Arial" w:eastAsia="Arial" w:hAnsi="Arial"/>
          <w:sz w:val="20"/>
          <w:szCs w:val="20"/>
          <w:color w:val="auto"/>
        </w:rPr>
        <w:t>Check the appropriate box below if the Form 8-K filing is intended to simultaneously satisfy the filing obligation of the registrant under any of the following provisions:</w:t>
      </w:r>
    </w:p>
    <w:p>
      <w:pPr>
        <w:spacing w:after="0" w:line="204" w:lineRule="exact"/>
        <w:rPr>
          <w:sz w:val="24"/>
          <w:szCs w:val="24"/>
          <w:color w:val="auto"/>
        </w:rPr>
      </w:pPr>
    </w:p>
    <w:p>
      <w:pPr>
        <w:ind w:left="841" w:hanging="841"/>
        <w:spacing w:after="0"/>
        <w:tabs>
          <w:tab w:leader="none" w:pos="841"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Written communications pursuant to Rule 425 under the Securities Act (17 CFR 230.425)</w:t>
      </w:r>
    </w:p>
    <w:p>
      <w:pPr>
        <w:spacing w:after="0" w:line="29" w:lineRule="exact"/>
        <w:rPr>
          <w:rFonts w:ascii="MS PGothic" w:cs="MS PGothic" w:eastAsia="MS PGothic" w:hAnsi="MS PGothic"/>
          <w:sz w:val="20"/>
          <w:szCs w:val="20"/>
          <w:color w:val="auto"/>
        </w:rPr>
      </w:pPr>
    </w:p>
    <w:p>
      <w:pPr>
        <w:ind w:left="841" w:hanging="841"/>
        <w:spacing w:after="0"/>
        <w:tabs>
          <w:tab w:leader="none" w:pos="841"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Soliciting material pursuant to Rule 14a-12 under the Exchange Act (17 CFR 240.14a-12).</w:t>
      </w:r>
    </w:p>
    <w:p>
      <w:pPr>
        <w:spacing w:after="0" w:line="13" w:lineRule="exact"/>
        <w:rPr>
          <w:rFonts w:ascii="MS PGothic" w:cs="MS PGothic" w:eastAsia="MS PGothic" w:hAnsi="MS PGothic"/>
          <w:sz w:val="20"/>
          <w:szCs w:val="20"/>
          <w:color w:val="auto"/>
        </w:rPr>
      </w:pPr>
    </w:p>
    <w:p>
      <w:pPr>
        <w:ind w:left="841" w:hanging="841"/>
        <w:spacing w:after="0"/>
        <w:tabs>
          <w:tab w:leader="none" w:pos="84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36" w:lineRule="exact"/>
        <w:rPr>
          <w:rFonts w:ascii="MS PGothic" w:cs="MS PGothic" w:eastAsia="MS PGothic" w:hAnsi="MS PGothic"/>
          <w:sz w:val="18"/>
          <w:szCs w:val="18"/>
          <w:color w:val="auto"/>
        </w:rPr>
      </w:pPr>
    </w:p>
    <w:p>
      <w:pPr>
        <w:ind w:left="841" w:hanging="841"/>
        <w:spacing w:after="0"/>
        <w:tabs>
          <w:tab w:leader="none" w:pos="84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15" w:lineRule="exact"/>
        <w:rPr>
          <w:sz w:val="24"/>
          <w:szCs w:val="24"/>
          <w:color w:val="auto"/>
        </w:rPr>
      </w:pPr>
    </w:p>
    <w:p>
      <w:pPr>
        <w:jc w:val="both"/>
        <w:ind w:left="1"/>
        <w:spacing w:after="0" w:line="249" w:lineRule="exact"/>
        <w:rPr>
          <w:sz w:val="20"/>
          <w:szCs w:val="20"/>
          <w:color w:val="auto"/>
        </w:rPr>
      </w:pPr>
      <w:r>
        <w:rPr>
          <w:rFonts w:ascii="Arial" w:cs="Arial" w:eastAsia="Arial" w:hAnsi="Arial"/>
          <w:sz w:val="20"/>
          <w:szCs w:val="20"/>
          <w:color w:val="auto"/>
        </w:rPr>
        <w:t xml:space="preserve">Indicate by check mark whether the registrant is an emerging growth company as defined in Rule 405 of the Securities Act of 1933 (17 CFR §230.405) or Rule 12b-2 of the Securities Exchange Act of 1934 (17 CFR §240.12b-2). Emerging growth company </w:t>
      </w:r>
      <w:r>
        <w:rPr>
          <w:rFonts w:ascii="MS PGothic" w:cs="MS PGothic" w:eastAsia="MS PGothic" w:hAnsi="MS PGothic"/>
          <w:sz w:val="20"/>
          <w:szCs w:val="20"/>
          <w:color w:val="auto"/>
        </w:rPr>
        <w:t>☐</w:t>
      </w:r>
    </w:p>
    <w:p>
      <w:pPr>
        <w:spacing w:after="0" w:line="187" w:lineRule="exact"/>
        <w:rPr>
          <w:sz w:val="24"/>
          <w:szCs w:val="24"/>
          <w:color w:val="auto"/>
        </w:rPr>
      </w:pPr>
    </w:p>
    <w:p>
      <w:pPr>
        <w:jc w:val="both"/>
        <w:ind w:left="1"/>
        <w:spacing w:after="0" w:line="278"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ind w:left="1"/>
        <w:spacing w:after="0" w:line="201" w:lineRule="exact"/>
        <w:rPr>
          <w:sz w:val="20"/>
          <w:szCs w:val="20"/>
          <w:color w:val="auto"/>
        </w:rPr>
      </w:pPr>
      <w:r>
        <w:rPr>
          <w:rFonts w:ascii="MS PGothic" w:cs="MS PGothic" w:eastAsia="MS PGothic" w:hAnsi="MS PGothic"/>
          <w:sz w:val="20"/>
          <w:szCs w:val="2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316230</wp:posOffset>
            </wp:positionV>
            <wp:extent cx="638873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220" w:right="91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22"/>
          <w:szCs w:val="22"/>
          <w:b w:val="1"/>
          <w:bCs w:val="1"/>
          <w:color w:val="auto"/>
        </w:rPr>
        <w:t>Item 8.01.</w:t>
      </w:r>
      <w:r>
        <w:rPr>
          <w:sz w:val="20"/>
          <w:szCs w:val="20"/>
          <w:color w:val="auto"/>
        </w:rPr>
        <w:tab/>
      </w:r>
      <w:r>
        <w:rPr>
          <w:rFonts w:ascii="Arial" w:cs="Arial" w:eastAsia="Arial" w:hAnsi="Arial"/>
          <w:sz w:val="19"/>
          <w:szCs w:val="19"/>
          <w:b w:val="1"/>
          <w:bCs w:val="1"/>
          <w:color w:val="auto"/>
        </w:rPr>
        <w:t>Other Events</w:t>
      </w:r>
    </w:p>
    <w:p>
      <w:pPr>
        <w:spacing w:after="0" w:line="200" w:lineRule="exact"/>
        <w:rPr>
          <w:sz w:val="20"/>
          <w:szCs w:val="20"/>
          <w:color w:val="auto"/>
        </w:rPr>
      </w:pPr>
    </w:p>
    <w:p>
      <w:pPr>
        <w:spacing w:after="0" w:line="28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On June 14, 2018, pursuant to the Note Purchase and Private Shelf Agreement among Universal Forest Products, Inc. (the “Company”) and PGIM, Inc. (“Prudential), The Prudential Insurance Company of America, The Prudential Life Insurance Company, LTD., The Gibraltar Life Insurance Co., LTD., Prudential Arizona Reinsurance Captive Company, Prudential Annuities Life Assurance Corporation, and each Prudential Affiliate (the "Agreement", and "Private Shelf Facility"), the Company issued its 4.20% Series C Senior Notes, due June 14, 2028, in the aggregate principal amount of $40,000,000 and its 4.27% Series D Senior Notes, due June 14, 2030, in the aggregate principal amount of $35,000,000. Proceeds will be used to pay down the Company's revolving credit facility. The Agreement was amended on March 29, 2018, to increase the size of the Private Shelf Facility from $150,000,000 to $300,000,000. Remaining availability under the Private Shelf Facility is currently $150,000,000.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6388735"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55" w:right="91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u w:val="single" w:color="auto"/>
          <w:color w:val="auto"/>
        </w:rPr>
        <w:t>SIGNATURE</w:t>
      </w:r>
    </w:p>
    <w:p>
      <w:pPr>
        <w:spacing w:after="0" w:line="234"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20" w:type="dxa"/>
            <w:vAlign w:val="bottom"/>
          </w:tcPr>
          <w:p>
            <w:pPr>
              <w:spacing w:after="0"/>
              <w:rPr>
                <w:sz w:val="20"/>
                <w:szCs w:val="20"/>
                <w:color w:val="auto"/>
              </w:rPr>
            </w:pPr>
            <w:r>
              <w:rPr>
                <w:rFonts w:ascii="Arial" w:cs="Arial" w:eastAsia="Arial" w:hAnsi="Arial"/>
                <w:sz w:val="22"/>
                <w:szCs w:val="22"/>
                <w:color w:val="auto"/>
              </w:rPr>
              <w:t>Dated: June 18, 2018</w:t>
            </w:r>
          </w:p>
        </w:tc>
        <w:tc>
          <w:tcPr>
            <w:tcW w:w="6740" w:type="dxa"/>
            <w:vAlign w:val="bottom"/>
            <w:gridSpan w:val="2"/>
          </w:tcPr>
          <w:p>
            <w:pPr>
              <w:ind w:left="1420"/>
              <w:spacing w:after="0"/>
              <w:rPr>
                <w:sz w:val="20"/>
                <w:szCs w:val="20"/>
                <w:color w:val="auto"/>
              </w:rPr>
            </w:pPr>
            <w:r>
              <w:rPr>
                <w:rFonts w:ascii="Arial" w:cs="Arial" w:eastAsia="Arial" w:hAnsi="Arial"/>
                <w:sz w:val="22"/>
                <w:szCs w:val="22"/>
                <w:color w:val="auto"/>
              </w:rPr>
              <w:t>UNIVERSAL FOREST PRODUCTS, INC.</w:t>
            </w:r>
          </w:p>
        </w:tc>
      </w:tr>
      <w:tr>
        <w:trPr>
          <w:trHeight w:val="275"/>
        </w:trPr>
        <w:tc>
          <w:tcPr>
            <w:tcW w:w="3320" w:type="dxa"/>
            <w:vAlign w:val="bottom"/>
          </w:tcPr>
          <w:p>
            <w:pPr>
              <w:spacing w:after="0"/>
              <w:rPr>
                <w:sz w:val="23"/>
                <w:szCs w:val="23"/>
                <w:color w:val="auto"/>
              </w:rPr>
            </w:pPr>
          </w:p>
        </w:tc>
        <w:tc>
          <w:tcPr>
            <w:tcW w:w="6740" w:type="dxa"/>
            <w:vAlign w:val="bottom"/>
            <w:gridSpan w:val="2"/>
          </w:tcPr>
          <w:p>
            <w:pPr>
              <w:ind w:left="1420"/>
              <w:spacing w:after="0"/>
              <w:rPr>
                <w:sz w:val="20"/>
                <w:szCs w:val="20"/>
                <w:color w:val="auto"/>
              </w:rPr>
            </w:pPr>
            <w:r>
              <w:rPr>
                <w:rFonts w:ascii="Arial" w:cs="Arial" w:eastAsia="Arial" w:hAnsi="Arial"/>
                <w:sz w:val="22"/>
                <w:szCs w:val="22"/>
                <w:color w:val="auto"/>
              </w:rPr>
              <w:t>(Registrant)</w:t>
            </w:r>
          </w:p>
        </w:tc>
      </w:tr>
      <w:tr>
        <w:trPr>
          <w:trHeight w:val="476"/>
        </w:trPr>
        <w:tc>
          <w:tcPr>
            <w:tcW w:w="3320" w:type="dxa"/>
            <w:vAlign w:val="bottom"/>
          </w:tcPr>
          <w:p>
            <w:pPr>
              <w:spacing w:after="0"/>
              <w:rPr>
                <w:sz w:val="24"/>
                <w:szCs w:val="24"/>
                <w:color w:val="auto"/>
              </w:rPr>
            </w:pPr>
          </w:p>
        </w:tc>
        <w:tc>
          <w:tcPr>
            <w:tcW w:w="6740" w:type="dxa"/>
            <w:vAlign w:val="bottom"/>
            <w:gridSpan w:val="2"/>
          </w:tcPr>
          <w:p>
            <w:pPr>
              <w:ind w:left="1420"/>
              <w:spacing w:after="0"/>
              <w:rPr>
                <w:sz w:val="20"/>
                <w:szCs w:val="20"/>
                <w:color w:val="auto"/>
              </w:rPr>
            </w:pPr>
            <w:r>
              <w:rPr>
                <w:rFonts w:ascii="Arial" w:cs="Arial" w:eastAsia="Arial" w:hAnsi="Arial"/>
                <w:sz w:val="22"/>
                <w:szCs w:val="22"/>
                <w:color w:val="auto"/>
              </w:rPr>
              <w:t>By: /s/ Michael R. Cole</w:t>
            </w:r>
          </w:p>
        </w:tc>
      </w:tr>
      <w:tr>
        <w:trPr>
          <w:trHeight w:val="215"/>
        </w:trPr>
        <w:tc>
          <w:tcPr>
            <w:tcW w:w="33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880" w:type="dxa"/>
            <w:vAlign w:val="bottom"/>
            <w:tcBorders>
              <w:top w:val="single" w:sz="8" w:color="auto"/>
            </w:tcBorders>
          </w:tcPr>
          <w:p>
            <w:pPr>
              <w:spacing w:after="0" w:line="216" w:lineRule="exact"/>
              <w:rPr>
                <w:sz w:val="20"/>
                <w:szCs w:val="20"/>
                <w:color w:val="auto"/>
              </w:rPr>
            </w:pPr>
            <w:r>
              <w:rPr>
                <w:rFonts w:ascii="Arial" w:cs="Arial" w:eastAsia="Arial" w:hAnsi="Arial"/>
                <w:sz w:val="22"/>
                <w:szCs w:val="22"/>
                <w:color w:val="auto"/>
              </w:rPr>
              <w:t>Michael R. Cole</w:t>
            </w:r>
          </w:p>
        </w:tc>
      </w:tr>
      <w:tr>
        <w:trPr>
          <w:trHeight w:val="275"/>
        </w:trPr>
        <w:tc>
          <w:tcPr>
            <w:tcW w:w="332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4880" w:type="dxa"/>
            <w:vAlign w:val="bottom"/>
          </w:tcPr>
          <w:p>
            <w:pPr>
              <w:spacing w:after="0"/>
              <w:rPr>
                <w:sz w:val="20"/>
                <w:szCs w:val="20"/>
                <w:color w:val="auto"/>
              </w:rPr>
            </w:pPr>
            <w:r>
              <w:rPr>
                <w:rFonts w:ascii="Arial" w:cs="Arial" w:eastAsia="Arial" w:hAnsi="Arial"/>
                <w:sz w:val="22"/>
                <w:szCs w:val="22"/>
                <w:color w:val="auto"/>
              </w:rPr>
              <w:t>Principal Financial Officer and Treasurer</w:t>
            </w:r>
          </w:p>
        </w:tc>
      </w:tr>
      <w:tr>
        <w:trPr>
          <w:trHeight w:val="618"/>
        </w:trPr>
        <w:tc>
          <w:tcPr>
            <w:tcW w:w="33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060"/>
      </w:cols>
      <w:pgMar w:left="920" w:top="118"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2019-12-06T02:05:18Z</dcterms:created>
  <dcterms:modified xsi:type="dcterms:W3CDTF">2019-12-06T02:05:18Z</dcterms:modified>
</cp:coreProperties>
</file>