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6"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27, 2021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860" w:right="1280" w:hanging="3850"/>
        <w:spacing w:after="0" w:line="397" w:lineRule="auto"/>
        <w:tabs>
          <w:tab w:leader="none" w:pos="27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UFP INDUSTRIES,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260"/>
              <w:spacing w:after="0"/>
              <w:rPr>
                <w:sz w:val="20"/>
                <w:szCs w:val="20"/>
                <w:color w:val="auto"/>
              </w:rPr>
            </w:pPr>
            <w:r>
              <w:rPr>
                <w:rFonts w:ascii="Arial" w:cs="Arial" w:eastAsia="Arial" w:hAnsi="Arial"/>
                <w:sz w:val="18"/>
                <w:szCs w:val="18"/>
                <w:color w:val="auto"/>
                <w:w w:val="97"/>
              </w:rPr>
              <w:t>Michigan</w:t>
            </w:r>
          </w:p>
        </w:tc>
        <w:tc>
          <w:tcPr>
            <w:tcW w:w="3920" w:type="dxa"/>
            <w:vAlign w:val="bottom"/>
          </w:tcPr>
          <w:p>
            <w:pPr>
              <w:jc w:val="right"/>
              <w:ind w:right="1570"/>
              <w:spacing w:after="0"/>
              <w:rPr>
                <w:sz w:val="20"/>
                <w:szCs w:val="20"/>
                <w:color w:val="auto"/>
              </w:rPr>
            </w:pPr>
            <w:r>
              <w:rPr>
                <w:rFonts w:ascii="Arial" w:cs="Arial" w:eastAsia="Arial" w:hAnsi="Arial"/>
                <w:sz w:val="18"/>
                <w:szCs w:val="18"/>
                <w:color w:val="auto"/>
              </w:rPr>
              <w:t>38-1465835</w:t>
            </w:r>
          </w:p>
        </w:tc>
      </w:tr>
      <w:tr>
        <w:trPr>
          <w:trHeight w:val="202"/>
        </w:trPr>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2801 East Beltline NE, Grand Rapids, Michigan</w:t>
            </w:r>
          </w:p>
        </w:tc>
        <w:tc>
          <w:tcPr>
            <w:tcW w:w="392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4"/>
              </w:rPr>
              <w:t>(Zip Code)</w:t>
            </w:r>
          </w:p>
        </w:tc>
      </w:tr>
      <w:tr>
        <w:trPr>
          <w:trHeight w:val="350"/>
        </w:trPr>
        <w:tc>
          <w:tcPr>
            <w:tcW w:w="5320" w:type="dxa"/>
            <w:vAlign w:val="bottom"/>
            <w:gridSpan w:val="4"/>
          </w:tcPr>
          <w:p>
            <w:pPr>
              <w:ind w:left="460"/>
              <w:spacing w:after="0"/>
              <w:rPr>
                <w:sz w:val="20"/>
                <w:szCs w:val="20"/>
                <w:color w:val="auto"/>
              </w:rPr>
            </w:pPr>
            <w:r>
              <w:rPr>
                <w:rFonts w:ascii="Arial" w:cs="Arial" w:eastAsia="Arial" w:hAnsi="Arial"/>
                <w:sz w:val="18"/>
                <w:szCs w:val="18"/>
                <w:color w:val="auto"/>
                <w:w w:val="89"/>
              </w:rPr>
              <w:t xml:space="preserve">Registrant’s telephone number, including area code </w:t>
            </w:r>
            <w:r>
              <w:rPr>
                <w:rFonts w:ascii="Arial" w:cs="Arial" w:eastAsia="Arial" w:hAnsi="Arial"/>
                <w:sz w:val="18"/>
                <w:szCs w:val="18"/>
                <w:u w:val="single" w:color="auto"/>
                <w:color w:val="auto"/>
                <w:w w:val="89"/>
              </w:rPr>
              <w:t>(616)</w:t>
            </w:r>
            <w:r>
              <w:rPr>
                <w:rFonts w:ascii="Arial" w:cs="Arial" w:eastAsia="Arial" w:hAnsi="Arial"/>
                <w:sz w:val="18"/>
                <w:szCs w:val="18"/>
                <w:color w:val="auto"/>
                <w:w w:val="89"/>
              </w:rPr>
              <w:t xml:space="preserve">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92" w:right="819" w:bottom="1440" w:gutter="0" w:footer="0" w:header="0"/>
        </w:sectPr>
      </w:pPr>
    </w:p>
    <w:p>
      <w:pPr>
        <w:spacing w:after="0" w:line="56" w:lineRule="exact"/>
        <w:rPr>
          <w:sz w:val="24"/>
          <w:szCs w:val="24"/>
          <w:color w:val="auto"/>
        </w:rPr>
      </w:pPr>
    </w:p>
    <w:p>
      <w:pPr>
        <w:ind w:left="5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both"/>
        <w:ind w:right="80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Emerging Growth Company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sectPr>
          <w:pgSz w:w="11900" w:h="16838" w:orient="portrait"/>
          <w:cols w:equalWidth="0" w:num="4">
            <w:col w:w="2500" w:space="660"/>
            <w:col w:w="1440" w:space="280"/>
            <w:col w:w="1820" w:space="480"/>
            <w:col w:w="3080"/>
          </w:cols>
          <w:pgMar w:left="820" w:top="692" w:right="819" w:bottom="1440" w:gutter="0" w:footer="0" w:header="0"/>
          <w:type w:val="continuous"/>
        </w:sectPr>
      </w:pPr>
    </w:p>
    <w:p>
      <w:pPr>
        <w:ind w:left="20"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100" w:type="dxa"/>
            <w:vAlign w:val="bottom"/>
            <w:gridSpan w:val="2"/>
          </w:tcPr>
          <w:p>
            <w:pPr>
              <w:jc w:val="center"/>
              <w:ind w:right="1040"/>
              <w:spacing w:after="0"/>
              <w:rPr>
                <w:sz w:val="20"/>
                <w:szCs w:val="20"/>
                <w:color w:val="auto"/>
              </w:rPr>
            </w:pPr>
            <w:r>
              <w:rPr>
                <w:rFonts w:ascii="Arial" w:cs="Arial" w:eastAsia="Arial" w:hAnsi="Arial"/>
                <w:sz w:val="18"/>
                <w:szCs w:val="18"/>
                <w:color w:val="auto"/>
                <w:w w:val="84"/>
              </w:rPr>
              <w:t>Class</w:t>
            </w: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Outstanding as of March 27, 2021</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61,838,256</w:t>
            </w:r>
          </w:p>
        </w:tc>
      </w:tr>
    </w:tbl>
    <w:p>
      <w:pPr>
        <w:spacing w:after="0" w:line="1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35"/>
        </w:trPr>
        <w:tc>
          <w:tcPr>
            <w:tcW w:w="20" w:type="dxa"/>
            <w:vAlign w:val="bottom"/>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5260" w:type="dxa"/>
            <w:vAlign w:val="bottom"/>
            <w:tcBorders>
              <w:bottom w:val="single" w:sz="8" w:color="auto"/>
            </w:tcBorders>
          </w:tcPr>
          <w:p>
            <w:pPr>
              <w:spacing w:after="0"/>
              <w:rPr>
                <w:sz w:val="11"/>
                <w:szCs w:val="11"/>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92"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2"/>
          </w:tcPr>
          <w:p>
            <w:pPr>
              <w:ind w:left="120"/>
              <w:spacing w:after="0"/>
              <w:rPr>
                <w:sz w:val="20"/>
                <w:szCs w:val="20"/>
                <w:color w:val="auto"/>
              </w:rPr>
            </w:pPr>
            <w:r>
              <w:rPr>
                <w:rFonts w:ascii="Arial" w:cs="Arial" w:eastAsia="Arial" w:hAnsi="Arial"/>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2"/>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rPr>
              <w:t>PART I.</w:t>
            </w:r>
          </w:p>
        </w:tc>
        <w:tc>
          <w:tcPr>
            <w:tcW w:w="6560" w:type="dxa"/>
            <w:vAlign w:val="bottom"/>
            <w:gridSpan w:val="16"/>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r>
      <w:tr>
        <w:trPr>
          <w:trHeight w:val="432"/>
        </w:trPr>
        <w:tc>
          <w:tcPr>
            <w:tcW w:w="20" w:type="dxa"/>
            <w:vAlign w:val="bottom"/>
          </w:tcPr>
          <w:p>
            <w:pPr>
              <w:spacing w:after="0"/>
              <w:rPr>
                <w:sz w:val="24"/>
                <w:szCs w:val="24"/>
                <w:color w:val="auto"/>
              </w:rPr>
            </w:pPr>
          </w:p>
        </w:tc>
        <w:tc>
          <w:tcPr>
            <w:tcW w:w="1560" w:type="dxa"/>
            <w:vAlign w:val="bottom"/>
            <w:gridSpan w:val="5"/>
          </w:tcPr>
          <w:p>
            <w:pPr>
              <w:ind w:left="820"/>
              <w:spacing w:after="0"/>
              <w:rPr>
                <w:sz w:val="20"/>
                <w:szCs w:val="20"/>
                <w:color w:val="auto"/>
              </w:rPr>
            </w:pPr>
            <w:r>
              <w:rPr>
                <w:rFonts w:ascii="Arial" w:cs="Arial" w:eastAsia="Arial" w:hAnsi="Arial"/>
                <w:sz w:val="18"/>
                <w:szCs w:val="18"/>
                <w:color w:val="auto"/>
              </w:rPr>
              <w:t>Item 1.</w:t>
            </w:r>
          </w:p>
        </w:tc>
        <w:tc>
          <w:tcPr>
            <w:tcW w:w="6560" w:type="dxa"/>
            <w:vAlign w:val="bottom"/>
            <w:gridSpan w:val="16"/>
          </w:tcPr>
          <w:p>
            <w:pPr>
              <w:ind w:left="20"/>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Balance Sheets at March 27, 2021, December 26, 2020 and</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March 28, 2020</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Earnings and Comprehensive Income for the</w:t>
              </w:r>
            </w:hyperlink>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 March 27, 2021 and March 28, 2020</w:t>
              </w:r>
            </w:hyperlink>
          </w:p>
        </w:tc>
        <w:tc>
          <w:tcPr>
            <w:tcW w:w="6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Shareholders’ Equity for the Three Months Ended</w:t>
              </w:r>
            </w:hyperlink>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27, 2021 and March 28, 2020</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Cash Flows for the Three Months Ended March</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27, 2021 and March 28, 2020</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1.</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3.</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4.</w:t>
            </w:r>
          </w:p>
        </w:tc>
        <w:tc>
          <w:tcPr>
            <w:tcW w:w="6560" w:type="dxa"/>
            <w:vAlign w:val="bottom"/>
            <w:gridSpan w:val="16"/>
            <w:shd w:val="clear" w:color="auto" w:fill="CCEEFF"/>
          </w:tcPr>
          <w:p>
            <w:pPr>
              <w:ind w:left="20"/>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656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March 27,</w:t>
            </w:r>
          </w:p>
        </w:tc>
        <w:tc>
          <w:tcPr>
            <w:tcW w:w="220" w:type="dxa"/>
            <w:vAlign w:val="bottom"/>
          </w:tcPr>
          <w:p>
            <w:pPr>
              <w:spacing w:after="0"/>
              <w:rPr>
                <w:sz w:val="16"/>
                <w:szCs w:val="16"/>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11"/>
        </w:trPr>
        <w:tc>
          <w:tcPr>
            <w:tcW w:w="4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6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44,399</w:t>
            </w:r>
          </w:p>
        </w:tc>
        <w:tc>
          <w:tcPr>
            <w:tcW w:w="42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2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31,439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24,308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808,105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470,504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460,821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438,762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316,481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263,857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384,652</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250,813</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246,824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inventories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823,414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567,294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510,681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29,072</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33,812</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36,152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1,737,058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1,538,362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1,060,909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2,413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98,404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77,245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81,065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27,358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314,189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252,193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246,459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93,812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72,252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1,060,893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974,497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906,171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(572,526)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(557,335)</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(508,596)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40" w:type="dxa"/>
            <w:vAlign w:val="bottom"/>
            <w:tcBorders>
              <w:bottom w:val="single" w:sz="8" w:color="CCEEFF"/>
            </w:tcBorders>
          </w:tcPr>
          <w:p>
            <w:pPr>
              <w:ind w:left="400"/>
              <w:spacing w:after="0" w:line="135" w:lineRule="exact"/>
              <w:rPr>
                <w:sz w:val="20"/>
                <w:szCs w:val="20"/>
                <w:color w:val="auto"/>
              </w:rPr>
            </w:pPr>
            <w:r>
              <w:rPr>
                <w:rFonts w:ascii="Arial" w:cs="Arial" w:eastAsia="Arial" w:hAnsi="Arial"/>
                <w:sz w:val="14"/>
                <w:szCs w:val="14"/>
                <w:color w:val="auto"/>
              </w:rPr>
              <w:t>PROPERTY, PLANT AND EQUIPMENT, NET</w:t>
            </w: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488,367</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417,162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397,575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2,786,088</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2,404,891</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1,882,982</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Cash overdraft</w:t>
            </w:r>
          </w:p>
        </w:tc>
        <w:tc>
          <w:tcPr>
            <w:tcW w:w="6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47,140</w:t>
            </w:r>
          </w:p>
        </w:tc>
        <w:tc>
          <w:tcPr>
            <w:tcW w:w="4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299,398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211,518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137,208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166,478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25,565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78,560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69,104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Current portion of lease liability</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23,051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16,549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16,180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2,772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611,031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463,749</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329,255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426,310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LEASE LIABILITY</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76,408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61,509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64,937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34,940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25,266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50,856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59,608</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33,159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1,199,545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921,739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40" w:type="dxa"/>
            <w:vAlign w:val="bottom"/>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tcPr>
          <w:p>
            <w:pPr>
              <w:ind w:left="320"/>
              <w:spacing w:after="0"/>
              <w:rPr>
                <w:sz w:val="20"/>
                <w:szCs w:val="20"/>
                <w:color w:val="auto"/>
              </w:rPr>
            </w:pPr>
            <w:r>
              <w:rPr>
                <w:rFonts w:ascii="Arial" w:cs="Arial" w:eastAsia="Arial" w:hAnsi="Arial"/>
                <w:sz w:val="14"/>
                <w:szCs w:val="14"/>
                <w:color w:val="auto"/>
              </w:rPr>
              <w:t>outstanding, none</w:t>
            </w:r>
          </w:p>
        </w:tc>
        <w:tc>
          <w:tcPr>
            <w:tcW w:w="6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7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61,838,256, 61,205,780 and 61,102,481</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231,111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218,224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211,724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1,276,722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1,182,680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998,996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(3,464)</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(1,794)</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(11,110)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controlling interest shareholders’ equity</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1,566,207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1,460,316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1,260,712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20,336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22,836</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11,570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1,586,543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1,483,152</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1,272,282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line="135" w:lineRule="exact"/>
              <w:rPr>
                <w:sz w:val="20"/>
                <w:szCs w:val="20"/>
                <w:color w:val="auto"/>
              </w:rPr>
            </w:pPr>
            <w:r>
              <w:rPr>
                <w:rFonts w:ascii="Arial" w:cs="Arial" w:eastAsia="Arial" w:hAnsi="Arial"/>
                <w:sz w:val="14"/>
                <w:szCs w:val="14"/>
                <w:color w:val="auto"/>
              </w:rPr>
              <w:t>TOTAL LIABILITIES AND SHAREHOLDERS’ EQUITY</w:t>
            </w:r>
          </w:p>
        </w:tc>
        <w:tc>
          <w:tcPr>
            <w:tcW w:w="540" w:type="dxa"/>
            <w:vAlign w:val="bottom"/>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2,786,088</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2,404,891</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1,882,982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per share data)</w:t>
      </w:r>
    </w:p>
    <w:tbl>
      <w:tblPr>
        <w:tblLayout w:type="fixed"/>
        <w:tblInd w:w="60" w:type="dxa"/>
        <w:tblCellMar>
          <w:top w:w="0" w:type="dxa"/>
          <w:left w:w="0" w:type="dxa"/>
          <w:bottom w:w="0" w:type="dxa"/>
          <w:right w:w="0" w:type="dxa"/>
        </w:tblCellMar>
      </w:tblPr>
      <w:tr>
        <w:trPr>
          <w:trHeight w:val="166"/>
        </w:trPr>
        <w:tc>
          <w:tcPr>
            <w:tcW w:w="6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ind w:left="340"/>
              <w:spacing w:after="0" w:line="159" w:lineRule="exact"/>
              <w:rPr>
                <w:sz w:val="20"/>
                <w:szCs w:val="20"/>
                <w:color w:val="auto"/>
              </w:rPr>
            </w:pPr>
            <w:r>
              <w:rPr>
                <w:rFonts w:ascii="Arial" w:cs="Arial" w:eastAsia="Arial" w:hAnsi="Arial"/>
                <w:sz w:val="14"/>
                <w:szCs w:val="14"/>
                <w:b w:val="1"/>
                <w:bCs w:val="1"/>
                <w:color w:val="auto"/>
              </w:rPr>
              <w:t>Three Months Ended</w:t>
            </w:r>
          </w:p>
        </w:tc>
      </w:tr>
      <w:tr>
        <w:trPr>
          <w:trHeight w:val="126"/>
        </w:trPr>
        <w:tc>
          <w:tcPr>
            <w:tcW w:w="6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32"/>
              <w:spacing w:after="0" w:line="126" w:lineRule="exact"/>
              <w:rPr>
                <w:sz w:val="20"/>
                <w:szCs w:val="20"/>
                <w:color w:val="auto"/>
              </w:rPr>
            </w:pPr>
            <w:r>
              <w:rPr>
                <w:rFonts w:ascii="Arial" w:cs="Arial" w:eastAsia="Arial" w:hAnsi="Arial"/>
                <w:sz w:val="14"/>
                <w:szCs w:val="14"/>
                <w:b w:val="1"/>
                <w:bCs w:val="1"/>
                <w:color w:val="auto"/>
              </w:rPr>
              <w:t>March 27,</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2"/>
              <w:spacing w:after="0" w:line="126"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0"/>
                <w:szCs w:val="10"/>
                <w:color w:val="auto"/>
              </w:rPr>
            </w:pPr>
          </w:p>
        </w:tc>
      </w:tr>
      <w:tr>
        <w:trPr>
          <w:trHeight w:val="178"/>
        </w:trPr>
        <w:tc>
          <w:tcPr>
            <w:tcW w:w="63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1,032,062</w:t>
            </w:r>
          </w:p>
        </w:tc>
        <w:tc>
          <w:tcPr>
            <w:tcW w:w="20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GOODS SOLD</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1,538,450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864,826</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167,236</w:t>
            </w: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109,339</w:t>
            </w:r>
          </w:p>
        </w:tc>
        <w:tc>
          <w:tcPr>
            <w:tcW w:w="200" w:type="dxa"/>
            <w:vAlign w:val="bottom"/>
          </w:tcPr>
          <w:p>
            <w:pPr>
              <w:spacing w:after="0"/>
              <w:rPr>
                <w:sz w:val="18"/>
                <w:szCs w:val="18"/>
                <w:color w:val="auto"/>
              </w:rPr>
            </w:pPr>
          </w:p>
        </w:tc>
      </w:tr>
      <w:tr>
        <w:trPr>
          <w:trHeight w:val="236"/>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LOSSES (GAINS), NET</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6340" w:type="dxa"/>
            <w:vAlign w:val="bottom"/>
          </w:tcPr>
          <w:p>
            <w:pPr>
              <w:spacing w:after="0"/>
              <w:rPr>
                <w:sz w:val="20"/>
                <w:szCs w:val="20"/>
                <w:color w:val="auto"/>
              </w:rPr>
            </w:pPr>
            <w:r>
              <w:rPr>
                <w:rFonts w:ascii="Arial" w:cs="Arial" w:eastAsia="Arial" w:hAnsi="Arial"/>
                <w:sz w:val="16"/>
                <w:szCs w:val="16"/>
                <w:color w:val="auto"/>
              </w:rPr>
              <w:t>EARNINGS FROM OPERATIONS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137,487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58,632</w:t>
            </w:r>
          </w:p>
        </w:tc>
        <w:tc>
          <w:tcPr>
            <w:tcW w:w="200" w:type="dxa"/>
            <w:vAlign w:val="bottom"/>
          </w:tcPr>
          <w:p>
            <w:pPr>
              <w:spacing w:after="0"/>
              <w:rPr>
                <w:sz w:val="17"/>
                <w:szCs w:val="17"/>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6"/>
                <w:szCs w:val="16"/>
                <w:color w:val="auto"/>
              </w:rPr>
              <w:t>INTEREST AND INVESTMENT (INCOME)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2,832</w:t>
            </w:r>
          </w:p>
        </w:tc>
        <w:tc>
          <w:tcPr>
            <w:tcW w:w="200" w:type="dxa"/>
            <w:vAlign w:val="bottom"/>
          </w:tcPr>
          <w:p>
            <w:pPr>
              <w:spacing w:after="0"/>
              <w:rPr>
                <w:sz w:val="18"/>
                <w:szCs w:val="18"/>
                <w:color w:val="auto"/>
              </w:rPr>
            </w:pPr>
          </w:p>
        </w:tc>
      </w:tr>
      <w:tr>
        <w:trPr>
          <w:trHeight w:val="22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INVESTEE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23"/>
        </w:trPr>
        <w:tc>
          <w:tcPr>
            <w:tcW w:w="6340" w:type="dxa"/>
            <w:vAlign w:val="bottom"/>
            <w:tcBorders>
              <w:top w:val="single" w:sz="8" w:color="CCEEFF"/>
              <w:bottom w:val="single" w:sz="8" w:color="CCEEFF"/>
            </w:tcBorders>
          </w:tcPr>
          <w:p>
            <w:pPr>
              <w:spacing w:after="0"/>
              <w:rPr>
                <w:sz w:val="19"/>
                <w:szCs w:val="19"/>
                <w:color w:val="auto"/>
              </w:rPr>
            </w:pPr>
          </w:p>
        </w:tc>
        <w:tc>
          <w:tcPr>
            <w:tcW w:w="6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0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200" w:type="dxa"/>
            <w:vAlign w:val="bottom"/>
            <w:tcBorders>
              <w:top w:val="single" w:sz="8" w:color="CCEEFF"/>
              <w:bottom w:val="single" w:sz="8" w:color="CCEEFF"/>
            </w:tcBorders>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53,892</w:t>
            </w:r>
          </w:p>
        </w:tc>
        <w:tc>
          <w:tcPr>
            <w:tcW w:w="20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TAXES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13,322</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40,570</w:t>
            </w:r>
          </w:p>
        </w:tc>
        <w:tc>
          <w:tcPr>
            <w:tcW w:w="20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NET EARNINGS ATTRIBUTABLE TO NONCONTROLLING INTEREST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 ATTRIBUTABLE TO CONTROLLING INTEREST</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103,311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40,570</w:t>
            </w:r>
          </w:p>
        </w:tc>
        <w:tc>
          <w:tcPr>
            <w:tcW w:w="200" w:type="dxa"/>
            <w:vAlign w:val="bottom"/>
            <w:shd w:val="clear" w:color="auto" w:fill="CCEEFF"/>
          </w:tcPr>
          <w:p>
            <w:pPr>
              <w:spacing w:after="0"/>
              <w:rPr>
                <w:sz w:val="19"/>
                <w:szCs w:val="19"/>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GAIN (LOSS)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32,014</w:t>
            </w:r>
          </w:p>
        </w:tc>
        <w:tc>
          <w:tcPr>
            <w:tcW w:w="20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8"/>
              </w:rPr>
              <w:t>LESS COMPREHENSIVE INCOME ATTRIBUTABLE TO NONCONTROLLING INTEREST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200" w:type="dxa"/>
            <w:vAlign w:val="bottom"/>
            <w:tcBorders>
              <w:bottom w:val="single" w:sz="8" w:color="CCEEFF"/>
            </w:tcBorders>
          </w:tcPr>
          <w:p>
            <w:pPr>
              <w:spacing w:after="0"/>
              <w:rPr>
                <w:sz w:val="19"/>
                <w:szCs w:val="19"/>
                <w:color w:val="auto"/>
              </w:rPr>
            </w:pPr>
          </w:p>
        </w:tc>
      </w:tr>
      <w:tr>
        <w:trPr>
          <w:trHeight w:val="216"/>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ATTRIBUTABLE TO CONTROLLING INTEREST</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5"/>
          </w:tcPr>
          <w:p>
            <w:pPr>
              <w:jc w:val="right"/>
              <w:ind w:right="540"/>
              <w:spacing w:after="0" w:line="159" w:lineRule="exact"/>
              <w:rPr>
                <w:sz w:val="20"/>
                <w:szCs w:val="20"/>
                <w:color w:val="auto"/>
              </w:rPr>
            </w:pPr>
            <w:r>
              <w:rPr>
                <w:rFonts w:ascii="Arial" w:cs="Arial" w:eastAsia="Arial" w:hAnsi="Arial"/>
                <w:sz w:val="14"/>
                <w:szCs w:val="14"/>
                <w:b w:val="1"/>
                <w:bCs w:val="1"/>
                <w:color w:val="auto"/>
                <w:w w:val="93"/>
              </w:rPr>
              <w:t>Controlling Interest Shareholders’ Equity</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8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Interest</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26, 2020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61,206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$ 218,224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6"/>
              </w:rPr>
              <w:t>1,182,680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(1,794)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22,836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1,483,152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103,311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104,251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Additional purchase of noncontrolling interest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 $0.15 per share - quarterly</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Issuance of 5,816 shares under employee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purchase plan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issuance of 536,970 shares under stock grant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programs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w w:val="94"/>
              </w:rPr>
              <w:t>Issuance of 89,690 shares under deferred compensation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plans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arrangements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5,795</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5,795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27, 2021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61,838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231,111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6"/>
              </w:rPr>
              <w:t>1,276,722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(3,464)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20,336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1,586,543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gridSpan w:val="16"/>
            <w:vMerge w:val="restart"/>
          </w:tcPr>
          <w:p>
            <w:pPr>
              <w:jc w:val="right"/>
              <w:ind w:right="560"/>
              <w:spacing w:after="0"/>
              <w:rPr>
                <w:sz w:val="20"/>
                <w:szCs w:val="20"/>
                <w:color w:val="auto"/>
              </w:rPr>
            </w:pPr>
            <w:r>
              <w:rPr>
                <w:rFonts w:ascii="Arial" w:cs="Arial" w:eastAsia="Arial" w:hAnsi="Arial"/>
                <w:sz w:val="14"/>
                <w:szCs w:val="14"/>
                <w:b w:val="1"/>
                <w:bCs w:val="1"/>
                <w:color w:val="auto"/>
                <w:w w:val="93"/>
              </w:rPr>
              <w:t>Controlling Interest Shareholders’ Equity</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gridSpan w:val="16"/>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8"/>
              </w:rPr>
              <w:t>Noncontrolling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tcBorders>
              <w:top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December 28, 2019</w:t>
            </w:r>
          </w:p>
        </w:tc>
        <w:tc>
          <w:tcPr>
            <w:tcW w:w="14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61,409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$ 192,173</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995,022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(4,889)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14,018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1,257,733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earnings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40,159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40,570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(5,951)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(2,335)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Unrealized loss on debt securities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Additional purchase of noncontrolling interest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$0.125 per share - quarterly</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Issuance of 10,549 shares under employee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purchase plan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Net issuance of 350,124 shares under stock grant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Issuance of 89,616 shares under deferred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compensation plans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756,397 shares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(28,456)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arrangements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1,404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4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Balance at March 28, 2020</w:t>
            </w:r>
          </w:p>
        </w:tc>
        <w:tc>
          <w:tcPr>
            <w:tcW w:w="1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61,102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8"/>
              </w:rPr>
              <w:t>211,724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998,996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(11,110)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11,570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gridSpan w:val="2"/>
          </w:tcPr>
          <w:p>
            <w:pPr>
              <w:jc w:val="right"/>
              <w:ind w:right="28"/>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9"/>
              </w:rPr>
              <w:t>1,272,282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68"/>
              <w:spacing w:after="0" w:line="126" w:lineRule="exact"/>
              <w:rPr>
                <w:sz w:val="20"/>
                <w:szCs w:val="20"/>
                <w:color w:val="auto"/>
              </w:rPr>
            </w:pPr>
            <w:r>
              <w:rPr>
                <w:rFonts w:ascii="Arial" w:cs="Arial" w:eastAsia="Arial" w:hAnsi="Arial"/>
                <w:sz w:val="14"/>
                <w:szCs w:val="14"/>
                <w:b w:val="1"/>
                <w:bCs w:val="1"/>
                <w:color w:val="auto"/>
                <w:w w:val="99"/>
              </w:rPr>
              <w:t>March 27,</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68"/>
              <w:spacing w:after="0" w:line="126" w:lineRule="exact"/>
              <w:rPr>
                <w:sz w:val="20"/>
                <w:szCs w:val="20"/>
                <w:color w:val="auto"/>
              </w:rPr>
            </w:pPr>
            <w:r>
              <w:rPr>
                <w:rFonts w:ascii="Arial" w:cs="Arial" w:eastAsia="Arial" w:hAnsi="Arial"/>
                <w:sz w:val="14"/>
                <w:szCs w:val="14"/>
                <w:b w:val="1"/>
                <w:bCs w:val="1"/>
                <w:color w:val="auto"/>
                <w:w w:val="99"/>
              </w:rPr>
              <w:t>March 28,</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104,251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40,570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Depreciation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18,733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15,717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intangibles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2,981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income taxes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Unrealized (gain) loss on investments and 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(1,754)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3,173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Equity in earnings of investee</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Net gain on disposition of assets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(253,323)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(94,253)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(207,768)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121,892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20,047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14,090</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(8,648)</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ind w:left="80"/>
              <w:spacing w:after="0" w:line="135" w:lineRule="exact"/>
              <w:rPr>
                <w:sz w:val="20"/>
                <w:szCs w:val="20"/>
                <w:color w:val="auto"/>
              </w:rPr>
            </w:pPr>
            <w:r>
              <w:rPr>
                <w:rFonts w:ascii="Arial" w:cs="Arial" w:eastAsia="Arial" w:hAnsi="Arial"/>
                <w:sz w:val="14"/>
                <w:szCs w:val="14"/>
                <w:color w:val="auto"/>
              </w:rPr>
              <w:t>NET CASH USED IN OPERATING ACTIVITIES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(196,660)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(46,161)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(34,656)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(27,286)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Acquisitions and purchases of non-controlling interest, net of cash received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(261,133)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(18,487)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3,381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11,260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ind w:left="80"/>
              <w:spacing w:after="0" w:line="135" w:lineRule="exact"/>
              <w:rPr>
                <w:sz w:val="20"/>
                <w:szCs w:val="20"/>
                <w:color w:val="auto"/>
              </w:rPr>
            </w:pPr>
            <w:r>
              <w:rPr>
                <w:rFonts w:ascii="Arial" w:cs="Arial" w:eastAsia="Arial" w:hAnsi="Arial"/>
                <w:sz w:val="14"/>
                <w:szCs w:val="14"/>
                <w:color w:val="auto"/>
              </w:rPr>
              <w:t>NET CASH USED IN INVESTING ACTIVITIES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(296,498)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(48,210)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236,280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6,759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Contingent consideration payments and 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(3,074)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(9,274)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(7,730)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(29,212)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ind w:left="80"/>
              <w:spacing w:after="0" w:line="135" w:lineRule="exact"/>
              <w:rPr>
                <w:sz w:val="20"/>
                <w:szCs w:val="20"/>
                <w:color w:val="auto"/>
              </w:rPr>
            </w:pPr>
            <w:r>
              <w:rPr>
                <w:rFonts w:ascii="Arial" w:cs="Arial" w:eastAsia="Arial" w:hAnsi="Arial"/>
                <w:sz w:val="14"/>
                <w:szCs w:val="14"/>
                <w:color w:val="auto"/>
              </w:rPr>
              <w:t>NET CASH FROM (USED IN) FINANCING ACTIVITIES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101,927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(39,723)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80" w:type="dxa"/>
            <w:vAlign w:val="bottom"/>
          </w:tcPr>
          <w:p>
            <w:pPr>
              <w:spacing w:after="0" w:line="135" w:lineRule="exact"/>
              <w:rPr>
                <w:sz w:val="20"/>
                <w:szCs w:val="20"/>
                <w:color w:val="auto"/>
              </w:rPr>
            </w:pPr>
            <w:r>
              <w:rPr>
                <w:rFonts w:ascii="Arial" w:cs="Arial" w:eastAsia="Arial" w:hAnsi="Arial"/>
                <w:sz w:val="14"/>
                <w:szCs w:val="14"/>
                <w:color w:val="auto"/>
              </w:rPr>
              <w:t>NET CHANGE IN CASH AND CASH EQUIVALENTS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(391,580)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(135,813)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436,608</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168,666</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spacing w:after="0" w:line="135"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45,028</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32,853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436,608</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168,666</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44,399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724</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45,028</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32,853</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Arial" w:cs="Arial" w:eastAsia="Arial" w:hAnsi="Arial"/>
                <w:sz w:val="14"/>
                <w:szCs w:val="14"/>
                <w:color w:val="auto"/>
              </w:rPr>
              <w:t>Interest paid</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2,694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under deferred compensation plans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7" w:lineRule="exact"/>
        <w:rPr>
          <w:sz w:val="20"/>
          <w:szCs w:val="20"/>
          <w:color w:val="auto"/>
        </w:rPr>
      </w:pPr>
    </w:p>
    <w:p>
      <w:pPr>
        <w:ind w:left="540" w:hanging="490"/>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All intercompany transactions and balances have been eliminated. Certain prior year amounts have been reclassified to conform to the current year presentation.</w:t>
      </w:r>
    </w:p>
    <w:p>
      <w:pPr>
        <w:spacing w:after="0" w:line="195"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26, 2020.</w:t>
      </w:r>
    </w:p>
    <w:p>
      <w:pPr>
        <w:spacing w:after="0" w:line="188"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28, 2020 balances in the accompanying unaudited condensed consolidated balance sheets.</w:t>
      </w:r>
    </w:p>
    <w:p>
      <w:pPr>
        <w:spacing w:after="0" w:line="184" w:lineRule="exact"/>
        <w:rPr>
          <w:sz w:val="20"/>
          <w:szCs w:val="20"/>
          <w:color w:val="auto"/>
        </w:rPr>
      </w:pPr>
    </w:p>
    <w:p>
      <w:pPr>
        <w:ind w:left="540" w:hanging="490"/>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March 27, 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March 28, 2020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6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1,146</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$ 29,561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$ 30,398</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Fixed income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16,264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16,508</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15,124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15,361</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18,496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18,496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9,089</w:t>
            </w:r>
          </w:p>
        </w:tc>
        <w:tc>
          <w:tcPr>
            <w:tcW w:w="0" w:type="dxa"/>
            <w:vAlign w:val="bottom"/>
          </w:tcPr>
          <w:p>
            <w:pPr>
              <w:spacing w:after="0"/>
              <w:rPr>
                <w:sz w:val="1"/>
                <w:szCs w:val="1"/>
                <w:color w:val="auto"/>
              </w:rPr>
            </w:pPr>
          </w:p>
        </w:tc>
      </w:tr>
      <w:tr>
        <w:trPr>
          <w:trHeight w:val="185"/>
        </w:trPr>
        <w:tc>
          <w:tcPr>
            <w:tcW w:w="1760" w:type="dxa"/>
            <w:vAlign w:val="bottom"/>
          </w:tcPr>
          <w:p>
            <w:pPr>
              <w:ind w:left="20"/>
              <w:spacing w:after="0" w:line="185" w:lineRule="exact"/>
              <w:rPr>
                <w:sz w:val="20"/>
                <w:szCs w:val="20"/>
                <w:color w:val="auto"/>
              </w:rPr>
            </w:pPr>
            <w:r>
              <w:rPr>
                <w:rFonts w:ascii="Arial" w:cs="Arial" w:eastAsia="Arial" w:hAnsi="Arial"/>
                <w:sz w:val="17"/>
                <w:szCs w:val="17"/>
                <w:color w:val="auto"/>
              </w:rPr>
              <w:t>Alternative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6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2,126</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1,960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Domestic stock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9,388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9,388</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5,204</w:t>
            </w:r>
          </w:p>
        </w:tc>
        <w:tc>
          <w:tcPr>
            <w:tcW w:w="0" w:type="dxa"/>
            <w:vAlign w:val="bottom"/>
          </w:tcPr>
          <w:p>
            <w:pPr>
              <w:spacing w:after="0"/>
              <w:rPr>
                <w:sz w:val="1"/>
                <w:szCs w:val="1"/>
                <w:color w:val="auto"/>
              </w:rPr>
            </w:pPr>
          </w:p>
        </w:tc>
      </w:tr>
      <w:tr>
        <w:trPr>
          <w:trHeight w:val="185"/>
        </w:trPr>
        <w:tc>
          <w:tcPr>
            <w:tcW w:w="176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International stock</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Target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Bond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10"/>
        </w:trPr>
        <w:tc>
          <w:tcPr>
            <w:tcW w:w="1760" w:type="dxa"/>
            <w:vAlign w:val="bottom"/>
          </w:tcPr>
          <w:p>
            <w:pPr>
              <w:ind w:left="120"/>
              <w:spacing w:after="0"/>
              <w:rPr>
                <w:sz w:val="20"/>
                <w:szCs w:val="20"/>
                <w:color w:val="auto"/>
              </w:rPr>
            </w:pPr>
            <w:r>
              <w:rPr>
                <w:rFonts w:ascii="Arial" w:cs="Arial" w:eastAsia="Arial" w:hAnsi="Arial"/>
                <w:sz w:val="17"/>
                <w:szCs w:val="17"/>
                <w:color w:val="auto"/>
              </w:rPr>
              <w:t>Alternative 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223"/>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mutual funds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11,445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11,445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7,536</w:t>
            </w:r>
          </w:p>
        </w:tc>
        <w:tc>
          <w:tcPr>
            <w:tcW w:w="0" w:type="dxa"/>
            <w:vAlign w:val="bottom"/>
          </w:tcPr>
          <w:p>
            <w:pPr>
              <w:spacing w:after="0"/>
              <w:rPr>
                <w:sz w:val="1"/>
                <w:szCs w:val="1"/>
                <w:color w:val="auto"/>
              </w:rPr>
            </w:pPr>
          </w:p>
        </w:tc>
      </w:tr>
      <w:tr>
        <w:trPr>
          <w:trHeight w:val="190"/>
        </w:trPr>
        <w:tc>
          <w:tcPr>
            <w:tcW w:w="1760" w:type="dxa"/>
            <w:vAlign w:val="bottom"/>
          </w:tcPr>
          <w:p>
            <w:pPr>
              <w:ind w:left="20"/>
              <w:spacing w:after="0" w:line="189" w:lineRule="exact"/>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w w:val="96"/>
              </w:rPr>
              <w:t>30,204</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17,391</w:t>
            </w:r>
          </w:p>
        </w:tc>
        <w:tc>
          <w:tcPr>
            <w:tcW w:w="160" w:type="dxa"/>
            <w:vAlign w:val="bottom"/>
          </w:tcPr>
          <w:p>
            <w:pPr>
              <w:spacing w:after="0"/>
              <w:rPr>
                <w:sz w:val="16"/>
                <w:szCs w:val="16"/>
                <w:color w:val="auto"/>
              </w:rPr>
            </w:pPr>
          </w:p>
        </w:tc>
        <w:tc>
          <w:tcPr>
            <w:tcW w:w="80" w:type="dxa"/>
            <w:vAlign w:val="bottom"/>
          </w:tcPr>
          <w:p>
            <w:pPr>
              <w:jc w:val="center"/>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2,126</w:t>
            </w:r>
          </w:p>
        </w:tc>
        <w:tc>
          <w:tcPr>
            <w:tcW w:w="18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w w:val="92"/>
              </w:rPr>
              <w:t>49,721</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w w:val="90"/>
              </w:rPr>
              <w:t>$ 46,423</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15,961</w:t>
            </w:r>
          </w:p>
        </w:tc>
        <w:tc>
          <w:tcPr>
            <w:tcW w:w="160" w:type="dxa"/>
            <w:vAlign w:val="bottom"/>
          </w:tcPr>
          <w:p>
            <w:pPr>
              <w:spacing w:after="0"/>
              <w:rPr>
                <w:sz w:val="16"/>
                <w:szCs w:val="16"/>
                <w:color w:val="auto"/>
              </w:rPr>
            </w:pPr>
          </w:p>
        </w:tc>
        <w:tc>
          <w:tcPr>
            <w:tcW w:w="80" w:type="dxa"/>
            <w:vAlign w:val="bottom"/>
          </w:tcPr>
          <w:p>
            <w:pPr>
              <w:jc w:val="center"/>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1,960</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w w:val="90"/>
              </w:rPr>
              <w:t>$ 64,344</w:t>
            </w:r>
          </w:p>
        </w:tc>
        <w:tc>
          <w:tcPr>
            <w:tcW w:w="0" w:type="dxa"/>
            <w:vAlign w:val="bottom"/>
          </w:tcPr>
          <w:p>
            <w:pPr>
              <w:spacing w:after="0"/>
              <w:rPr>
                <w:sz w:val="1"/>
                <w:szCs w:val="1"/>
                <w:color w:val="auto"/>
              </w:rPr>
            </w:pPr>
          </w:p>
        </w:tc>
      </w:tr>
      <w:tr>
        <w:trPr>
          <w:trHeight w:val="202"/>
        </w:trPr>
        <w:tc>
          <w:tcPr>
            <w:tcW w:w="1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30,204</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2,126</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49,721</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$ 46,423</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15,961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$ 64,344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From the assets measured at fair value as of March 27, 2021, listed in the table above, $31.4 million of mutual funds, equity securities, and alternative investments are held in Investments, $0.5 million of money market funds are held in Cash and Cash Equivalents, $0.6 million of money market and mutual funds are held in Other Assets for our deferred compensation plan, and $16.9 million of fixed income funds and $0.3 million of money markets funds are held in Restricted Investments.</w:t>
      </w:r>
    </w:p>
    <w:p>
      <w:pPr>
        <w:spacing w:after="0" w:line="188"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to any of our financial instruments except for those expressly required by U.S. GAAP.</w:t>
      </w:r>
    </w:p>
    <w:p>
      <w:pPr>
        <w:spacing w:after="0" w:line="16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$47.9 million as of March 27, 2021, which has been included in the aforementioned table of total investments. This portfolio consists of domestic and international equity securities, alternative investments, and fixed income bonds.</w:t>
      </w:r>
    </w:p>
    <w:p>
      <w:pPr>
        <w:spacing w:after="0" w:line="18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7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March 27, 2021</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28, 2020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80" w:type="dxa"/>
            <w:vAlign w:val="bottom"/>
          </w:tcPr>
          <w:p>
            <w:pPr>
              <w:spacing w:after="0"/>
              <w:rPr>
                <w:sz w:val="10"/>
                <w:szCs w:val="10"/>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0"/>
                <w:szCs w:val="10"/>
                <w:color w:val="auto"/>
              </w:rPr>
            </w:pPr>
          </w:p>
        </w:tc>
        <w:tc>
          <w:tcPr>
            <w:tcW w:w="88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3"/>
              </w:rPr>
              <w:t>Unrealized</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88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3"/>
              </w:rPr>
              <w:t>Unrealized</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8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$ 15,867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$ 16,509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$ 15,257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$ 15,361</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Equity</w:t>
            </w:r>
          </w:p>
        </w:tc>
        <w:tc>
          <w:tcPr>
            <w:tcW w:w="720" w:type="dxa"/>
            <w:vAlign w:val="bottom"/>
          </w:tcPr>
          <w:p>
            <w:pPr>
              <w:jc w:val="right"/>
              <w:spacing w:after="0"/>
              <w:rPr>
                <w:sz w:val="20"/>
                <w:szCs w:val="20"/>
                <w:color w:val="auto"/>
              </w:rPr>
            </w:pPr>
            <w:r>
              <w:rPr>
                <w:rFonts w:ascii="Arial" w:cs="Arial" w:eastAsia="Arial" w:hAnsi="Arial"/>
                <w:sz w:val="18"/>
                <w:szCs w:val="18"/>
                <w:color w:val="auto"/>
              </w:rPr>
              <w:t>14,664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3,832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18,496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720" w:type="dxa"/>
            <w:vAlign w:val="bottom"/>
          </w:tcPr>
          <w:p>
            <w:pPr>
              <w:jc w:val="right"/>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Alternative Investments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$ 41,229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$ 47,949</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$ 34,079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$ 33,139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unrealized gain was $6.7 million. Carrying amounts above are recorded in the investments and restricted investments line items within the balance sheet as of March 27, 2021 and March 28, 2020.</w:t>
      </w:r>
    </w:p>
    <w:p>
      <w:pPr>
        <w:spacing w:after="0" w:line="174" w:lineRule="exact"/>
        <w:rPr>
          <w:sz w:val="20"/>
          <w:szCs w:val="20"/>
          <w:color w:val="auto"/>
        </w:rPr>
      </w:pPr>
    </w:p>
    <w:p>
      <w:pPr>
        <w:ind w:left="540" w:hanging="490"/>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67" w:lineRule="exact"/>
        <w:rPr>
          <w:sz w:val="20"/>
          <w:szCs w:val="20"/>
          <w:color w:val="auto"/>
        </w:rPr>
      </w:pPr>
    </w:p>
    <w:p>
      <w:pPr>
        <w:jc w:val="both"/>
        <w:ind w:left="60" w:right="59" w:firstLine="492"/>
        <w:spacing w:after="0" w:line="226" w:lineRule="auto"/>
        <w:rPr>
          <w:sz w:val="20"/>
          <w:szCs w:val="20"/>
          <w:color w:val="auto"/>
        </w:rPr>
      </w:pPr>
      <w:r>
        <w:rPr>
          <w:rFonts w:ascii="Arial" w:cs="Arial" w:eastAsia="Arial" w:hAnsi="Arial"/>
          <w:sz w:val="16"/>
          <w:szCs w:val="16"/>
          <w:color w:val="auto"/>
        </w:rPr>
        <w:t>Certain customer products that we provide require installation by the Company or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Installation revenue is recognized upon completion. If the Company uses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for installation, the party will act as an agent to the Company until completion of the installation. Installation revenue represents an immaterial share of the Company’s total sales.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92"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net sales disaggregated by revenue source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27,</w:t>
            </w: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28,</w:t>
            </w:r>
          </w:p>
        </w:tc>
        <w:tc>
          <w:tcPr>
            <w:tcW w:w="10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4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FOB Shipping Point Revenue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1,797,399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999,262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Contract Revenue</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27,605</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32,800</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1,825,004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1,032,062</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March 27,</w:t>
            </w: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w w:val="90"/>
              </w:rPr>
              <w:t>December 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March 28,</w:t>
            </w:r>
          </w:p>
        </w:tc>
      </w:tr>
      <w:tr>
        <w:trPr>
          <w:trHeight w:val="178"/>
        </w:trPr>
        <w:tc>
          <w:tcPr>
            <w:tcW w:w="4360" w:type="dxa"/>
            <w:vAlign w:val="bottom"/>
          </w:tcPr>
          <w:p>
            <w:pPr>
              <w:spacing w:after="0"/>
              <w:rPr>
                <w:sz w:val="15"/>
                <w:szCs w:val="15"/>
                <w:color w:val="auto"/>
              </w:rPr>
            </w:pPr>
          </w:p>
        </w:tc>
        <w:tc>
          <w:tcPr>
            <w:tcW w:w="23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3,408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9,396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9,920</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5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4"/>
              <w:spacing w:after="0" w:line="126" w:lineRule="exact"/>
              <w:rPr>
                <w:sz w:val="20"/>
                <w:szCs w:val="20"/>
                <w:color w:val="auto"/>
              </w:rPr>
            </w:pPr>
            <w:r>
              <w:rPr>
                <w:rFonts w:ascii="Arial" w:cs="Arial" w:eastAsia="Arial" w:hAnsi="Arial"/>
                <w:sz w:val="14"/>
                <w:szCs w:val="14"/>
                <w:b w:val="1"/>
                <w:bCs w:val="1"/>
                <w:color w:val="auto"/>
              </w:rPr>
              <w:t>March 27,</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0"/>
                <w:szCs w:val="10"/>
                <w:color w:val="auto"/>
              </w:rPr>
            </w:pPr>
          </w:p>
        </w:tc>
      </w:tr>
      <w:tr>
        <w:trPr>
          <w:trHeight w:val="178"/>
        </w:trPr>
        <w:tc>
          <w:tcPr>
            <w:tcW w:w="59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Net earnings attributable to controlling interest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103,311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40,159</w:t>
            </w:r>
          </w:p>
        </w:tc>
        <w:tc>
          <w:tcPr>
            <w:tcW w:w="200" w:type="dxa"/>
            <w:vAlign w:val="bottom"/>
          </w:tcPr>
          <w:p>
            <w:pPr>
              <w:spacing w:after="0"/>
              <w:rPr>
                <w:sz w:val="18"/>
                <w:szCs w:val="18"/>
                <w:color w:val="auto"/>
              </w:rPr>
            </w:pPr>
          </w:p>
        </w:tc>
      </w:tr>
      <w:tr>
        <w:trPr>
          <w:trHeight w:val="236"/>
        </w:trPr>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Adjustment for earnings allocated to non-vested restricted common stock</w:t>
            </w: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590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earnings for calculating EPS</w:t>
            </w:r>
          </w:p>
        </w:tc>
        <w:tc>
          <w:tcPr>
            <w:tcW w:w="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100,136</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39,100</w:t>
            </w:r>
          </w:p>
        </w:tc>
        <w:tc>
          <w:tcPr>
            <w:tcW w:w="200" w:type="dxa"/>
            <w:vAlign w:val="bottom"/>
            <w:tcBorders>
              <w:bottom w:val="single" w:sz="8" w:color="CCEEFF"/>
            </w:tcBorders>
          </w:tcPr>
          <w:p>
            <w:pPr>
              <w:spacing w:after="0"/>
              <w:rPr>
                <w:sz w:val="21"/>
                <w:szCs w:val="2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Weighted average shares outstanding</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61,842</w:t>
            </w:r>
          </w:p>
        </w:tc>
        <w:tc>
          <w:tcPr>
            <w:tcW w:w="200" w:type="dxa"/>
            <w:vAlign w:val="bottom"/>
          </w:tcPr>
          <w:p>
            <w:pPr>
              <w:spacing w:after="0"/>
              <w:rPr>
                <w:sz w:val="18"/>
                <w:szCs w:val="18"/>
                <w:color w:val="auto"/>
              </w:rPr>
            </w:pPr>
          </w:p>
        </w:tc>
      </w:tr>
      <w:tr>
        <w:trPr>
          <w:trHeight w:val="236"/>
        </w:trPr>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 for non-vested restricted common stock</w:t>
            </w: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5900" w:type="dxa"/>
            <w:vAlign w:val="bottom"/>
          </w:tcPr>
          <w:p>
            <w:pPr>
              <w:ind w:left="100"/>
              <w:spacing w:after="0" w:line="203" w:lineRule="exact"/>
              <w:rPr>
                <w:sz w:val="20"/>
                <w:szCs w:val="20"/>
                <w:color w:val="auto"/>
              </w:rPr>
            </w:pPr>
            <w:r>
              <w:rPr>
                <w:rFonts w:ascii="Arial" w:cs="Arial" w:eastAsia="Arial" w:hAnsi="Arial"/>
                <w:sz w:val="18"/>
                <w:szCs w:val="18"/>
                <w:color w:val="auto"/>
              </w:rPr>
              <w:t>Shares for calculating basic EPS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59,987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60,212</w:t>
            </w:r>
          </w:p>
        </w:tc>
        <w:tc>
          <w:tcPr>
            <w:tcW w:w="200" w:type="dxa"/>
            <w:vAlign w:val="bottom"/>
          </w:tcPr>
          <w:p>
            <w:pPr>
              <w:spacing w:after="0"/>
              <w:rPr>
                <w:sz w:val="17"/>
                <w:szCs w:val="17"/>
                <w:color w:val="auto"/>
              </w:rPr>
            </w:pPr>
          </w:p>
        </w:tc>
      </w:tr>
      <w:tr>
        <w:trPr>
          <w:trHeight w:val="236"/>
        </w:trPr>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 of dilutive restricted common stock</w:t>
            </w: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590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Shares for calculating diluted EPS</w:t>
            </w:r>
          </w:p>
        </w:tc>
        <w:tc>
          <w:tcPr>
            <w:tcW w:w="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60,015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60,230</w:t>
            </w:r>
          </w:p>
        </w:tc>
        <w:tc>
          <w:tcPr>
            <w:tcW w:w="200" w:type="dxa"/>
            <w:vAlign w:val="bottom"/>
            <w:tcBorders>
              <w:bottom w:val="single" w:sz="8" w:color="CCEEFF"/>
            </w:tcBorders>
          </w:tcPr>
          <w:p>
            <w:pPr>
              <w:spacing w:after="0"/>
              <w:rPr>
                <w:sz w:val="21"/>
                <w:szCs w:val="21"/>
                <w:color w:val="auto"/>
              </w:rPr>
            </w:pPr>
          </w:p>
        </w:tc>
      </w:tr>
      <w:tr>
        <w:trPr>
          <w:trHeight w:val="197"/>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8"/>
                <w:szCs w:val="18"/>
                <w:color w:val="auto"/>
              </w:rPr>
            </w:pPr>
          </w:p>
        </w:tc>
      </w:tr>
      <w:tr>
        <w:trPr>
          <w:trHeight w:val="216"/>
        </w:trPr>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540" w:hanging="490"/>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92"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On a consolidated basis, we have reserved approximately $1.9 million on March 27, 2021 and $2.0 million on March 28, 2020, respectively, representing the estimated costs to complete future remediation efforts. These amounts have not been reduced by an insurance receivable.</w:t>
      </w:r>
    </w:p>
    <w:p>
      <w:pPr>
        <w:spacing w:after="0" w:line="18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addition, on March 27, 2021,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On March 27, 2021, we had outstanding purchase commitments on commenced capital projects of approximately $41.3 million.</w:t>
      </w:r>
    </w:p>
    <w:p>
      <w:pPr>
        <w:spacing w:after="0" w:line="17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March 27, 2021, we had approximately $27.0 million outstanding payment and performance bonds for open projects. We had approximately $4.0 million in payment and performance bonds outstanding for completed projects which are still under warranty.</w:t>
      </w:r>
    </w:p>
    <w:p>
      <w:pPr>
        <w:spacing w:after="0" w:line="16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On March 27, 2021, we had outstanding letters of credit totaling $50.9 million, primarily related to certain insurance contracts and industrial development revenue bonds described further below.</w:t>
      </w:r>
    </w:p>
    <w:p>
      <w:pPr>
        <w:spacing w:after="0" w:line="170"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As of March 27, 2021, we have irrevocable letters of credit outstanding totaling approximately $43.8 million for these types of insurance arrangements. We have reserves recorded on our balance sheet, in accrued liabilities, that reflect our expected future liabilities under these insurance arrangements.</w:t>
      </w:r>
    </w:p>
    <w:p>
      <w:pPr>
        <w:spacing w:after="0" w:line="157"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$7.1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did not enter into any new guarantee arrangements during the first quarter of 2021 which would require us to recognize a liability on our balance sheet.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00" w:hanging="450"/>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60" w:right="79" w:firstLine="492"/>
        <w:spacing w:after="0" w:line="277" w:lineRule="auto"/>
        <w:rPr>
          <w:sz w:val="20"/>
          <w:szCs w:val="20"/>
          <w:color w:val="auto"/>
        </w:rPr>
      </w:pPr>
      <w:r>
        <w:rPr>
          <w:rFonts w:ascii="Arial" w:cs="Arial" w:eastAsia="Arial" w:hAnsi="Arial"/>
          <w:sz w:val="18"/>
          <w:szCs w:val="18"/>
          <w:color w:val="auto"/>
        </w:rPr>
        <w:t>We completed the following acquisitions in 2021 and since the end of March 2020, which were accounted for using the purchase method in thousands unless otherwise noted:</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540" w:type="dxa"/>
            <w:vAlign w:val="bottom"/>
            <w:tcBorders>
              <w:top w:val="single" w:sz="8" w:color="auto"/>
              <w:left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w:t>
            </w:r>
          </w:p>
        </w:tc>
        <w:tc>
          <w:tcPr>
            <w:tcW w:w="10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00" w:type="dxa"/>
            <w:vAlign w:val="bottom"/>
            <w:tcBorders>
              <w:right w:val="single" w:sz="8" w:color="auto"/>
            </w:tcBorders>
          </w:tcPr>
          <w:p>
            <w:pPr>
              <w:ind w:left="280"/>
              <w:spacing w:after="0"/>
              <w:rPr>
                <w:sz w:val="20"/>
                <w:szCs w:val="20"/>
                <w:color w:val="auto"/>
              </w:rPr>
            </w:pPr>
            <w:r>
              <w:rPr>
                <w:rFonts w:ascii="Arial" w:cs="Arial" w:eastAsia="Arial" w:hAnsi="Arial"/>
                <w:sz w:val="16"/>
                <w:szCs w:val="16"/>
                <w:b w:val="1"/>
                <w:bCs w:val="1"/>
                <w:color w:val="auto"/>
              </w:rPr>
              <w:t>Acquisition</w:t>
            </w:r>
          </w:p>
        </w:tc>
        <w:tc>
          <w:tcPr>
            <w:tcW w:w="1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Tangible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$4,724</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March 1,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4,176</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548</w:t>
            </w:r>
          </w:p>
        </w:tc>
        <w:tc>
          <w:tcPr>
            <w:tcW w:w="10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60" w:type="dxa"/>
            <w:vAlign w:val="bottom"/>
            <w:tcBorders>
              <w:right w:val="single" w:sz="8" w:color="auto"/>
            </w:tcBorders>
            <w:shd w:val="clear" w:color="auto" w:fill="CCEBFF"/>
          </w:tcPr>
          <w:p>
            <w:pPr>
              <w:spacing w:after="0"/>
              <w:rPr>
                <w:sz w:val="13"/>
                <w:szCs w:val="13"/>
                <w:color w:val="auto"/>
              </w:rPr>
            </w:pPr>
          </w:p>
        </w:tc>
        <w:tc>
          <w:tcPr>
            <w:tcW w:w="10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J.C. Gilmore Pty Ltd (Gilmores)</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Founded in 1988 and operating from its distribution facility in Port Melbourne, Australia,</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Gilmores is a leading distributor in the industrial and construction industries of packaging tapes,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stretch films, packaging equipment, strapping, construction protection products and other items,</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36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rPr>
              <w:t>with 2020 sales of $15 million AUD ($10 million USD).</w:t>
            </w: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0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$258,770</w:t>
            </w:r>
          </w:p>
        </w:tc>
        <w:tc>
          <w:tcPr>
            <w:tcW w:w="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December 28, 2020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cash paid for 100% stock</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82,546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176,224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Retail/Industrial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PalletOne, Inc. (PalletOne)</w:t>
            </w: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Based in Bartow, Florida, PalletOne is a leading manufacturer of new pallets in the U.S., with 17</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pallet manufacturing facilities in the southern and eastern regions of the country. The company</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also supplies other specialized industrial packaging, including custom bins and crates, and its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Sunbelt Forest Products (Sunbelt) subsidiary operates five pressure-treating facilities in the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Southeastern U.S. PalletOne and its affiliates had 2019 and 2020 sales of $525 million and $698</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4"/>
              </w:rPr>
              <w:t>million, respectively.</w:t>
            </w:r>
          </w:p>
        </w:tc>
        <w:tc>
          <w:tcPr>
            <w:tcW w:w="1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$27,274</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November 10,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17,894</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9,380</w:t>
            </w:r>
          </w:p>
        </w:tc>
        <w:tc>
          <w:tcPr>
            <w:tcW w:w="10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60" w:type="dxa"/>
            <w:vAlign w:val="bottom"/>
            <w:tcBorders>
              <w:right w:val="single" w:sz="8" w:color="auto"/>
            </w:tcBorders>
            <w:shd w:val="clear" w:color="auto" w:fill="CCEBFF"/>
          </w:tcPr>
          <w:p>
            <w:pPr>
              <w:spacing w:after="0"/>
              <w:rPr>
                <w:sz w:val="13"/>
                <w:szCs w:val="13"/>
                <w:color w:val="auto"/>
              </w:rPr>
            </w:pPr>
          </w:p>
        </w:tc>
        <w:tc>
          <w:tcPr>
            <w:tcW w:w="10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5"/>
              </w:rPr>
              <w:t>Atlantic Prefab, Inc.; Exterior</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4"/>
              </w:rPr>
              <w:t>Based in Wilton, New Hampshire, Atlantic Prefab produces prefabricated steel wall panels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Designs, LLC; and Patriot Building</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light gauge metal trusses. The company’s steel component and prefinished wall panel lines are</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Systems, LLC</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new, value-added product additions for UFP Construction that help shorten project timelines.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Exterior Designs is a leading installer of siding and exterior cladding such as fiber cement, ACM</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(aluminum composite material) panels, phenolic panels, and EIFS (exterior insulation and finish</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systems). The company is based in Londonderry, New Hampshire, and serves commercial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multi-family clients throughout the Northeast. Also based in Londonderry, Patriot Building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Systems provides commercial and multi-family framing services in the Northeast and will focus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on markets not currently served by companies of UFP Industries. The companies had combined</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annual sales of approximately $28 million.</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0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$7,936</w:t>
            </w:r>
          </w:p>
        </w:tc>
        <w:tc>
          <w:tcPr>
            <w:tcW w:w="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October 1, 2020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7,222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Fire Retardant Chemical</w:t>
            </w: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tcPr>
          <w:p>
            <w:pPr>
              <w:spacing w:after="0"/>
              <w:rPr>
                <w:sz w:val="15"/>
                <w:szCs w:val="15"/>
                <w:color w:val="auto"/>
              </w:rPr>
            </w:pPr>
          </w:p>
        </w:tc>
        <w:tc>
          <w:tcPr>
            <w:tcW w:w="6380" w:type="dxa"/>
            <w:vAlign w:val="bottom"/>
            <w:tcBorders>
              <w:right w:val="single" w:sz="8" w:color="auto"/>
            </w:tcBorders>
            <w:gridSpan w:val="7"/>
          </w:tcPr>
          <w:p>
            <w:pPr>
              <w:spacing w:after="0" w:line="176" w:lineRule="exact"/>
              <w:rPr>
                <w:sz w:val="20"/>
                <w:szCs w:val="20"/>
                <w:color w:val="auto"/>
              </w:rPr>
            </w:pPr>
            <w:r>
              <w:rPr>
                <w:rFonts w:ascii="Arial" w:cs="Arial" w:eastAsia="Arial" w:hAnsi="Arial"/>
                <w:sz w:val="16"/>
                <w:szCs w:val="16"/>
                <w:color w:val="auto"/>
                <w:w w:val="93"/>
              </w:rPr>
              <w:t>Founded in 2014 and based in Matthews, North Carolina, FRCT’s business includes a research</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Technologies, LLC (FRCT)</w:t>
            </w: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and development laboratory specializing in developing and testing a wide range of high-</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performance chemicals, including fire retardants and water repellants. The company had annual</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sales of approximately $6.4 million.</w:t>
            </w: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$4,465</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September 30,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cash paid for 50% stock</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4,607</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(142)</w:t>
            </w:r>
          </w:p>
        </w:tc>
        <w:tc>
          <w:tcPr>
            <w:tcW w:w="10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60" w:type="dxa"/>
            <w:vAlign w:val="bottom"/>
            <w:tcBorders>
              <w:right w:val="single" w:sz="8" w:color="auto"/>
            </w:tcBorders>
            <w:shd w:val="clear" w:color="auto" w:fill="CCEBFF"/>
          </w:tcPr>
          <w:p>
            <w:pPr>
              <w:spacing w:after="0"/>
              <w:rPr>
                <w:sz w:val="13"/>
                <w:szCs w:val="13"/>
                <w:color w:val="auto"/>
              </w:rPr>
            </w:pPr>
          </w:p>
        </w:tc>
        <w:tc>
          <w:tcPr>
            <w:tcW w:w="10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Enwrap Logistic &amp; Packaging S.r.l.</w:t>
            </w:r>
          </w:p>
        </w:tc>
        <w:tc>
          <w:tcPr>
            <w:tcW w:w="1400" w:type="dxa"/>
            <w:vAlign w:val="bottom"/>
            <w:tcBorders>
              <w:bottom w:val="single" w:sz="8" w:color="auto"/>
              <w:right w:val="single" w:sz="8" w:color="auto"/>
            </w:tcBorders>
            <w:shd w:val="clear" w:color="auto" w:fill="CCEBFF"/>
          </w:tcPr>
          <w:p>
            <w:pPr>
              <w:spacing w:after="0"/>
              <w:rPr>
                <w:sz w:val="17"/>
                <w:szCs w:val="17"/>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shd w:val="clear" w:color="auto" w:fill="CCEBFF"/>
          </w:tcPr>
          <w:p>
            <w:pPr>
              <w:spacing w:after="0"/>
              <w:rPr>
                <w:sz w:val="17"/>
                <w:szCs w:val="17"/>
                <w:color w:val="auto"/>
              </w:rPr>
            </w:pPr>
          </w:p>
        </w:tc>
        <w:tc>
          <w:tcPr>
            <w:tcW w:w="980" w:type="dxa"/>
            <w:vAlign w:val="bottom"/>
            <w:tcBorders>
              <w:bottom w:val="single" w:sz="8" w:color="auto"/>
              <w:right w:val="single" w:sz="8" w:color="auto"/>
            </w:tcBorders>
            <w:shd w:val="clear" w:color="auto" w:fill="CCEBFF"/>
          </w:tcPr>
          <w:p>
            <w:pPr>
              <w:spacing w:after="0"/>
              <w:rPr>
                <w:sz w:val="17"/>
                <w:szCs w:val="17"/>
                <w:color w:val="auto"/>
              </w:rPr>
            </w:pPr>
          </w:p>
        </w:tc>
        <w:tc>
          <w:tcPr>
            <w:tcW w:w="140" w:type="dxa"/>
            <w:vAlign w:val="bottom"/>
            <w:tcBorders>
              <w:bottom w:val="single" w:sz="8" w:color="auto"/>
            </w:tcBorders>
            <w:shd w:val="clear" w:color="auto" w:fill="CCEBFF"/>
          </w:tcPr>
          <w:p>
            <w:pPr>
              <w:spacing w:after="0"/>
              <w:rPr>
                <w:sz w:val="17"/>
                <w:szCs w:val="17"/>
                <w:color w:val="auto"/>
              </w:rPr>
            </w:pPr>
          </w:p>
        </w:tc>
        <w:tc>
          <w:tcPr>
            <w:tcW w:w="960" w:type="dxa"/>
            <w:vAlign w:val="bottom"/>
            <w:tcBorders>
              <w:bottom w:val="single" w:sz="8" w:color="auto"/>
              <w:right w:val="single" w:sz="8" w:color="auto"/>
            </w:tcBorders>
            <w:shd w:val="clear" w:color="auto" w:fill="CCEBFF"/>
          </w:tcPr>
          <w:p>
            <w:pPr>
              <w:spacing w:after="0"/>
              <w:rPr>
                <w:sz w:val="17"/>
                <w:szCs w:val="17"/>
                <w:color w:val="auto"/>
              </w:rPr>
            </w:pPr>
          </w:p>
        </w:tc>
        <w:tc>
          <w:tcPr>
            <w:tcW w:w="1060" w:type="dxa"/>
            <w:vAlign w:val="bottom"/>
            <w:tcBorders>
              <w:bottom w:val="single" w:sz="8" w:color="auto"/>
              <w:right w:val="single" w:sz="8" w:color="auto"/>
            </w:tcBorders>
            <w:shd w:val="clear" w:color="auto" w:fill="CCEB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9" w:lineRule="exact"/>
              <w:rPr>
                <w:sz w:val="20"/>
                <w:szCs w:val="20"/>
                <w:color w:val="auto"/>
              </w:rPr>
            </w:pPr>
            <w:r>
              <w:rPr>
                <w:rFonts w:ascii="Arial" w:cs="Arial" w:eastAsia="Arial" w:hAnsi="Arial"/>
                <w:sz w:val="16"/>
                <w:szCs w:val="16"/>
                <w:color w:val="auto"/>
                <w:w w:val="98"/>
              </w:rPr>
              <w:t>Enwrap is a newly formed company dedicated to the logistics and packaging business of its</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(Enwrap)</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predecessor, Job Service S.p.A. Headquartered in Milan, Italy, Enwrap provides high-value,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mixed material industrial packaging and logistics services through eight locations in Italy. These</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36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w w:val="98"/>
              </w:rPr>
              <w:t>locations generated annual sales of approximately $14 million.</w:t>
            </w: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0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37"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540" w:type="dxa"/>
            <w:vAlign w:val="bottom"/>
            <w:tcBorders>
              <w:top w:val="single" w:sz="8" w:color="auto"/>
              <w:left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spacing w:after="0"/>
              <w:rPr>
                <w:sz w:val="17"/>
                <w:szCs w:val="17"/>
                <w:color w:val="auto"/>
              </w:rPr>
            </w:pPr>
          </w:p>
        </w:tc>
        <w:tc>
          <w:tcPr>
            <w:tcW w:w="174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2"/>
              </w:rPr>
              <w:t>Net</w:t>
            </w:r>
          </w:p>
        </w:tc>
        <w:tc>
          <w:tcPr>
            <w:tcW w:w="10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Acquisition</w:t>
            </w:r>
          </w:p>
        </w:tc>
        <w:tc>
          <w:tcPr>
            <w:tcW w:w="17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Intangible</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Tangible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79"/>
              </w:rPr>
              <w:t>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79"/>
              </w:rPr>
              <w:t>Assets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$19,136</w:t>
            </w:r>
          </w:p>
        </w:tc>
        <w:tc>
          <w:tcPr>
            <w:tcW w:w="1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July 14, 2020</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13,098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10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T&amp;R Lumber Company ("T&amp;R")</w:t>
            </w:r>
          </w:p>
        </w:tc>
        <w:tc>
          <w:tcPr>
            <w:tcW w:w="140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contingent consideration</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A manufacturer and distributor of a range of products used primarily by nurseries, including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plastic growing containers, pots and trays; wooden stakes; trellises; tree boxes; shipping racks;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and other nursery supplies based in Rancho Cucamonga, California. T&amp;R had annual sales of</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approximately $31 million. The acquisition of T&amp;R will allow us to leverage their expertise using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our national manufacturing capacity to grow our agricultural product offerings and customer base</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across the country.</w:t>
            </w: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intangible assets for the above acquisitions have not been finalized and allocated to their respective identifiable asset and goodwill accounts. In aggregate, acquisitions completed since the end of March 2020 and not consolidated with other operations contributed approximately $242.8 million in net sales and $14.2 million in operating profits during the first quarter of 2021.</w:t>
      </w:r>
    </w:p>
    <w:p>
      <w:pPr>
        <w:spacing w:after="0" w:line="183" w:lineRule="exact"/>
        <w:rPr>
          <w:sz w:val="20"/>
          <w:szCs w:val="20"/>
          <w:color w:val="auto"/>
        </w:rPr>
      </w:pPr>
    </w:p>
    <w:p>
      <w:pPr>
        <w:ind w:left="560" w:hanging="510"/>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operates manufacturing, treating and distribution facilities internationally, but primarily in the United States. The business segments align with the following markets: UFP Retail Solutions, UFP Construction and UFP Industrial. The Company manages the operations of its individual locations primarily through a market-centered reporting structure under which each location is included in a business unit and business units are included in our Retail, Industrial, and Construction segments. In the case of locations which serve multiple segments, results are allocated and accounted for by segment. The exception to this market-centered reporting and management structure is the Company’s International segment, which comprises our Mexico, Canada, and Australia operations and sales and buying offices in other parts of the world.</w:t>
      </w:r>
    </w:p>
    <w:p>
      <w:pPr>
        <w:spacing w:after="0" w:line="19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International segment and Ardellis (our insurance captive) have been included in the “All Other” column of the table below.</w:t>
      </w:r>
    </w:p>
    <w:p>
      <w:pPr>
        <w:spacing w:after="0" w:line="170"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 Total assets of the Corporate column include unallocated cash and cash equivalents, certain prepaid assets, certain property, equipment and other assets pertaining to the centralized activities of Corporate, UFP Real Estate, Inc., and UFP Transportation Ltd. The tables below are presented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4"/>
                <w:szCs w:val="14"/>
                <w:b w:val="1"/>
                <w:bCs w:val="1"/>
                <w:color w:val="auto"/>
                <w:w w:val="94"/>
              </w:rPr>
              <w:t>Three Months Ended March 27, 2021</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56"/>
        </w:trPr>
        <w:tc>
          <w:tcPr>
            <w:tcW w:w="312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Retail</w:t>
            </w:r>
          </w:p>
        </w:tc>
        <w:tc>
          <w:tcPr>
            <w:tcW w:w="8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3"/>
                <w:szCs w:val="13"/>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$ 759,021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$ 448,874</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$ 559,530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55,577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1,825,004</w:t>
            </w: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780" w:type="dxa"/>
            <w:vAlign w:val="bottom"/>
          </w:tcPr>
          <w:p>
            <w:pPr>
              <w:jc w:val="right"/>
              <w:spacing w:after="0"/>
              <w:rPr>
                <w:sz w:val="20"/>
                <w:szCs w:val="20"/>
                <w:color w:val="auto"/>
              </w:rPr>
            </w:pPr>
            <w:r>
              <w:rPr>
                <w:rFonts w:ascii="Arial" w:cs="Arial" w:eastAsia="Arial" w:hAnsi="Arial"/>
                <w:sz w:val="18"/>
                <w:szCs w:val="18"/>
                <w:color w:val="auto"/>
              </w:rPr>
              <w:t>47,586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14,461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(177,349)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137,487</w:t>
            </w:r>
          </w:p>
        </w:tc>
      </w:tr>
      <w:tr>
        <w:trPr>
          <w:trHeight w:val="601"/>
        </w:trPr>
        <w:tc>
          <w:tcPr>
            <w:tcW w:w="3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4"/>
                <w:szCs w:val="14"/>
                <w:b w:val="1"/>
                <w:bCs w:val="1"/>
                <w:color w:val="auto"/>
                <w:w w:val="94"/>
              </w:rPr>
              <w:t>Three Months Ended March 28, 2020</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55"/>
        </w:trPr>
        <w:tc>
          <w:tcPr>
            <w:tcW w:w="312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Retail</w:t>
            </w:r>
          </w:p>
        </w:tc>
        <w:tc>
          <w:tcPr>
            <w:tcW w:w="8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3"/>
                <w:szCs w:val="13"/>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$ 352,161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$ 256,543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$ 381,155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42,392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1,032,062</w:t>
            </w: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780" w:type="dxa"/>
            <w:vAlign w:val="bottom"/>
          </w:tcPr>
          <w:p>
            <w:pPr>
              <w:jc w:val="right"/>
              <w:spacing w:after="0"/>
              <w:rPr>
                <w:sz w:val="20"/>
                <w:szCs w:val="20"/>
                <w:color w:val="auto"/>
              </w:rPr>
            </w:pPr>
            <w:r>
              <w:rPr>
                <w:rFonts w:ascii="Arial" w:cs="Arial" w:eastAsia="Arial" w:hAnsi="Arial"/>
                <w:sz w:val="18"/>
                <w:szCs w:val="18"/>
                <w:color w:val="auto"/>
              </w:rPr>
              <w:t>29,858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15,423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(109,668)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58,632</w:t>
            </w: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presents goodwill by segment as of March 27, 2021, and December 26, 2020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Retail</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Industrial</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All Other</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16"/>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26,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$ 61,943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$ 11,694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$ 252,193</w:t>
            </w:r>
          </w:p>
        </w:tc>
      </w:tr>
      <w:tr>
        <w:trPr>
          <w:trHeight w:val="216"/>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334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700" w:type="dxa"/>
            <w:vAlign w:val="bottom"/>
          </w:tcPr>
          <w:p>
            <w:pPr>
              <w:jc w:val="right"/>
              <w:spacing w:after="0"/>
              <w:rPr>
                <w:sz w:val="20"/>
                <w:szCs w:val="20"/>
                <w:color w:val="auto"/>
              </w:rPr>
            </w:pPr>
            <w:r>
              <w:rPr>
                <w:rFonts w:ascii="Arial" w:cs="Arial" w:eastAsia="Arial" w:hAnsi="Arial"/>
                <w:sz w:val="18"/>
                <w:szCs w:val="18"/>
                <w:color w:val="auto"/>
              </w:rPr>
              <w:t>18,178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66,198</w:t>
            </w:r>
          </w:p>
        </w:tc>
      </w:tr>
      <w:tr>
        <w:trPr>
          <w:trHeight w:val="216"/>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Accounting Adjustments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Foreign Exchange, Net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27,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$ 80,121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129,380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$ 15,612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$ 314,189</w:t>
            </w:r>
          </w:p>
        </w:tc>
      </w:tr>
      <w:tr>
        <w:trPr>
          <w:trHeight w:val="20"/>
        </w:trPr>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total assets by segment as of March 27, 2021, and December 26, 2020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86"/>
              </w:rPr>
              <w:t>Total Assets by Segment</w:t>
            </w:r>
          </w:p>
        </w:tc>
        <w:tc>
          <w:tcPr>
            <w:tcW w:w="660" w:type="dxa"/>
            <w:vAlign w:val="bottom"/>
            <w:tcBorders>
              <w:bottom w:val="single" w:sz="8" w:color="auto"/>
            </w:tcBorders>
          </w:tcPr>
          <w:p>
            <w:pPr>
              <w:spacing w:after="0"/>
              <w:rPr>
                <w:sz w:val="15"/>
                <w:szCs w:val="15"/>
                <w:color w:val="auto"/>
              </w:rPr>
            </w:pPr>
          </w:p>
        </w:tc>
      </w:tr>
      <w:tr>
        <w:trPr>
          <w:trHeight w:val="13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March 27,</w:t>
            </w:r>
          </w:p>
        </w:tc>
        <w:tc>
          <w:tcPr>
            <w:tcW w:w="108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December 26,</w:t>
            </w:r>
          </w:p>
        </w:tc>
        <w:tc>
          <w:tcPr>
            <w:tcW w:w="660" w:type="dxa"/>
            <w:vAlign w:val="bottom"/>
          </w:tcPr>
          <w:p>
            <w:pPr>
              <w:spacing w:after="0"/>
              <w:rPr>
                <w:sz w:val="12"/>
                <w:szCs w:val="12"/>
                <w:color w:val="auto"/>
              </w:rPr>
            </w:pPr>
          </w:p>
        </w:tc>
      </w:tr>
      <w:tr>
        <w:trPr>
          <w:trHeight w:val="171"/>
        </w:trPr>
        <w:tc>
          <w:tcPr>
            <w:tcW w:w="6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Classification</w:t>
            </w:r>
          </w:p>
        </w:tc>
        <w:tc>
          <w:tcPr>
            <w:tcW w:w="120" w:type="dxa"/>
            <w:vAlign w:val="bottom"/>
          </w:tcPr>
          <w:p>
            <w:pPr>
              <w:spacing w:after="0"/>
              <w:rPr>
                <w:sz w:val="14"/>
                <w:szCs w:val="14"/>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608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944,637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510,464</w:t>
            </w: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85.1 %</w:t>
            </w:r>
          </w:p>
        </w:tc>
      </w:tr>
      <w:tr>
        <w:trPr>
          <w:trHeight w:val="216"/>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657,572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416,487</w:t>
            </w:r>
          </w:p>
        </w:tc>
        <w:tc>
          <w:tcPr>
            <w:tcW w:w="18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57.9</w:t>
            </w:r>
          </w:p>
        </w:tc>
      </w:tr>
      <w:tr>
        <w:trPr>
          <w:trHeight w:val="216"/>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510,972</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r>
      <w:tr>
        <w:trPr>
          <w:trHeight w:val="216"/>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196,856</w:t>
            </w:r>
          </w:p>
        </w:tc>
        <w:tc>
          <w:tcPr>
            <w:tcW w:w="18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9.1</w:t>
            </w:r>
          </w:p>
        </w:tc>
      </w:tr>
      <w:tr>
        <w:trPr>
          <w:trHeight w:val="236"/>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433,537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770,112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(43.7)</w:t>
            </w:r>
          </w:p>
        </w:tc>
      </w:tr>
      <w:tr>
        <w:trPr>
          <w:trHeight w:val="203"/>
        </w:trPr>
        <w:tc>
          <w:tcPr>
            <w:tcW w:w="608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2,786,088</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2,404,891</w:t>
            </w: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15.9 %</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4" w:lineRule="exact"/>
        <w:rPr>
          <w:sz w:val="20"/>
          <w:szCs w:val="20"/>
          <w:color w:val="auto"/>
        </w:rPr>
      </w:pPr>
    </w:p>
    <w:p>
      <w:pPr>
        <w:ind w:left="560" w:hanging="510"/>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foreign, state and local income taxes and permanent tax differences. Our effective tax rate was 23.3% in the first quarter of 2021 compared to 24.7% for same period in 2020. The decrease was primarily due to an anticipated decrease in our U.S. tax rate and a variety of other discrete tax items, none of which are individually significant.</w:t>
      </w:r>
    </w:p>
    <w:p>
      <w:pPr>
        <w:spacing w:after="0" w:line="196" w:lineRule="exact"/>
        <w:rPr>
          <w:sz w:val="20"/>
          <w:szCs w:val="20"/>
          <w:color w:val="auto"/>
        </w:rPr>
      </w:pPr>
    </w:p>
    <w:p>
      <w:pPr>
        <w:ind w:left="480" w:hanging="430"/>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279" w:firstLine="492"/>
        <w:spacing w:after="0" w:line="277" w:lineRule="auto"/>
        <w:rPr>
          <w:sz w:val="20"/>
          <w:szCs w:val="20"/>
          <w:color w:val="auto"/>
        </w:rPr>
      </w:pPr>
      <w:r>
        <w:rPr>
          <w:rFonts w:ascii="Arial" w:cs="Arial" w:eastAsia="Arial" w:hAnsi="Arial"/>
          <w:sz w:val="18"/>
          <w:szCs w:val="18"/>
          <w:color w:val="auto"/>
        </w:rPr>
        <w:t>Below is a summary of common stock issuances for the first three months of 2021 and 2020 (in thousands, except average share price):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March 27, 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25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5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Shares issued under the employee stock purchase plan</w:t>
            </w:r>
          </w:p>
        </w:tc>
        <w:tc>
          <w:tcPr>
            <w:tcW w:w="2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Shares issued under the employee stock gift program</w:t>
            </w:r>
          </w:p>
        </w:tc>
        <w:tc>
          <w:tcPr>
            <w:tcW w:w="360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3"/>
              </w:rPr>
              <w:t>Shares issued under the director retainer stock program</w:t>
            </w:r>
          </w:p>
        </w:tc>
        <w:tc>
          <w:tcPr>
            <w:tcW w:w="3600" w:type="dxa"/>
            <w:vAlign w:val="bottom"/>
            <w:gridSpan w:val="2"/>
          </w:tcPr>
          <w:p>
            <w:pPr>
              <w:jc w:val="center"/>
              <w:ind w:left="269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56.80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360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86"/>
              </w:rPr>
              <w:t>468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88"/>
              </w:rPr>
              <w:t>Shares issued under the executive stock match grants plan</w:t>
            </w:r>
          </w:p>
        </w:tc>
        <w:tc>
          <w:tcPr>
            <w:tcW w:w="3600" w:type="dxa"/>
            <w:vAlign w:val="bottom"/>
            <w:gridSpan w:val="2"/>
          </w:tcPr>
          <w:p>
            <w:pPr>
              <w:jc w:val="center"/>
              <w:ind w:left="2690"/>
              <w:spacing w:after="0"/>
              <w:rPr>
                <w:sz w:val="20"/>
                <w:szCs w:val="20"/>
                <w:color w:val="auto"/>
              </w:rPr>
            </w:pPr>
            <w:r>
              <w:rPr>
                <w:rFonts w:ascii="Arial" w:cs="Arial" w:eastAsia="Arial" w:hAnsi="Arial"/>
                <w:sz w:val="18"/>
                <w:szCs w:val="18"/>
                <w:color w:val="auto"/>
                <w:w w:val="89"/>
              </w:rPr>
              <w:t>77</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360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3"/>
              </w:rPr>
              <w:t>(11)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shares issued under stock grant programs</w:t>
            </w:r>
          </w:p>
        </w:tc>
        <w:tc>
          <w:tcPr>
            <w:tcW w:w="28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537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54.63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Shares issued under the deferred compensation plans</w:t>
            </w:r>
          </w:p>
        </w:tc>
        <w:tc>
          <w:tcPr>
            <w:tcW w:w="3600" w:type="dxa"/>
            <w:vAlign w:val="bottom"/>
            <w:gridSpan w:val="2"/>
          </w:tcPr>
          <w:p>
            <w:pPr>
              <w:jc w:val="center"/>
              <w:ind w:left="2690"/>
              <w:spacing w:after="0"/>
              <w:rPr>
                <w:sz w:val="20"/>
                <w:szCs w:val="20"/>
                <w:color w:val="auto"/>
              </w:rPr>
            </w:pPr>
            <w:r>
              <w:rPr>
                <w:rFonts w:ascii="Arial" w:cs="Arial" w:eastAsia="Arial" w:hAnsi="Arial"/>
                <w:sz w:val="18"/>
                <w:szCs w:val="18"/>
                <w:color w:val="auto"/>
                <w:w w:val="89"/>
              </w:rPr>
              <w:t>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59.75</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0" w:type="dxa"/>
            <w:vAlign w:val="bottom"/>
          </w:tcPr>
          <w:p>
            <w:pPr>
              <w:jc w:val="right"/>
              <w:ind w:right="2530"/>
              <w:spacing w:after="0"/>
              <w:rPr>
                <w:sz w:val="20"/>
                <w:szCs w:val="20"/>
                <w:color w:val="auto"/>
              </w:rPr>
            </w:pPr>
            <w:r>
              <w:rPr>
                <w:rFonts w:ascii="Arial" w:cs="Arial" w:eastAsia="Arial" w:hAnsi="Arial"/>
                <w:sz w:val="18"/>
                <w:szCs w:val="18"/>
                <w:color w:val="auto"/>
                <w:w w:val="79"/>
              </w:rPr>
              <w:t>14</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47.90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match grants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47.60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47.52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54.68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During the first three months of 2021, we did not repurchase any of our shares of common stock.</w:t>
      </w:r>
    </w:p>
    <w:p>
      <w:pPr>
        <w:spacing w:after="0" w:line="225" w:lineRule="exact"/>
        <w:rPr>
          <w:sz w:val="20"/>
          <w:szCs w:val="20"/>
          <w:color w:val="auto"/>
        </w:rPr>
      </w:pPr>
    </w:p>
    <w:p>
      <w:pPr>
        <w:ind w:left="60" w:right="399" w:firstLine="486"/>
        <w:spacing w:after="0" w:line="277" w:lineRule="auto"/>
        <w:rPr>
          <w:sz w:val="20"/>
          <w:szCs w:val="20"/>
          <w:color w:val="auto"/>
        </w:rPr>
      </w:pPr>
      <w:r>
        <w:rPr>
          <w:rFonts w:ascii="Arial" w:cs="Arial" w:eastAsia="Arial" w:hAnsi="Arial"/>
          <w:sz w:val="18"/>
          <w:szCs w:val="18"/>
          <w:color w:val="auto"/>
        </w:rPr>
        <w:t>During the first three months of 2020, we repurchased approximately 756,000 shares of our common stock at an average share price of $38.62.</w:t>
      </w:r>
    </w:p>
    <w:p>
      <w:pPr>
        <w:spacing w:after="0" w:line="166" w:lineRule="exact"/>
        <w:rPr>
          <w:sz w:val="20"/>
          <w:szCs w:val="20"/>
          <w:color w:val="auto"/>
        </w:rPr>
      </w:pPr>
    </w:p>
    <w:p>
      <w:pPr>
        <w:ind w:left="500" w:hanging="450"/>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On April 12, 2021, Sunbelt Forest Products Corporation, a wholly owned subsidiary, closed on its agreement to purchase the net operating assets of Spartanburg Forest Products, Inc. and its affiliates. The purchase price for Spartanburg’s property, plant and equipment is approximately $16.5 million. Sunbelt also purchased Spartanburg’s net working capital for an amount equal to the net book value determined on the date of closing, which totaled approximately $146.5 million. Spartanburg and its affiliates are a wood treating operation in the southeastern U.S., with approximately 150 employees and operations in five states.</w:t>
      </w:r>
    </w:p>
    <w:p>
      <w:pPr>
        <w:spacing w:after="0" w:line="192"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On April 19, 2021, UFP Craft and Hobby, LLC, a wholly owned subsidiary, closed on its agreement to purchase the net operating assets of Walnut Hollow Farm, Inc., for $8.7 million. Walnut Hollow Farm, located in Wisconsin, is engaged in the business of designing, manufacturing, selling, and distributing wood products, tools, and accessories for the craft and hobby, outdoor sportsman art, personalized home décor, and hardware categories.</w:t>
      </w:r>
    </w:p>
    <w:p>
      <w:pPr>
        <w:spacing w:after="0" w:line="171"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On April 29, 2021, UFP Construction, LLC, a wholly owned subsidiary, closed on its agreement to purchase the net operating assets of Endurable Building Products, LLC for $10.5 million. Endurable Building Products, based near Minneapolis, Minnesota, is a leading manufacturer of customized structural aluminum systems and products for exterior purposes, such as deck framing, balconies, sunshades, railings and stairs.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UFP Industries, Inc. is a holding company with subsidiaries throughout North America, Europe, Asia, and Australia that supply wood, wood composite and other products to three markets: retail, industrial, and construction. We are headquartered in Grand Rapids, Michigan. For more information about UFP Industries, Inc., or our affiliated operations, go to www.ufpi.com.</w:t>
      </w:r>
    </w:p>
    <w:p>
      <w:pPr>
        <w:spacing w:after="0" w:line="18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government imposed “stay at home” orders and directives to cease or curtail operations;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the first quarter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the first quarter of 2021 include the following highlights:</w:t>
      </w:r>
    </w:p>
    <w:p>
      <w:pPr>
        <w:spacing w:after="0" w:line="225" w:lineRule="exact"/>
        <w:rPr>
          <w:sz w:val="20"/>
          <w:szCs w:val="20"/>
          <w:color w:val="auto"/>
        </w:rPr>
      </w:pPr>
    </w:p>
    <w:p>
      <w:pPr>
        <w:jc w:val="both"/>
        <w:ind w:left="880" w:right="79" w:hanging="317"/>
        <w:spacing w:after="0" w:line="25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net sales were up 77% compared to the first quarter of 2020, which was comprised of a 44% increase in selling prices primarily due to the commodity lumber market (see Historical Lumber Prices below), a 10% increase in organic unit sales, and a 23% increase in unit sales due to acquisitions completed since March of last year. Organic unit growth was driven by an 18% increase in our retail segment, 6% in our construction segment, and 5% in our industrial segment.</w:t>
      </w:r>
    </w:p>
    <w:p>
      <w:pPr>
        <w:spacing w:after="0" w:line="187" w:lineRule="exact"/>
        <w:rPr>
          <w:rFonts w:ascii="Arial" w:cs="Arial" w:eastAsia="Arial" w:hAnsi="Arial"/>
          <w:sz w:val="18"/>
          <w:szCs w:val="18"/>
          <w:color w:val="auto"/>
        </w:rPr>
      </w:pPr>
    </w:p>
    <w:p>
      <w:pPr>
        <w:jc w:val="both"/>
        <w:ind w:left="880" w:right="79" w:hanging="317"/>
        <w:spacing w:after="0" w:line="25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profits increased $78.9 million, or 134%, compared to the first quarter of 2020. Acquisitions contributed approximately $25.5 million to our increase in gross profits and $14.2 million to our increase in operating profits. The remaining improvement in our profitability was driven by a number of factors, including organic unit growth in all of our segments while effectively leveraging fixed costs, inventory positioning and the impact of rising lumber prices on the selling prices of commodity-based products sold on a variable price formula and growth of our new and value-added products which have higher gross margins. In addition, our ability to effectively include lumber cost increases in the selling prices of certain fixed price products enabled us to maintain our profit per unit. Excluding the impact of acquisitions, we estimate value-added and commodity-based products contributed $38.8 million and $55.0 million, respectively, to our increase in gross profits.</w:t>
      </w:r>
    </w:p>
    <w:p>
      <w:pPr>
        <w:spacing w:after="0" w:line="194" w:lineRule="exact"/>
        <w:rPr>
          <w:rFonts w:ascii="Arial" w:cs="Arial" w:eastAsia="Arial" w:hAnsi="Arial"/>
          <w:sz w:val="18"/>
          <w:szCs w:val="18"/>
          <w:color w:val="auto"/>
        </w:rPr>
      </w:pPr>
    </w:p>
    <w:p>
      <w:pPr>
        <w:jc w:val="both"/>
        <w:ind w:left="880" w:right="79" w:hanging="317"/>
        <w:spacing w:after="0" w:line="301"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cash flows used in operations for the first three months of 2021 decreased to $197 million compared to $46 million during the first quarter of 2020, primarily due to an increased investment in working capital of $216 million compared to the prior year. The increase in our net working capital requirements during the first quarter of 2021 were due to unusually high lumber prices and strong market demand, particularly in our retail segment.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342"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purchased 100% of the common stock of PalletOne and its wholly owned subsidiaries, including Sunbelt Forest Products, for approximately $259 million (includes a seasonal working capital adjustment of $6 million).</w:t>
      </w:r>
    </w:p>
    <w:p>
      <w:pPr>
        <w:spacing w:after="0" w:line="123" w:lineRule="exact"/>
        <w:rPr>
          <w:rFonts w:ascii="Arial" w:cs="Arial" w:eastAsia="Arial" w:hAnsi="Arial"/>
          <w:sz w:val="16"/>
          <w:szCs w:val="16"/>
          <w:color w:val="auto"/>
        </w:rPr>
      </w:pPr>
    </w:p>
    <w:p>
      <w:pPr>
        <w:jc w:val="both"/>
        <w:ind w:left="880" w:right="79" w:hanging="317"/>
        <w:spacing w:after="0" w:line="25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net debt (debt and cash overdraft less cash) at the end of March 2021 was $429 million compared to $131 million at the end of March 2020. The increase of $298 million was due to an increased investment in working capital and the purchase of PalletOne discussed above. Our available borrowing capacity under revolving credit facilities and cash surplus resulted in total liquidity of approximately $420.8 million at the end of the first quarter of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experience significant fluctuations in the cost of commodity lumber products from primary producers (“Lumber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Random Lengths Composite</w:t>
      </w:r>
    </w:p>
    <w:p>
      <w:pPr>
        <w:jc w:val="center"/>
        <w:ind w:left="66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February</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average</w:t>
            </w:r>
          </w:p>
        </w:tc>
        <w:tc>
          <w:tcPr>
            <w:tcW w:w="2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44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First quarter percentage change</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 almost two-thirds of our total lumber purchases.</w:t>
      </w:r>
    </w:p>
    <w:p>
      <w:pPr>
        <w:spacing w:after="0" w:line="175"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Random Lengths SYP</w:t>
      </w:r>
    </w:p>
    <w:p>
      <w:pPr>
        <w:jc w:val="center"/>
        <w:ind w:left="66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68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February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 average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First quarter percentage change</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157.1</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sequential increase in lumber prices above is primarily due to the continuation of strong market demand as well as certain constraints in the supply chain of lumber. We anticipate lumber prices will normalize during the last half of this year as these constraints on supply improve. A sequential decline in lumber prices will impact our profitability of products sold with fixed and variable prices as discussed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63.1% and 45.6% of our sales in the first three months of 2021 and 2020, respectively. The increase from the prior year ratio reflects the impact of higher lumber prices and the results of PalletOne and its subsidiaries.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 We believe our percentage of sales of fixed price items is greatest in our third and fourth quarters.</w:t>
      </w:r>
    </w:p>
    <w:p>
      <w:pPr>
        <w:spacing w:after="0" w:line="194" w:lineRule="exact"/>
        <w:rPr>
          <w:rFonts w:ascii="Arial" w:cs="Arial" w:eastAsia="Arial" w:hAnsi="Arial"/>
          <w:sz w:val="18"/>
          <w:szCs w:val="18"/>
          <w:color w:val="auto"/>
        </w:rPr>
      </w:pPr>
    </w:p>
    <w:p>
      <w:pPr>
        <w:jc w:val="both"/>
        <w:ind w:left="880" w:right="79" w:hanging="317"/>
        <w:spacing w:after="0" w:line="272"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w:t>
      </w:r>
      <w:r>
        <w:rPr>
          <w:rFonts w:ascii="Arial" w:cs="Arial" w:eastAsia="Arial" w:hAnsi="Arial"/>
          <w:sz w:val="17"/>
          <w:szCs w:val="17"/>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to the retail market.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comprised approximately 20% of our total annual sales in 2020.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Our annual purchases of inventory through these consignment programs was approximately 19% of our total lumber purchases in 2020. (</w:t>
      </w:r>
      <w:r>
        <w:rPr>
          <w:rFonts w:ascii="Arial" w:cs="Arial" w:eastAsia="Arial" w:hAnsi="Arial"/>
          <w:sz w:val="18"/>
          <w:szCs w:val="18"/>
          <w:i w:val="1"/>
          <w:iCs w:val="1"/>
          <w:color w:val="auto"/>
        </w:rPr>
        <w:t>Please refer to the</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 section of our annual report on form 10-K, filed with the United States Securities and Exchange Commission.</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880" w:right="79" w:hanging="317"/>
        <w:spacing w:after="0" w:line="263"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and longer vendor commitments.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completed two business acquisitions during the first three months of 2021 and five during all of 2020. The annual historical sales attributable to acquisitions completed in the first three months of 2021 is approximately $708 million, while acquisitions completed from April through December 2020 have annual sales of approximately $79 million. These business combinations were not significant to our quarterly results individually or in aggregate and thus pro forma results for 2021 and 2020 are not presented.</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90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6900" w:type="dxa"/>
            <w:vAlign w:val="bottom"/>
          </w:tcPr>
          <w:p>
            <w:pPr>
              <w:spacing w:after="0"/>
              <w:rPr>
                <w:sz w:val="10"/>
                <w:szCs w:val="10"/>
                <w:color w:val="auto"/>
              </w:rPr>
            </w:pPr>
          </w:p>
        </w:tc>
        <w:tc>
          <w:tcPr>
            <w:tcW w:w="1000" w:type="dxa"/>
            <w:vAlign w:val="bottom"/>
            <w:gridSpan w:val="2"/>
          </w:tcPr>
          <w:p>
            <w:pPr>
              <w:jc w:val="right"/>
              <w:ind w:right="210"/>
              <w:spacing w:after="0" w:line="126" w:lineRule="exact"/>
              <w:rPr>
                <w:sz w:val="20"/>
                <w:szCs w:val="20"/>
                <w:color w:val="auto"/>
              </w:rPr>
            </w:pPr>
            <w:r>
              <w:rPr>
                <w:rFonts w:ascii="Arial" w:cs="Arial" w:eastAsia="Arial" w:hAnsi="Arial"/>
                <w:sz w:val="14"/>
                <w:szCs w:val="14"/>
                <w:b w:val="1"/>
                <w:bCs w:val="1"/>
                <w:color w:val="auto"/>
              </w:rPr>
              <w:t>March 27,</w:t>
            </w:r>
          </w:p>
        </w:tc>
        <w:tc>
          <w:tcPr>
            <w:tcW w:w="1020" w:type="dxa"/>
            <w:vAlign w:val="bottom"/>
            <w:gridSpan w:val="2"/>
          </w:tcPr>
          <w:p>
            <w:pPr>
              <w:jc w:val="right"/>
              <w:ind w:right="230"/>
              <w:spacing w:after="0" w:line="126" w:lineRule="exact"/>
              <w:rPr>
                <w:sz w:val="20"/>
                <w:szCs w:val="20"/>
                <w:color w:val="auto"/>
              </w:rPr>
            </w:pPr>
            <w:r>
              <w:rPr>
                <w:rFonts w:ascii="Arial" w:cs="Arial" w:eastAsia="Arial" w:hAnsi="Arial"/>
                <w:sz w:val="14"/>
                <w:szCs w:val="14"/>
                <w:b w:val="1"/>
                <w:bCs w:val="1"/>
                <w:color w:val="auto"/>
              </w:rPr>
              <w:t>March 28,</w:t>
            </w:r>
          </w:p>
        </w:tc>
      </w:tr>
      <w:tr>
        <w:trPr>
          <w:trHeight w:val="178"/>
        </w:trPr>
        <w:tc>
          <w:tcPr>
            <w:tcW w:w="69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Borders>
              <w:bottom w:val="single" w:sz="8" w:color="CCEEFF"/>
            </w:tcBorders>
          </w:tcPr>
          <w:p>
            <w:pPr>
              <w:spacing w:after="0"/>
              <w:rPr>
                <w:sz w:val="18"/>
                <w:szCs w:val="18"/>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losses (gains), net</w:t>
            </w: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r>
      <w:tr>
        <w:trPr>
          <w:trHeight w:val="210"/>
        </w:trPr>
        <w:tc>
          <w:tcPr>
            <w:tcW w:w="690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r>
      <w:tr>
        <w:trPr>
          <w:trHeight w:val="210"/>
        </w:trPr>
        <w:tc>
          <w:tcPr>
            <w:tcW w:w="690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r>
      <w:tr>
        <w:trPr>
          <w:trHeight w:val="210"/>
        </w:trPr>
        <w:tc>
          <w:tcPr>
            <w:tcW w:w="69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noncontrolling interest</w:t>
            </w: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09"/>
        </w:trPr>
        <w:tc>
          <w:tcPr>
            <w:tcW w:w="6900" w:type="dxa"/>
            <w:vAlign w:val="bottom"/>
          </w:tcPr>
          <w:p>
            <w:pPr>
              <w:ind w:left="20"/>
              <w:spacing w:after="0"/>
              <w:rPr>
                <w:sz w:val="20"/>
                <w:szCs w:val="20"/>
                <w:color w:val="auto"/>
              </w:rPr>
            </w:pPr>
            <w:r>
              <w:rPr>
                <w:rFonts w:ascii="Arial" w:cs="Arial" w:eastAsia="Arial" w:hAnsi="Arial"/>
                <w:sz w:val="18"/>
                <w:szCs w:val="18"/>
                <w:color w:val="auto"/>
              </w:rPr>
              <w:t>Net earnings attributable to controlling interest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6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 The percentages displayed below represent the percentage change from the prior year.</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240" w:type="dxa"/>
            <w:vAlign w:val="bottom"/>
          </w:tcPr>
          <w:p>
            <w:pPr>
              <w:spacing w:after="0"/>
              <w:rPr>
                <w:sz w:val="15"/>
                <w:szCs w:val="15"/>
                <w:color w:val="auto"/>
              </w:rPr>
            </w:pPr>
          </w:p>
        </w:tc>
        <w:tc>
          <w:tcPr>
            <w:tcW w:w="266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Percentage Change</w:t>
            </w:r>
          </w:p>
        </w:tc>
      </w:tr>
      <w:tr>
        <w:trPr>
          <w:trHeight w:val="126"/>
        </w:trPr>
        <w:tc>
          <w:tcPr>
            <w:tcW w:w="6240" w:type="dxa"/>
            <w:vAlign w:val="bottom"/>
          </w:tcPr>
          <w:p>
            <w:pPr>
              <w:spacing w:after="0"/>
              <w:rPr>
                <w:sz w:val="10"/>
                <w:szCs w:val="10"/>
                <w:color w:val="auto"/>
              </w:rPr>
            </w:pPr>
          </w:p>
        </w:tc>
        <w:tc>
          <w:tcPr>
            <w:tcW w:w="1400" w:type="dxa"/>
            <w:vAlign w:val="bottom"/>
            <w:gridSpan w:val="2"/>
          </w:tcPr>
          <w:p>
            <w:pPr>
              <w:ind w:left="300"/>
              <w:spacing w:after="0" w:line="126" w:lineRule="exact"/>
              <w:rPr>
                <w:sz w:val="20"/>
                <w:szCs w:val="20"/>
                <w:color w:val="auto"/>
              </w:rPr>
            </w:pPr>
            <w:r>
              <w:rPr>
                <w:rFonts w:ascii="Arial" w:cs="Arial" w:eastAsia="Arial" w:hAnsi="Arial"/>
                <w:sz w:val="14"/>
                <w:szCs w:val="14"/>
                <w:b w:val="1"/>
                <w:bCs w:val="1"/>
                <w:color w:val="auto"/>
              </w:rPr>
              <w:t>March 27,</w:t>
            </w:r>
          </w:p>
        </w:tc>
        <w:tc>
          <w:tcPr>
            <w:tcW w:w="1260" w:type="dxa"/>
            <w:vAlign w:val="bottom"/>
          </w:tcPr>
          <w:p>
            <w:pPr>
              <w:jc w:val="right"/>
              <w:ind w:right="216"/>
              <w:spacing w:after="0" w:line="126" w:lineRule="exact"/>
              <w:rPr>
                <w:sz w:val="20"/>
                <w:szCs w:val="20"/>
                <w:color w:val="auto"/>
              </w:rPr>
            </w:pPr>
            <w:r>
              <w:rPr>
                <w:rFonts w:ascii="Arial" w:cs="Arial" w:eastAsia="Arial" w:hAnsi="Arial"/>
                <w:sz w:val="14"/>
                <w:szCs w:val="14"/>
                <w:b w:val="1"/>
                <w:bCs w:val="1"/>
                <w:color w:val="auto"/>
              </w:rPr>
              <w:t>March 28,</w:t>
            </w:r>
          </w:p>
        </w:tc>
      </w:tr>
      <w:tr>
        <w:trPr>
          <w:trHeight w:val="178"/>
        </w:trPr>
        <w:tc>
          <w:tcPr>
            <w:tcW w:w="62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sold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tcPr>
          <w:p>
            <w:pPr>
              <w:jc w:val="right"/>
              <w:ind w:right="198"/>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8.4</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3.8</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1240" w:type="dxa"/>
            <w:vAlign w:val="bottom"/>
          </w:tcPr>
          <w:p>
            <w:pPr>
              <w:jc w:val="right"/>
              <w:ind w:right="198"/>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20"/>
                <w:szCs w:val="20"/>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21.0</w:t>
            </w:r>
          </w:p>
        </w:tc>
      </w:tr>
    </w:tbl>
    <w:p>
      <w:pPr>
        <w:spacing w:after="0" w:line="200" w:lineRule="exact"/>
        <w:rPr>
          <w:sz w:val="20"/>
          <w:szCs w:val="20"/>
          <w:color w:val="auto"/>
        </w:rPr>
      </w:pPr>
    </w:p>
    <w:p>
      <w:pPr>
        <w:spacing w:after="0" w:line="3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costs these strategies require, we believe this ratio provides an enhanced view of our effectiveness in managing these costs and mitigates the impact of changing lumber prices.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4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right"/>
              <w:ind w:right="399"/>
              <w:spacing w:after="0" w:line="126" w:lineRule="exact"/>
              <w:rPr>
                <w:sz w:val="20"/>
                <w:szCs w:val="20"/>
                <w:color w:val="auto"/>
              </w:rPr>
            </w:pPr>
            <w:r>
              <w:rPr>
                <w:rFonts w:ascii="Arial" w:cs="Arial" w:eastAsia="Arial" w:hAnsi="Arial"/>
                <w:sz w:val="14"/>
                <w:szCs w:val="14"/>
                <w:b w:val="1"/>
                <w:bCs w:val="1"/>
                <w:color w:val="auto"/>
              </w:rPr>
              <w:t>March 27,</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right"/>
              <w:ind w:right="397"/>
              <w:spacing w:after="0" w:line="126" w:lineRule="exact"/>
              <w:rPr>
                <w:sz w:val="20"/>
                <w:szCs w:val="20"/>
                <w:color w:val="auto"/>
              </w:rPr>
            </w:pPr>
            <w:r>
              <w:rPr>
                <w:rFonts w:ascii="Arial" w:cs="Arial" w:eastAsia="Arial" w:hAnsi="Arial"/>
                <w:sz w:val="14"/>
                <w:szCs w:val="14"/>
                <w:b w:val="1"/>
                <w:bCs w:val="1"/>
                <w:color w:val="auto"/>
              </w:rPr>
              <w:t>March 28,</w:t>
            </w:r>
          </w:p>
        </w:tc>
      </w:tr>
      <w:tr>
        <w:trPr>
          <w:trHeight w:val="178"/>
        </w:trPr>
        <w:tc>
          <w:tcPr>
            <w:tcW w:w="43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167,236</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150,098</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109,339</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 as percentage of gross profit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bl>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business segments align with the following markets: UFP Retail Solutions, UFP Construction and UFP Industrial. The Company manages the operations of its individual locations primarily through a market-centered reporting structure under which each location is included in a business unit and business units are included in our Retail, Industrial, and Construction segments. In the case of locations which serve multiple segments, results are allocated and accounted for by segment. The exception to this market-centered reporting and management structure is the Company’s International segment, which comprises our Mexico, Canada, and Australia operations and sales and purchasing offices in other parts of the world. Our International segment and Ardellis (our insurance captive) have been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operating results, for the periods indicated, by segment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7"/>
              </w:rPr>
              <w:t>Three Months Ended March 27, 2021</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759,021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448,874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1,825,004</w:t>
            </w: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658,548</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368,549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470,846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1,538,450</w:t>
            </w: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286,554</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55,545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(3,081)</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150,098</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53,545</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40,410</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33,018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7,978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2,536</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137,487</w:t>
            </w: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7"/>
              </w:rPr>
              <w:t>Three Months Ended March 28, 2020</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256,543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1,032,062</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306,932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212,626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317,817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(2,635)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864,826</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167,236</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109,339</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15,512</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18,074</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17,135</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4,739</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3,172</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58,632</w:t>
            </w: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tables present the components of our operating results, for the periods indicated, as a percentage of net sales by segment.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March 27, 2021</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86.8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84.3</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March 28, 2020</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primarily design, manufacture and market wood and wood-alternative products for national home centers and other retailers, structural lumber and other products for the manufactured housing industry, engineered wood components for residential and commercial construction, customized interior fixtures used in a variety of retail stores, commercial, and other structures, and specialty wood packaging, components and packing materials for various industries. Our strategic long-term sales objectives include:</w:t>
      </w:r>
    </w:p>
    <w:p>
      <w:pPr>
        <w:spacing w:after="0" w:line="188" w:lineRule="exact"/>
        <w:rPr>
          <w:sz w:val="20"/>
          <w:szCs w:val="20"/>
          <w:color w:val="auto"/>
        </w:rPr>
      </w:pPr>
    </w:p>
    <w:p>
      <w:pPr>
        <w:jc w:val="both"/>
        <w:ind w:left="380" w:right="79" w:hanging="330"/>
        <w:spacing w:after="0" w:line="263"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 The following table presents estimates, for the periods indicated, of our percentage change in net sales which were attributable to changes in overall selling prices versus changes in units shipped.</w:t>
      </w:r>
    </w:p>
    <w:p>
      <w:pPr>
        <w:spacing w:after="0" w:line="188" w:lineRule="exact"/>
        <w:rPr>
          <w:rFonts w:ascii="Arial" w:cs="Arial" w:eastAsia="Arial" w:hAnsi="Arial"/>
          <w:sz w:val="18"/>
          <w:szCs w:val="18"/>
          <w:color w:val="auto"/>
        </w:rPr>
      </w:pPr>
    </w:p>
    <w:p>
      <w:pPr>
        <w:ind w:left="6260" w:hanging="170"/>
        <w:spacing w:after="0"/>
        <w:tabs>
          <w:tab w:leader="none" w:pos="6260" w:val="left"/>
        </w:tabs>
        <w:numPr>
          <w:ilvl w:val="1"/>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10" w:lineRule="exact"/>
        <w:rPr>
          <w:sz w:val="20"/>
          <w:szCs w:val="20"/>
          <w:color w:val="auto"/>
        </w:rPr>
      </w:pPr>
    </w:p>
    <w:tbl>
      <w:tblPr>
        <w:tblLayout w:type="fixed"/>
        <w:tblInd w:w="380" w:type="dxa"/>
        <w:tblCellMar>
          <w:top w:w="0" w:type="dxa"/>
          <w:left w:w="0" w:type="dxa"/>
          <w:bottom w:w="0" w:type="dxa"/>
          <w:right w:w="0" w:type="dxa"/>
        </w:tblCellMar>
      </w:tblPr>
      <w:tr>
        <w:trPr>
          <w:trHeight w:val="133"/>
        </w:trPr>
        <w:tc>
          <w:tcPr>
            <w:tcW w:w="38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70"/>
              <w:spacing w:after="0" w:line="133" w:lineRule="exact"/>
              <w:rPr>
                <w:sz w:val="20"/>
                <w:szCs w:val="20"/>
                <w:color w:val="auto"/>
              </w:rPr>
            </w:pPr>
            <w:r>
              <w:rPr>
                <w:rFonts w:ascii="Arial" w:cs="Arial" w:eastAsia="Arial" w:hAnsi="Arial"/>
                <w:sz w:val="14"/>
                <w:szCs w:val="14"/>
                <w:b w:val="1"/>
                <w:bCs w:val="1"/>
                <w:color w:val="auto"/>
                <w:w w:val="91"/>
              </w:rPr>
              <w:t>Acquisition</w:t>
            </w:r>
          </w:p>
        </w:tc>
        <w:tc>
          <w:tcPr>
            <w:tcW w:w="740" w:type="dxa"/>
            <w:vAlign w:val="bottom"/>
            <w:tcBorders>
              <w:top w:val="single" w:sz="8" w:color="auto"/>
            </w:tcBorders>
            <w:gridSpan w:val="2"/>
          </w:tcPr>
          <w:p>
            <w:pPr>
              <w:jc w:val="center"/>
              <w:ind w:right="150"/>
              <w:spacing w:after="0" w:line="133" w:lineRule="exact"/>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72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90"/>
              </w:rPr>
              <w:t>in Sales</w:t>
            </w:r>
          </w:p>
        </w:tc>
        <w:tc>
          <w:tcPr>
            <w:tcW w:w="122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88"/>
              </w:rPr>
              <w:t>in Selling Prices</w:t>
            </w:r>
          </w:p>
        </w:tc>
        <w:tc>
          <w:tcPr>
            <w:tcW w:w="74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97"/>
              </w:rPr>
              <w:t>in Units</w:t>
            </w:r>
          </w:p>
        </w:tc>
        <w:tc>
          <w:tcPr>
            <w:tcW w:w="9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5"/>
              </w:rPr>
              <w:t>Unit</w:t>
            </w:r>
          </w:p>
        </w:tc>
        <w:tc>
          <w:tcPr>
            <w:tcW w:w="7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 2021 versus First Quarter 2020</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80" w:right="79" w:hanging="330"/>
        <w:spacing w:after="0" w:line="25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and protective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casework and millwork used in a variety of commercial markets.</w:t>
      </w:r>
    </w:p>
    <w:p>
      <w:pPr>
        <w:spacing w:after="0" w:line="187" w:lineRule="exact"/>
        <w:rPr>
          <w:rFonts w:ascii="Arial" w:cs="Arial" w:eastAsia="Arial" w:hAnsi="Arial"/>
          <w:sz w:val="18"/>
          <w:szCs w:val="18"/>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jc w:val="both"/>
        <w:ind w:left="380" w:right="79" w:hanging="330"/>
        <w:spacing w:after="0" w:line="288"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Increasing our sales of "value-added" products and enhancing our product offering with new or improved products. Value-added products generally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of products manufactured with wood and non-wood composites, metal,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The following table presents, for the periods indicated, our percentage of value-added and commodity-based sales to total sales by our segments (Retail, Industrial, Construction, All Other and Corporate).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3280" w:type="dxa"/>
            <w:vAlign w:val="bottom"/>
          </w:tcPr>
          <w:p>
            <w:pPr>
              <w:spacing w:after="0"/>
              <w:rPr>
                <w:sz w:val="15"/>
                <w:szCs w:val="15"/>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27, 2021</w:t>
            </w:r>
          </w:p>
        </w:tc>
        <w:tc>
          <w:tcPr>
            <w:tcW w:w="160" w:type="dxa"/>
            <w:vAlign w:val="bottom"/>
          </w:tcPr>
          <w:p>
            <w:pPr>
              <w:spacing w:after="0"/>
              <w:rPr>
                <w:sz w:val="15"/>
                <w:szCs w:val="15"/>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March 28, 2020</w:t>
            </w:r>
          </w:p>
        </w:tc>
      </w:tr>
      <w:tr>
        <w:trPr>
          <w:trHeight w:val="304"/>
        </w:trPr>
        <w:tc>
          <w:tcPr>
            <w:tcW w:w="328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Value-Added</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Commodity-Based</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Value-Added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0"/>
              </w:rPr>
              <w:t>Commodity-Based</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44.5 %</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55.5 %</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56.5 %</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43.5 %</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Industrial</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66.9 %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33.1 %</w:t>
            </w:r>
          </w:p>
        </w:tc>
        <w:tc>
          <w:tcPr>
            <w:tcW w:w="16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66.8 %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33.2 %</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68.9 %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79.1 %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All Other and Corporate</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71.3 %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28.7 %</w:t>
            </w:r>
          </w:p>
        </w:tc>
        <w:tc>
          <w:tcPr>
            <w:tcW w:w="16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72.4 %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27.6 %</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Sales</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58.2 %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41.8 %</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68.0 %</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r>
    </w:tbl>
    <w:p>
      <w:pPr>
        <w:spacing w:after="0" w:line="200" w:lineRule="exact"/>
        <w:rPr>
          <w:sz w:val="20"/>
          <w:szCs w:val="20"/>
          <w:color w:val="auto"/>
        </w:rPr>
      </w:pPr>
    </w:p>
    <w:p>
      <w:pPr>
        <w:spacing w:after="0" w:line="218" w:lineRule="exact"/>
        <w:rPr>
          <w:sz w:val="20"/>
          <w:szCs w:val="20"/>
          <w:color w:val="auto"/>
        </w:rPr>
      </w:pPr>
    </w:p>
    <w:p>
      <w:pPr>
        <w:jc w:val="both"/>
        <w:ind w:left="380" w:right="59"/>
        <w:spacing w:after="0" w:line="270" w:lineRule="auto"/>
        <w:rPr>
          <w:sz w:val="20"/>
          <w:szCs w:val="20"/>
          <w:color w:val="auto"/>
        </w:rPr>
      </w:pPr>
      <w:r>
        <w:rPr>
          <w:rFonts w:ascii="Arial" w:cs="Arial" w:eastAsia="Arial" w:hAnsi="Arial"/>
          <w:sz w:val="17"/>
          <w:szCs w:val="17"/>
          <w:color w:val="auto"/>
        </w:rPr>
        <w:t>The increase in our ratio of commodity-based product sales to total sales reflected in the table above is primarily due to the impact of dramatically higher lumber prices in the first quarter of 2021 as the selling prices of these products are generally indexed to the current Lumber Market at the time they are shipped and lumber costs comprise a much higher percentage of the selling price than they do for value-added products. The acquisition of Sunbelt also contributed to the increase in commodity-based sales of treated lumber in our retail segment, while PalletOne contributed to the increase in value-added sales in the industrial segment. Our unit sales of value-added products increased approximately 30% in the first quarter of 2021 compared to 2020, including an 18% contribution from acquisitions and 12% organic growth. Our unit sales of commodity-based products increased approximately 41%, including a 34% contribution from acquisitions and 7% organic growth.</w:t>
      </w:r>
    </w:p>
    <w:p>
      <w:pPr>
        <w:spacing w:after="0" w:line="181" w:lineRule="exact"/>
        <w:rPr>
          <w:sz w:val="20"/>
          <w:szCs w:val="20"/>
          <w:color w:val="auto"/>
        </w:rPr>
      </w:pPr>
    </w:p>
    <w:p>
      <w:pPr>
        <w:jc w:val="both"/>
        <w:ind w:left="380" w:right="79" w:hanging="330"/>
        <w:spacing w:after="0" w:line="273"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Developing new products. We define new products as those that will generate sales of at least a $1 million per year within 4 years of launch and are still growing and gaining market penetration. New product sales and gross profits in the first quarter were up 58% and 57%, respectively. Approximately $4 million of new product sales for the first three months of 2020, respectively, while still sold, were sunset in 2021 and excluded from the table below because they no longer meet the definition above. Our goal is to achieve annual new product sales of at least $575 million in 2021. The table below presents new product sales in thousands:</w:t>
      </w:r>
    </w:p>
    <w:p>
      <w:pPr>
        <w:spacing w:after="0" w:line="237"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jc w:val="center"/>
              <w:ind w:left="897"/>
              <w:spacing w:after="0"/>
              <w:rPr>
                <w:sz w:val="20"/>
                <w:szCs w:val="20"/>
                <w:color w:val="auto"/>
              </w:rPr>
            </w:pPr>
            <w:r>
              <w:rPr>
                <w:rFonts w:ascii="Arial" w:cs="Arial" w:eastAsia="Arial" w:hAnsi="Arial"/>
                <w:sz w:val="14"/>
                <w:szCs w:val="14"/>
                <w:b w:val="1"/>
                <w:bCs w:val="1"/>
                <w:color w:val="auto"/>
                <w:w w:val="90"/>
              </w:rPr>
              <w:t>New Product Sales by Segment</w:t>
            </w: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55"/>
        </w:trPr>
        <w:tc>
          <w:tcPr>
            <w:tcW w:w="3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r>
        <w:trPr>
          <w:trHeight w:val="139"/>
        </w:trPr>
        <w:tc>
          <w:tcPr>
            <w:tcW w:w="3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357"/>
              <w:spacing w:after="0" w:line="139" w:lineRule="exact"/>
              <w:rPr>
                <w:sz w:val="20"/>
                <w:szCs w:val="20"/>
                <w:color w:val="auto"/>
              </w:rPr>
            </w:pPr>
            <w:r>
              <w:rPr>
                <w:rFonts w:ascii="Arial" w:cs="Arial" w:eastAsia="Arial" w:hAnsi="Arial"/>
                <w:sz w:val="14"/>
                <w:szCs w:val="14"/>
                <w:b w:val="1"/>
                <w:bCs w:val="1"/>
                <w:color w:val="auto"/>
              </w:rPr>
              <w:t>March 27,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March 28,</w:t>
            </w:r>
          </w:p>
        </w:tc>
        <w:tc>
          <w:tcPr>
            <w:tcW w:w="960" w:type="dxa"/>
            <w:vAlign w:val="bottom"/>
          </w:tcPr>
          <w:p>
            <w:pPr>
              <w:jc w:val="right"/>
              <w:ind w:right="195"/>
              <w:spacing w:after="0" w:line="13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78"/>
        </w:trPr>
        <w:tc>
          <w:tcPr>
            <w:tcW w:w="35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5"/>
                <w:szCs w:val="15"/>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Industrial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31,292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15,881</w:t>
            </w:r>
          </w:p>
        </w:tc>
        <w:tc>
          <w:tcPr>
            <w:tcW w:w="28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97.0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and Corporate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New Product Sales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159,406</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100,654</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3" w:lineRule="exact"/>
        <w:rPr>
          <w:sz w:val="20"/>
          <w:szCs w:val="20"/>
          <w:color w:val="auto"/>
        </w:rPr>
      </w:pPr>
    </w:p>
    <w:p>
      <w:pPr>
        <w:ind w:left="380" w:right="739"/>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Net sales in the first quarter of 2021 increased approximately 116% compared to the same period of 2020, due to a 19% increase in organic unit sales, a 56% increase in selling prices, and a 41% increase in unit sales due to acquisitions. Our organic unit growth was primarily driven by a 64% increase in Deckorators composite decking and railing, a 30% increase in our Handprint Home &amp; Décor products including project panels and short lumber, a 28% increase in Outdoor Essentials Fence, Lawn &amp; Garden products, and a 24% increase in our UFP Edge siding, pattern, and trim products. Our new product sales contributed to these increases and were up 52% for the quarter. Finally, our sales to big box customers increased 118%, and sales to other independent retailers increased 112%. Our organic unit sales increases were primarily due to an increase in demand as consumers continue to invest in home improvement activities over other alternatives. We believe this consumer demand trend is largely due to the impact of the pandemic. Lastly, approximately $8 million of sales to customers that distribute products for concrete forming were transferred from the construction segment to the retail segment. This change in structure was made so the personnel in our construction segment can more effectively focus their efforts on the design, manufacturing and sales of assembled forms and other value-added products for concrete forming.</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Gross profits increased by $55.2 million, or 122.1% to $100.5 million for the first quarter of 2021 compared to the same period last year. Our increase in gross profit was comprised of the following</w:t>
      </w:r>
      <w:r>
        <w:rPr>
          <w:rFonts w:ascii="Arial" w:cs="Arial" w:eastAsia="Arial" w:hAnsi="Arial"/>
          <w:sz w:val="18"/>
          <w:szCs w:val="18"/>
          <w:b w:val="1"/>
          <w:bCs w:val="1"/>
          <w:color w:val="auto"/>
        </w:rPr>
        <w:t>:</w:t>
      </w:r>
    </w:p>
    <w:p>
      <w:pPr>
        <w:spacing w:after="0" w:line="170" w:lineRule="exact"/>
        <w:rPr>
          <w:sz w:val="20"/>
          <w:szCs w:val="20"/>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unit sales and leveraging fixed costs of value-added products within our Deckorators, Outdoor Essentials, and Handprint business units contributed $8.9 of additional gross profit.</w:t>
      </w:r>
    </w:p>
    <w:p>
      <w:pPr>
        <w:spacing w:after="0" w:line="170"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Retail Building Materials and ProWood business units contributed $10.5 million and $25.6 million, respectively, to the increase. These increases are primarily due to unit sales growth, inventory positioning, and the favorable trend of rising lumber prices as the selling prices of these products are primarily determined on a variable price formula.</w:t>
      </w:r>
    </w:p>
    <w:p>
      <w:pPr>
        <w:spacing w:after="0" w:line="186"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contributed $10.4 million to the increase.</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Selling, general and administrative (“SG&amp;A”) expenses increased by approximately $17.5 million, or 59.0%, in the first quarter of 2021 compared to the same period of 2020. The SG&amp;A of recently acquired businesses contributed $3.4 million to the increase. Accrued bonus expense, which varies with our overall profitability and return on investment, increased approximately $10.4 million and totaled approximately $14.0 million for the quarter. The remaining increase was primarily due to increases in salaries and wages and sales compensation, which were offset by decreases in travel related expenses.</w:t>
      </w:r>
    </w:p>
    <w:p>
      <w:pPr>
        <w:spacing w:after="0" w:line="16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Earnings from operations for the Retail reportable segment increased in the first quarter of 2021 compared to 2020 by $38.0 million, or 245%, well in excess of our 60% increase in total unit sales as a result of the factors above.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Industrial Segment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sales in the first quarter of 2021 increased 75% compared to the same period of 2020, due to a 5% increase in organic unit sales, a 38% increase in selling prices attributable to the Lumber Market, and a 32% increase in unit sales from recent acquisitions.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Gross profits increased by $36.4 million, or 82.9%, for the first quarter of 2021 compared to the same period last year. Acquisitions contributed $13.4 million to the increase in gross profit. The remaining increase was primarily due to organic unit sales growth and leveraging fixed costs and favorable changes in product mix of value-added products. In addition, we were able to maintain our profit per unit by more effectively passing on commodity lumber price increases in our selling prices.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$14.3 million, or 55.3%, in the first quarter of 2021 compared to the same period of 2020. Acquired operations since the first quarter of 2020 contributed approximately $5.7 million to our increase in costs. Accrued bonus expense, which varies with our overall profitability and return on investment, increased approximately $6.5 million, and totaled $10.7 million for the quarter. The remaining increase was primarily due to increases in salaries and wages and sales compensation, which were offset by decreases in travel related expenses.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Industrial reportable segment increased in the first quarter of 2021 compared to 2020 by $22.3 million, or 123.6%, due to the factors discussed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Net sales in the first quarter of 2021 increased 47% compared to the same period of 2020, due to unit growth of 8% (including 2% from acquisitions) and a 39% increase in selling prices attributable to the Lumber Market. Unit changes within this segment consisted of increases of 21% in site-built construction and 15% in factory-built housing, offset by a 9% decline in commercial construction and a 40% decrease in concrete forming. The transfer of approximately $8 million in sales to the retail segment from the construction segment discussed above contributed to the unit decline in the concrete forming business unit.</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Gross profits increased by $25.3 million, or 40.0% to $88.7 million for the first quarter of 2021 compared to the same period of 2020. The increase in our gross profit was comprised of the following factors:</w:t>
      </w:r>
    </w:p>
    <w:p>
      <w:pPr>
        <w:spacing w:after="0" w:line="170" w:lineRule="exact"/>
        <w:rPr>
          <w:sz w:val="20"/>
          <w:szCs w:val="20"/>
          <w:color w:val="auto"/>
        </w:rPr>
      </w:pPr>
    </w:p>
    <w:p>
      <w:pPr>
        <w:jc w:val="both"/>
        <w:ind w:left="720" w:right="79" w:hanging="319"/>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profits in our site-built construction business unit increased by $12.3 million due to unit sales growth and leveraging fixed costs. In addition, we were able to maintain our profit per unit by more effectively passing on commodity lumber price increases in our selling prices.</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rising lumber prices on variable priced products contributed $12.7 million in gross profit in our factory-built housing and concrete forming business units as a result of increased unit sales and leveraging fixed costs and the impact of rising lumber prices on products sold with a variable price.</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Acquired businesses contributed $1.5 million.</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Selling, general and administrative (“SG&amp;A”) expenses increased by approximately $9.2 million, or 19.7%, in the first quarter of 2021 compared to the same period of 2020, while we reported an 8% increase in unit sales. Acquired operations since the first quarter of 2020 contributed approximately $1.9 million to total SG&amp;A expenses for the quarter. Accrued bonus expense, which varies with our overall profitability and return on investment, increased approximately $5.5 million, and totaled $9.0 million for the quarter. The remaining increase was primarily due to increases in salaries and wages and sales compensation, which were offset by decreases in travel related expenses.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Construction reportable segment increased in the first quarter of 2021 compared to 2020 by $15.9 million, or 92.7%,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not significant.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foreign, state and local income taxes and permanent tax differences. Our effective tax rate was 23.3% in the first quarter of 2021 compared to 24.7% for same period in 2020</w:t>
      </w:r>
      <w:r>
        <w:rPr>
          <w:rFonts w:ascii="Arial" w:cs="Arial" w:eastAsia="Arial" w:hAnsi="Arial"/>
          <w:sz w:val="18"/>
          <w:szCs w:val="18"/>
          <w:color w:val="212529"/>
        </w:rPr>
        <w:t>.</w:t>
      </w:r>
      <w:r>
        <w:rPr>
          <w:rFonts w:ascii="Arial" w:cs="Arial" w:eastAsia="Arial" w:hAnsi="Arial"/>
          <w:sz w:val="18"/>
          <w:szCs w:val="18"/>
          <w:color w:val="auto"/>
        </w:rPr>
        <w:t xml:space="preserve"> The decrease was primarily due to an anticipated decrease in our U.S. tax rate and a variety of other discrete tax items, none of which are individually significant.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5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35"/>
              <w:spacing w:after="0" w:line="126" w:lineRule="exact"/>
              <w:rPr>
                <w:sz w:val="20"/>
                <w:szCs w:val="20"/>
                <w:color w:val="auto"/>
              </w:rPr>
            </w:pPr>
            <w:r>
              <w:rPr>
                <w:rFonts w:ascii="Arial" w:cs="Arial" w:eastAsia="Arial" w:hAnsi="Arial"/>
                <w:sz w:val="14"/>
                <w:szCs w:val="14"/>
                <w:b w:val="1"/>
                <w:bCs w:val="1"/>
                <w:color w:val="auto"/>
                <w:w w:val="95"/>
              </w:rPr>
              <w:t>March 27,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4"/>
              <w:spacing w:after="0" w:line="126" w:lineRule="exact"/>
              <w:rPr>
                <w:sz w:val="20"/>
                <w:szCs w:val="20"/>
                <w:color w:val="auto"/>
              </w:rPr>
            </w:pPr>
            <w:r>
              <w:rPr>
                <w:rFonts w:ascii="Arial" w:cs="Arial" w:eastAsia="Arial" w:hAnsi="Arial"/>
                <w:sz w:val="14"/>
                <w:szCs w:val="14"/>
                <w:b w:val="1"/>
                <w:bCs w:val="1"/>
                <w:color w:val="auto"/>
                <w:w w:val="95"/>
              </w:rPr>
              <w:t>March 28,</w:t>
            </w:r>
          </w:p>
        </w:tc>
      </w:tr>
      <w:tr>
        <w:trPr>
          <w:trHeight w:val="178"/>
        </w:trPr>
        <w:tc>
          <w:tcPr>
            <w:tcW w:w="57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(196,660)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(296,498)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(48,210)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from (used in) financing activities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(39,723)</w:t>
            </w:r>
          </w:p>
        </w:tc>
      </w:tr>
      <w:tr>
        <w:trPr>
          <w:trHeight w:val="223"/>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(391,580)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(135,813)</w:t>
            </w:r>
          </w:p>
        </w:tc>
      </w:tr>
      <w:tr>
        <w:trPr>
          <w:trHeight w:val="223"/>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436,608</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168,666</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32,853</w:t>
            </w:r>
          </w:p>
        </w:tc>
      </w:tr>
      <w:tr>
        <w:trPr>
          <w:trHeight w:val="20"/>
        </w:trPr>
        <w:tc>
          <w:tcPr>
            <w:tcW w:w="5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typically experience a substantial decrease in working capital once we move beyond our peak selling season which typically results in significant cash flows from operations in our third and fourth quarters. As explained in more detail below, the unusually large increase in lumber prices this year, as well as the significant increase in sales attributable to our Retail segment, resulted in a more significant increase in net working capital this year relative to prior years.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improved to 48 days from 59 days in the prior year period.</w:t>
      </w:r>
    </w:p>
    <w:p>
      <w:pPr>
        <w:spacing w:after="0" w:line="154" w:lineRule="exact"/>
        <w:rPr>
          <w:sz w:val="20"/>
          <w:szCs w:val="20"/>
          <w:color w:val="auto"/>
        </w:rPr>
      </w:pPr>
    </w:p>
    <w:tbl>
      <w:tblPr>
        <w:tblLayout w:type="fixed"/>
        <w:tblInd w:w="9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r>
      <w:tr>
        <w:trPr>
          <w:trHeight w:val="12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March 27,</w:t>
            </w:r>
          </w:p>
        </w:tc>
        <w:tc>
          <w:tcPr>
            <w:tcW w:w="6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5"/>
              </w:rPr>
              <w:t>March 28,</w:t>
            </w:r>
          </w:p>
        </w:tc>
      </w:tr>
      <w:tr>
        <w:trPr>
          <w:trHeight w:val="178"/>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50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r>
      <w:tr>
        <w:trPr>
          <w:trHeight w:val="216"/>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1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6"/>
        </w:trPr>
        <w:tc>
          <w:tcPr>
            <w:tcW w:w="2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18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3"/>
        </w:trPr>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Days in cash cycle</w:t>
            </w:r>
          </w:p>
        </w:tc>
        <w:tc>
          <w:tcPr>
            <w:tcW w:w="18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decrease in our days sales outstanding is a result of better focus on timely collection efforts in all of our segments. The decrease in our days supply of inventory for the first three months of 2021 was primarily due to strong market demand and certain supply constraints, which contributed to higher inventory turns in the first quarter of 2021.</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first three months of 2021, our cash consumed by operating activities was $196.7 million, which was comprised of net earnings of $104.3 million and $24.1 million of non-cash expenses, offset by a $325.1 million increase in working capital since the end of December 2020. Our operating cash flow this year declined by $150.5 million compared to the same period of last year primarily due to an increase in our seasonal investment in net working capital since the end of 2020, compared to the prior year period. This increase was due to unusually high lumber prices and increased market demand and net sales in each of our segments. PalletOne also contributed to the increase in our seasonal investment in net working capital.</w:t>
      </w:r>
    </w:p>
    <w:p>
      <w:pPr>
        <w:spacing w:after="0" w:line="19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Acquisitions and purchases of property, plant, and equipment comprised most of our cash used in investing activities during the first three months of 2021 and totaled $261.1 million and $34.7 million, respectively. Outstanding purchase commitments on existing capital projects totaled approximately $41.3 million on March 27, 2021. Capital spending primarily consists of several projects to expand manufacturing capacity to serve retail, industrial and construction customers and achieve efficiencies through automation, make improvements to a number of facilities, and increase our transportation capacity (tractors, trailers) in order to meet higher volumes and replace old rolling stock. We intend to fund capital expenditures and purchase commitments through our operating cash flows for the balance of the year. We currently plan to spend approximately $115.5 million on capital projects for the year. Notable areas of capital spending include projects to increase the capacity and efficiency of our plants that produce our Deckorators mineral-based composite decking and wood-plastic composite decking, and our UFP Edge siding, pattern and trim products.</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flows from financing activities primarily consisted of net borrowings of debt of approximately $115 million, the payment of quarterly dividends totaling $9.3 million ($0.15 per share), and distributions to noncontrolling interests of $2.9 million.</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March 27, 2021, we had $119.4 million outstanding on our $550 million revolving credit facility, and we had approximately $423.5 million in remaining availability after considering $7.1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March 27, 2021.</w:t>
      </w:r>
    </w:p>
    <w:p>
      <w:pPr>
        <w:spacing w:after="0" w:line="176"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At the end of the first quarter of 2021 we have approximately $420.8 million in total liquidity, consisting of our cash surplus and remaining availability under our revolving credit facility. We plan to use a portion of this amount to fund our future growth, including the purchase of Spartanburg Forest Products, Walnut Hollow, and Endurable Building Products. See Notes to Unaudited Consolidated Condensed Financial Statements, Note J, “Subsequent Events.”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26, 2020.</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9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are deemed immaterial to the financial statements, however any material hedge contract in the future will be disclosed.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880" w:right="79" w:hanging="317"/>
        <w:spacing w:after="0" w:line="301"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27, 2021 (the “Evaluation Date”), have concluded that, as of such date, our disclosure controls and procedures were effective.</w:t>
      </w:r>
    </w:p>
    <w:p>
      <w:pPr>
        <w:spacing w:after="0" w:line="157" w:lineRule="exact"/>
        <w:rPr>
          <w:rFonts w:ascii="Arial" w:cs="Arial" w:eastAsia="Arial" w:hAnsi="Arial"/>
          <w:sz w:val="16"/>
          <w:szCs w:val="16"/>
          <w:color w:val="auto"/>
        </w:rPr>
      </w:pPr>
    </w:p>
    <w:p>
      <w:pPr>
        <w:jc w:val="both"/>
        <w:ind w:left="880" w:right="79" w:hanging="317"/>
        <w:spacing w:after="0" w:line="25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March 27, 2021, there were no changes in our internal control over financial reporting that materially affected, or is reasonably likely to materially affect, our internal control over financial reporting, except for the implementation of a control to address the material weakness in control over our share-based bonus awards disclosed in our 2020 Form 10-K, which was remediated in the first quarter of 2021.</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Month</w:t>
            </w: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(b)</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r>
      <w:tr>
        <w:trPr>
          <w:trHeight w:val="209"/>
        </w:trPr>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27, 2020 – January 30, 2021</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January 31 – February 27, 2021</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28 – March 27, 2021</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108"/>
        </w:trPr>
        <w:tc>
          <w:tcPr>
            <w:tcW w:w="22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80"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1.1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40" w:right="41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40" w:hanging="490"/>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5" w:lineRule="exact"/>
        <w:rPr>
          <w:rFonts w:ascii="Arial" w:cs="Arial" w:eastAsia="Arial" w:hAnsi="Arial"/>
          <w:sz w:val="18"/>
          <w:szCs w:val="18"/>
          <w:color w:val="auto"/>
        </w:rPr>
      </w:pPr>
    </w:p>
    <w:p>
      <w:pPr>
        <w:ind w:left="1100" w:hanging="564"/>
        <w:spacing w:after="0"/>
        <w:tabs>
          <w:tab w:leader="none" w:pos="1100" w:val="left"/>
        </w:tabs>
        <w:numPr>
          <w:ilvl w:val="1"/>
          <w:numId w:val="25"/>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First Amendment to Credit Agreement dated February 19, 2021.</w:t>
        </w:r>
      </w:hyperlink>
    </w:p>
    <w:p>
      <w:pPr>
        <w:spacing w:after="0" w:line="225" w:lineRule="exact"/>
        <w:rPr>
          <w:rFonts w:ascii="Arial" w:cs="Arial" w:eastAsia="Arial" w:hAnsi="Arial"/>
          <w:sz w:val="18"/>
          <w:szCs w:val="18"/>
          <w:u w:val="single" w:color="auto"/>
          <w:color w:val="0000EE"/>
        </w:rPr>
      </w:pPr>
    </w:p>
    <w:p>
      <w:pPr>
        <w:ind w:left="540" w:hanging="490"/>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sz w:val="20"/>
          <w:szCs w:val="20"/>
          <w:color w:val="auto"/>
        </w:rPr>
      </w:pPr>
    </w:p>
    <w:p>
      <w:pPr>
        <w:ind w:left="1100" w:right="139" w:hanging="564"/>
        <w:spacing w:after="0" w:line="277" w:lineRule="auto"/>
        <w:tabs>
          <w:tab w:leader="none" w:pos="1100" w:val="left"/>
        </w:tabs>
        <w:numPr>
          <w:ilvl w:val="0"/>
          <w:numId w:val="27"/>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Certificate of the Chief Executive Officer of UFP Industries, Inc., pursuant to Section 302 of the Sarbanes-</w:t>
        </w:r>
      </w:hyperlink>
      <w:hyperlink w:anchor="page70">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0"/>
          <w:numId w:val="27"/>
        </w:numPr>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Certificate of the Chief Financial Officer of UFP Industries, Inc., pursuant to Section 302 of the Sarbanes-</w:t>
        </w:r>
      </w:hyperlink>
      <w:hyperlink w:anchor="page71">
        <w:r>
          <w:rPr>
            <w:rFonts w:ascii="Arial" w:cs="Arial" w:eastAsia="Arial" w:hAnsi="Arial"/>
            <w:sz w:val="18"/>
            <w:szCs w:val="18"/>
            <w:u w:val="single" w:color="auto"/>
            <w:color w:val="0000EE"/>
          </w:rPr>
          <w:t>Oxley Act of 2002 (18 U.S.C. 1350).</w:t>
        </w:r>
      </w:hyperlink>
    </w:p>
    <w:p>
      <w:pPr>
        <w:spacing w:after="0" w:line="3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540" w:hanging="490"/>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28"/>
        </w:numPr>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Certificate of the Chief Executive Officer of UFP Industries, Inc., pursuant to Section 906 of the Sarbanes-</w:t>
        </w:r>
      </w:hyperlink>
      <w:hyperlink w:anchor="page72">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1"/>
          <w:numId w:val="28"/>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Certificate of the Chief Financial Officer of UFP Industries, Inc., pursuant to Section 906 of the Sarbanes-</w:t>
        </w:r>
      </w:hyperlink>
      <w:hyperlink w:anchor="page73">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color w:val="auto"/>
        </w:rPr>
      </w:pPr>
    </w:p>
    <w:p>
      <w:pPr>
        <w:ind w:left="540" w:right="1859" w:hanging="490"/>
        <w:spacing w:after="0" w:line="50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Interactive Data File formatted in iXBRL (Inline eXtensible Business Reporting Language). (INS) iXBRL Instance Document.</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(SCH) iXBRL Schema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(CAL) iXBRL Taxonomy Extension Calculation Linkbase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(LAB) iXBRL Taxonomy Extension Label Linkbase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0" w:hanging="490"/>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Cover Page Interactive Data File (the cover page XBRL tags are embedded 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color w:val="auto"/>
        </w:rPr>
        <w:t>30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May 5, 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4" w:right="1440"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1" w:name="page32"/>
    <w:bookmarkEnd w:id="31"/>
    <w:p>
      <w:pPr>
        <w:jc w:val="right"/>
        <w:ind w:right="219"/>
        <w:spacing w:after="0"/>
        <w:rPr>
          <w:sz w:val="20"/>
          <w:szCs w:val="20"/>
          <w:color w:val="auto"/>
        </w:rPr>
      </w:pPr>
      <w:r>
        <w:rPr>
          <w:rFonts w:ascii="Arial" w:cs="Arial" w:eastAsia="Arial" w:hAnsi="Arial"/>
          <w:sz w:val="22"/>
          <w:szCs w:val="22"/>
          <w:b w:val="1"/>
          <w:bCs w:val="1"/>
          <w:color w:val="auto"/>
        </w:rPr>
        <w:t>Exhibit 10(a)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FIRST AMENDMENT TO CREDIT AGREEMENT</w:t>
      </w:r>
    </w:p>
    <w:p>
      <w:pPr>
        <w:spacing w:after="0" w:line="239"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THIS FIRST AMENDMENT TO CREDIT AGREEMENT, dated as of February 19, 2021 (this "</w:t>
      </w:r>
      <w:r>
        <w:rPr>
          <w:rFonts w:ascii="Arial" w:cs="Arial" w:eastAsia="Arial" w:hAnsi="Arial"/>
          <w:sz w:val="22"/>
          <w:szCs w:val="22"/>
          <w:u w:val="single" w:color="auto"/>
          <w:color w:val="auto"/>
        </w:rPr>
        <w:t>Amendment</w:t>
      </w:r>
      <w:r>
        <w:rPr>
          <w:rFonts w:ascii="Arial" w:cs="Arial" w:eastAsia="Arial" w:hAnsi="Arial"/>
          <w:sz w:val="22"/>
          <w:szCs w:val="22"/>
          <w:color w:val="auto"/>
        </w:rPr>
        <w:t>"), is among UFP INDUSTRIES, INC., a Michigan corporation, the Foreign Subsidiary Borrowers, the other Loan Parties party hereto, the Lenders party hereto, and JPMORGAN CHASE BANK, N.A., as Administrative Agent.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left="200" w:right="219" w:firstLine="657"/>
        <w:spacing w:after="0" w:line="273" w:lineRule="auto"/>
        <w:tabs>
          <w:tab w:leader="none" w:pos="1496" w:val="left"/>
        </w:tabs>
        <w:numPr>
          <w:ilvl w:val="0"/>
          <w:numId w:val="31"/>
        </w:numPr>
        <w:rPr>
          <w:rFonts w:ascii="Arial" w:cs="Arial" w:eastAsia="Arial" w:hAnsi="Arial"/>
          <w:sz w:val="19"/>
          <w:szCs w:val="19"/>
          <w:color w:val="auto"/>
        </w:rPr>
      </w:pPr>
      <w:r>
        <w:rPr>
          <w:rFonts w:ascii="Arial" w:cs="Arial" w:eastAsia="Arial" w:hAnsi="Arial"/>
          <w:sz w:val="19"/>
          <w:szCs w:val="19"/>
          <w:color w:val="auto"/>
        </w:rPr>
        <w:t>UFP Industries, Inc. (f/k/a Universal Forest Products, Inc.), a Michigan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Foreign Subsidiary Borrowers party thereto from time to time (the “Foreign Subsidiary Borrowers” and collectively referred to with the Company as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of them individually as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from time to time (such lenders, together with any other lenders now or hereafter parties to the Credit Agreement, collectively referred to as the "</w:t>
      </w:r>
      <w:r>
        <w:rPr>
          <w:rFonts w:ascii="Arial" w:cs="Arial" w:eastAsia="Arial" w:hAnsi="Arial"/>
          <w:sz w:val="19"/>
          <w:szCs w:val="19"/>
          <w:u w:val="single" w:color="auto"/>
          <w:color w:val="auto"/>
        </w:rPr>
        <w:t>Lenders</w:t>
      </w:r>
      <w:r>
        <w:rPr>
          <w:rFonts w:ascii="Arial" w:cs="Arial" w:eastAsia="Arial" w:hAnsi="Arial"/>
          <w:sz w:val="19"/>
          <w:szCs w:val="19"/>
          <w:color w:val="auto"/>
        </w:rPr>
        <w:t>"), and JPMorgan Chase Bank, N.A., as administrative agent for the Lenders (in such capacity, together with any successors or assigns,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are parties to a Credit Agreement dated as of November 1, 2018 (as may be amended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Terms used but not defined herein shall have the respective meanings ascribed thereto in the Credit Agreement.</w:t>
      </w:r>
    </w:p>
    <w:p>
      <w:pPr>
        <w:spacing w:after="0" w:line="187" w:lineRule="exact"/>
        <w:rPr>
          <w:rFonts w:ascii="Arial" w:cs="Arial" w:eastAsia="Arial" w:hAnsi="Arial"/>
          <w:sz w:val="19"/>
          <w:szCs w:val="19"/>
          <w:color w:val="auto"/>
        </w:rPr>
      </w:pPr>
    </w:p>
    <w:p>
      <w:pPr>
        <w:jc w:val="both"/>
        <w:ind w:left="200" w:right="219" w:firstLine="657"/>
        <w:spacing w:after="0" w:line="238" w:lineRule="auto"/>
        <w:tabs>
          <w:tab w:leader="none" w:pos="1496" w:val="left"/>
        </w:tabs>
        <w:numPr>
          <w:ilvl w:val="0"/>
          <w:numId w:val="31"/>
        </w:numPr>
        <w:rPr>
          <w:rFonts w:ascii="Arial" w:cs="Arial" w:eastAsia="Arial" w:hAnsi="Arial"/>
          <w:sz w:val="22"/>
          <w:szCs w:val="22"/>
          <w:color w:val="auto"/>
        </w:rPr>
      </w:pPr>
      <w:r>
        <w:rPr>
          <w:rFonts w:ascii="Arial" w:cs="Arial" w:eastAsia="Arial" w:hAnsi="Arial"/>
          <w:sz w:val="22"/>
          <w:szCs w:val="22"/>
          <w:color w:val="auto"/>
        </w:rPr>
        <w:t>On the date hereof, the Borrowers, the Lenders party thereto, and the Administrative Agent are entering into a Lender Addition and Acknowledgement Agreement (the “</w:t>
      </w:r>
      <w:r>
        <w:rPr>
          <w:rFonts w:ascii="Arial" w:cs="Arial" w:eastAsia="Arial" w:hAnsi="Arial"/>
          <w:sz w:val="22"/>
          <w:szCs w:val="22"/>
          <w:u w:val="single" w:color="auto"/>
          <w:color w:val="auto"/>
        </w:rPr>
        <w:t>Increase Agreement</w:t>
      </w:r>
      <w:r>
        <w:rPr>
          <w:rFonts w:ascii="Arial" w:cs="Arial" w:eastAsia="Arial" w:hAnsi="Arial"/>
          <w:sz w:val="22"/>
          <w:szCs w:val="22"/>
          <w:color w:val="auto"/>
        </w:rPr>
        <w:t>”) pursuant to which the Borrowers are increasing the Aggregate Commitment as contemplated by Section 2.08 of the Credit Agreement.</w:t>
      </w:r>
    </w:p>
    <w:p>
      <w:pPr>
        <w:spacing w:after="0" w:line="211" w:lineRule="exact"/>
        <w:rPr>
          <w:rFonts w:ascii="Arial" w:cs="Arial" w:eastAsia="Arial" w:hAnsi="Arial"/>
          <w:sz w:val="22"/>
          <w:szCs w:val="22"/>
          <w:color w:val="auto"/>
        </w:rPr>
      </w:pPr>
    </w:p>
    <w:p>
      <w:pPr>
        <w:jc w:val="both"/>
        <w:ind w:left="200" w:right="219" w:firstLine="657"/>
        <w:spacing w:after="0" w:line="257" w:lineRule="auto"/>
        <w:tabs>
          <w:tab w:leader="none" w:pos="1496" w:val="left"/>
        </w:tabs>
        <w:numPr>
          <w:ilvl w:val="0"/>
          <w:numId w:val="31"/>
        </w:numPr>
        <w:rPr>
          <w:rFonts w:ascii="Arial" w:cs="Arial" w:eastAsia="Arial" w:hAnsi="Arial"/>
          <w:sz w:val="21"/>
          <w:szCs w:val="21"/>
          <w:color w:val="auto"/>
        </w:rPr>
      </w:pPr>
      <w:r>
        <w:rPr>
          <w:rFonts w:ascii="Arial" w:cs="Arial" w:eastAsia="Arial" w:hAnsi="Arial"/>
          <w:sz w:val="21"/>
          <w:szCs w:val="21"/>
          <w:color w:val="auto"/>
        </w:rPr>
        <w:t>In connection with the Increase Agreement, the Loan Parties, Administrative Agent and Lenders desire to amend certain terms of the Credit Agreement as set forth herein and each party is willing to do so in accordance with the terms 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TERMS</w:t>
      </w:r>
    </w:p>
    <w:p>
      <w:pPr>
        <w:spacing w:after="0" w:line="239"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In consideration of the premises and of the mutual agreements herein contained, the parties agree as follows:</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 xml:space="preserve">ARTICLE I. </w:t>
      </w: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 In reliance on the representations set forth herein (including Article II hereof) and subject to the satisfaction of the conditions in Article III hereof, the parties hereto agree that the Credit Agreement shall be amended as follows:</w:t>
      </w:r>
    </w:p>
    <w:p>
      <w:pPr>
        <w:spacing w:after="0" w:line="213"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1.1 The reference on the first page of the Credit Agreement to “JPMORGAN CHASE BANK, N.A. and WELLS FARGO SECURITIES, LLC as Joint Lead Arrangers and Bookrunners” is replaced with a reference to “JPMORGAN CHASE BANK, N.A., WELLS FARGO SECURITIES, LLC, and PNC BANK, NATIONAL ASSOCIATION as Joint Lead Arrangers and Bookrunners”.</w:t>
      </w:r>
    </w:p>
    <w:p>
      <w:pPr>
        <w:spacing w:after="0" w:line="214"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The following new definitions are added to Section 1.01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jc w:val="both"/>
        <w:ind w:left="200" w:right="239"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200"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Tenor</w:t>
      </w:r>
      <w:r>
        <w:rPr>
          <w:rFonts w:ascii="Arial" w:cs="Arial" w:eastAsia="Arial" w:hAnsi="Arial"/>
          <w:sz w:val="21"/>
          <w:szCs w:val="21"/>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2.13.</w:t>
      </w:r>
    </w:p>
    <w:p>
      <w:pPr>
        <w:spacing w:after="0" w:line="204"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means, initially, the Relevant Rate; provided that if a Benchmark Transition Event, a Term SOFR Transition Event, a Term ESTR Transition Event, a Term TONA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clause (b) or clause (c) of Section 2.13.</w:t>
      </w:r>
    </w:p>
    <w:p>
      <w:pPr>
        <w:spacing w:after="0" w:line="177"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means, for any Available Tenor, the first alternative set forth in the order below that can be determined by the Administrative Agent for the applicable Benchmark Replacement Date; provided that, in the case of any Loan denominated in a Foreign Currency, “Benchmark Replacement” shall mean the alternative set forth in (3) below:</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(1)</w:t>
      </w:r>
    </w:p>
    <w:p>
      <w:pPr>
        <w:spacing w:after="0" w:line="233" w:lineRule="exact"/>
        <w:rPr>
          <w:sz w:val="20"/>
          <w:szCs w:val="20"/>
          <w:color w:val="auto"/>
        </w:rPr>
      </w:pPr>
    </w:p>
    <w:p>
      <w:pPr>
        <w:ind w:left="1860" w:hanging="355"/>
        <w:spacing w:after="0"/>
        <w:tabs>
          <w:tab w:leader="none" w:pos="1860" w:val="left"/>
        </w:tabs>
        <w:numPr>
          <w:ilvl w:val="1"/>
          <w:numId w:val="32"/>
        </w:numPr>
        <w:rPr>
          <w:rFonts w:ascii="Arial" w:cs="Arial" w:eastAsia="Arial" w:hAnsi="Arial"/>
          <w:sz w:val="19"/>
          <w:szCs w:val="19"/>
          <w:color w:val="auto"/>
        </w:rPr>
      </w:pPr>
      <w:r>
        <w:rPr>
          <w:rFonts w:ascii="Arial" w:cs="Arial" w:eastAsia="Arial" w:hAnsi="Arial"/>
          <w:sz w:val="19"/>
          <w:szCs w:val="19"/>
          <w:color w:val="auto"/>
        </w:rPr>
        <w:t>in the case of any Loan denominated in Dollars, the sum of: (a) Term SOFR and</w:t>
      </w:r>
    </w:p>
    <w:p>
      <w:pPr>
        <w:spacing w:after="0" w:line="42" w:lineRule="exact"/>
        <w:rPr>
          <w:rFonts w:ascii="Arial" w:cs="Arial" w:eastAsia="Arial" w:hAnsi="Arial"/>
          <w:sz w:val="19"/>
          <w:szCs w:val="19"/>
          <w:color w:val="auto"/>
        </w:rPr>
      </w:pPr>
    </w:p>
    <w:p>
      <w:pPr>
        <w:ind w:left="520" w:hanging="311"/>
        <w:spacing w:after="0"/>
        <w:tabs>
          <w:tab w:leader="none" w:pos="5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related Benchmark Replacement Adjustment,</w:t>
      </w:r>
    </w:p>
    <w:p>
      <w:pPr>
        <w:spacing w:after="0" w:line="215" w:lineRule="exact"/>
        <w:rPr>
          <w:rFonts w:ascii="Arial" w:cs="Arial" w:eastAsia="Arial" w:hAnsi="Arial"/>
          <w:sz w:val="22"/>
          <w:szCs w:val="22"/>
          <w:color w:val="auto"/>
        </w:rPr>
      </w:pPr>
    </w:p>
    <w:p>
      <w:pPr>
        <w:ind w:left="200" w:right="219" w:firstLine="1305"/>
        <w:spacing w:after="0" w:line="250" w:lineRule="auto"/>
        <w:tabs>
          <w:tab w:leader="none" w:pos="1858" w:val="left"/>
        </w:tabs>
        <w:numPr>
          <w:ilvl w:val="1"/>
          <w:numId w:val="33"/>
        </w:numPr>
        <w:rPr>
          <w:rFonts w:ascii="Arial" w:cs="Arial" w:eastAsia="Arial" w:hAnsi="Arial"/>
          <w:sz w:val="22"/>
          <w:szCs w:val="22"/>
          <w:color w:val="auto"/>
        </w:rPr>
      </w:pPr>
      <w:r>
        <w:rPr>
          <w:rFonts w:ascii="Arial" w:cs="Arial" w:eastAsia="Arial" w:hAnsi="Arial"/>
          <w:sz w:val="22"/>
          <w:szCs w:val="22"/>
          <w:color w:val="auto"/>
        </w:rPr>
        <w:t>in the case of any Loan denominated in Sterling, the sum of (a) Daily Simple SONIA and (b) the related Benchmark Replacement Adjustment,</w:t>
      </w:r>
    </w:p>
    <w:p>
      <w:pPr>
        <w:spacing w:after="0" w:line="201" w:lineRule="exact"/>
        <w:rPr>
          <w:rFonts w:ascii="Arial" w:cs="Arial" w:eastAsia="Arial" w:hAnsi="Arial"/>
          <w:sz w:val="22"/>
          <w:szCs w:val="22"/>
          <w:color w:val="auto"/>
        </w:rPr>
      </w:pPr>
    </w:p>
    <w:p>
      <w:pPr>
        <w:ind w:left="1860" w:hanging="355"/>
        <w:spacing w:after="0"/>
        <w:tabs>
          <w:tab w:leader="none" w:pos="18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in the case of any Loan denominated in Euros, the sum of (a) Term ESTR and</w:t>
      </w:r>
    </w:p>
    <w:p>
      <w:pPr>
        <w:spacing w:after="0" w:line="42" w:lineRule="exact"/>
        <w:rPr>
          <w:rFonts w:ascii="Arial" w:cs="Arial" w:eastAsia="Arial" w:hAnsi="Arial"/>
          <w:sz w:val="19"/>
          <w:szCs w:val="19"/>
          <w:color w:val="auto"/>
        </w:rPr>
      </w:pPr>
    </w:p>
    <w:p>
      <w:pPr>
        <w:ind w:left="520" w:hanging="311"/>
        <w:spacing w:after="0"/>
        <w:tabs>
          <w:tab w:leader="none" w:pos="5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related Benchmark Replacement Adjustment,</w:t>
      </w:r>
    </w:p>
    <w:p>
      <w:pPr>
        <w:spacing w:after="0" w:line="215" w:lineRule="exact"/>
        <w:rPr>
          <w:rFonts w:ascii="Arial" w:cs="Arial" w:eastAsia="Arial" w:hAnsi="Arial"/>
          <w:sz w:val="22"/>
          <w:szCs w:val="22"/>
          <w:color w:val="auto"/>
        </w:rPr>
      </w:pPr>
    </w:p>
    <w:p>
      <w:pPr>
        <w:ind w:left="200" w:right="219" w:firstLine="1305"/>
        <w:spacing w:after="0" w:line="250" w:lineRule="auto"/>
        <w:tabs>
          <w:tab w:leader="none" w:pos="1883" w:val="left"/>
        </w:tabs>
        <w:numPr>
          <w:ilvl w:val="1"/>
          <w:numId w:val="34"/>
        </w:numPr>
        <w:rPr>
          <w:rFonts w:ascii="Arial" w:cs="Arial" w:eastAsia="Arial" w:hAnsi="Arial"/>
          <w:sz w:val="22"/>
          <w:szCs w:val="22"/>
          <w:color w:val="auto"/>
        </w:rPr>
      </w:pPr>
      <w:r>
        <w:rPr>
          <w:rFonts w:ascii="Arial" w:cs="Arial" w:eastAsia="Arial" w:hAnsi="Arial"/>
          <w:sz w:val="22"/>
          <w:szCs w:val="22"/>
          <w:color w:val="auto"/>
        </w:rPr>
        <w:t>in the case of any Loan denominated in Swiss Francs, the sum of (a) Daily Simple SARON and (b) the related Benchmark Replacement Adjustment,</w:t>
      </w:r>
    </w:p>
    <w:p>
      <w:pPr>
        <w:spacing w:after="0" w:line="201" w:lineRule="exact"/>
        <w:rPr>
          <w:rFonts w:ascii="Arial" w:cs="Arial" w:eastAsia="Arial" w:hAnsi="Arial"/>
          <w:sz w:val="22"/>
          <w:szCs w:val="22"/>
          <w:color w:val="auto"/>
        </w:rPr>
      </w:pPr>
    </w:p>
    <w:p>
      <w:pPr>
        <w:ind w:left="200" w:right="219" w:firstLine="1305"/>
        <w:spacing w:after="0" w:line="250" w:lineRule="auto"/>
        <w:tabs>
          <w:tab w:leader="none" w:pos="1861" w:val="left"/>
        </w:tabs>
        <w:numPr>
          <w:ilvl w:val="1"/>
          <w:numId w:val="34"/>
        </w:numPr>
        <w:rPr>
          <w:rFonts w:ascii="Arial" w:cs="Arial" w:eastAsia="Arial" w:hAnsi="Arial"/>
          <w:sz w:val="22"/>
          <w:szCs w:val="22"/>
          <w:color w:val="auto"/>
        </w:rPr>
      </w:pPr>
      <w:r>
        <w:rPr>
          <w:rFonts w:ascii="Arial" w:cs="Arial" w:eastAsia="Arial" w:hAnsi="Arial"/>
          <w:sz w:val="22"/>
          <w:szCs w:val="22"/>
          <w:color w:val="auto"/>
        </w:rPr>
        <w:t>in the case of any Loan denominated in Japanese Yen, the sum of (a) Term TONA and (b) the related Benchmark Replacement Adjustment;</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(2)</w:t>
      </w:r>
    </w:p>
    <w:p>
      <w:pPr>
        <w:spacing w:after="0" w:line="233" w:lineRule="exact"/>
        <w:rPr>
          <w:sz w:val="20"/>
          <w:szCs w:val="20"/>
          <w:color w:val="auto"/>
        </w:rPr>
      </w:pPr>
    </w:p>
    <w:p>
      <w:pPr>
        <w:ind w:left="200" w:right="219" w:firstLine="1305"/>
        <w:spacing w:after="0" w:line="250" w:lineRule="auto"/>
        <w:tabs>
          <w:tab w:leader="none" w:pos="1872"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case of any Loan denominated in dollars, the sum of: (a) Daily Simple SOFR and (b) the related Benchmark Replacement Adjustment,</w:t>
      </w:r>
    </w:p>
    <w:p>
      <w:pPr>
        <w:spacing w:after="0" w:line="201" w:lineRule="exact"/>
        <w:rPr>
          <w:rFonts w:ascii="Arial" w:cs="Arial" w:eastAsia="Arial" w:hAnsi="Arial"/>
          <w:sz w:val="22"/>
          <w:szCs w:val="22"/>
          <w:color w:val="auto"/>
        </w:rPr>
      </w:pPr>
    </w:p>
    <w:p>
      <w:pPr>
        <w:ind w:left="1840" w:hanging="335"/>
        <w:spacing w:after="0"/>
        <w:tabs>
          <w:tab w:leader="none" w:pos="18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 w:name="page34"/>
    <w:bookmarkEnd w:id="33"/>
    <w:p>
      <w:pPr>
        <w:ind w:left="200" w:right="219" w:firstLine="1305"/>
        <w:spacing w:after="0" w:line="251" w:lineRule="auto"/>
        <w:tabs>
          <w:tab w:leader="none" w:pos="1870" w:val="left"/>
        </w:tabs>
        <w:numPr>
          <w:ilvl w:val="1"/>
          <w:numId w:val="36"/>
        </w:numPr>
        <w:rPr>
          <w:rFonts w:ascii="Arial" w:cs="Arial" w:eastAsia="Arial" w:hAnsi="Arial"/>
          <w:sz w:val="22"/>
          <w:szCs w:val="22"/>
          <w:color w:val="auto"/>
        </w:rPr>
      </w:pPr>
      <w:r>
        <w:rPr>
          <w:rFonts w:ascii="Arial" w:cs="Arial" w:eastAsia="Arial" w:hAnsi="Arial"/>
          <w:sz w:val="22"/>
          <w:szCs w:val="22"/>
          <w:color w:val="auto"/>
        </w:rPr>
        <w:t>in the case of any Loan denominated in Euros, the sum of (a) Daily Simple ESTR and (b) the related Benchmark Replacement Adjustment,</w:t>
      </w:r>
    </w:p>
    <w:p>
      <w:pPr>
        <w:spacing w:after="0" w:line="200" w:lineRule="exact"/>
        <w:rPr>
          <w:rFonts w:ascii="Arial" w:cs="Arial" w:eastAsia="Arial" w:hAnsi="Arial"/>
          <w:sz w:val="22"/>
          <w:szCs w:val="22"/>
          <w:color w:val="auto"/>
        </w:rPr>
      </w:pPr>
    </w:p>
    <w:p>
      <w:pPr>
        <w:ind w:left="1860" w:hanging="355"/>
        <w:spacing w:after="0"/>
        <w:tabs>
          <w:tab w:leader="none" w:pos="18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00" w:right="219" w:firstLine="1305"/>
        <w:spacing w:after="0" w:line="250" w:lineRule="auto"/>
        <w:tabs>
          <w:tab w:leader="none" w:pos="1859" w:val="left"/>
        </w:tabs>
        <w:numPr>
          <w:ilvl w:val="1"/>
          <w:numId w:val="36"/>
        </w:numPr>
        <w:rPr>
          <w:rFonts w:ascii="Arial" w:cs="Arial" w:eastAsia="Arial" w:hAnsi="Arial"/>
          <w:sz w:val="22"/>
          <w:szCs w:val="22"/>
          <w:color w:val="auto"/>
        </w:rPr>
      </w:pPr>
      <w:r>
        <w:rPr>
          <w:rFonts w:ascii="Arial" w:cs="Arial" w:eastAsia="Arial" w:hAnsi="Arial"/>
          <w:sz w:val="22"/>
          <w:szCs w:val="22"/>
          <w:color w:val="auto"/>
        </w:rPr>
        <w:t>in the case of any Loan denominated in Japanese Yen, the sum of (a) Daily Simple TONA and (b) the related Benchmark Replacement Adjustment;</w:t>
      </w:r>
    </w:p>
    <w:p>
      <w:pPr>
        <w:spacing w:after="0" w:line="201" w:lineRule="exact"/>
        <w:rPr>
          <w:rFonts w:ascii="Arial" w:cs="Arial" w:eastAsia="Arial" w:hAnsi="Arial"/>
          <w:sz w:val="22"/>
          <w:szCs w:val="22"/>
          <w:color w:val="auto"/>
        </w:rPr>
      </w:pPr>
    </w:p>
    <w:p>
      <w:pPr>
        <w:jc w:val="both"/>
        <w:ind w:left="200" w:right="219" w:firstLine="657"/>
        <w:spacing w:after="0" w:line="234" w:lineRule="auto"/>
        <w:tabs>
          <w:tab w:leader="none" w:pos="1249"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214"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the case of clause (1)(A), (1)(C) or (1)(E),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(x)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(1)(A) of this definition (subject to the first proviso above), (y) with respect to a Loan denominated in Euros, notwithstanding anything to the contrary in this Agreement or in any other Loan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(1)(C) of this definition (subject to the first proviso above) and</w:t>
      </w:r>
    </w:p>
    <w:p>
      <w:pPr>
        <w:spacing w:after="0" w:line="4" w:lineRule="exact"/>
        <w:rPr>
          <w:sz w:val="20"/>
          <w:szCs w:val="20"/>
          <w:color w:val="auto"/>
        </w:rPr>
      </w:pPr>
    </w:p>
    <w:p>
      <w:pPr>
        <w:jc w:val="both"/>
        <w:ind w:left="200" w:right="219" w:firstLine="9"/>
        <w:spacing w:after="0" w:line="244" w:lineRule="auto"/>
        <w:tabs>
          <w:tab w:leader="none" w:pos="504" w:val="left"/>
        </w:tabs>
        <w:numPr>
          <w:ilvl w:val="0"/>
          <w:numId w:val="38"/>
        </w:numPr>
        <w:rPr>
          <w:rFonts w:ascii="Arial" w:cs="Arial" w:eastAsia="Arial" w:hAnsi="Arial"/>
          <w:sz w:val="21"/>
          <w:szCs w:val="21"/>
          <w:color w:val="auto"/>
        </w:rPr>
      </w:pPr>
      <w:r>
        <w:rPr>
          <w:rFonts w:ascii="Arial" w:cs="Arial" w:eastAsia="Arial" w:hAnsi="Arial"/>
          <w:sz w:val="21"/>
          <w:szCs w:val="21"/>
          <w:color w:val="auto"/>
        </w:rPr>
        <w:t>with respect to a Loan denominated in Japanese Yen, notwithstanding anything to the contrary in this Agreement or in any other Loan Document, upon the occurrence of a Term TONA Transition Event, and the delivery of a Term TONA Notice, on the applicable Benchmark Replacement Date the “Benchmark Replacement” shall revert to and shall be deemed to be the sum of (a) Term TONA and (b) the related Benchmark Replacement Adjustment, as set forth in clause (1)(E) of this definition (subject to the first proviso above).</w:t>
      </w:r>
    </w:p>
    <w:p>
      <w:pPr>
        <w:spacing w:after="0" w:line="210"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213"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4" w:name="page35"/>
    <w:bookmarkEnd w:id="34"/>
    <w:p>
      <w:pPr>
        <w:ind w:left="200" w:right="239" w:firstLine="657"/>
        <w:spacing w:after="0" w:line="328" w:lineRule="auto"/>
        <w:tabs>
          <w:tab w:leader="none" w:pos="1167" w:val="left"/>
        </w:tabs>
        <w:numPr>
          <w:ilvl w:val="0"/>
          <w:numId w:val="39"/>
        </w:numPr>
        <w:rPr>
          <w:rFonts w:ascii="Arial" w:cs="Arial" w:eastAsia="Arial" w:hAnsi="Arial"/>
          <w:sz w:val="19"/>
          <w:szCs w:val="19"/>
          <w:color w:val="auto"/>
        </w:rPr>
      </w:pPr>
      <w:r>
        <w:rPr>
          <w:rFonts w:ascii="Arial" w:cs="Arial" w:eastAsia="Arial" w:hAnsi="Arial"/>
          <w:sz w:val="19"/>
          <w:szCs w:val="19"/>
          <w:color w:val="auto"/>
        </w:rPr>
        <w:t>for purposes of clauses (1) and (2) of the definition of “Benchmark Replacement,” the first alternative set forth in the order below that can be determined by the Administrative Agent:</w:t>
      </w:r>
    </w:p>
    <w:p>
      <w:pPr>
        <w:spacing w:after="0" w:line="132" w:lineRule="exact"/>
        <w:rPr>
          <w:sz w:val="20"/>
          <w:szCs w:val="20"/>
          <w:color w:val="auto"/>
        </w:rPr>
      </w:pPr>
    </w:p>
    <w:p>
      <w:pPr>
        <w:jc w:val="both"/>
        <w:ind w:left="200" w:right="219" w:firstLine="657"/>
        <w:spacing w:after="0" w:line="282" w:lineRule="auto"/>
        <w:tabs>
          <w:tab w:leader="none" w:pos="1142"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4" w:lineRule="exact"/>
        <w:rPr>
          <w:rFonts w:ascii="Arial" w:cs="Arial" w:eastAsia="Arial" w:hAnsi="Arial"/>
          <w:sz w:val="19"/>
          <w:szCs w:val="19"/>
          <w:color w:val="auto"/>
        </w:rPr>
      </w:pPr>
    </w:p>
    <w:p>
      <w:pPr>
        <w:jc w:val="both"/>
        <w:ind w:left="200" w:right="219" w:firstLine="657"/>
        <w:spacing w:after="0" w:line="236" w:lineRule="auto"/>
        <w:tabs>
          <w:tab w:leader="none" w:pos="118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14" w:lineRule="exact"/>
        <w:rPr>
          <w:sz w:val="20"/>
          <w:szCs w:val="20"/>
          <w:color w:val="auto"/>
        </w:rPr>
      </w:pPr>
    </w:p>
    <w:p>
      <w:pPr>
        <w:jc w:val="both"/>
        <w:ind w:left="200" w:right="219" w:firstLine="657"/>
        <w:spacing w:after="0" w:line="273" w:lineRule="auto"/>
        <w:tabs>
          <w:tab w:leader="none" w:pos="11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2" w:lineRule="exact"/>
        <w:rPr>
          <w:sz w:val="20"/>
          <w:szCs w:val="20"/>
          <w:color w:val="auto"/>
        </w:rPr>
      </w:pPr>
    </w:p>
    <w:p>
      <w:pPr>
        <w:jc w:val="both"/>
        <w:ind w:left="200" w:right="219"/>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213"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5" w:name="page36"/>
    <w:bookmarkEnd w:id="35"/>
    <w:p>
      <w:pPr>
        <w:ind w:left="200" w:right="219"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the earliest to occur of the following events with respect to the then-current Benchmark:</w:t>
      </w:r>
    </w:p>
    <w:p>
      <w:pPr>
        <w:spacing w:after="0" w:line="200" w:lineRule="exact"/>
        <w:rPr>
          <w:sz w:val="20"/>
          <w:szCs w:val="20"/>
          <w:color w:val="auto"/>
        </w:rPr>
      </w:pPr>
    </w:p>
    <w:p>
      <w:pPr>
        <w:jc w:val="both"/>
        <w:ind w:left="200" w:right="239" w:firstLine="657"/>
        <w:spacing w:after="0" w:line="276" w:lineRule="auto"/>
        <w:tabs>
          <w:tab w:leader="none" w:pos="1496" w:val="left"/>
        </w:tabs>
        <w:numPr>
          <w:ilvl w:val="1"/>
          <w:numId w:val="42"/>
        </w:numPr>
        <w:rPr>
          <w:rFonts w:ascii="Arial" w:cs="Arial" w:eastAsia="Arial" w:hAnsi="Arial"/>
          <w:sz w:val="19"/>
          <w:szCs w:val="19"/>
          <w:color w:val="auto"/>
        </w:rPr>
      </w:pPr>
      <w:r>
        <w:rPr>
          <w:rFonts w:ascii="Arial" w:cs="Arial" w:eastAsia="Arial" w:hAnsi="Arial"/>
          <w:sz w:val="19"/>
          <w:szCs w:val="19"/>
          <w:color w:val="auto"/>
        </w:rPr>
        <w:t>in the case of clause (1) or (2) of the definition of “Benchmark Transition Event,” the later of (a) the date of the public statement or publication of information referenced therein and</w:t>
      </w:r>
    </w:p>
    <w:p>
      <w:pPr>
        <w:spacing w:after="0" w:line="1" w:lineRule="exact"/>
        <w:rPr>
          <w:rFonts w:ascii="Arial" w:cs="Arial" w:eastAsia="Arial" w:hAnsi="Arial"/>
          <w:sz w:val="19"/>
          <w:szCs w:val="19"/>
          <w:color w:val="auto"/>
        </w:rPr>
      </w:pPr>
    </w:p>
    <w:p>
      <w:pPr>
        <w:jc w:val="both"/>
        <w:ind w:left="200" w:right="239" w:firstLine="9"/>
        <w:spacing w:after="0" w:line="234" w:lineRule="auto"/>
        <w:tabs>
          <w:tab w:leader="none" w:pos="525"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214" w:lineRule="exact"/>
        <w:rPr>
          <w:rFonts w:ascii="Arial" w:cs="Arial" w:eastAsia="Arial" w:hAnsi="Arial"/>
          <w:sz w:val="22"/>
          <w:szCs w:val="22"/>
          <w:color w:val="auto"/>
        </w:rPr>
      </w:pPr>
    </w:p>
    <w:p>
      <w:pPr>
        <w:ind w:left="200" w:right="239" w:firstLine="657"/>
        <w:spacing w:after="0" w:line="250" w:lineRule="auto"/>
        <w:tabs>
          <w:tab w:leader="none" w:pos="1496" w:val="left"/>
        </w:tabs>
        <w:numPr>
          <w:ilvl w:val="1"/>
          <w:numId w:val="43"/>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201" w:lineRule="exact"/>
        <w:rPr>
          <w:rFonts w:ascii="Arial" w:cs="Arial" w:eastAsia="Arial" w:hAnsi="Arial"/>
          <w:sz w:val="22"/>
          <w:szCs w:val="22"/>
          <w:color w:val="auto"/>
        </w:rPr>
      </w:pPr>
    </w:p>
    <w:p>
      <w:pPr>
        <w:jc w:val="both"/>
        <w:ind w:left="200" w:right="219" w:firstLine="657"/>
        <w:spacing w:after="0" w:line="238" w:lineRule="auto"/>
        <w:tabs>
          <w:tab w:leader="none" w:pos="1496" w:val="left"/>
        </w:tabs>
        <w:numPr>
          <w:ilvl w:val="1"/>
          <w:numId w:val="43"/>
        </w:numPr>
        <w:rPr>
          <w:rFonts w:ascii="Arial" w:cs="Arial" w:eastAsia="Arial" w:hAnsi="Arial"/>
          <w:sz w:val="22"/>
          <w:szCs w:val="22"/>
          <w:color w:val="auto"/>
        </w:rPr>
      </w:pPr>
      <w:r>
        <w:rPr>
          <w:rFonts w:ascii="Arial" w:cs="Arial" w:eastAsia="Arial" w:hAnsi="Arial"/>
          <w:sz w:val="22"/>
          <w:szCs w:val="22"/>
          <w:color w:val="auto"/>
        </w:rPr>
        <w:t>in the case of a Term SOFR Transition Event, a Term ESTR Transition Event or a Term TONA Transition Event, as applicable, the date that is thirty (30) days after the date a Term SOFR Notice, a Term ESTR Notice or a Term TONA Notice, as applicable, is provided to the Lenders and the Company pursuant to Section 2.13(c); or</w:t>
      </w:r>
    </w:p>
    <w:p>
      <w:pPr>
        <w:spacing w:after="0" w:line="211" w:lineRule="exact"/>
        <w:rPr>
          <w:rFonts w:ascii="Arial" w:cs="Arial" w:eastAsia="Arial" w:hAnsi="Arial"/>
          <w:sz w:val="22"/>
          <w:szCs w:val="22"/>
          <w:color w:val="auto"/>
        </w:rPr>
      </w:pPr>
    </w:p>
    <w:p>
      <w:pPr>
        <w:jc w:val="both"/>
        <w:ind w:left="200" w:right="219" w:firstLine="657"/>
        <w:spacing w:after="0" w:line="282" w:lineRule="auto"/>
        <w:tabs>
          <w:tab w:leader="none" w:pos="1496" w:val="left"/>
        </w:tabs>
        <w:numPr>
          <w:ilvl w:val="1"/>
          <w:numId w:val="43"/>
        </w:numPr>
        <w:rPr>
          <w:rFonts w:ascii="Arial" w:cs="Arial" w:eastAsia="Arial" w:hAnsi="Arial"/>
          <w:sz w:val="19"/>
          <w:szCs w:val="19"/>
          <w:color w:val="auto"/>
        </w:rPr>
      </w:pPr>
      <w:r>
        <w:rPr>
          <w:rFonts w:ascii="Arial" w:cs="Arial" w:eastAsia="Arial" w:hAnsi="Arial"/>
          <w:sz w:val="19"/>
          <w:szCs w:val="19"/>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74"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jc w:val="both"/>
        <w:ind w:left="200" w:right="23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with respect to any Benchmark, the occurrence of one or more of the following events with respect to the then-current Benchmark:</w:t>
      </w:r>
    </w:p>
    <w:p>
      <w:pPr>
        <w:spacing w:after="0" w:line="132" w:lineRule="exact"/>
        <w:rPr>
          <w:sz w:val="20"/>
          <w:szCs w:val="20"/>
          <w:color w:val="auto"/>
        </w:rPr>
      </w:pPr>
    </w:p>
    <w:p>
      <w:pPr>
        <w:jc w:val="both"/>
        <w:ind w:left="200" w:right="219" w:firstLine="657"/>
        <w:spacing w:after="0" w:line="279" w:lineRule="auto"/>
        <w:tabs>
          <w:tab w:leader="none" w:pos="1496"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7" w:lineRule="exact"/>
        <w:rPr>
          <w:rFonts w:ascii="Arial" w:cs="Arial" w:eastAsia="Arial" w:hAnsi="Arial"/>
          <w:sz w:val="19"/>
          <w:szCs w:val="19"/>
          <w:color w:val="auto"/>
        </w:rPr>
      </w:pPr>
    </w:p>
    <w:p>
      <w:pPr>
        <w:jc w:val="both"/>
        <w:ind w:left="200" w:right="219" w:firstLine="657"/>
        <w:spacing w:after="0" w:line="282" w:lineRule="auto"/>
        <w:tabs>
          <w:tab w:leader="none" w:pos="1496"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6" w:name="page37"/>
    <w:bookmarkEnd w:id="36"/>
    <w:p>
      <w:pPr>
        <w:jc w:val="both"/>
        <w:ind w:left="200" w:right="219"/>
        <w:spacing w:after="0" w:line="248" w:lineRule="auto"/>
        <w:rPr>
          <w:sz w:val="20"/>
          <w:szCs w:val="20"/>
          <w:color w:val="auto"/>
        </w:rPr>
      </w:pPr>
      <w:r>
        <w:rPr>
          <w:rFonts w:ascii="Arial" w:cs="Arial" w:eastAsia="Arial" w:hAnsi="Arial"/>
          <w:sz w:val="21"/>
          <w:szCs w:val="21"/>
          <w:color w:val="auto"/>
        </w:rPr>
        <w:t>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4" w:lineRule="exact"/>
        <w:rPr>
          <w:sz w:val="20"/>
          <w:szCs w:val="20"/>
          <w:color w:val="auto"/>
        </w:rPr>
      </w:pPr>
    </w:p>
    <w:p>
      <w:pPr>
        <w:jc w:val="both"/>
        <w:ind w:left="200" w:right="219" w:firstLine="657"/>
        <w:spacing w:after="0" w:line="238" w:lineRule="auto"/>
        <w:tabs>
          <w:tab w:leader="none" w:pos="149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2"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means, with respect to any Benchmark,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2.13 and (y) ending at the time that a Benchmark Replacement has replaced the then-current Benchmark for all purposes hereunder and under any Loan Document in accordance with Section 2.13.</w:t>
      </w:r>
    </w:p>
    <w:p>
      <w:pPr>
        <w:spacing w:after="0" w:line="218"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33" w:lineRule="exact"/>
        <w:rPr>
          <w:sz w:val="20"/>
          <w:szCs w:val="20"/>
          <w:color w:val="auto"/>
        </w:rPr>
      </w:pPr>
    </w:p>
    <w:p>
      <w:pPr>
        <w:ind w:left="200" w:right="219" w:firstLine="657"/>
        <w:spacing w:after="0" w:line="250" w:lineRule="auto"/>
        <w:tabs>
          <w:tab w:leader="none" w:pos="1496"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“covered entity” as that term is defined in, and interpreted in accordance with, 12 C.F.R. § 252.82(b);</w:t>
      </w:r>
    </w:p>
    <w:p>
      <w:pPr>
        <w:spacing w:after="0" w:line="201" w:lineRule="exact"/>
        <w:rPr>
          <w:rFonts w:ascii="Arial" w:cs="Arial" w:eastAsia="Arial" w:hAnsi="Arial"/>
          <w:sz w:val="22"/>
          <w:szCs w:val="22"/>
          <w:color w:val="auto"/>
        </w:rPr>
      </w:pPr>
    </w:p>
    <w:p>
      <w:pPr>
        <w:ind w:left="200" w:right="219" w:firstLine="657"/>
        <w:spacing w:after="0" w:line="250" w:lineRule="auto"/>
        <w:tabs>
          <w:tab w:leader="none" w:pos="1496"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 47.3(b); or</w:t>
      </w:r>
    </w:p>
    <w:p>
      <w:pPr>
        <w:spacing w:after="0" w:line="201" w:lineRule="exact"/>
        <w:rPr>
          <w:rFonts w:ascii="Arial" w:cs="Arial" w:eastAsia="Arial" w:hAnsi="Arial"/>
          <w:sz w:val="22"/>
          <w:szCs w:val="22"/>
          <w:color w:val="auto"/>
        </w:rPr>
      </w:pPr>
    </w:p>
    <w:p>
      <w:pPr>
        <w:ind w:left="200" w:right="219" w:firstLine="657"/>
        <w:spacing w:after="0" w:line="250" w:lineRule="auto"/>
        <w:tabs>
          <w:tab w:leader="none" w:pos="1496"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w:t>
      </w:r>
    </w:p>
    <w:p>
      <w:pPr>
        <w:spacing w:after="0" w:line="202" w:lineRule="exact"/>
        <w:rPr>
          <w:sz w:val="20"/>
          <w:szCs w:val="20"/>
          <w:color w:val="auto"/>
        </w:rPr>
      </w:pPr>
    </w:p>
    <w:p>
      <w:pPr>
        <w:jc w:val="both"/>
        <w:ind w:left="200" w:right="23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ESTR</w:t>
      </w:r>
      <w:r>
        <w:rPr>
          <w:rFonts w:ascii="Arial" w:cs="Arial" w:eastAsia="Arial" w:hAnsi="Arial"/>
          <w:sz w:val="19"/>
          <w:szCs w:val="19"/>
          <w:color w:val="auto"/>
        </w:rPr>
        <w:t>” means, for any day, ESTR, with the conventions for this rate (which may include a lookback) being established by the Administrative Agent in accordance with the conventions for this rate selected or recommended by the Relevant Governmental Body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7" w:name="page38"/>
    <w:bookmarkEnd w:id="37"/>
    <w:p>
      <w:pPr>
        <w:jc w:val="both"/>
        <w:ind w:left="200" w:right="219"/>
        <w:spacing w:after="0" w:line="238" w:lineRule="auto"/>
        <w:rPr>
          <w:sz w:val="20"/>
          <w:szCs w:val="20"/>
          <w:color w:val="auto"/>
        </w:rPr>
      </w:pPr>
      <w:r>
        <w:rPr>
          <w:rFonts w:ascii="Arial" w:cs="Arial" w:eastAsia="Arial" w:hAnsi="Arial"/>
          <w:sz w:val="22"/>
          <w:szCs w:val="22"/>
          <w:color w:val="auto"/>
        </w:rPr>
        <w:t>determining “Daily Simple ESTR”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12"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SARON</w:t>
      </w:r>
      <w:r>
        <w:rPr>
          <w:rFonts w:ascii="Arial" w:cs="Arial" w:eastAsia="Arial" w:hAnsi="Arial"/>
          <w:sz w:val="22"/>
          <w:szCs w:val="22"/>
          <w:color w:val="auto"/>
        </w:rPr>
        <w:t>” means, for any day, SARON, with the conventions for this rate (which may include a lookback) being established by the Administrative Agent in accordance with the conventions for this rate selected or recommended by the Relevant Governmental Body for determining “Daily Simple SARON”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18"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SOFR</w:t>
      </w:r>
      <w:r>
        <w:rPr>
          <w:rFonts w:ascii="Arial" w:cs="Arial" w:eastAsia="Arial" w:hAnsi="Arial"/>
          <w:sz w:val="22"/>
          <w:szCs w:val="22"/>
          <w:color w:val="auto"/>
        </w:rPr>
        <w:t>” means,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18"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SONIA</w:t>
      </w:r>
      <w:r>
        <w:rPr>
          <w:rFonts w:ascii="Arial" w:cs="Arial" w:eastAsia="Arial" w:hAnsi="Arial"/>
          <w:sz w:val="22"/>
          <w:szCs w:val="22"/>
          <w:color w:val="auto"/>
        </w:rPr>
        <w:t>” means, for any day, SONIA, with the conventions for this rate (which will include a lookback) being established by the Administrative Agent in accordance with the conventions for this rate selected or recommended by the Relevant Governmental Body for determining “Daily Simple SONIA”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18"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TONA</w:t>
      </w:r>
      <w:r>
        <w:rPr>
          <w:rFonts w:ascii="Arial" w:cs="Arial" w:eastAsia="Arial" w:hAnsi="Arial"/>
          <w:sz w:val="22"/>
          <w:szCs w:val="22"/>
          <w:color w:val="auto"/>
        </w:rPr>
        <w:t>” means, for any day, TONA, with the conventions for this rate (which will include a lookback) being established by the Administrative Agent in accordance with the conventions for this rate selected or recommended by the Relevant Governmental Body for determining “Daily Simple TONA”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18"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Opt-in Election</w:t>
      </w:r>
      <w:r>
        <w:rPr>
          <w:rFonts w:ascii="Arial" w:cs="Arial" w:eastAsia="Arial" w:hAnsi="Arial"/>
          <w:sz w:val="19"/>
          <w:szCs w:val="19"/>
          <w:color w:val="auto"/>
        </w:rPr>
        <w:t>” means, with respect to any Agreed Currency, the occurrence of:</w:t>
      </w:r>
    </w:p>
    <w:p>
      <w:pPr>
        <w:spacing w:after="0" w:line="268" w:lineRule="exact"/>
        <w:rPr>
          <w:sz w:val="20"/>
          <w:szCs w:val="20"/>
          <w:color w:val="auto"/>
        </w:rPr>
      </w:pPr>
    </w:p>
    <w:p>
      <w:pPr>
        <w:jc w:val="both"/>
        <w:ind w:left="200" w:right="219" w:firstLine="657"/>
        <w:spacing w:after="0" w:line="297" w:lineRule="auto"/>
        <w:tabs>
          <w:tab w:leader="none" w:pos="1496" w:val="left"/>
        </w:tabs>
        <w:numPr>
          <w:ilvl w:val="0"/>
          <w:numId w:val="47"/>
        </w:numPr>
        <w:rPr>
          <w:rFonts w:ascii="Arial" w:cs="Arial" w:eastAsia="Arial" w:hAnsi="Arial"/>
          <w:sz w:val="19"/>
          <w:szCs w:val="19"/>
          <w:color w:val="auto"/>
        </w:rPr>
      </w:pPr>
      <w:r>
        <w:rPr>
          <w:rFonts w:ascii="Arial" w:cs="Arial" w:eastAsia="Arial" w:hAnsi="Arial"/>
          <w:sz w:val="19"/>
          <w:szCs w:val="19"/>
          <w:color w:val="auto"/>
        </w:rPr>
        <w:t>a notification by the Administrative Agent to (or the request by the Company to the Administrative Agent to notify) each of the other parties hereto that syndicated credit facilities denominated in the applicable Agreed Currency being executed at such time, or that include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8" w:name="page39"/>
    <w:bookmarkEnd w:id="38"/>
    <w:p>
      <w:pPr>
        <w:ind w:left="200" w:right="219"/>
        <w:spacing w:after="0" w:line="329" w:lineRule="auto"/>
        <w:rPr>
          <w:sz w:val="20"/>
          <w:szCs w:val="20"/>
          <w:color w:val="auto"/>
        </w:rPr>
      </w:pPr>
      <w:r>
        <w:rPr>
          <w:rFonts w:ascii="Arial" w:cs="Arial" w:eastAsia="Arial" w:hAnsi="Arial"/>
          <w:sz w:val="19"/>
          <w:szCs w:val="19"/>
          <w:color w:val="auto"/>
        </w:rPr>
        <w:t>language similar to that contained in Section 2.13 are being executed or amended, as applicable, to incorporate or adopt a new benchmark interest rate to replace the Relevant Rate, and</w:t>
      </w:r>
    </w:p>
    <w:p>
      <w:pPr>
        <w:spacing w:after="0" w:line="131" w:lineRule="exact"/>
        <w:rPr>
          <w:sz w:val="20"/>
          <w:szCs w:val="20"/>
          <w:color w:val="auto"/>
        </w:rPr>
      </w:pPr>
    </w:p>
    <w:p>
      <w:pPr>
        <w:jc w:val="both"/>
        <w:ind w:left="200" w:right="219" w:firstLine="657"/>
        <w:spacing w:after="0" w:line="297" w:lineRule="auto"/>
        <w:tabs>
          <w:tab w:leader="none" w:pos="151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joint election by the Administrative Agent and the Company to declare that an Early Opt-in Election for such Agreed Currency has occurred and the provision, as applicable, by the Administrative Agent of written notice of such election to the Company and the Lenders.</w:t>
      </w:r>
    </w:p>
    <w:p>
      <w:pPr>
        <w:spacing w:after="0" w:line="161"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ESTR</w:t>
      </w:r>
      <w:r>
        <w:rPr>
          <w:rFonts w:ascii="Arial" w:cs="Arial" w:eastAsia="Arial" w:hAnsi="Arial"/>
          <w:sz w:val="22"/>
          <w:szCs w:val="22"/>
          <w:color w:val="auto"/>
        </w:rPr>
        <w:t>” means, with respect to any Business Day, a rate per annum equal to the Euro Short Term Rate for such Business Day published by the ESTR Administrator on the ESTR Administrator’s Website.</w:t>
      </w:r>
    </w:p>
    <w:p>
      <w:pPr>
        <w:spacing w:after="0" w:line="213"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ESTR Administrator</w:t>
      </w:r>
      <w:r>
        <w:rPr>
          <w:rFonts w:ascii="Arial" w:cs="Arial" w:eastAsia="Arial" w:hAnsi="Arial"/>
          <w:sz w:val="22"/>
          <w:szCs w:val="22"/>
          <w:color w:val="auto"/>
        </w:rPr>
        <w:t>” means the European Central Bank (or any successor administrator of the Euro Short Term Rate).</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ESTR Administrator’s Website</w:t>
      </w:r>
      <w:r>
        <w:rPr>
          <w:rFonts w:ascii="Arial" w:cs="Arial" w:eastAsia="Arial" w:hAnsi="Arial"/>
          <w:sz w:val="22"/>
          <w:szCs w:val="22"/>
          <w:color w:val="auto"/>
        </w:rPr>
        <w:t>” means the European Central Bank’s website, currently at http://www.ecb.europa.eu, or any successor source for the Euro Short Term Rate identified as such by the ESTR Administrator from time to time.</w:t>
      </w:r>
    </w:p>
    <w:p>
      <w:pPr>
        <w:spacing w:after="0" w:line="213"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LIBO Rate, as applicable.</w:t>
      </w:r>
    </w:p>
    <w:p>
      <w:pPr>
        <w:spacing w:after="0" w:line="213"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Currency Equivalent</w:t>
      </w:r>
      <w:r>
        <w:rPr>
          <w:rFonts w:ascii="Arial" w:cs="Arial" w:eastAsia="Arial" w:hAnsi="Arial"/>
          <w:sz w:val="21"/>
          <w:szCs w:val="21"/>
          <w:color w:val="auto"/>
        </w:rPr>
        <w:t>” means, for any amount of any Foreign Currency, at the time of determination thereof, (a) if such amount is expressed in such Foreign Currency, such amount and (b) if such amount is expressed in Dollars, the equivalent of such amount in such Foreign Currency determined by using the rate of exchange for the purchase of such Foreign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Foreign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1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xml:space="preserve"> ” has the meaning assigned to the term “qualified financial contract” in, and shall be interpreted in accordance with, 12 U.S.C. 5390(c)(8)(D).</w:t>
      </w:r>
    </w:p>
    <w:p>
      <w:pPr>
        <w:spacing w:after="0" w:line="202"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(1) if such Benchmark is LIBO Rate with respect to Dollars, Sterling, or Swiss Francs, 11:00 a.m.</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9" w:name="page40"/>
    <w:bookmarkEnd w:id="39"/>
    <w:p>
      <w:pPr>
        <w:jc w:val="both"/>
        <w:ind w:left="200" w:right="219"/>
        <w:spacing w:after="0" w:line="248" w:lineRule="auto"/>
        <w:rPr>
          <w:sz w:val="20"/>
          <w:szCs w:val="20"/>
          <w:color w:val="auto"/>
        </w:rPr>
      </w:pPr>
      <w:r>
        <w:rPr>
          <w:rFonts w:ascii="Arial" w:cs="Arial" w:eastAsia="Arial" w:hAnsi="Arial"/>
          <w:sz w:val="21"/>
          <w:szCs w:val="21"/>
          <w:color w:val="auto"/>
        </w:rPr>
        <w:t>(London time) on the day that is two London banking days preceding the date of such setting, (2) if such Benchmark is LIBO Rate with respect to Euros, 11:00 a.m. Brussels time two TARGET2 Days preceding the date of such setting, (3) if such Benchmark is LIBO Rate with respect to Japanese Yen, 11:00 a.m. Japan time two Business Days preceding the date of such setting, and (4) if such Benchmark is any other rate with respect to Non-Quoted Currencies, the time determined by the Administrative Agent in its reasonable discretion.</w:t>
      </w:r>
    </w:p>
    <w:p>
      <w:pPr>
        <w:spacing w:after="0" w:line="204"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Swiss Francs, the Swiss National Bank, or a committee officially endorsed or convened by the Swiss National Bank or, in each case, any successor thereto, (v) with respect to a Benchmark Replacement in respect of Loans denominated in Japanese Yen, the Bank of Japan, or a committee officially endorsed or convened by the Bank of Japan or, in each case, any successor thereto, and</w:t>
      </w:r>
    </w:p>
    <w:p>
      <w:pPr>
        <w:spacing w:after="0" w:line="5" w:lineRule="exact"/>
        <w:rPr>
          <w:sz w:val="20"/>
          <w:szCs w:val="20"/>
          <w:color w:val="auto"/>
        </w:rPr>
      </w:pPr>
    </w:p>
    <w:p>
      <w:pPr>
        <w:jc w:val="both"/>
        <w:ind w:left="200" w:right="219" w:firstLine="9"/>
        <w:spacing w:after="0" w:line="272" w:lineRule="auto"/>
        <w:tabs>
          <w:tab w:leader="none" w:pos="609" w:val="left"/>
        </w:tabs>
        <w:numPr>
          <w:ilvl w:val="0"/>
          <w:numId w:val="49"/>
        </w:numPr>
        <w:rPr>
          <w:rFonts w:ascii="Arial" w:cs="Arial" w:eastAsia="Arial" w:hAnsi="Arial"/>
          <w:sz w:val="19"/>
          <w:szCs w:val="19"/>
          <w:color w:val="auto"/>
        </w:rPr>
      </w:pPr>
      <w:r>
        <w:rPr>
          <w:rFonts w:ascii="Arial" w:cs="Arial" w:eastAsia="Arial" w:hAnsi="Arial"/>
          <w:sz w:val="19"/>
          <w:szCs w:val="19"/>
          <w:color w:val="auto"/>
        </w:rPr>
        <w:t>with respect to a Benchmark Replacement in respect of Loans denominated in any Non-Quoted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3"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Rate</w:t>
      </w:r>
      <w:r>
        <w:rPr>
          <w:rFonts w:ascii="Arial" w:cs="Arial" w:eastAsia="Arial" w:hAnsi="Arial"/>
          <w:sz w:val="19"/>
          <w:szCs w:val="19"/>
          <w:color w:val="auto"/>
        </w:rPr>
        <w:t>” means, as applicable, (i) with respect to any Eurocurrency Borrowings denominated in Dollars, Sterling or Swiss Francs, the LIBO Rate applicable to Eurocurrency Borrowings denominated in Dollars, Sterling or Swiss Francs, (ii) with respect to any Eurocurrency Borrowing denominated in Euros, the LIBO Rate applicable to Eurocurrency Borrowings denominated in Euros, (iii) with respect to any Eurocurrency Borrowing denominated in Japanese Yen, the LIBO Rate applicable to Eurocurrency Borrowings denominated in Japanese Yen, or (iv) with respect to any Borrowing denominated in any Non-Quoted Currency, the LIBO Rate applicable to Eurocurrency Borrowings denominated in such Non-Quoted Currency.</w:t>
      </w:r>
    </w:p>
    <w:p>
      <w:pPr>
        <w:spacing w:after="0" w:line="184"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Screen Rate</w:t>
      </w:r>
      <w:r>
        <w:rPr>
          <w:rFonts w:ascii="Arial" w:cs="Arial" w:eastAsia="Arial" w:hAnsi="Arial"/>
          <w:sz w:val="22"/>
          <w:szCs w:val="22"/>
          <w:color w:val="auto"/>
        </w:rPr>
        <w:t>” means, as applicable, (i) with respect to any Eurocurrency Borrowing denominated in Dollars, Sterling or Swiss Francs, the LIBO Screen Rate, (ii) with respect to any Eurocurrency Borrowing denominated in Euros, the EURIBOR Screen Rate, (iii) with respect to any Eurocurrency Borrowing denominated in Japanese Yen, the TIBOR Screen Rate, or (iv) with respect to any Borrowing denominated in any Non-Quoted Currency, the applicable Local Screen Rate.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 w:name="page41"/>
    <w:bookmarkEnd w:id="40"/>
    <w:p>
      <w:pPr>
        <w:jc w:val="both"/>
        <w:ind w:left="200" w:right="239"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200"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Revaluation Date</w:t>
      </w:r>
      <w:r>
        <w:rPr>
          <w:rFonts w:ascii="Arial" w:cs="Arial" w:eastAsia="Arial" w:hAnsi="Arial"/>
          <w:sz w:val="21"/>
          <w:szCs w:val="21"/>
          <w:color w:val="auto"/>
        </w:rPr>
        <w:t>” shall mean (a) with respect to any Loan denominated in any Foreign Currency, each of the following: (i) the date of the Borrowing of such Loan and (ii) each date of a conversion into or continuation of such Loan pursuant to the terms of this Agreement; (b) with respect to any Letter of Credit denominated in any Foreign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20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SARON</w:t>
      </w:r>
      <w:r>
        <w:rPr>
          <w:rFonts w:ascii="Arial" w:cs="Arial" w:eastAsia="Arial" w:hAnsi="Arial"/>
          <w:sz w:val="22"/>
          <w:szCs w:val="22"/>
          <w:color w:val="auto"/>
        </w:rPr>
        <w:t>” means, with respect to any Business Day, a rate per annum equal to the Swiss Average Rate Overnight for such Business Day published by the SARON Administrator on the SARON Administrator’s Website.</w:t>
      </w:r>
    </w:p>
    <w:p>
      <w:pPr>
        <w:spacing w:after="0" w:line="213"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SARON Administrator</w:t>
      </w:r>
      <w:r>
        <w:rPr>
          <w:rFonts w:ascii="Arial" w:cs="Arial" w:eastAsia="Arial" w:hAnsi="Arial"/>
          <w:sz w:val="22"/>
          <w:szCs w:val="22"/>
          <w:color w:val="auto"/>
        </w:rPr>
        <w:t>” means the SIX Swiss Exchange AG (or any successor administrator of the Swiss Average Rate Overnight).</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SARON Administrator’s Website</w:t>
      </w:r>
      <w:r>
        <w:rPr>
          <w:rFonts w:ascii="Arial" w:cs="Arial" w:eastAsia="Arial" w:hAnsi="Arial"/>
          <w:sz w:val="22"/>
          <w:szCs w:val="22"/>
          <w:color w:val="auto"/>
        </w:rPr>
        <w:t>” means SIX Swiss Exchange AG’s website, currently at https://www.six-group.com, or any successor source for the Swiss Average Rate Overnight identified as such by the SARON Administrator from time to time.</w:t>
      </w:r>
    </w:p>
    <w:p>
      <w:pPr>
        <w:spacing w:after="0" w:line="213" w:lineRule="exact"/>
        <w:rPr>
          <w:sz w:val="20"/>
          <w:szCs w:val="20"/>
          <w:color w:val="auto"/>
        </w:rPr>
      </w:pPr>
    </w:p>
    <w:p>
      <w:pPr>
        <w:jc w:val="both"/>
        <w:ind w:left="200" w:right="23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 with respect to any Business Day, a rate per annum equal to the secured overnight financing rate for such Business Day published by the SOFR Administrator on the SOFR Administrator’s Website.</w:t>
      </w:r>
    </w:p>
    <w:p>
      <w:pPr>
        <w:spacing w:after="0" w:line="213"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NYFRB (or a successor administrator of the secured overnight financing rate).</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Administrator’s Website</w:t>
      </w:r>
      <w:r>
        <w:rPr>
          <w:rFonts w:ascii="Arial" w:cs="Arial" w:eastAsia="Arial" w:hAnsi="Arial"/>
          <w:sz w:val="22"/>
          <w:szCs w:val="22"/>
          <w:color w:val="auto"/>
        </w:rPr>
        <w:t>” means the NYFRB’s Website, currently at http://www.newyorkfed.org, or any successor source for the secured overnight financing rate identified as such by the SOFR Administrator from time to time.</w:t>
      </w:r>
    </w:p>
    <w:p>
      <w:pPr>
        <w:spacing w:after="0" w:line="213"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w:t>
      </w:r>
      <w:r>
        <w:rPr>
          <w:rFonts w:ascii="Arial" w:cs="Arial" w:eastAsia="Arial" w:hAnsi="Arial"/>
          <w:sz w:val="22"/>
          <w:szCs w:val="22"/>
          <w:color w:val="auto"/>
        </w:rPr>
        <w:t>” means, with respect to any Business Day, a rate per annum equal to the Sterling Overnight Index Average for such Business Day published by the SONIA Administrator on the SONIA Administrator’s Website.</w:t>
      </w:r>
    </w:p>
    <w:p>
      <w:pPr>
        <w:spacing w:after="0" w:line="213"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w:t>
      </w:r>
      <w:r>
        <w:rPr>
          <w:rFonts w:ascii="Arial" w:cs="Arial" w:eastAsia="Arial" w:hAnsi="Arial"/>
          <w:sz w:val="22"/>
          <w:szCs w:val="22"/>
          <w:color w:val="auto"/>
        </w:rPr>
        <w:t>” means the Bank of England (or any successor administrator of the Sterling Overnight Index Average).</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1" w:name="page42"/>
    <w:bookmarkEnd w:id="41"/>
    <w:p>
      <w:pPr>
        <w:jc w:val="both"/>
        <w:ind w:left="200" w:right="219"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ESTR</w:t>
      </w:r>
      <w:r>
        <w:rPr>
          <w:rFonts w:ascii="Arial" w:cs="Arial" w:eastAsia="Arial" w:hAnsi="Arial"/>
          <w:sz w:val="22"/>
          <w:szCs w:val="22"/>
          <w:color w:val="auto"/>
        </w:rPr>
        <w:t>” means, for the applicable Corresponding Tenor as of the applicable Reference Time, the forward-looking term rate based on ESTR that has been selected or recommended by the Relevant Governmental Body.</w:t>
      </w:r>
    </w:p>
    <w:p>
      <w:pPr>
        <w:spacing w:after="0" w:line="211"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ESTR Notice</w:t>
      </w:r>
      <w:r>
        <w:rPr>
          <w:rFonts w:ascii="Arial" w:cs="Arial" w:eastAsia="Arial" w:hAnsi="Arial"/>
          <w:sz w:val="22"/>
          <w:szCs w:val="22"/>
          <w:color w:val="auto"/>
        </w:rPr>
        <w:t>” means a notification by the Administrative Agent to the Lenders and the Company of the occurrence of a Term ESTR Transition Event.</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ESTR Transition Event</w:t>
      </w:r>
      <w:r>
        <w:rPr>
          <w:rFonts w:ascii="Arial" w:cs="Arial" w:eastAsia="Arial" w:hAnsi="Arial"/>
          <w:sz w:val="19"/>
          <w:szCs w:val="19"/>
          <w:color w:val="auto"/>
        </w:rPr>
        <w:t>” means the determination by the Administrative Agent that</w:t>
      </w:r>
    </w:p>
    <w:p>
      <w:pPr>
        <w:spacing w:after="0" w:line="43" w:lineRule="exact"/>
        <w:rPr>
          <w:sz w:val="20"/>
          <w:szCs w:val="20"/>
          <w:color w:val="auto"/>
        </w:rPr>
      </w:pPr>
    </w:p>
    <w:p>
      <w:pPr>
        <w:jc w:val="both"/>
        <w:ind w:left="200" w:right="219" w:firstLine="9"/>
        <w:spacing w:after="0" w:line="280"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Section 2.13 that is not Term ESTR.</w:t>
      </w:r>
    </w:p>
    <w:p>
      <w:pPr>
        <w:spacing w:after="0" w:line="17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 for the applicable Corresponding Tenor as of the applicable Reference Time, the forward-looking term rate based on SOFR that has been selected or recommended by the Relevant Governmental Body.</w:t>
      </w:r>
    </w:p>
    <w:p>
      <w:pPr>
        <w:spacing w:after="0" w:line="213"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Notice</w:t>
      </w:r>
      <w:r>
        <w:rPr>
          <w:rFonts w:ascii="Arial" w:cs="Arial" w:eastAsia="Arial" w:hAnsi="Arial"/>
          <w:sz w:val="22"/>
          <w:szCs w:val="22"/>
          <w:color w:val="auto"/>
        </w:rPr>
        <w:t>” means a notification by the Administrative Agent to the Lenders and the Company of the occurrence of a Term SOFR Transition Event.</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Transition Event</w:t>
      </w:r>
      <w:r>
        <w:rPr>
          <w:rFonts w:ascii="Arial" w:cs="Arial" w:eastAsia="Arial" w:hAnsi="Arial"/>
          <w:sz w:val="19"/>
          <w:szCs w:val="19"/>
          <w:color w:val="auto"/>
        </w:rPr>
        <w:t>” means the determination by the Administrative Agent that</w:t>
      </w:r>
    </w:p>
    <w:p>
      <w:pPr>
        <w:spacing w:after="0" w:line="43" w:lineRule="exact"/>
        <w:rPr>
          <w:sz w:val="20"/>
          <w:szCs w:val="20"/>
          <w:color w:val="auto"/>
        </w:rPr>
      </w:pPr>
    </w:p>
    <w:p>
      <w:pPr>
        <w:jc w:val="both"/>
        <w:ind w:left="200" w:right="219" w:firstLine="9"/>
        <w:spacing w:after="0" w:line="280" w:lineRule="auto"/>
        <w:tabs>
          <w:tab w:leader="none" w:pos="53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2.13 that is not Term SOFR.</w:t>
      </w:r>
    </w:p>
    <w:p>
      <w:pPr>
        <w:spacing w:after="0" w:line="17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TONA</w:t>
      </w:r>
      <w:r>
        <w:rPr>
          <w:rFonts w:ascii="Arial" w:cs="Arial" w:eastAsia="Arial" w:hAnsi="Arial"/>
          <w:sz w:val="22"/>
          <w:szCs w:val="22"/>
          <w:color w:val="auto"/>
        </w:rPr>
        <w:t xml:space="preserve"> ” means, for the applicable Corresponding Tenor as of the applicable Reference Time, the forward-looking term rate based on TONA that has been selected or recommended by the Relevant Governmental Body.</w:t>
      </w:r>
    </w:p>
    <w:p>
      <w:pPr>
        <w:spacing w:after="0" w:line="213"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TONA Notice</w:t>
      </w:r>
      <w:r>
        <w:rPr>
          <w:rFonts w:ascii="Arial" w:cs="Arial" w:eastAsia="Arial" w:hAnsi="Arial"/>
          <w:sz w:val="22"/>
          <w:szCs w:val="22"/>
          <w:color w:val="auto"/>
        </w:rPr>
        <w:t>” means a notification by the Administrative Agent to the Lenders and the Company of the occurrence of a Term TONA Transition Event.</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TONA Transition Event</w:t>
      </w:r>
      <w:r>
        <w:rPr>
          <w:rFonts w:ascii="Arial" w:cs="Arial" w:eastAsia="Arial" w:hAnsi="Arial"/>
          <w:sz w:val="19"/>
          <w:szCs w:val="19"/>
          <w:color w:val="auto"/>
        </w:rPr>
        <w:t>” means the determination by the Administrative Agent that</w:t>
      </w:r>
    </w:p>
    <w:p>
      <w:pPr>
        <w:spacing w:after="0" w:line="43" w:lineRule="exact"/>
        <w:rPr>
          <w:sz w:val="20"/>
          <w:szCs w:val="20"/>
          <w:color w:val="auto"/>
        </w:rPr>
      </w:pPr>
    </w:p>
    <w:p>
      <w:pPr>
        <w:jc w:val="both"/>
        <w:ind w:left="200" w:right="219" w:firstLine="9"/>
        <w:spacing w:after="0" w:line="280" w:lineRule="auto"/>
        <w:tabs>
          <w:tab w:leader="none" w:pos="535" w:val="left"/>
        </w:tabs>
        <w:numPr>
          <w:ilvl w:val="0"/>
          <w:numId w:val="52"/>
        </w:numPr>
        <w:rPr>
          <w:rFonts w:ascii="Arial" w:cs="Arial" w:eastAsia="Arial" w:hAnsi="Arial"/>
          <w:sz w:val="19"/>
          <w:szCs w:val="19"/>
          <w:color w:val="auto"/>
        </w:rPr>
      </w:pPr>
      <w:r>
        <w:rPr>
          <w:rFonts w:ascii="Arial" w:cs="Arial" w:eastAsia="Arial" w:hAnsi="Arial"/>
          <w:sz w:val="19"/>
          <w:szCs w:val="19"/>
          <w:color w:val="auto"/>
        </w:rPr>
        <w:t>Term TONA has been recommended for use by the Relevant Governmental Body, (b) the administration of Term TONA is administratively feasible for the Administrative Agent and (c) a Benchmark Transition Event or an Early Opt-in Election, as applicable, has previously occurred resulting in a Benchmark Replacement in accordance with Section 2.13 that is not Term TONA.</w:t>
      </w:r>
    </w:p>
    <w:p>
      <w:pPr>
        <w:spacing w:after="0" w:line="177"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TIBOR Screen Rate</w:t>
      </w:r>
      <w:r>
        <w:rPr>
          <w:rFonts w:ascii="Arial" w:cs="Arial" w:eastAsia="Arial" w:hAnsi="Arial"/>
          <w:sz w:val="19"/>
          <w:szCs w:val="19"/>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2" w:name="page43"/>
    <w:bookmarkEnd w:id="42"/>
    <w:p>
      <w:pPr>
        <w:jc w:val="both"/>
        <w:ind w:left="200" w:right="219"/>
        <w:spacing w:after="0" w:line="274" w:lineRule="auto"/>
        <w:rPr>
          <w:sz w:val="20"/>
          <w:szCs w:val="20"/>
          <w:color w:val="auto"/>
        </w:rPr>
      </w:pPr>
      <w:r>
        <w:rPr>
          <w:rFonts w:ascii="Arial" w:cs="Arial" w:eastAsia="Arial" w:hAnsi="Arial"/>
          <w:sz w:val="21"/>
          <w:szCs w:val="21"/>
          <w:color w:val="auto"/>
        </w:rPr>
        <w:t>to the commencement of such Interest Period. If the TIBOR Screen Rate shall be less than zero, the TIBOR Screen Rate shall be deemed to be zero for purposes of this Agreement.</w:t>
      </w:r>
    </w:p>
    <w:p>
      <w:pPr>
        <w:spacing w:after="0" w:line="178"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TONA</w:t>
      </w:r>
      <w:r>
        <w:rPr>
          <w:rFonts w:ascii="Arial" w:cs="Arial" w:eastAsia="Arial" w:hAnsi="Arial"/>
          <w:sz w:val="22"/>
          <w:szCs w:val="22"/>
          <w:color w:val="auto"/>
        </w:rPr>
        <w:t>” means, with respect to any Business Day, a rate per annum equal to the Tokyo Overnight Average Rate for such Business Day published by the TONA Administrator on the TONA Administrator’s Website.</w:t>
      </w:r>
    </w:p>
    <w:p>
      <w:pPr>
        <w:spacing w:after="0" w:line="213"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TONA</w:t>
      </w:r>
      <w:r>
        <w:rPr>
          <w:rFonts w:ascii="Arial" w:cs="Arial" w:eastAsia="Arial" w:hAnsi="Arial"/>
          <w:sz w:val="22"/>
          <w:szCs w:val="22"/>
          <w:color w:val="auto"/>
        </w:rPr>
        <w:t xml:space="preserve"> Administrator” means the Bank of Japan (or any successor administrator of the Tokyo Overnight Average Rate).</w:t>
      </w:r>
    </w:p>
    <w:p>
      <w:pPr>
        <w:spacing w:after="0" w:line="20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TONA Administrator’s Website</w:t>
      </w:r>
      <w:r>
        <w:rPr>
          <w:rFonts w:ascii="Arial" w:cs="Arial" w:eastAsia="Arial" w:hAnsi="Arial"/>
          <w:sz w:val="22"/>
          <w:szCs w:val="22"/>
          <w:color w:val="auto"/>
        </w:rPr>
        <w:t>” means the Bank of Japan’s website, currently at http://www.boj.or.jp, or any successor source for the Tokyo Overnight Average Rate identified as such by the TONA Administrator from time to time.</w:t>
      </w:r>
    </w:p>
    <w:p>
      <w:pPr>
        <w:spacing w:after="0" w:line="213"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Institutions</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5" w:lineRule="exact"/>
        <w:rPr>
          <w:sz w:val="20"/>
          <w:szCs w:val="20"/>
          <w:color w:val="auto"/>
        </w:rPr>
      </w:pPr>
    </w:p>
    <w:p>
      <w:pPr>
        <w:jc w:val="both"/>
        <w:ind w:left="200" w:right="23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means the Bank of England or any other public administrative authority having responsibility for the resolution of any UK Financial Institution.</w:t>
      </w:r>
    </w:p>
    <w:p>
      <w:pPr>
        <w:spacing w:after="0" w:line="13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202"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1.3 The following definitions in Section 1.01 of the Credit Agreement are restated as follows:</w:t>
      </w:r>
    </w:p>
    <w:p>
      <w:pPr>
        <w:spacing w:after="0" w:line="202"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means, with respect to any Eurocurrency Borrowing denominated in any Agreed Currency for any Interest Period, or with respect to any ABR Borrowing denominated in Dollars, an interest rate per annum (in the case of a Borrowing denominated in Dollars, Sterling, or Swiss Francs, rounded upwards, if necessary, to the next 1/16 of 1%) equal to the (a) the LIBO Rate applicable to such currency for such Interest Period multiplied by (b) the Statutory Reserve Rate.</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 – U.S.</w:t>
      </w:r>
      <w:r>
        <w:rPr>
          <w:rFonts w:ascii="Arial" w:cs="Arial" w:eastAsia="Arial" w:hAnsi="Arial"/>
          <w:sz w:val="19"/>
          <w:szCs w:val="19"/>
          <w:color w:val="auto"/>
        </w:rPr>
        <w:t>” means, for any day, a rate per annum equal to the greatest of</w:t>
      </w:r>
    </w:p>
    <w:p>
      <w:pPr>
        <w:spacing w:after="0" w:line="43" w:lineRule="exact"/>
        <w:rPr>
          <w:sz w:val="20"/>
          <w:szCs w:val="20"/>
          <w:color w:val="auto"/>
        </w:rPr>
      </w:pPr>
    </w:p>
    <w:p>
      <w:pPr>
        <w:jc w:val="both"/>
        <w:ind w:left="200" w:right="219" w:firstLine="9"/>
        <w:spacing w:after="0" w:line="272" w:lineRule="auto"/>
        <w:tabs>
          <w:tab w:leader="none" w:pos="502"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Prime Rate in effect on such day, (b) the NYFRB Rate in effect on such day plus ½ of 1%, and (c) the Adjusted LIBO Rate for a one-month Interest Period on such day (or if such day is not a Business Day, the immediately preceding Business Day) plus 1%, provided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 U.S. due to a change in the Prime Rate, the NYFRB Rate or the Adjusted LIBO Rate shall be effective from and including the effective date of such change in the Prime Rate, the NYFRB Rate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3" w:name="page44"/>
    <w:bookmarkEnd w:id="43"/>
    <w:p>
      <w:pPr>
        <w:jc w:val="both"/>
        <w:ind w:left="200" w:right="219"/>
        <w:spacing w:after="0" w:line="234" w:lineRule="auto"/>
        <w:rPr>
          <w:sz w:val="20"/>
          <w:szCs w:val="20"/>
          <w:color w:val="auto"/>
        </w:rPr>
      </w:pPr>
      <w:r>
        <w:rPr>
          <w:rFonts w:ascii="Arial" w:cs="Arial" w:eastAsia="Arial" w:hAnsi="Arial"/>
          <w:sz w:val="22"/>
          <w:szCs w:val="22"/>
          <w:color w:val="auto"/>
        </w:rPr>
        <w:t>or the Adjusted LIBO Rate, respectively. If the Alternate Base Rate – U.S. is being used as an alternate rate of interest pursuant to Section 2.13 (for the avoidance of doubt, only until the Benchmark Replacement has been determined pursuant to Section 2.13(b)), then the Alternate Base Rate – U.S. shall be the greater of clause (a) and (b) above and shall be determined without reference to clause (c) above. For the avoidance of doubt, if the Alternate Base Rate – U.S. as determined pursuant to the foregoing would be less than 1.00% , such rate shall be deemed to be 1.00% for purposes of this Agreement.</w:t>
      </w:r>
    </w:p>
    <w:p>
      <w:pPr>
        <w:spacing w:after="0" w:line="218"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Resolution Authority in respect of any liability of an Affected Financial Institution.</w:t>
      </w:r>
    </w:p>
    <w:p>
      <w:pPr>
        <w:spacing w:after="0" w:line="132"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(i) with respect to any Eurocurrency Borrowing denominated in Dollars, Sterling, or Swiss Francs and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applicable Impacted Interest Period and (b) the LIBO Screen Rate for the shortest period (for which the LIBO Screen Rate is available) that exceeds the applicable Impacted Interest Period, in each case, at such time, (ii) with respect to any Eurocurrency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applicable Impacted Interest Period; and (b) the EURIBOR Screen Rate for the shortest period (for which the EURIBOR Screen Rate is available for Euros) that exceeds the applicable Impacted Interest Period, in each case, at such time, (iii) with respect to any Eurocurrency Borrowing denominated in Japanese Yen and for any Interest Period, the rate per annum (rounded to the same number of decimal places as the TIBOR Screen Rate) 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for Japanese Yen) that is shorter than the applicable Impacted Interest Period; and (b) the TIBOR Screen Rate for the shortest period (for which the TIBOR Screen Rate is available for Japanese Yen) that exceeds the applicable Impacted Interest Period, in each case, at such time; and (iv) with respect to any Eurocurrency Borrowing denominated in any Non-Quoted Currency and for any Interest Period, the rate per annum (rounded to the same number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4" w:name="page45"/>
    <w:bookmarkEnd w:id="44"/>
    <w:p>
      <w:pPr>
        <w:jc w:val="both"/>
        <w:ind w:left="200" w:right="219"/>
        <w:spacing w:after="0" w:line="245" w:lineRule="auto"/>
        <w:rPr>
          <w:sz w:val="20"/>
          <w:szCs w:val="20"/>
          <w:color w:val="auto"/>
        </w:rPr>
      </w:pPr>
      <w:r>
        <w:rPr>
          <w:rFonts w:ascii="Arial" w:cs="Arial" w:eastAsia="Arial" w:hAnsi="Arial"/>
          <w:sz w:val="21"/>
          <w:szCs w:val="21"/>
          <w:color w:val="auto"/>
        </w:rPr>
        <w:t>decimal places as the Local Screen Rate) determined by the Administrative Agent (which determination shall be conclusive and binding absent manifest error) to be equal to the rate that results from interpolating on a linear basis between: (a) the Local Screen Rate for the longest period (for which the Local Screen Rate is available for the applicable currency) that is shorter than the applicable Impacted Interest Period; and (b) the Local Screen Rate for the shortest period (for which the Local Screen Rate is available for the applicable currency) that exceeds the applicable Impacted Interest Period, in each case, at such time. Notwithstanding the foregoing, if any Interpolated Rate shall be less than zero, such rate shall be deemed to be zero for purposes of this Agreement.</w:t>
      </w:r>
    </w:p>
    <w:p>
      <w:pPr>
        <w:spacing w:after="0" w:line="212"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means, with respect to (a) any Eurocurrency Borrowing denominated in Dollars, Sterling, or Swiss Francs and for any Interest Period, the LIBO Screen Rate at approximately 11:00 a.m., London time, on the Quotation Day for such currency and Interest Period; (b) any Eurocurrency Borrowing denominated in Euros for any Interest Period, the EURIBOR Screen Rate at approximately 11:00 a.m., Brussels time, on the Quotation Day for such currency and Interest Period, (c) any Eurocurrency Borrowing denominated in Japanese Yen and for any Interest Period, the TIBOR Screen Rate at approximately 11:00 a.m., Japan time, two Business Days prior to the commencement of such Interest Period, and (d) any Eurocurrency Borrowing denominated in any Non-Quoted Currency for any Interest Period, the applicable Local Screen Rate for such Non-Quoted Currency on the Quotation Day for such currency and Interest Period; provided, if the LIBO Screen Rate, the EURIBOR Screen Rate, the TIBOR Screen Rate, or a Local Screen Rate shall not be available at such time for such Interest Period (an “</w:t>
      </w:r>
      <w:r>
        <w:rPr>
          <w:rFonts w:ascii="Arial" w:cs="Arial" w:eastAsia="Arial" w:hAnsi="Arial"/>
          <w:sz w:val="19"/>
          <w:szCs w:val="19"/>
          <w:u w:val="single" w:color="auto"/>
          <w:color w:val="auto"/>
        </w:rPr>
        <w:t>Impacted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 Period</w:t>
      </w:r>
      <w:r>
        <w:rPr>
          <w:rFonts w:ascii="Arial" w:cs="Arial" w:eastAsia="Arial" w:hAnsi="Arial"/>
          <w:sz w:val="19"/>
          <w:szCs w:val="19"/>
          <w:color w:val="auto"/>
        </w:rPr>
        <w:t>”), then the LIBO Screen Rate, EURIBOR Screen Rate, TIBOR Screen Rate, or Local Screen Rate, as applicable, for such currency and such Interest Period shall be the Interpolated Rate applicable to such currency at such time.</w:t>
      </w:r>
    </w:p>
    <w:p>
      <w:pPr>
        <w:spacing w:after="0" w:line="200" w:lineRule="exact"/>
        <w:rPr>
          <w:sz w:val="20"/>
          <w:szCs w:val="20"/>
          <w:color w:val="auto"/>
        </w:rPr>
      </w:pPr>
    </w:p>
    <w:p>
      <w:pPr>
        <w:spacing w:after="0" w:line="234" w:lineRule="exact"/>
        <w:rPr>
          <w:sz w:val="20"/>
          <w:szCs w:val="20"/>
          <w:color w:val="auto"/>
        </w:rPr>
      </w:pPr>
    </w:p>
    <w:p>
      <w:pPr>
        <w:jc w:val="both"/>
        <w:ind w:left="200" w:right="219" w:firstLine="729"/>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Screen Rate</w:t>
      </w:r>
      <w:r>
        <w:rPr>
          <w:rFonts w:ascii="Arial" w:cs="Arial" w:eastAsia="Arial" w:hAnsi="Arial"/>
          <w:sz w:val="21"/>
          <w:szCs w:val="21"/>
          <w:color w:val="auto"/>
        </w:rPr>
        <w:t>” means, for any day and time, with respect to any Eurocurrency Borrowing denominated in Dollars, Sterling, or Swiss Francs and for any Interest Period, the London interbank offered rate as administered by ICE Benchmark Administration (or any other Person that takes over the administration of such rate for such Agreed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zero, such rate shall be deemed to be zero for the purposes of this Agreement.</w:t>
      </w:r>
    </w:p>
    <w:p>
      <w:pPr>
        <w:spacing w:after="0" w:line="215"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5" w:name="page46"/>
    <w:bookmarkEnd w:id="45"/>
    <w:p>
      <w:pPr>
        <w:jc w:val="both"/>
        <w:ind w:left="200" w:right="219"/>
        <w:spacing w:after="0" w:line="241" w:lineRule="auto"/>
        <w:rPr>
          <w:sz w:val="20"/>
          <w:szCs w:val="20"/>
          <w:color w:val="auto"/>
        </w:rPr>
      </w:pPr>
      <w:r>
        <w:rPr>
          <w:rFonts w:ascii="Arial" w:cs="Arial" w:eastAsia="Arial" w:hAnsi="Arial"/>
          <w:sz w:val="22"/>
          <w:szCs w:val="22"/>
          <w:color w:val="auto"/>
        </w:rPr>
        <w:t>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1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color w:val="auto"/>
        </w:rPr>
        <w:t>The last paragraph of the definition of “</w:t>
      </w:r>
      <w:r>
        <w:rPr>
          <w:rFonts w:ascii="Arial" w:cs="Arial" w:eastAsia="Arial" w:hAnsi="Arial"/>
          <w:sz w:val="21"/>
          <w:szCs w:val="21"/>
          <w:u w:val="single" w:color="auto"/>
          <w:color w:val="auto"/>
        </w:rPr>
        <w:t>Applicable Rate</w:t>
      </w:r>
      <w:r>
        <w:rPr>
          <w:rFonts w:ascii="Arial" w:cs="Arial" w:eastAsia="Arial" w:hAnsi="Arial"/>
          <w:sz w:val="21"/>
          <w:szCs w:val="21"/>
          <w:color w:val="auto"/>
        </w:rPr>
        <w:t>” in Section 1.01 of the</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Credit Agreement is restated as follows:</w:t>
      </w:r>
    </w:p>
    <w:p>
      <w:pPr>
        <w:spacing w:after="0" w:line="21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color w:val="auto"/>
        </w:rPr>
        <w:t>If at any time the Administrative Agent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in all material respects, the Borrowers shall be required to retroactively pay any additional amount that the Borrowers would have been required to pay if such financial statements, Compliance Certificate or other information had been accurate and/or computed correctly at the time they were delivered.</w:t>
      </w:r>
    </w:p>
    <w:p>
      <w:pPr>
        <w:spacing w:after="0" w:line="207"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1.5 Clause (c) of the definition of “Interest Period” in Section 1.01 of the Credit Agreement is restated as follows: “(c) with respect to any Eurocurrency Borrowing in CAD, the period commencing on the date of such Borrowing and ending on the numerically corresponding day in the calendar month that is one, two, or three months (or, with the consent of each Lender, such other period requested by a Borrower) thereafter, as the Borrower may elect”.</w:t>
      </w:r>
    </w:p>
    <w:p>
      <w:pPr>
        <w:spacing w:after="0" w:line="174"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1"/>
          <w:szCs w:val="21"/>
          <w:color w:val="auto"/>
        </w:rPr>
        <w:t>The following is added to the end of the definition of “</w:t>
      </w:r>
      <w:r>
        <w:rPr>
          <w:rFonts w:ascii="Arial" w:cs="Arial" w:eastAsia="Arial" w:hAnsi="Arial"/>
          <w:sz w:val="21"/>
          <w:szCs w:val="21"/>
          <w:u w:val="single" w:color="auto"/>
          <w:color w:val="auto"/>
        </w:rPr>
        <w:t>LC Exposure</w:t>
      </w:r>
      <w:r>
        <w:rPr>
          <w:rFonts w:ascii="Arial" w:cs="Arial" w:eastAsia="Arial" w:hAnsi="Arial"/>
          <w:sz w:val="21"/>
          <w:szCs w:val="21"/>
          <w:color w:val="auto"/>
        </w:rPr>
        <w:t>” in Section</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1.01 of the Credit Agreement:</w:t>
      </w:r>
    </w:p>
    <w:p>
      <w:pPr>
        <w:spacing w:after="0" w:line="215"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19"/>
          <w:szCs w:val="19"/>
          <w:color w:val="auto"/>
        </w:rPr>
        <w:t>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w:t>
      </w:r>
    </w:p>
    <w:p>
      <w:pPr>
        <w:spacing w:after="0" w:line="200" w:lineRule="exact"/>
        <w:rPr>
          <w:sz w:val="20"/>
          <w:szCs w:val="20"/>
          <w:color w:val="auto"/>
        </w:rPr>
      </w:pPr>
    </w:p>
    <w:p>
      <w:pPr>
        <w:spacing w:after="0" w:line="23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Section 1.07 of the Credit Agreement is restated as follows:</w:t>
      </w:r>
    </w:p>
    <w:p>
      <w:pPr>
        <w:spacing w:after="0" w:line="233"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Interest Rates; LIBOR Notification</w:t>
      </w:r>
      <w:r>
        <w:rPr>
          <w:rFonts w:ascii="Arial" w:cs="Arial" w:eastAsia="Arial" w:hAnsi="Arial"/>
          <w:sz w:val="19"/>
          <w:szCs w:val="19"/>
          <w:color w:val="auto"/>
        </w:rPr>
        <w:t>. The interest rate on a Loan denominated in Dollars or a Foreign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6" w:name="page47"/>
    <w:bookmarkEnd w:id="46"/>
    <w:p>
      <w:pPr>
        <w:jc w:val="both"/>
        <w:ind w:left="200" w:right="219"/>
        <w:spacing w:after="0" w:line="269" w:lineRule="auto"/>
        <w:rPr>
          <w:sz w:val="20"/>
          <w:szCs w:val="20"/>
          <w:color w:val="auto"/>
        </w:rPr>
      </w:pPr>
      <w:r>
        <w:rPr>
          <w:rFonts w:ascii="Arial" w:cs="Arial" w:eastAsia="Arial" w:hAnsi="Arial"/>
          <w:sz w:val="19"/>
          <w:szCs w:val="19"/>
          <w:color w:val="auto"/>
        </w:rPr>
        <w:t>change.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9"/>
          <w:szCs w:val="19"/>
          <w:u w:val="single" w:color="auto"/>
          <w:color w:val="auto"/>
        </w:rPr>
        <w:t>IBA</w:t>
      </w:r>
      <w:r>
        <w:rPr>
          <w:rFonts w:ascii="Arial" w:cs="Arial" w:eastAsia="Arial" w:hAnsi="Arial"/>
          <w:sz w:val="19"/>
          <w:szCs w:val="19"/>
          <w:color w:val="auto"/>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 reference rates to be used in place of the London interbank offered rate. Upon the occurrence of a Benchmark Transition Event, a Term SOFR Transition Event, a Term ESTR Transition Event, a Term TONA Transition Event or an Early Opt-In Election, Section 2.13(b) and (c) provide the mechanism for determining an alternative rate of interest. The Administrative Agent will promptly notify the Company, pursuant to Section 2.13(e),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(i) any such alternative, successor or replacement rate implemented pursuant to Section 2.13(b) or (c), whether upon the occurrence of a Benchmark Transition Event, a Term SOFR Transition Event, a Term ESTR Transition Event, a Term TONA Transition Event or an Early Opt-in Election, and (ii) the implementation of any Benchmark Replacement Conforming Changes pursuant to Section 2.13(d)),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(or the euro interbank offered rate, as applicable) prior to its discontinuance or unavailability.</w:t>
      </w:r>
    </w:p>
    <w:p>
      <w:pPr>
        <w:spacing w:after="0" w:line="200" w:lineRule="exact"/>
        <w:rPr>
          <w:sz w:val="20"/>
          <w:szCs w:val="20"/>
          <w:color w:val="auto"/>
        </w:rPr>
      </w:pPr>
    </w:p>
    <w:p>
      <w:pPr>
        <w:spacing w:after="0" w:line="236"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The following new Section 1.12 is added to the Credit Agreement:</w:t>
      </w:r>
    </w:p>
    <w:p>
      <w:pPr>
        <w:spacing w:after="0" w:line="233"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Letter of Credit Amounts</w:t>
      </w:r>
      <w:r>
        <w:rPr>
          <w:rFonts w:ascii="Arial" w:cs="Arial" w:eastAsia="Arial" w:hAnsi="Arial"/>
          <w:sz w:val="19"/>
          <w:szCs w:val="19"/>
          <w:color w:val="auto"/>
        </w:rPr>
        <w:t>. 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79"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The following new clause (f) is added to Section 2.02 of the Credit Agreement:</w:t>
      </w:r>
    </w:p>
    <w:p>
      <w:pPr>
        <w:spacing w:after="0" w:line="233" w:lineRule="exact"/>
        <w:rPr>
          <w:sz w:val="20"/>
          <w:szCs w:val="20"/>
          <w:color w:val="auto"/>
        </w:rPr>
      </w:pPr>
    </w:p>
    <w:p>
      <w:pPr>
        <w:ind w:left="200" w:right="219" w:firstLine="657"/>
        <w:spacing w:after="0" w:line="250" w:lineRule="auto"/>
        <w:tabs>
          <w:tab w:leader="none" w:pos="1523"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Administrative Agent will determine the Dollar Equivalent of each Loan and Letter of Credit on and as of each Revaluation Date.</w:t>
      </w:r>
    </w:p>
    <w:p>
      <w:pPr>
        <w:spacing w:after="0" w:line="202" w:lineRule="exact"/>
        <w:rPr>
          <w:sz w:val="20"/>
          <w:szCs w:val="20"/>
          <w:color w:val="auto"/>
        </w:rPr>
      </w:pPr>
    </w:p>
    <w:p>
      <w:pPr>
        <w:jc w:val="center"/>
        <w:ind w:right="-80"/>
        <w:spacing w:after="0"/>
        <w:tabs>
          <w:tab w:leader="none" w:pos="2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The following is added to the end of Section 2.05(b) of the Credit Agreement: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7" w:name="page48"/>
    <w:bookmarkEnd w:id="47"/>
    <w:p>
      <w:pPr>
        <w:ind w:left="200"/>
        <w:spacing w:after="0"/>
        <w:rPr>
          <w:sz w:val="20"/>
          <w:szCs w:val="20"/>
          <w:color w:val="auto"/>
        </w:rPr>
      </w:pPr>
      <w:r>
        <w:rPr>
          <w:rFonts w:ascii="Arial" w:cs="Arial" w:eastAsia="Arial" w:hAnsi="Arial"/>
          <w:sz w:val="22"/>
          <w:szCs w:val="22"/>
          <w:color w:val="auto"/>
        </w:rPr>
        <w:t>An Issuing Bank shall not be under any obligation to issue any Letter of Credit if:</w:t>
      </w:r>
    </w:p>
    <w:p>
      <w:pPr>
        <w:spacing w:after="0" w:line="234" w:lineRule="exact"/>
        <w:rPr>
          <w:sz w:val="20"/>
          <w:szCs w:val="20"/>
          <w:color w:val="auto"/>
        </w:rPr>
      </w:pPr>
    </w:p>
    <w:p>
      <w:pPr>
        <w:jc w:val="both"/>
        <w:ind w:left="200" w:right="219" w:firstLine="657"/>
        <w:spacing w:after="0" w:line="273" w:lineRule="auto"/>
        <w:tabs>
          <w:tab w:leader="none" w:pos="1496"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Issuing Bank from issuing such Letter of Credit, or any Requirement of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or</w:t>
      </w:r>
    </w:p>
    <w:p>
      <w:pPr>
        <w:spacing w:after="0" w:line="187" w:lineRule="exact"/>
        <w:rPr>
          <w:rFonts w:ascii="Arial" w:cs="Arial" w:eastAsia="Arial" w:hAnsi="Arial"/>
          <w:sz w:val="19"/>
          <w:szCs w:val="19"/>
          <w:color w:val="auto"/>
        </w:rPr>
      </w:pPr>
    </w:p>
    <w:p>
      <w:pPr>
        <w:ind w:left="200" w:right="219" w:firstLine="657"/>
        <w:spacing w:after="0" w:line="250" w:lineRule="auto"/>
        <w:tabs>
          <w:tab w:leader="none" w:pos="149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one or more policies of such Issuing Bank applicable to letters of credit generally.</w:t>
      </w:r>
    </w:p>
    <w:p>
      <w:pPr>
        <w:spacing w:after="0" w:line="202"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Section 2.10(c) of the Credit Agreement is restated as follows:</w:t>
      </w:r>
    </w:p>
    <w:p>
      <w:pPr>
        <w:spacing w:after="0" w:line="233" w:lineRule="exact"/>
        <w:rPr>
          <w:sz w:val="20"/>
          <w:szCs w:val="20"/>
          <w:color w:val="auto"/>
        </w:rPr>
      </w:pPr>
    </w:p>
    <w:p>
      <w:pPr>
        <w:jc w:val="both"/>
        <w:ind w:left="200" w:right="219" w:firstLine="657"/>
        <w:spacing w:after="0" w:line="245" w:lineRule="auto"/>
        <w:tabs>
          <w:tab w:leader="none" w:pos="1211"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 the event and on such occasion that the aggregate principal Dollar Equivalent of the Aggregate Revolving Credit Exposure (calculated, with respect to those Loans or Letters of Credit denominated in Foreign Currencies, as of the most recent Revaluation Date with respect to each such Loan or Letter of Credit, as applicable) exceeds (x) 103% of the Aggregate Commitments solely as a result of currency fluctuations, (y) the Aggregate Commitments other than as a result of currency fluctuations, including on any Exchange Rate Date, or (z) the aggregate Commitments on any Revaluation Date or the date any Loan is made or Letter of Credit issued, the Borrowers shall prepay the Aggregate Revolving Credit Exposure owing by such Borrowers in an aggregate amount equal to the amount by which the Aggregate Revolving Credit Exposure exceeds the Aggregate Commitments.</w:t>
      </w:r>
    </w:p>
    <w:p>
      <w:pPr>
        <w:spacing w:after="0" w:line="208"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Section 2.13 of the Credit Agreement is restated as follows:</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Alternate Rate of Interest</w:t>
      </w:r>
      <w:r>
        <w:rPr>
          <w:rFonts w:ascii="Arial" w:cs="Arial" w:eastAsia="Arial" w:hAnsi="Arial"/>
          <w:sz w:val="22"/>
          <w:szCs w:val="22"/>
          <w:color w:val="auto"/>
        </w:rPr>
        <w:t>.</w:t>
      </w:r>
    </w:p>
    <w:p>
      <w:pPr>
        <w:spacing w:after="0" w:line="233" w:lineRule="exact"/>
        <w:rPr>
          <w:sz w:val="20"/>
          <w:szCs w:val="20"/>
          <w:color w:val="auto"/>
        </w:rPr>
      </w:pPr>
    </w:p>
    <w:p>
      <w:pPr>
        <w:ind w:left="200" w:right="239" w:firstLine="711"/>
        <w:spacing w:after="0" w:line="250" w:lineRule="auto"/>
        <w:tabs>
          <w:tab w:leader="none" w:pos="1496"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Subject to clauses (b), (c), (d), (e), (f) and (g) of this Section 2.13, if prior to the commencement of any Interest Period for a Eurocurrency Borrowing:</w:t>
      </w:r>
    </w:p>
    <w:p>
      <w:pPr>
        <w:spacing w:after="0" w:line="201" w:lineRule="exact"/>
        <w:rPr>
          <w:rFonts w:ascii="Arial" w:cs="Arial" w:eastAsia="Arial" w:hAnsi="Arial"/>
          <w:sz w:val="22"/>
          <w:szCs w:val="22"/>
          <w:color w:val="auto"/>
        </w:rPr>
      </w:pPr>
    </w:p>
    <w:p>
      <w:pPr>
        <w:jc w:val="both"/>
        <w:ind w:left="200" w:right="219" w:firstLine="1305"/>
        <w:spacing w:after="0" w:line="282" w:lineRule="auto"/>
        <w:tabs>
          <w:tab w:leader="none" w:pos="2619"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absent manifest error) that adequate and reasonable means do not exist for ascertaining the Adjusted LIBO Rate or the LIBO Rate, as applicable (including because the Relevant Screen Rate is not available or published on a current basis), for the applicable Agreed Currency and such Interest Period, provided that no Benchmark Transition Event shall have occurred at such time; or</w:t>
      </w:r>
    </w:p>
    <w:p>
      <w:pPr>
        <w:spacing w:after="0" w:line="174" w:lineRule="exact"/>
        <w:rPr>
          <w:rFonts w:ascii="Arial" w:cs="Arial" w:eastAsia="Arial" w:hAnsi="Arial"/>
          <w:sz w:val="19"/>
          <w:szCs w:val="19"/>
          <w:color w:val="auto"/>
        </w:rPr>
      </w:pPr>
    </w:p>
    <w:p>
      <w:pPr>
        <w:jc w:val="both"/>
        <w:ind w:left="200" w:right="219" w:firstLine="1305"/>
        <w:spacing w:after="0" w:line="297" w:lineRule="auto"/>
        <w:tabs>
          <w:tab w:leader="none" w:pos="2462"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Administrative Agent is advised by the Required Lenders that the Adjusted LIBO Rate or the LIBO Rate, as applicable, for the applicable Agreed Currency and such Interest Period will not adequately and fairly reflect the cost to such Lenders (or Lender) of making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8" w:name="page49"/>
    <w:bookmarkEnd w:id="48"/>
    <w:p>
      <w:pPr>
        <w:jc w:val="both"/>
        <w:ind w:left="200" w:right="239"/>
        <w:spacing w:after="0" w:line="251" w:lineRule="auto"/>
        <w:rPr>
          <w:sz w:val="20"/>
          <w:szCs w:val="20"/>
          <w:color w:val="auto"/>
        </w:rPr>
      </w:pPr>
      <w:r>
        <w:rPr>
          <w:rFonts w:ascii="Arial" w:cs="Arial" w:eastAsia="Arial" w:hAnsi="Arial"/>
          <w:sz w:val="22"/>
          <w:szCs w:val="22"/>
          <w:color w:val="auto"/>
        </w:rPr>
        <w:t>or maintaining their Loans (or its Loan) included in such Borrowing for the applicable Agreed Currency and such Interest Period;</w:t>
      </w:r>
    </w:p>
    <w:p>
      <w:pPr>
        <w:spacing w:after="0" w:line="200"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color w:val="auto"/>
        </w:rPr>
        <w:t>then the Administrative Agent shall give notice thereof to the Company and the Lenders by telephone, telecopy or electronic mail (including through Electronic Systems pursuant to Section 9.01) as promptly as practicable thereafter and, until the Administrative Agent notifies the Company and the Lenders that the circumstances giving rise to such notice no longer exist, (A) any Interest Election Request that requests the conversion of any Borrowing to, or continuation of any Borrowing as, an affected Eurocurrency Borrowing shall be ineffective, (B) if any Borrowing Request requests an affected Eurocurrency Borrowing in Dollars or Canadian Dollars, such Borrowing shall be made as an ABR Borrowing and (C) if any Borrowing Request requests a Eurocurrency Borrowing in a Foreign Currency other than Canadian Dollars, then such request shall be ineffective; provided that if the circumstances giving rise to such notice affect only one Type of Borrowings, then the other Type of Borrowings shall be permitted. Furthermore, if any Eurocurrency Loan in any Agreed Currency is outstanding on the date of the Company’s receipt of the notice from the Administrative Agent referred to in this Section 2.13(a) with respect to a Relevant Rate applicable to such Eurocurrency Loan, then until the Administrative Agent notifies the Company and the Lenders that the circumstances giving rise to such notice no longer exist, (i) if such Eurocurrency Loan is denominated in Dollars or Canadian Dollars, then on the last day of the Interest Period applicable to such Loan (or the next succeeding Business Day if such day is not a Business Day), such Loan shall be converted by the Administrative Agent to, and shall constitute, an ABR Loan denominated in Dollars or Canadian Dollars, as applicable, on such day and (ii) if such Eurocurrency Loan is denominated in any Agreed Currency (other than Dollars or Canadian Dollars), then such Loan shall, on the last day of the Interest Period applicable to such Loan (or the next succeeding Business Day if such day is not a Business Day), at the Borrowers’ election prior to such day: (A) be prepaid by the Borrowers on such day or (B) solely for the purpose of calculating the interest rate applicable to such Eurocurrency Loan, such Eurocurrency Loan denominated in any Agreed Currency other than Dollars or Canadian Dollars shall be deemed to be a Eurocurrency Loan denominated in Dollars and shall accrue interest at the same interest rate applicable to Eurocurrency Loans denominated in Dollars at such time</w:t>
      </w:r>
    </w:p>
    <w:p>
      <w:pPr>
        <w:spacing w:after="0" w:line="200" w:lineRule="exact"/>
        <w:rPr>
          <w:sz w:val="20"/>
          <w:szCs w:val="20"/>
          <w:color w:val="auto"/>
        </w:rPr>
      </w:pPr>
    </w:p>
    <w:p>
      <w:pPr>
        <w:spacing w:after="0" w:line="237" w:lineRule="exact"/>
        <w:rPr>
          <w:sz w:val="20"/>
          <w:szCs w:val="20"/>
          <w:color w:val="auto"/>
        </w:rPr>
      </w:pPr>
    </w:p>
    <w:p>
      <w:pPr>
        <w:jc w:val="both"/>
        <w:ind w:left="200" w:right="219" w:firstLine="657"/>
        <w:spacing w:after="0" w:line="271" w:lineRule="auto"/>
        <w:tabs>
          <w:tab w:leader="none" w:pos="1496"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(and any Swap Agreement shall be deemed not to be a “Loan Document” for purposes of this Section 2.13),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in the case of a Benchmark Transition Event,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9" w:name="page50"/>
    <w:bookmarkEnd w:id="49"/>
    <w:p>
      <w:pPr>
        <w:jc w:val="both"/>
        <w:ind w:left="200" w:right="219"/>
        <w:spacing w:after="0" w:line="238" w:lineRule="auto"/>
        <w:rPr>
          <w:sz w:val="20"/>
          <w:szCs w:val="20"/>
          <w:color w:val="auto"/>
        </w:rPr>
      </w:pPr>
      <w:r>
        <w:rPr>
          <w:rFonts w:ascii="Arial" w:cs="Arial" w:eastAsia="Arial" w:hAnsi="Arial"/>
          <w:sz w:val="22"/>
          <w:szCs w:val="22"/>
          <w:color w:val="auto"/>
        </w:rPr>
        <w:t>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12" w:lineRule="exact"/>
        <w:rPr>
          <w:sz w:val="20"/>
          <w:szCs w:val="20"/>
          <w:color w:val="auto"/>
        </w:rPr>
      </w:pPr>
    </w:p>
    <w:p>
      <w:pPr>
        <w:jc w:val="both"/>
        <w:ind w:left="200" w:right="219" w:firstLine="657"/>
        <w:spacing w:after="0" w:line="270" w:lineRule="auto"/>
        <w:tabs>
          <w:tab w:leader="none" w:pos="1496"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and subject to the proviso below in this paragraph, (x) with respect to a Loan denominated in Dollars, if a Term SOFR Transition Event and its related Benchmark Replacement Date, (y) with respect to a Loan denominated in Euros, if a Term ESTR Transition Event and its related Benchmark Replacement Date, or (z) with respect to a Loan denominated in Japanese Yen, if a Term TONA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 shall not be effective unless the Administrative Agent has delivered to the Lenders and the Company a Term SOFR Notice, a Term ESTR Notice or a Term TONA Notice, as applicable. For the avoidance of doubt, the Administrative Agent shall not be required to deliver any (x) Term SOFR Notice after the occurrence of a Term SOFR Transition Event, (y) Term ESTR Notice after the occurrence of a Term ESTR Transition Event or (z) Term TONA Notice after the occurrence of a Term TONA Transition Event, and may do so in its sole discretion.</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left="200" w:right="219" w:firstLine="657"/>
        <w:spacing w:after="0" w:line="235" w:lineRule="auto"/>
        <w:tabs>
          <w:tab w:leader="none" w:pos="1496"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14" w:lineRule="exact"/>
        <w:rPr>
          <w:rFonts w:ascii="Arial" w:cs="Arial" w:eastAsia="Arial" w:hAnsi="Arial"/>
          <w:sz w:val="22"/>
          <w:szCs w:val="22"/>
          <w:color w:val="auto"/>
        </w:rPr>
      </w:pPr>
    </w:p>
    <w:p>
      <w:pPr>
        <w:jc w:val="both"/>
        <w:ind w:left="200" w:right="219" w:firstLine="657"/>
        <w:spacing w:after="0" w:line="244" w:lineRule="auto"/>
        <w:tabs>
          <w:tab w:leader="none" w:pos="1496"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Administrative Agent will promptly notify the Company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Section 2.13.</w:t>
      </w:r>
    </w:p>
    <w:p>
      <w:pPr>
        <w:spacing w:after="0" w:line="210" w:lineRule="exact"/>
        <w:rPr>
          <w:rFonts w:ascii="Arial" w:cs="Arial" w:eastAsia="Arial" w:hAnsi="Arial"/>
          <w:sz w:val="21"/>
          <w:szCs w:val="21"/>
          <w:color w:val="auto"/>
        </w:rPr>
      </w:pPr>
    </w:p>
    <w:p>
      <w:pPr>
        <w:ind w:left="200" w:right="219" w:firstLine="657"/>
        <w:spacing w:after="0" w:line="328" w:lineRule="auto"/>
        <w:tabs>
          <w:tab w:leader="none" w:pos="1496"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at any time (including in connection with the implementation of a Benchmark Replacement), (i) if</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0" w:name="page51"/>
    <w:bookmarkEnd w:id="50"/>
    <w:p>
      <w:pPr>
        <w:jc w:val="both"/>
        <w:ind w:left="200" w:right="219"/>
        <w:spacing w:after="0" w:line="271" w:lineRule="auto"/>
        <w:rPr>
          <w:sz w:val="20"/>
          <w:szCs w:val="20"/>
          <w:color w:val="auto"/>
        </w:rPr>
      </w:pPr>
      <w:r>
        <w:rPr>
          <w:rFonts w:ascii="Arial" w:cs="Arial" w:eastAsia="Arial" w:hAnsi="Arial"/>
          <w:sz w:val="19"/>
          <w:szCs w:val="19"/>
          <w:color w:val="auto"/>
        </w:rPr>
        <w:t>the then-current Benchmark is a term rate (including Term SOFR, Term ESTR, Term TONA, LIBO Rate, 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0" w:lineRule="exact"/>
        <w:rPr>
          <w:sz w:val="20"/>
          <w:szCs w:val="20"/>
          <w:color w:val="auto"/>
        </w:rPr>
      </w:pPr>
    </w:p>
    <w:p>
      <w:pPr>
        <w:spacing w:after="0" w:line="238" w:lineRule="exact"/>
        <w:rPr>
          <w:sz w:val="20"/>
          <w:szCs w:val="20"/>
          <w:color w:val="auto"/>
        </w:rPr>
      </w:pPr>
    </w:p>
    <w:p>
      <w:pPr>
        <w:jc w:val="both"/>
        <w:ind w:left="200" w:right="219" w:firstLine="657"/>
        <w:spacing w:after="0" w:line="269" w:lineRule="auto"/>
        <w:tabs>
          <w:tab w:leader="none" w:pos="1496" w:val="left"/>
        </w:tabs>
        <w:numPr>
          <w:ilvl w:val="0"/>
          <w:numId w:val="60"/>
        </w:numPr>
        <w:rPr>
          <w:rFonts w:ascii="Arial" w:cs="Arial" w:eastAsia="Arial" w:hAnsi="Arial"/>
          <w:sz w:val="19"/>
          <w:szCs w:val="19"/>
          <w:color w:val="auto"/>
        </w:rPr>
      </w:pPr>
      <w:r>
        <w:rPr>
          <w:rFonts w:ascii="Arial" w:cs="Arial" w:eastAsia="Arial" w:hAnsi="Arial"/>
          <w:sz w:val="19"/>
          <w:szCs w:val="19"/>
          <w:color w:val="auto"/>
        </w:rPr>
        <w:t>Upon the Company’s receipt of notice of the commencement of a Benchmark Unavailability Period, the Borrowers may revoke any request for a Eurocurrency Borrowing of, conversion to or continuation of Eurocurrency Loans to be made, converted or continued during any Benchmark Unavailability Period and, failing that, either (x) the Borrowers will be deemed to have converted any request for a Eurocurrency Borrowing denominated in Dollars or Canadian Dollars, as applicable, into a request for a Borrowing of or conversion to ABR Loans or (y) any Eurocurrency Borrowing denominated in a Foreign Currency other than Canadian Dollars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Eurocurrency Loan in any Agreed Currency is outstanding on the date of the Company’s receipt of notice of the commencement of a Benchmark Unavailability Period with respect to a Relevant Rate applicable to such Eurocurrency Loan, then until such time as a Benchmark Replacement for such Agreed Currency is implemented pursuant to this Section 2.13, (i) if such Eurocurrency Loan is denominated in Dollars or Canadian Dollars, then on the last day of the Interest Period applicable to such Loan (or the next succeeding Business Day if such day is not a Business Day), such Loan shall be converted by the Administrative Agent to, and shall constitute, an ABR Loan denominated in Dollars or Canadian Dollars, as applicable, on such day or (ii) if such Eurocurrency Loan is denominated in any Agreed Currency (other than Dollars or Canadian Dollars), then such Loan shall, on the last day of the Interest Period applicable to such Loan (or the next succeeding Business Day if such day is not a Business Day), at the Borrowers’ election prior to such day: (A) be prepaid by the Borrowers on such day or (B) solely for the purpose of calculating the interest rate applicable to such Eurocurrency Loan, such Eurocurrency Loan denominated in any Agreed Currency other than Dollars or Canadian Dollars shall be deemed to be a Eurocurrency Loan denominated in Dollars and shall accrue interest at the same interest rate applicable to Eurocurrency Loans denominated in Dollars at such time.</w:t>
      </w:r>
    </w:p>
    <w:p>
      <w:pPr>
        <w:spacing w:after="0" w:line="194" w:lineRule="exact"/>
        <w:rPr>
          <w:sz w:val="20"/>
          <w:szCs w:val="20"/>
          <w:color w:val="auto"/>
        </w:rPr>
      </w:pPr>
    </w:p>
    <w:p>
      <w:pPr>
        <w:ind w:left="200" w:right="219" w:firstLine="648"/>
        <w:spacing w:after="0" w:line="274" w:lineRule="auto"/>
        <w:rPr>
          <w:sz w:val="20"/>
          <w:szCs w:val="20"/>
          <w:color w:val="auto"/>
        </w:rPr>
      </w:pPr>
      <w:r>
        <w:rPr>
          <w:rFonts w:ascii="Arial" w:cs="Arial" w:eastAsia="Arial" w:hAnsi="Arial"/>
          <w:sz w:val="21"/>
          <w:szCs w:val="21"/>
          <w:color w:val="auto"/>
        </w:rPr>
        <w:t>1.13 Clause (g) of Section 5.01 of the Credit Agreement is redesignated as clause (h) and the following new clause (g) is added to Section 5.01 of the Credit Agreement: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jc w:val="both"/>
        <w:ind w:left="200" w:right="219" w:firstLine="657"/>
        <w:spacing w:after="0" w:line="249" w:lineRule="auto"/>
        <w:tabs>
          <w:tab w:leader="none" w:pos="1301" w:val="left"/>
        </w:tabs>
        <w:numPr>
          <w:ilvl w:val="0"/>
          <w:numId w:val="61"/>
        </w:numPr>
        <w:rPr>
          <w:rFonts w:ascii="Arial" w:cs="Arial" w:eastAsia="Arial" w:hAnsi="Arial"/>
          <w:sz w:val="21"/>
          <w:szCs w:val="21"/>
          <w:color w:val="auto"/>
        </w:rPr>
      </w:pPr>
      <w:r>
        <w:rPr>
          <w:rFonts w:ascii="Arial" w:cs="Arial" w:eastAsia="Arial" w:hAnsi="Arial"/>
          <w:sz w:val="21"/>
          <w:szCs w:val="21"/>
          <w:color w:val="auto"/>
        </w:rPr>
        <w:t>beginning with the fiscal year ending December 31, 2021, 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 and</w:t>
      </w:r>
    </w:p>
    <w:p>
      <w:pPr>
        <w:spacing w:after="0" w:line="206" w:lineRule="exact"/>
        <w:rPr>
          <w:sz w:val="20"/>
          <w:szCs w:val="20"/>
          <w:color w:val="auto"/>
        </w:rPr>
      </w:pPr>
    </w:p>
    <w:p>
      <w:pPr>
        <w:ind w:left="200" w:right="219" w:firstLine="648"/>
        <w:spacing w:after="0" w:line="274" w:lineRule="auto"/>
        <w:rPr>
          <w:sz w:val="20"/>
          <w:szCs w:val="20"/>
          <w:color w:val="auto"/>
        </w:rPr>
      </w:pPr>
      <w:r>
        <w:rPr>
          <w:rFonts w:ascii="Arial" w:cs="Arial" w:eastAsia="Arial" w:hAnsi="Arial"/>
          <w:sz w:val="21"/>
          <w:szCs w:val="21"/>
          <w:color w:val="auto"/>
        </w:rPr>
        <w:t>1.14 Clause (g) of Section 5.02 of the Credit Agreement is redesignated as clause (h) and the following new clause (g) is added to Section 5.02 of the Credit Agreement</w:t>
      </w:r>
    </w:p>
    <w:p>
      <w:pPr>
        <w:spacing w:after="0" w:line="178" w:lineRule="exact"/>
        <w:rPr>
          <w:sz w:val="20"/>
          <w:szCs w:val="20"/>
          <w:color w:val="auto"/>
        </w:rPr>
      </w:pPr>
    </w:p>
    <w:p>
      <w:pPr>
        <w:ind w:left="200" w:right="219" w:firstLine="657"/>
        <w:spacing w:after="0" w:line="250" w:lineRule="auto"/>
        <w:tabs>
          <w:tab w:leader="none" w:pos="1496"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material change in accounting or financial reporting practices by any Borrower or any Subsidiary; and</w:t>
      </w:r>
    </w:p>
    <w:p>
      <w:pPr>
        <w:spacing w:after="0" w:line="202"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The following new Section 5.10 is added to the Credit Agreement:</w:t>
      </w:r>
    </w:p>
    <w:p>
      <w:pPr>
        <w:spacing w:after="0" w:line="233"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u w:val="single" w:color="auto"/>
          <w:color w:val="auto"/>
        </w:rPr>
        <w:t>Accuracy of Information</w:t>
      </w:r>
      <w:r>
        <w:rPr>
          <w:rFonts w:ascii="Arial" w:cs="Arial" w:eastAsia="Arial" w:hAnsi="Arial"/>
          <w:sz w:val="21"/>
          <w:szCs w:val="21"/>
          <w:color w:val="auto"/>
        </w:rPr>
        <w:t>. The Company will, and will cause each of its Restricted Subsidiaries to, ensure that any information, including financial statements or other documents, furnished to the Administrative Agent or the Lenders in connection with this Agreement or any amendment or modification hereof or waiver 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Company on the date thereof as to the matters specified in this Section.</w:t>
      </w:r>
    </w:p>
    <w:p>
      <w:pPr>
        <w:spacing w:after="0" w:line="207"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1.16 The reference in Section 9.02(b) of the Credit Agreement to “Section 2.13(e) and Section 9.02(c) below” is replaced with a reference to “Section 2.13(b), (c) and (d) and Section 9.02(c) below”.</w:t>
      </w:r>
    </w:p>
    <w:p>
      <w:pPr>
        <w:spacing w:after="0" w:line="21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Section 9.19 of the Credit Agreement is restated as follows:</w:t>
      </w:r>
    </w:p>
    <w:p>
      <w:pPr>
        <w:spacing w:after="0" w:line="233"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u w:val="single" w:color="auto"/>
          <w:color w:val="auto"/>
        </w:rPr>
        <w:t>Acknowledgement and Consent to Bail-In of Affected Financial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jc w:val="both"/>
        <w:ind w:left="200" w:right="239" w:firstLine="657"/>
        <w:spacing w:after="0"/>
        <w:tabs>
          <w:tab w:leader="none" w:pos="149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13" w:lineRule="exact"/>
        <w:rPr>
          <w:rFonts w:ascii="Arial" w:cs="Arial" w:eastAsia="Arial" w:hAnsi="Arial"/>
          <w:sz w:val="22"/>
          <w:szCs w:val="22"/>
          <w:color w:val="auto"/>
        </w:rPr>
      </w:pPr>
    </w:p>
    <w:p>
      <w:pPr>
        <w:ind w:left="1500" w:hanging="643"/>
        <w:spacing w:after="0"/>
        <w:tabs>
          <w:tab w:leader="none" w:pos="15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244" w:lineRule="exact"/>
        <w:rPr>
          <w:rFonts w:ascii="Arial" w:cs="Arial" w:eastAsia="Arial" w:hAnsi="Arial"/>
          <w:sz w:val="21"/>
          <w:szCs w:val="21"/>
          <w:color w:val="auto"/>
        </w:rPr>
      </w:pPr>
    </w:p>
    <w:p>
      <w:pPr>
        <w:ind w:left="2160" w:hanging="655"/>
        <w:spacing w:after="0"/>
        <w:tabs>
          <w:tab w:leader="none" w:pos="21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ind w:left="200" w:right="219" w:firstLine="1305"/>
        <w:spacing w:after="0" w:line="274" w:lineRule="auto"/>
        <w:tabs>
          <w:tab w:leader="none" w:pos="2144" w:val="left"/>
        </w:tabs>
        <w:numPr>
          <w:ilvl w:val="1"/>
          <w:numId w:val="63"/>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entity, or a bridge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p>
      <w:pPr>
        <w:jc w:val="both"/>
        <w:ind w:left="200" w:right="219"/>
        <w:spacing w:after="0" w:line="241" w:lineRule="auto"/>
        <w:rPr>
          <w:sz w:val="20"/>
          <w:szCs w:val="20"/>
          <w:color w:val="auto"/>
        </w:rPr>
      </w:pPr>
      <w:r>
        <w:rPr>
          <w:rFonts w:ascii="Arial" w:cs="Arial" w:eastAsia="Arial" w:hAnsi="Arial"/>
          <w:sz w:val="22"/>
          <w:szCs w:val="22"/>
          <w:color w:val="auto"/>
        </w:rPr>
        <w:t>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1" w:lineRule="exact"/>
        <w:rPr>
          <w:sz w:val="20"/>
          <w:szCs w:val="20"/>
          <w:color w:val="auto"/>
        </w:rPr>
      </w:pPr>
    </w:p>
    <w:p>
      <w:pPr>
        <w:ind w:left="2160" w:hanging="655"/>
        <w:spacing w:after="0"/>
        <w:tabs>
          <w:tab w:leader="none" w:pos="21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Write-Down  and Conversion Powers of the applicable Resolution Authority.</w:t>
      </w:r>
    </w:p>
    <w:p>
      <w:pPr>
        <w:spacing w:after="0" w:line="21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The following new Section 9.22 is added to the Credit Agreement:</w:t>
      </w:r>
    </w:p>
    <w:p>
      <w:pPr>
        <w:spacing w:after="0" w:line="233"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1"/>
          <w:szCs w:val="21"/>
          <w:color w:val="auto"/>
        </w:rPr>
        <w:t xml:space="preserve">SECTION 9.22 </w:t>
      </w:r>
      <w:r>
        <w:rPr>
          <w:rFonts w:ascii="Arial" w:cs="Arial" w:eastAsia="Arial" w:hAnsi="Arial"/>
          <w:sz w:val="21"/>
          <w:szCs w:val="21"/>
          <w:u w:val="single" w:color="auto"/>
          <w:color w:val="auto"/>
        </w:rPr>
        <w:t>Acknowledgement Regarding Any Supported QFCs</w:t>
      </w:r>
      <w:r>
        <w:rPr>
          <w:rFonts w:ascii="Arial" w:cs="Arial" w:eastAsia="Arial" w:hAnsi="Arial"/>
          <w:sz w:val="21"/>
          <w:szCs w:val="21"/>
          <w:color w:val="auto"/>
        </w:rPr>
        <w:t>. To the extent that the Loan Documents provide support, through a guarantee or otherwise, for Swap Agreements or any other agreement or instrument that is a QFC (such support “</w:t>
      </w:r>
      <w:r>
        <w:rPr>
          <w:rFonts w:ascii="Arial" w:cs="Arial" w:eastAsia="Arial" w:hAnsi="Arial"/>
          <w:sz w:val="21"/>
          <w:szCs w:val="21"/>
          <w:u w:val="single" w:color="auto"/>
          <w:color w:val="auto"/>
        </w:rPr>
        <w:t>QFC Credit Support</w:t>
      </w:r>
      <w:r>
        <w:rPr>
          <w:rFonts w:ascii="Arial" w:cs="Arial" w:eastAsia="Arial" w:hAnsi="Arial"/>
          <w:sz w:val="21"/>
          <w:szCs w:val="21"/>
          <w:color w:val="auto"/>
        </w:rPr>
        <w:t>” and each such QFC a “</w:t>
      </w:r>
      <w:r>
        <w:rPr>
          <w:rFonts w:ascii="Arial" w:cs="Arial" w:eastAsia="Arial" w:hAnsi="Arial"/>
          <w:sz w:val="21"/>
          <w:szCs w:val="21"/>
          <w:u w:val="single" w:color="auto"/>
          <w:color w:val="auto"/>
        </w:rPr>
        <w:t>Supported QFC</w:t>
      </w:r>
      <w:r>
        <w:rPr>
          <w:rFonts w:ascii="Arial" w:cs="Arial" w:eastAsia="Arial" w:hAnsi="Arial"/>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1"/>
          <w:szCs w:val="21"/>
          <w:u w:val="single" w:color="auto"/>
          <w:color w:val="auto"/>
        </w:rPr>
        <w:t>U.S. Special Resolution Regimes</w:t>
      </w:r>
      <w:r>
        <w:rPr>
          <w:rFonts w:ascii="Arial" w:cs="Arial" w:eastAsia="Arial" w:hAnsi="Arial"/>
          <w:sz w:val="21"/>
          <w:szCs w:val="21"/>
          <w:color w:val="auto"/>
        </w:rPr>
        <w:t>”) in respect of such Supported QFC and QFC Credit Support (with the provisions below applicable notwithstanding that the Loan Documents and any Supported QFC may in fact be stated to be governed by the laws of the State of Michigan and/or of the United States or any other state of the United States):</w:t>
      </w:r>
    </w:p>
    <w:p>
      <w:pPr>
        <w:spacing w:after="0" w:line="2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5"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1.19 Schedules 2.05, 2.23, 3.06, 6.02, 6.04, and 6.08 to the Credit Agreement are replaced with the corresponding Schedules attached hereto.</w:t>
      </w:r>
    </w:p>
    <w:p>
      <w:pPr>
        <w:spacing w:after="0" w:line="20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 xml:space="preserve">ARTICLE II. </w:t>
      </w:r>
      <w:r>
        <w:rPr>
          <w:rFonts w:ascii="Arial" w:cs="Arial" w:eastAsia="Arial" w:hAnsi="Arial"/>
          <w:sz w:val="22"/>
          <w:szCs w:val="22"/>
          <w:u w:val="single" w:color="auto"/>
          <w:color w:val="auto"/>
        </w:rPr>
        <w:t>REPRESENTATIONS</w:t>
      </w:r>
      <w:r>
        <w:rPr>
          <w:rFonts w:ascii="Arial" w:cs="Arial" w:eastAsia="Arial" w:hAnsi="Arial"/>
          <w:sz w:val="22"/>
          <w:szCs w:val="22"/>
          <w:color w:val="auto"/>
        </w:rPr>
        <w:t>. Each of the Borrowers represents, warrants, and acknowledges to the Administrative Agent and the Lenders that: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jc w:val="both"/>
        <w:ind w:left="200" w:right="219" w:firstLine="648"/>
        <w:spacing w:after="0" w:line="235" w:lineRule="auto"/>
        <w:rPr>
          <w:sz w:val="20"/>
          <w:szCs w:val="20"/>
          <w:color w:val="auto"/>
        </w:rPr>
      </w:pPr>
      <w:r>
        <w:rPr>
          <w:rFonts w:ascii="Arial" w:cs="Arial" w:eastAsia="Arial" w:hAnsi="Arial"/>
          <w:sz w:val="22"/>
          <w:szCs w:val="22"/>
          <w:color w:val="auto"/>
        </w:rPr>
        <w:t>2.1 The execution, delivery and performance of this Amendment are within its powers, have been duly authorized by existing board resolutions or other necessary company and corporate action, as applicable, and are not in contravention of any statute, law or regulation or of any terms of its operating agreement, articles of incorporation, certificate of incorporation, by-laws or other charter documents, or of any material agreement or undertaking to which it is a party or by which it is bound.</w:t>
      </w:r>
    </w:p>
    <w:p>
      <w:pPr>
        <w:spacing w:after="0" w:line="215"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2.2 This Amendment is the legal, valid and binding obligation of it, enforceable against it in accordance with the terms hereof, except as enforceability may be limited by bankruptcy, insolvency or similar laws affecting the enforcement of creditors' rights generally and by general principles of equity.</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2.3 Immediately before and after giving effect to the amendments contained herein, the representations and warranties contained in Article III of the Credit Agreement are true and correct in all material respects on and as of the date hereof with the same force and effect as if made on and as of the date hereof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79"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2.4 Immediately after giving effect to the amendments contained herein, no Default exists or has occurred and is continuing on the date hereof.</w:t>
      </w:r>
    </w:p>
    <w:p>
      <w:pPr>
        <w:spacing w:after="0" w:line="20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2.5 Upon giving effect to the Increase Agreement, the Borrowers shall not be entitled to any additional increase in the Aggregate Commitments under Section 2.08 of the Credit Agreement, the entire increase permitted under Section 2.08(d)(iii) of the Credit Agreement being used in connection with the Increase Agreement.</w:t>
      </w:r>
    </w:p>
    <w:p>
      <w:pPr>
        <w:spacing w:after="0" w:line="212"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 xml:space="preserve">ARTICLE III. </w:t>
      </w:r>
      <w:r>
        <w:rPr>
          <w:rFonts w:ascii="Arial" w:cs="Arial" w:eastAsia="Arial" w:hAnsi="Arial"/>
          <w:sz w:val="22"/>
          <w:szCs w:val="22"/>
          <w:u w:val="single" w:color="auto"/>
          <w:color w:val="auto"/>
        </w:rPr>
        <w:t>CONDITIONS OF EFFECTIVENESS</w:t>
      </w:r>
      <w:r>
        <w:rPr>
          <w:rFonts w:ascii="Arial" w:cs="Arial" w:eastAsia="Arial" w:hAnsi="Arial"/>
          <w:sz w:val="22"/>
          <w:szCs w:val="22"/>
          <w:color w:val="auto"/>
        </w:rPr>
        <w:t>. This Amendment shall become effective when all of the following conditions have been satisfied:</w:t>
      </w:r>
    </w:p>
    <w:p>
      <w:pPr>
        <w:spacing w:after="0" w:line="202" w:lineRule="exact"/>
        <w:rPr>
          <w:sz w:val="20"/>
          <w:szCs w:val="20"/>
          <w:color w:val="auto"/>
        </w:rPr>
      </w:pPr>
    </w:p>
    <w:p>
      <w:pPr>
        <w:jc w:val="both"/>
        <w:ind w:left="200" w:right="239" w:firstLine="648"/>
        <w:spacing w:after="0" w:line="328" w:lineRule="auto"/>
        <w:rPr>
          <w:sz w:val="20"/>
          <w:szCs w:val="20"/>
          <w:color w:val="auto"/>
        </w:rPr>
      </w:pPr>
      <w:r>
        <w:rPr>
          <w:rFonts w:ascii="Arial" w:cs="Arial" w:eastAsia="Arial" w:hAnsi="Arial"/>
          <w:sz w:val="19"/>
          <w:szCs w:val="19"/>
          <w:color w:val="auto"/>
        </w:rPr>
        <w:t>3.1 The Borrowers, the Lenders and the Administrative Agent shall have executed this Amendment and the Guarantors shall have executed the Consent and Agreement hereto.</w:t>
      </w:r>
    </w:p>
    <w:p>
      <w:pPr>
        <w:spacing w:after="0" w:line="13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3.2 The Borrowers, the Lenders and the Administrative Agent shall have executed the Increase Agreement.</w:t>
      </w:r>
    </w:p>
    <w:p>
      <w:pPr>
        <w:spacing w:after="0" w:line="20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3.3 The Administrative Agent shall have received all fees required to be paid by the Company in connection with this Amendment and the Increase Agreement.</w:t>
      </w:r>
    </w:p>
    <w:p>
      <w:pPr>
        <w:spacing w:after="0" w:line="202"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3.4 The Administrative Agent shall have received and be reasonably satisfied with such other documents, and the Loan Parties shall have satisfied such other conditions, as disclosed on the closing list delivered to the Company prior to the date hereof, including closing certificates, the joinder documents, and an opinion of the Loan Parties’ counsel, each satisfactory in form and substance to the Administrative Agent.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 w:name="page55"/>
    <w:bookmarkEnd w:id="54"/>
    <w:p>
      <w:pPr>
        <w:ind w:left="860"/>
        <w:spacing w:after="0"/>
        <w:rPr>
          <w:sz w:val="20"/>
          <w:szCs w:val="20"/>
          <w:color w:val="auto"/>
        </w:rPr>
      </w:pPr>
      <w:r>
        <w:rPr>
          <w:rFonts w:ascii="Arial" w:cs="Arial" w:eastAsia="Arial" w:hAnsi="Arial"/>
          <w:sz w:val="22"/>
          <w:szCs w:val="22"/>
          <w:color w:val="auto"/>
        </w:rPr>
        <w:t xml:space="preserve">ARTICLE IV.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4" w:lineRule="exact"/>
        <w:rPr>
          <w:sz w:val="20"/>
          <w:szCs w:val="20"/>
          <w:color w:val="auto"/>
        </w:rPr>
      </w:pPr>
    </w:p>
    <w:p>
      <w:pPr>
        <w:jc w:val="both"/>
        <w:ind w:left="200" w:right="239" w:firstLine="648"/>
        <w:spacing w:after="0" w:line="297" w:lineRule="auto"/>
        <w:rPr>
          <w:sz w:val="20"/>
          <w:szCs w:val="20"/>
          <w:color w:val="auto"/>
        </w:rPr>
      </w:pPr>
      <w:r>
        <w:rPr>
          <w:rFonts w:ascii="Arial" w:cs="Arial" w:eastAsia="Arial" w:hAnsi="Arial"/>
          <w:sz w:val="19"/>
          <w:szCs w:val="19"/>
          <w:color w:val="auto"/>
        </w:rPr>
        <w:t>4.1 References in the Credit Agreement or in any other Loan Document to the Credit Agreement shall be deemed to be references to the Credit Agreement as amended hereby and as further amended from time to time. This Amendment shall constitute a Loan Document.</w:t>
      </w:r>
    </w:p>
    <w:p>
      <w:pPr>
        <w:spacing w:after="0" w:line="161"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4.2 Without limiting any amounts payable under the Loan Documents, the Loan Parties, jointly and severally, agree to pay all reasonable and documented out of pocket expenses, including the reasonable fees, charges and disbursements of counsel, of the Administrative Agent in connection with this Amendment and the transaction in connection herewith.</w:t>
      </w:r>
    </w:p>
    <w:p>
      <w:pPr>
        <w:spacing w:after="0" w:line="170"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4.3 Except as expressly amended hereby, each of the Loan Parties agrees that the Credit Agreement and the other Loan Documents are ratified and confirmed, as amended hereby, and shall remain in full force and effect in accordance with their terms and that they are not aware of any set off, counterclaim, defense or other claim or dispute with respect to any of the foregoing. The execution, delivery and effectiveness of this Amendment shall not operate as a waiver of any right, power or remedy of any Lender or the Administrative Agent under any of the Loan Documents, nor constitute a waiver of any provision of any of the Loan Documents. Nothing herein shall be deemed to entitle any Loan Party to any future consent to, or waiver, amendment, modification or other change of, any of the terms, conditions, obligations, covenants or agreements contained in the Credit Agreement or any other Loan Document in similar or different circumstances. The Loan Parties acknowledge and agree that, without limiting the terms of any Loan Documents, all Secured Obligations are unconditionally owing by the Loan Parties and their applicable Subsidiaries without setoff, recoupment, defense, or counterclaim, in law or in equity, of any kind or character, and all Secured Obligations are and will continue to be secured by valid, perfected, indefeasible Liens in, among other things, the Collateral, as applicable, and each of the Loan Parties reaffirms its obligations and duties under the Loan Documents and the Liens in the Collateral that it granted to Administrative Agent under the Loan Documents, as applicable, to secure the Secured Obligations.</w:t>
      </w:r>
    </w:p>
    <w:p>
      <w:pPr>
        <w:spacing w:after="0" w:line="200" w:lineRule="exact"/>
        <w:rPr>
          <w:sz w:val="20"/>
          <w:szCs w:val="20"/>
          <w:color w:val="auto"/>
        </w:rPr>
      </w:pPr>
    </w:p>
    <w:p>
      <w:pPr>
        <w:spacing w:after="0" w:line="238"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4.4 Each Loan Party represents and warrants that it is not aware of any claims or causes of action against any Lender, the Administrative Agent or any of their respective affiliates, successors or assigns, it has not assigned any claim, set off, or defense with respect to the Secured Obligations, the Administrative Agent, any Lender, or the Loan Documents and that it has no defenses, offsets or counterclaims with respect to the Secured Obligations. Notwithstanding this representation and as further consideration for the agreements and understandings herein, each Loan Party, on behalf of itself and its employees, agents, executors, heirs, successors and assigns (the “</w:t>
      </w:r>
      <w:r>
        <w:rPr>
          <w:rFonts w:ascii="Arial" w:cs="Arial" w:eastAsia="Arial" w:hAnsi="Arial"/>
          <w:sz w:val="19"/>
          <w:szCs w:val="19"/>
          <w:u w:val="single" w:color="auto"/>
          <w:color w:val="auto"/>
        </w:rPr>
        <w:t>Releasing Parties</w:t>
      </w:r>
      <w:r>
        <w:rPr>
          <w:rFonts w:ascii="Arial" w:cs="Arial" w:eastAsia="Arial" w:hAnsi="Arial"/>
          <w:sz w:val="19"/>
          <w:szCs w:val="19"/>
          <w:color w:val="auto"/>
        </w:rPr>
        <w:t>”), hereby releases each Lender, the Administrative Agent and their respective predecessors, officers, directors, employees, agents, attorneys, affiliates, subsidiaries, successors and assigns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liability, claim, right or cause of action which now exists or hereafter arises as a result of acts, omissions or events occurring on or prior to the date hereof, whether known or unknown, arising from or in any way related to the Credit Agreement, the other Loan Documents, all transactions relating to the Credit Agreement or any of the other Loan Documents or the business relationship among, or any other transactions or dealings among, the Releasing Parties or any of them and the Released Parties or any of them relating to the Credit Agreement or any of the other Loan Documents.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jc w:val="both"/>
        <w:ind w:left="200" w:right="219" w:firstLine="648"/>
        <w:spacing w:after="0"/>
        <w:rPr>
          <w:sz w:val="20"/>
          <w:szCs w:val="20"/>
          <w:color w:val="auto"/>
        </w:rPr>
      </w:pPr>
      <w:r>
        <w:rPr>
          <w:rFonts w:ascii="Arial" w:cs="Arial" w:eastAsia="Arial" w:hAnsi="Arial"/>
          <w:sz w:val="22"/>
          <w:szCs w:val="22"/>
          <w:color w:val="auto"/>
        </w:rPr>
        <w:t>4.5 This Amendment may be signed upon any number of counterparts with the same effect as if the signatures thereto and hereto were upon the same instrument, and signatures sent by telecopy or other electronic imaging shall be effective as originals.</w:t>
      </w:r>
    </w:p>
    <w:p>
      <w:pPr>
        <w:spacing w:after="0" w:line="213"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4.6 This Amendment shall be governed by, and construed in accordance with, the laws of the State of Michigan.</w:t>
      </w:r>
    </w:p>
    <w:p>
      <w:pPr>
        <w:spacing w:after="0" w:line="20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4.7 Any provision of this Amendment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56" w:name="page57"/>
    <w:bookmarkEnd w:id="56"/>
    <w:p>
      <w:pPr>
        <w:ind w:left="200" w:right="239" w:firstLine="648"/>
        <w:spacing w:after="0" w:line="251" w:lineRule="auto"/>
        <w:rPr>
          <w:sz w:val="20"/>
          <w:szCs w:val="20"/>
          <w:color w:val="auto"/>
        </w:rPr>
      </w:pPr>
      <w:r>
        <w:rPr>
          <w:rFonts w:ascii="Arial" w:cs="Arial" w:eastAsia="Arial" w:hAnsi="Arial"/>
          <w:sz w:val="22"/>
          <w:szCs w:val="22"/>
          <w:color w:val="auto"/>
        </w:rPr>
        <w:t>IN WITNESS WHEREOF, the parties hereto have executed this Amendment as of the date first above written.</w:t>
      </w:r>
    </w:p>
    <w:p>
      <w:pPr>
        <w:spacing w:after="0" w:line="200" w:lineRule="exact"/>
        <w:rPr>
          <w:sz w:val="20"/>
          <w:szCs w:val="20"/>
          <w:color w:val="auto"/>
        </w:rPr>
      </w:pPr>
    </w:p>
    <w:p>
      <w:pPr>
        <w:spacing w:after="0" w:line="24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UFP INDUSTRIES, INC., f/k/a Universal Forest</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Products, Inc., as Company and a Borrower</w:t>
      </w:r>
    </w:p>
    <w:p>
      <w:pPr>
        <w:spacing w:after="0" w:line="200" w:lineRule="exact"/>
        <w:rPr>
          <w:sz w:val="20"/>
          <w:szCs w:val="20"/>
          <w:color w:val="auto"/>
        </w:rPr>
      </w:pPr>
    </w:p>
    <w:p>
      <w:pPr>
        <w:spacing w:after="0" w:line="2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_________________________</w:t>
      </w:r>
    </w:p>
    <w:p>
      <w:pPr>
        <w:ind w:left="4100"/>
        <w:spacing w:after="0" w:line="238" w:lineRule="auto"/>
        <w:rPr>
          <w:sz w:val="20"/>
          <w:szCs w:val="20"/>
          <w:color w:val="auto"/>
        </w:rPr>
      </w:pPr>
      <w:r>
        <w:rPr>
          <w:rFonts w:ascii="Arial" w:cs="Arial" w:eastAsia="Arial" w:hAnsi="Arial"/>
          <w:sz w:val="22"/>
          <w:szCs w:val="22"/>
          <w:color w:val="auto"/>
        </w:rPr>
        <w:t>Name: Michael R. Cole</w:t>
      </w:r>
    </w:p>
    <w:p>
      <w:pPr>
        <w:ind w:left="41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UFP CANADA, INC., as a Foreign Subsidiary</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Borrower</w:t>
      </w:r>
    </w:p>
    <w:p>
      <w:pPr>
        <w:spacing w:after="0" w:line="200" w:lineRule="exact"/>
        <w:rPr>
          <w:sz w:val="20"/>
          <w:szCs w:val="20"/>
          <w:color w:val="auto"/>
        </w:rPr>
      </w:pPr>
    </w:p>
    <w:p>
      <w:pPr>
        <w:spacing w:after="0" w:line="2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_________________________</w:t>
      </w:r>
    </w:p>
    <w:p>
      <w:pPr>
        <w:ind w:left="4100"/>
        <w:spacing w:after="0" w:line="238" w:lineRule="auto"/>
        <w:rPr>
          <w:sz w:val="20"/>
          <w:szCs w:val="20"/>
          <w:color w:val="auto"/>
        </w:rPr>
      </w:pPr>
      <w:r>
        <w:rPr>
          <w:rFonts w:ascii="Arial" w:cs="Arial" w:eastAsia="Arial" w:hAnsi="Arial"/>
          <w:sz w:val="22"/>
          <w:szCs w:val="22"/>
          <w:color w:val="auto"/>
        </w:rPr>
        <w:t>Name: Michael R. Cole</w:t>
      </w:r>
    </w:p>
    <w:p>
      <w:pPr>
        <w:ind w:left="410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UFP AUSTRALIA PTY LTD., as a Foreign</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Subsidiary Borrower</w:t>
      </w:r>
    </w:p>
    <w:p>
      <w:pPr>
        <w:spacing w:after="0" w:line="200" w:lineRule="exact"/>
        <w:rPr>
          <w:sz w:val="20"/>
          <w:szCs w:val="20"/>
          <w:color w:val="auto"/>
        </w:rPr>
      </w:pPr>
    </w:p>
    <w:p>
      <w:pPr>
        <w:spacing w:after="0" w:line="2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_________________________</w:t>
      </w:r>
    </w:p>
    <w:p>
      <w:pPr>
        <w:ind w:left="4100"/>
        <w:spacing w:after="0" w:line="238" w:lineRule="auto"/>
        <w:rPr>
          <w:sz w:val="20"/>
          <w:szCs w:val="20"/>
          <w:color w:val="auto"/>
        </w:rPr>
      </w:pPr>
      <w:r>
        <w:rPr>
          <w:rFonts w:ascii="Arial" w:cs="Arial" w:eastAsia="Arial" w:hAnsi="Arial"/>
          <w:sz w:val="22"/>
          <w:szCs w:val="22"/>
          <w:color w:val="auto"/>
        </w:rPr>
        <w:t>Name: Michael R. Cole</w:t>
      </w:r>
    </w:p>
    <w:p>
      <w:pPr>
        <w:ind w:left="410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 to UFPI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ind w:left="4100"/>
        <w:spacing w:after="0"/>
        <w:rPr>
          <w:sz w:val="20"/>
          <w:szCs w:val="20"/>
          <w:color w:val="auto"/>
        </w:rPr>
      </w:pPr>
      <w:r>
        <w:rPr>
          <w:rFonts w:ascii="Arial" w:cs="Arial" w:eastAsia="Arial" w:hAnsi="Arial"/>
          <w:sz w:val="21"/>
          <w:szCs w:val="21"/>
          <w:color w:val="auto"/>
        </w:rPr>
        <w:t>JPMORGAN CHASE BANK, N.A., as a Lender</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and as Administrative Agent</w:t>
      </w:r>
    </w:p>
    <w:p>
      <w:pPr>
        <w:spacing w:after="0" w:line="200" w:lineRule="exact"/>
        <w:rPr>
          <w:sz w:val="20"/>
          <w:szCs w:val="20"/>
          <w:color w:val="auto"/>
        </w:rPr>
      </w:pPr>
    </w:p>
    <w:p>
      <w:pPr>
        <w:spacing w:after="0" w:line="2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_________________________</w:t>
      </w:r>
    </w:p>
    <w:p>
      <w:pPr>
        <w:ind w:left="4100"/>
        <w:spacing w:after="0" w:line="238" w:lineRule="auto"/>
        <w:rPr>
          <w:sz w:val="20"/>
          <w:szCs w:val="20"/>
          <w:color w:val="auto"/>
        </w:rPr>
      </w:pPr>
      <w:r>
        <w:rPr>
          <w:rFonts w:ascii="Arial" w:cs="Arial" w:eastAsia="Arial" w:hAnsi="Arial"/>
          <w:sz w:val="22"/>
          <w:szCs w:val="22"/>
          <w:color w:val="auto"/>
        </w:rPr>
        <w:t>Name: Jonathan Bennett</w:t>
      </w:r>
    </w:p>
    <w:p>
      <w:pPr>
        <w:ind w:left="4100"/>
        <w:spacing w:after="0"/>
        <w:rPr>
          <w:sz w:val="20"/>
          <w:szCs w:val="20"/>
          <w:color w:val="auto"/>
        </w:rPr>
      </w:pPr>
      <w:r>
        <w:rPr>
          <w:rFonts w:ascii="Arial" w:cs="Arial" w:eastAsia="Arial" w:hAnsi="Arial"/>
          <w:sz w:val="22"/>
          <w:szCs w:val="22"/>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 to UFPI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both"/>
        <w:ind w:left="4100" w:right="219"/>
        <w:spacing w:after="0" w:line="282" w:lineRule="auto"/>
        <w:rPr>
          <w:sz w:val="20"/>
          <w:szCs w:val="20"/>
          <w:color w:val="auto"/>
        </w:rPr>
      </w:pPr>
      <w:r>
        <w:rPr>
          <w:rFonts w:ascii="Arial" w:cs="Arial" w:eastAsia="Arial" w:hAnsi="Arial"/>
          <w:sz w:val="19"/>
          <w:szCs w:val="19"/>
          <w:color w:val="auto"/>
        </w:rPr>
        <w:t>JPMORGAN CHASE BANK, NATIONAL ASSOCIATION, TORONTO BRANCH, as the Applicable Lending Installation and Related Party designated by JPMorgan Chase Bank, N.A. for Loans to any Borrower in Canada or in Canadian Dollars</w:t>
      </w:r>
    </w:p>
    <w:p>
      <w:pPr>
        <w:spacing w:after="0" w:line="200" w:lineRule="exact"/>
        <w:rPr>
          <w:sz w:val="20"/>
          <w:szCs w:val="20"/>
          <w:color w:val="auto"/>
        </w:rPr>
      </w:pPr>
    </w:p>
    <w:p>
      <w:pPr>
        <w:spacing w:after="0" w:line="21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_________________________</w:t>
      </w:r>
    </w:p>
    <w:p>
      <w:pPr>
        <w:ind w:left="4100"/>
        <w:spacing w:after="0" w:line="238" w:lineRule="auto"/>
        <w:rPr>
          <w:sz w:val="20"/>
          <w:szCs w:val="20"/>
          <w:color w:val="auto"/>
        </w:rPr>
      </w:pPr>
      <w:r>
        <w:rPr>
          <w:rFonts w:ascii="Arial" w:cs="Arial" w:eastAsia="Arial" w:hAnsi="Arial"/>
          <w:sz w:val="22"/>
          <w:szCs w:val="22"/>
          <w:color w:val="auto"/>
        </w:rPr>
        <w:t>Name: Jeffrey Coleman</w:t>
      </w:r>
    </w:p>
    <w:p>
      <w:pPr>
        <w:ind w:left="4100"/>
        <w:spacing w:after="0"/>
        <w:rPr>
          <w:sz w:val="20"/>
          <w:szCs w:val="20"/>
          <w:color w:val="auto"/>
        </w:rPr>
      </w:pPr>
      <w:r>
        <w:rPr>
          <w:rFonts w:ascii="Arial" w:cs="Arial" w:eastAsia="Arial" w:hAnsi="Arial"/>
          <w:sz w:val="22"/>
          <w:szCs w:val="22"/>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 to UFPI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ind w:left="4100" w:right="219"/>
        <w:spacing w:after="0" w:line="251" w:lineRule="auto"/>
        <w:rPr>
          <w:sz w:val="20"/>
          <w:szCs w:val="20"/>
          <w:color w:val="auto"/>
        </w:rPr>
      </w:pPr>
      <w:r>
        <w:rPr>
          <w:rFonts w:ascii="Arial" w:cs="Arial" w:eastAsia="Arial" w:hAnsi="Arial"/>
          <w:sz w:val="22"/>
          <w:szCs w:val="22"/>
          <w:color w:val="auto"/>
        </w:rPr>
        <w:t>WELLS FARGO BANK, N.A., as a Lender and as Syndication Agent</w:t>
      </w:r>
    </w:p>
    <w:p>
      <w:pPr>
        <w:spacing w:after="0" w:line="200" w:lineRule="exact"/>
        <w:rPr>
          <w:sz w:val="20"/>
          <w:szCs w:val="20"/>
          <w:color w:val="auto"/>
        </w:rPr>
      </w:pPr>
    </w:p>
    <w:p>
      <w:pPr>
        <w:spacing w:after="0" w:line="24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_________________________</w:t>
      </w:r>
    </w:p>
    <w:p>
      <w:pPr>
        <w:ind w:left="4100"/>
        <w:spacing w:after="0" w:line="238" w:lineRule="auto"/>
        <w:rPr>
          <w:sz w:val="20"/>
          <w:szCs w:val="20"/>
          <w:color w:val="auto"/>
        </w:rPr>
      </w:pPr>
      <w:r>
        <w:rPr>
          <w:rFonts w:ascii="Arial" w:cs="Arial" w:eastAsia="Arial" w:hAnsi="Arial"/>
          <w:sz w:val="22"/>
          <w:szCs w:val="22"/>
          <w:color w:val="auto"/>
        </w:rPr>
        <w:t>Name:</w:t>
      </w:r>
    </w:p>
    <w:p>
      <w:pPr>
        <w:jc w:val="center"/>
        <w:ind w:right="37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 to UFPI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jc w:val="right"/>
        <w:ind w:right="1159"/>
        <w:spacing w:after="0"/>
        <w:rPr>
          <w:sz w:val="20"/>
          <w:szCs w:val="20"/>
          <w:color w:val="auto"/>
        </w:rPr>
      </w:pPr>
      <w:r>
        <w:rPr>
          <w:rFonts w:ascii="Arial" w:cs="Arial" w:eastAsia="Arial" w:hAnsi="Arial"/>
          <w:sz w:val="22"/>
          <w:szCs w:val="22"/>
          <w:color w:val="auto"/>
        </w:rPr>
        <w:t>PNC BANK, NATIONAL ASSOCIATION</w:t>
      </w: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_________________________</w:t>
      </w:r>
    </w:p>
    <w:p>
      <w:pPr>
        <w:ind w:left="4100"/>
        <w:spacing w:after="0" w:line="238" w:lineRule="auto"/>
        <w:rPr>
          <w:sz w:val="20"/>
          <w:szCs w:val="20"/>
          <w:color w:val="auto"/>
        </w:rPr>
      </w:pPr>
      <w:r>
        <w:rPr>
          <w:rFonts w:ascii="Arial" w:cs="Arial" w:eastAsia="Arial" w:hAnsi="Arial"/>
          <w:sz w:val="22"/>
          <w:szCs w:val="22"/>
          <w:color w:val="auto"/>
        </w:rPr>
        <w:t>Name:</w:t>
      </w:r>
    </w:p>
    <w:p>
      <w:pPr>
        <w:jc w:val="center"/>
        <w:ind w:right="35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 to UFPI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jc w:val="right"/>
        <w:ind w:right="1219"/>
        <w:spacing w:after="0"/>
        <w:rPr>
          <w:sz w:val="20"/>
          <w:szCs w:val="20"/>
          <w:color w:val="auto"/>
        </w:rPr>
      </w:pPr>
      <w:r>
        <w:rPr>
          <w:rFonts w:ascii="Arial" w:cs="Arial" w:eastAsia="Arial" w:hAnsi="Arial"/>
          <w:sz w:val="22"/>
          <w:szCs w:val="22"/>
          <w:color w:val="auto"/>
        </w:rPr>
        <w:t>THE HUNTINGTON NATIONAL BANK</w:t>
      </w: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_________________________</w:t>
      </w:r>
    </w:p>
    <w:p>
      <w:pPr>
        <w:ind w:left="4100"/>
        <w:spacing w:after="0" w:line="238" w:lineRule="auto"/>
        <w:rPr>
          <w:sz w:val="20"/>
          <w:szCs w:val="20"/>
          <w:color w:val="auto"/>
        </w:rPr>
      </w:pPr>
      <w:r>
        <w:rPr>
          <w:rFonts w:ascii="Arial" w:cs="Arial" w:eastAsia="Arial" w:hAnsi="Arial"/>
          <w:sz w:val="22"/>
          <w:szCs w:val="22"/>
          <w:color w:val="auto"/>
        </w:rPr>
        <w:t>Name:</w:t>
      </w:r>
    </w:p>
    <w:p>
      <w:pPr>
        <w:jc w:val="center"/>
        <w:ind w:right="37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 to UFPI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2" w:name="page63"/>
    <w:bookmarkEnd w:id="62"/>
    <w:p>
      <w:pPr>
        <w:ind w:left="4100"/>
        <w:spacing w:after="0"/>
        <w:rPr>
          <w:sz w:val="20"/>
          <w:szCs w:val="20"/>
          <w:color w:val="auto"/>
        </w:rPr>
      </w:pPr>
      <w:r>
        <w:rPr>
          <w:rFonts w:ascii="Arial" w:cs="Arial" w:eastAsia="Arial" w:hAnsi="Arial"/>
          <w:sz w:val="22"/>
          <w:szCs w:val="22"/>
          <w:color w:val="auto"/>
        </w:rPr>
        <w:t>BANK OF AMERICA, N.A.</w:t>
      </w: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_________________________</w:t>
      </w:r>
    </w:p>
    <w:p>
      <w:pPr>
        <w:spacing w:after="0" w:line="3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w:t>
      </w:r>
    </w:p>
    <w:p>
      <w:pPr>
        <w:jc w:val="center"/>
        <w:ind w:right="35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 to UFPI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jc w:val="both"/>
        <w:ind w:left="4100" w:right="219"/>
        <w:spacing w:after="0" w:line="287" w:lineRule="auto"/>
        <w:rPr>
          <w:sz w:val="20"/>
          <w:szCs w:val="20"/>
          <w:color w:val="auto"/>
        </w:rPr>
      </w:pPr>
      <w:r>
        <w:rPr>
          <w:rFonts w:ascii="Arial" w:cs="Arial" w:eastAsia="Arial" w:hAnsi="Arial"/>
          <w:sz w:val="19"/>
          <w:szCs w:val="19"/>
          <w:color w:val="auto"/>
        </w:rPr>
        <w:t>BANK OF AMERICA, N.A. (Canada branch) as the Applicable Lending Installation and Related Party designated by Bank of America, N.A. for Loans to any Borrower in Canada or in Canadian Dollars</w:t>
      </w:r>
    </w:p>
    <w:p>
      <w:pPr>
        <w:spacing w:after="0" w:line="200" w:lineRule="exact"/>
        <w:rPr>
          <w:sz w:val="20"/>
          <w:szCs w:val="20"/>
          <w:color w:val="auto"/>
        </w:rPr>
      </w:pPr>
    </w:p>
    <w:p>
      <w:pPr>
        <w:spacing w:after="0" w:line="21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_________________________</w:t>
      </w:r>
    </w:p>
    <w:p>
      <w:pPr>
        <w:ind w:left="4100"/>
        <w:spacing w:after="0" w:line="238" w:lineRule="auto"/>
        <w:rPr>
          <w:sz w:val="20"/>
          <w:szCs w:val="20"/>
          <w:color w:val="auto"/>
        </w:rPr>
      </w:pPr>
      <w:r>
        <w:rPr>
          <w:rFonts w:ascii="Arial" w:cs="Arial" w:eastAsia="Arial" w:hAnsi="Arial"/>
          <w:sz w:val="22"/>
          <w:szCs w:val="22"/>
          <w:color w:val="auto"/>
        </w:rPr>
        <w:t>Name:</w:t>
      </w:r>
    </w:p>
    <w:p>
      <w:pPr>
        <w:jc w:val="center"/>
        <w:ind w:right="37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 to UFPI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4" w:name="page65"/>
    <w:bookmarkEnd w:id="64"/>
    <w:p>
      <w:pPr>
        <w:ind w:left="4100"/>
        <w:spacing w:after="0"/>
        <w:rPr>
          <w:sz w:val="20"/>
          <w:szCs w:val="20"/>
          <w:color w:val="auto"/>
        </w:rPr>
      </w:pPr>
      <w:r>
        <w:rPr>
          <w:rFonts w:ascii="Arial" w:cs="Arial" w:eastAsia="Arial" w:hAnsi="Arial"/>
          <w:sz w:val="22"/>
          <w:szCs w:val="22"/>
          <w:color w:val="auto"/>
        </w:rPr>
        <w:t>BMO HARRIS BANK N.A.</w:t>
      </w: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_________________________</w:t>
      </w:r>
    </w:p>
    <w:p>
      <w:pPr>
        <w:spacing w:after="0" w:line="3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w:t>
      </w:r>
    </w:p>
    <w:p>
      <w:pPr>
        <w:jc w:val="center"/>
        <w:ind w:right="35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 to UFPI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2"/>
          <w:szCs w:val="22"/>
          <w:b w:val="1"/>
          <w:bCs w:val="1"/>
          <w:color w:val="auto"/>
        </w:rPr>
        <w:t>CONSENT AND AGREEMENT</w:t>
      </w:r>
    </w:p>
    <w:p>
      <w:pPr>
        <w:spacing w:after="0" w:line="240"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As of the date and year first above written, each of the undersigned hereby:</w:t>
      </w:r>
    </w:p>
    <w:p>
      <w:pPr>
        <w:spacing w:after="0" w:line="233" w:lineRule="exact"/>
        <w:rPr>
          <w:sz w:val="20"/>
          <w:szCs w:val="20"/>
          <w:color w:val="auto"/>
        </w:rPr>
      </w:pPr>
    </w:p>
    <w:p>
      <w:pPr>
        <w:jc w:val="both"/>
        <w:ind w:left="200" w:right="219" w:firstLine="1244"/>
        <w:spacing w:after="0" w:line="297" w:lineRule="auto"/>
        <w:tabs>
          <w:tab w:leader="none" w:pos="1922" w:val="left"/>
        </w:tabs>
        <w:numPr>
          <w:ilvl w:val="2"/>
          <w:numId w:val="65"/>
        </w:numPr>
        <w:rPr>
          <w:rFonts w:ascii="Arial" w:cs="Arial" w:eastAsia="Arial" w:hAnsi="Arial"/>
          <w:sz w:val="19"/>
          <w:szCs w:val="19"/>
          <w:color w:val="auto"/>
        </w:rPr>
      </w:pPr>
      <w:r>
        <w:rPr>
          <w:rFonts w:ascii="Arial" w:cs="Arial" w:eastAsia="Arial" w:hAnsi="Arial"/>
          <w:sz w:val="19"/>
          <w:szCs w:val="19"/>
          <w:color w:val="auto"/>
        </w:rPr>
        <w:t>fully consents to the terms and provisions of the above Amendment and the consummation of the transactions contemplated thereby and agrees to be bound by the provisions applicable to it (including representations, warranties, and agreements, as applicable);</w:t>
      </w:r>
    </w:p>
    <w:p>
      <w:pPr>
        <w:spacing w:after="0" w:line="160" w:lineRule="exact"/>
        <w:rPr>
          <w:rFonts w:ascii="Arial" w:cs="Arial" w:eastAsia="Arial" w:hAnsi="Arial"/>
          <w:sz w:val="19"/>
          <w:szCs w:val="19"/>
          <w:color w:val="auto"/>
        </w:rPr>
      </w:pPr>
    </w:p>
    <w:p>
      <w:pPr>
        <w:jc w:val="both"/>
        <w:ind w:left="200" w:right="219" w:firstLine="1205"/>
        <w:spacing w:after="0" w:line="252" w:lineRule="auto"/>
        <w:tabs>
          <w:tab w:leader="none" w:pos="1887" w:val="left"/>
        </w:tabs>
        <w:numPr>
          <w:ilvl w:val="1"/>
          <w:numId w:val="66"/>
        </w:numPr>
        <w:rPr>
          <w:rFonts w:ascii="Arial" w:cs="Arial" w:eastAsia="Arial" w:hAnsi="Arial"/>
          <w:sz w:val="21"/>
          <w:szCs w:val="21"/>
          <w:color w:val="auto"/>
        </w:rPr>
      </w:pPr>
      <w:r>
        <w:rPr>
          <w:rFonts w:ascii="Arial" w:cs="Arial" w:eastAsia="Arial" w:hAnsi="Arial"/>
          <w:sz w:val="21"/>
          <w:szCs w:val="21"/>
          <w:color w:val="auto"/>
        </w:rPr>
        <w:t>agrees that each Loan Document to which it is a party is hereby ratified and confirmed and shall remain in full force and effect, and acknowledges that it has no setoff, counterclaim, defense or other claim or dispute with respect to any such Loan Document to which it is a party and each other Loan Document to which it is a party;</w:t>
      </w:r>
    </w:p>
    <w:p>
      <w:pPr>
        <w:spacing w:after="0" w:line="200" w:lineRule="exact"/>
        <w:rPr>
          <w:rFonts w:ascii="Arial" w:cs="Arial" w:eastAsia="Arial" w:hAnsi="Arial"/>
          <w:sz w:val="21"/>
          <w:szCs w:val="21"/>
          <w:color w:val="auto"/>
        </w:rPr>
      </w:pPr>
    </w:p>
    <w:p>
      <w:pPr>
        <w:jc w:val="both"/>
        <w:ind w:left="300" w:right="219" w:firstLine="908"/>
        <w:spacing w:after="0" w:line="276" w:lineRule="auto"/>
        <w:tabs>
          <w:tab w:leader="none" w:pos="165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acknowledges that its consent and agreement hereto is a condition to the Lenders obligations under the above Amendment and it is in its interest and to its financial benefit to</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execute this Consent and Agreement; and</w:t>
      </w:r>
    </w:p>
    <w:p>
      <w:pPr>
        <w:spacing w:after="0" w:line="215" w:lineRule="exact"/>
        <w:rPr>
          <w:sz w:val="20"/>
          <w:szCs w:val="20"/>
          <w:color w:val="auto"/>
        </w:rPr>
      </w:pPr>
    </w:p>
    <w:p>
      <w:pPr>
        <w:jc w:val="both"/>
        <w:ind w:left="200" w:right="219" w:firstLine="1168"/>
        <w:spacing w:after="0" w:line="282" w:lineRule="auto"/>
        <w:tabs>
          <w:tab w:leader="none" w:pos="1843"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represents and warrants to the Administrative Agent and the Lenders that this Consent and Agreement is the legal, valid and binding obligation of it, enforceable against it in accordance with the terms hereof, it is not aware of any claims or causes of action against the Administrative Agent, the Lenders, or any of their affiliates, successors or assigns, and that it has no defense, offsets or counterclaims with respect to any of the Secured Obligations.</w:t>
      </w:r>
    </w:p>
    <w:p>
      <w:pPr>
        <w:spacing w:after="0" w:line="200" w:lineRule="exact"/>
        <w:rPr>
          <w:sz w:val="20"/>
          <w:szCs w:val="20"/>
          <w:color w:val="auto"/>
        </w:rPr>
      </w:pPr>
    </w:p>
    <w:p>
      <w:pPr>
        <w:spacing w:after="0" w:line="217"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Guarantors:</w:t>
      </w:r>
    </w:p>
    <w:p>
      <w:pPr>
        <w:spacing w:after="0" w:line="200" w:lineRule="exact"/>
        <w:rPr>
          <w:sz w:val="20"/>
          <w:szCs w:val="20"/>
          <w:color w:val="auto"/>
        </w:rPr>
      </w:pPr>
    </w:p>
    <w:p>
      <w:pPr>
        <w:spacing w:after="0" w:line="276"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By: ________________________________</w:t>
      </w:r>
    </w:p>
    <w:p>
      <w:pPr>
        <w:spacing w:after="0" w:line="26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 Michael R. Cole</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Title: Authorized Signer of each Guarantor</w:t>
      </w:r>
    </w:p>
    <w:p>
      <w:pPr>
        <w:ind w:left="4740"/>
        <w:spacing w:after="0" w:line="231" w:lineRule="auto"/>
        <w:rPr>
          <w:sz w:val="20"/>
          <w:szCs w:val="20"/>
          <w:color w:val="auto"/>
        </w:rPr>
      </w:pPr>
      <w:r>
        <w:rPr>
          <w:rFonts w:ascii="Arial" w:cs="Arial" w:eastAsia="Arial" w:hAnsi="Arial"/>
          <w:sz w:val="22"/>
          <w:szCs w:val="22"/>
          <w:color w:val="auto"/>
        </w:rPr>
        <w:t>listed on Schedule 1, on behalf of each</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Guarantor listed on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6" w:name="page67"/>
    <w:bookmarkEnd w:id="66"/>
    <w:tbl>
      <w:tblPr>
        <w:tblLayout w:type="fixed"/>
        <w:tblInd w:w="200" w:type="dxa"/>
        <w:tblCellMar>
          <w:top w:w="0" w:type="dxa"/>
          <w:left w:w="0" w:type="dxa"/>
          <w:bottom w:w="0" w:type="dxa"/>
          <w:right w:w="0" w:type="dxa"/>
        </w:tblCellMar>
      </w:tblPr>
      <w:tr>
        <w:trPr>
          <w:trHeight w:val="275"/>
        </w:trPr>
        <w:tc>
          <w:tcPr>
            <w:tcW w:w="8600" w:type="dxa"/>
            <w:vAlign w:val="bottom"/>
            <w:gridSpan w:val="2"/>
          </w:tcPr>
          <w:p>
            <w:pPr>
              <w:ind w:left="3820"/>
              <w:spacing w:after="0"/>
              <w:rPr>
                <w:sz w:val="20"/>
                <w:szCs w:val="20"/>
                <w:color w:val="auto"/>
              </w:rPr>
            </w:pPr>
            <w:r>
              <w:rPr>
                <w:rFonts w:ascii="Arial" w:cs="Arial" w:eastAsia="Arial" w:hAnsi="Arial"/>
                <w:sz w:val="22"/>
                <w:szCs w:val="22"/>
                <w:color w:val="auto"/>
              </w:rPr>
              <w:t>Schedule 1</w:t>
            </w:r>
          </w:p>
        </w:tc>
      </w:tr>
      <w:tr>
        <w:trPr>
          <w:trHeight w:val="486"/>
        </w:trPr>
        <w:tc>
          <w:tcPr>
            <w:tcW w:w="8600" w:type="dxa"/>
            <w:vAlign w:val="bottom"/>
            <w:gridSpan w:val="2"/>
          </w:tcPr>
          <w:p>
            <w:pPr>
              <w:ind w:left="3520"/>
              <w:spacing w:after="0"/>
              <w:rPr>
                <w:sz w:val="20"/>
                <w:szCs w:val="20"/>
                <w:color w:val="auto"/>
              </w:rPr>
            </w:pPr>
            <w:r>
              <w:rPr>
                <w:rFonts w:ascii="Arial" w:cs="Arial" w:eastAsia="Arial" w:hAnsi="Arial"/>
                <w:sz w:val="22"/>
                <w:szCs w:val="22"/>
                <w:color w:val="auto"/>
              </w:rPr>
              <w:t>List of Guarantors</w:t>
            </w:r>
          </w:p>
        </w:tc>
      </w:tr>
      <w:tr>
        <w:trPr>
          <w:trHeight w:val="455"/>
        </w:trPr>
        <w:tc>
          <w:tcPr>
            <w:tcW w:w="4300" w:type="dxa"/>
            <w:vAlign w:val="bottom"/>
          </w:tcPr>
          <w:p>
            <w:pPr>
              <w:spacing w:after="0"/>
              <w:rPr>
                <w:sz w:val="20"/>
                <w:szCs w:val="20"/>
                <w:color w:val="auto"/>
              </w:rPr>
            </w:pPr>
            <w:r>
              <w:rPr>
                <w:rFonts w:ascii="Arial" w:cs="Arial" w:eastAsia="Arial" w:hAnsi="Arial"/>
                <w:sz w:val="22"/>
                <w:szCs w:val="22"/>
                <w:color w:val="auto"/>
              </w:rPr>
              <w:t>234 Springs Rd., LLC</w:t>
            </w:r>
          </w:p>
        </w:tc>
        <w:tc>
          <w:tcPr>
            <w:tcW w:w="4300" w:type="dxa"/>
            <w:vAlign w:val="bottom"/>
          </w:tcPr>
          <w:p>
            <w:pPr>
              <w:ind w:left="100"/>
              <w:spacing w:after="0"/>
              <w:rPr>
                <w:sz w:val="20"/>
                <w:szCs w:val="20"/>
                <w:color w:val="auto"/>
              </w:rPr>
            </w:pPr>
            <w:r>
              <w:rPr>
                <w:rFonts w:ascii="Arial" w:cs="Arial" w:eastAsia="Arial" w:hAnsi="Arial"/>
                <w:sz w:val="22"/>
                <w:szCs w:val="22"/>
                <w:color w:val="auto"/>
              </w:rPr>
              <w:t>UFP Chicago,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2875 Needmore Rd.,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Concrete Forming Solutions,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621 Hall St.,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Construction,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Aljoma Holding Company,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Dallas,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Aljoma Lumber, Inc.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Distribution,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Caliper Building Systems,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Eagan,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w w:val="97"/>
              </w:rPr>
              <w:t xml:space="preserve">Deckorators, Inc. </w:t>
            </w:r>
            <w:r>
              <w:rPr>
                <w:rFonts w:ascii="Arial" w:cs="Arial" w:eastAsia="Arial" w:hAnsi="Arial"/>
                <w:sz w:val="22"/>
                <w:szCs w:val="22"/>
                <w:i w:val="1"/>
                <w:iCs w:val="1"/>
                <w:color w:val="auto"/>
                <w:w w:val="97"/>
              </w:rPr>
              <w:t>(f/k/a  Universal  Consumer</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East Central,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i w:val="1"/>
                <w:iCs w:val="1"/>
                <w:color w:val="auto"/>
                <w:w w:val="92"/>
              </w:rPr>
              <w:t>Products, Inc.; successor by merger with Maine</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Eastern Division,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i w:val="1"/>
                <w:iCs w:val="1"/>
                <w:color w:val="auto"/>
              </w:rPr>
              <w:t>Ornamental,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Eatonton,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Eovations,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Elizabeth City,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Horizon Terra, Incorporated</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Elkwood,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Idaho Western, Inc.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Far West,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idX Chicago,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 xml:space="preserve">UFP  Financial  Services,  Inc.  </w:t>
            </w:r>
            <w:r>
              <w:rPr>
                <w:rFonts w:ascii="Arial" w:cs="Arial" w:eastAsia="Arial" w:hAnsi="Arial"/>
                <w:sz w:val="22"/>
                <w:szCs w:val="22"/>
                <w:i w:val="1"/>
                <w:iCs w:val="1"/>
                <w:color w:val="auto"/>
              </w:rPr>
              <w:t>(f/k/a  UFP</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idx Corporation</w:t>
            </w:r>
          </w:p>
        </w:tc>
        <w:tc>
          <w:tcPr>
            <w:tcW w:w="4300" w:type="dxa"/>
            <w:vAlign w:val="bottom"/>
          </w:tcPr>
          <w:p>
            <w:pPr>
              <w:ind w:left="100"/>
              <w:spacing w:after="0" w:line="243" w:lineRule="exact"/>
              <w:rPr>
                <w:sz w:val="20"/>
                <w:szCs w:val="20"/>
                <w:color w:val="auto"/>
              </w:rPr>
            </w:pPr>
            <w:r>
              <w:rPr>
                <w:rFonts w:ascii="Arial" w:cs="Arial" w:eastAsia="Arial" w:hAnsi="Arial"/>
                <w:sz w:val="22"/>
                <w:szCs w:val="22"/>
                <w:i w:val="1"/>
                <w:iCs w:val="1"/>
                <w:color w:val="auto"/>
              </w:rPr>
              <w:t>National Enterprises II,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idX Dallas,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Folkston,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idX Dayton,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Franklinton,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idX Holdings, Inc.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Gainesville,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idX Impressions,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Gear,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w w:val="99"/>
              </w:rPr>
              <w:t xml:space="preserve">idX Los Angeles, LLC </w:t>
            </w:r>
            <w:r>
              <w:rPr>
                <w:rFonts w:ascii="Arial" w:cs="Arial" w:eastAsia="Arial" w:hAnsi="Arial"/>
                <w:sz w:val="22"/>
                <w:szCs w:val="22"/>
                <w:i w:val="1"/>
                <w:iCs w:val="1"/>
                <w:color w:val="auto"/>
                <w:w w:val="99"/>
              </w:rPr>
              <w:t>(successor by merger</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Gordon,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i w:val="1"/>
                <w:iCs w:val="1"/>
                <w:color w:val="auto"/>
              </w:rPr>
              <w:t>with Pacific Coast Showcase, Inc.)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Grand Rapids,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Metaworld Technologies,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Grandview,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North Atlantic Framing,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Granger,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PR Distribution,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Great Lakes,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Shawnlee Construction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Gulf,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Shepardville Construction,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Haleyville,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Store Fixtures Canada Holdings, Inc.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Hamilton,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Tresstar,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Harrisonville,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Triangle Systems, Inc.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Hartford,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Ashburn,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Hillsboro,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Atlantic,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Industrial,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Auburndale,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w w:val="94"/>
              </w:rPr>
              <w:t>UFP International Employment Services,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Aurora,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International,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Barnesville,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Janesville,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Belchertown,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Kyle,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Berlin,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Lafayette,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Biscoe,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Lansing,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Blanchester,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Magna,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Bonner,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McMinnville,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Caldwell,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Mexico Investment,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Cameron,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Mid-Atlantic,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Central Plains,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Milwaukee, LLC</w:t>
            </w:r>
          </w:p>
        </w:tc>
      </w:tr>
      <w:tr>
        <w:trPr>
          <w:trHeight w:val="274"/>
        </w:trPr>
        <w:tc>
          <w:tcPr>
            <w:tcW w:w="4300" w:type="dxa"/>
            <w:vAlign w:val="bottom"/>
          </w:tcPr>
          <w:p>
            <w:pPr>
              <w:spacing w:after="0"/>
              <w:rPr>
                <w:sz w:val="20"/>
                <w:szCs w:val="20"/>
                <w:color w:val="auto"/>
              </w:rPr>
            </w:pPr>
            <w:r>
              <w:rPr>
                <w:rFonts w:ascii="Arial" w:cs="Arial" w:eastAsia="Arial" w:hAnsi="Arial"/>
                <w:sz w:val="22"/>
                <w:szCs w:val="22"/>
                <w:color w:val="auto"/>
              </w:rPr>
              <w:t>UFP Chandler, LLC</w:t>
            </w:r>
          </w:p>
        </w:tc>
        <w:tc>
          <w:tcPr>
            <w:tcW w:w="4300" w:type="dxa"/>
            <w:vAlign w:val="bottom"/>
          </w:tcPr>
          <w:p>
            <w:pPr>
              <w:ind w:left="100"/>
              <w:spacing w:after="0"/>
              <w:rPr>
                <w:sz w:val="20"/>
                <w:szCs w:val="20"/>
                <w:color w:val="auto"/>
              </w:rPr>
            </w:pPr>
            <w:r>
              <w:rPr>
                <w:rFonts w:ascii="Arial" w:cs="Arial" w:eastAsia="Arial" w:hAnsi="Arial"/>
                <w:sz w:val="22"/>
                <w:szCs w:val="22"/>
                <w:color w:val="auto"/>
              </w:rPr>
              <w:t>UFP Minneota, LLC</w:t>
            </w:r>
          </w:p>
        </w:tc>
      </w:tr>
      <w:tr>
        <w:trPr>
          <w:trHeight w:val="793"/>
        </w:trPr>
        <w:tc>
          <w:tcPr>
            <w:tcW w:w="43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67" w:name="page68"/>
    <w:bookmarkEnd w:id="67"/>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4300" w:type="dxa"/>
            <w:vAlign w:val="bottom"/>
          </w:tcPr>
          <w:p>
            <w:pPr>
              <w:spacing w:after="0"/>
              <w:rPr>
                <w:sz w:val="20"/>
                <w:szCs w:val="20"/>
                <w:color w:val="auto"/>
              </w:rPr>
            </w:pPr>
            <w:r>
              <w:rPr>
                <w:rFonts w:ascii="Arial" w:cs="Arial" w:eastAsia="Arial" w:hAnsi="Arial"/>
                <w:sz w:val="22"/>
                <w:szCs w:val="22"/>
                <w:color w:val="auto"/>
              </w:rPr>
              <w:t>UFP Morristown, LLC</w:t>
            </w:r>
          </w:p>
        </w:tc>
        <w:tc>
          <w:tcPr>
            <w:tcW w:w="4300" w:type="dxa"/>
            <w:vAlign w:val="bottom"/>
          </w:tcPr>
          <w:p>
            <w:pPr>
              <w:ind w:left="100"/>
              <w:spacing w:after="0"/>
              <w:rPr>
                <w:sz w:val="20"/>
                <w:szCs w:val="20"/>
                <w:color w:val="auto"/>
              </w:rPr>
            </w:pPr>
            <w:r>
              <w:rPr>
                <w:rFonts w:ascii="Arial" w:cs="Arial" w:eastAsia="Arial" w:hAnsi="Arial"/>
                <w:sz w:val="22"/>
                <w:szCs w:val="22"/>
                <w:color w:val="auto"/>
              </w:rPr>
              <w:t>UFP Warrens,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Moultrie,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Washington,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Mountain West,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Western Division,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NAC,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White Bear Lake,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Nappanee,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Windsor,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New London,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Woodburn,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New Waverly,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United Lumber &amp; Reman,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New Windsor,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Universal Forest Products Texas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New York,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Upshur Forest Products,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North Atlantic,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Yard &amp; Home,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Northeast,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w w:val="97"/>
              </w:rPr>
              <w:t>Fire Retardant Chemical Technologies,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Orlando,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Londonderry,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Packaging,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Rockingham,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Palm Beach,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UFP Site Built,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Parker,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Purchasing, Inc.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Maine,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Ranson,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Energy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Real Estate,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Wisconsin,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Retail,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w w:val="98"/>
              </w:rPr>
              <w:t>PalletOne of Wisconsin Manufacturing,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Riverside,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Indiana,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 xml:space="preserve">UFP  RMS,  LLC  </w:t>
            </w:r>
            <w:r>
              <w:rPr>
                <w:rFonts w:ascii="Arial" w:cs="Arial" w:eastAsia="Arial" w:hAnsi="Arial"/>
                <w:sz w:val="22"/>
                <w:szCs w:val="22"/>
                <w:i w:val="1"/>
                <w:iCs w:val="1"/>
                <w:color w:val="auto"/>
              </w:rPr>
              <w:t>(f/k/a  Universal  Forest</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Indiana Transportation,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i w:val="1"/>
                <w:iCs w:val="1"/>
                <w:color w:val="auto"/>
              </w:rPr>
              <w:t>Products RMS,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North Carolina,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Rockwell,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P1 Catawba Development Company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Saginaw,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Florida,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Salisbury,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SunOne Logistics,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San Antonio,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Virginia,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Sauk Rapids,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Alabama,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Schertz,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Sunbelt Acquisition Corp.</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Shawnee,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Sunbelt Forest Products Corporation</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Southeast,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Sunbelt Acquisition II Florida,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Southwest,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Sunbelt Acquisition III Alabama,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Stafford,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Sunbelt Forest Products Alabama,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Stockertown,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Sunbelt Forest Georgia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Tampa,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Texas Holdings,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Thomaston,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Acquisition of Texas, Inc.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Thornton,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Texas, L.P.</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Transportation, Inc.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Manufacturing of Texas,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Union City, LLC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NE Texas, LLC</w:t>
            </w:r>
          </w:p>
        </w:tc>
      </w:tr>
      <w:tr>
        <w:trPr>
          <w:trHeight w:val="243"/>
        </w:trPr>
        <w:tc>
          <w:tcPr>
            <w:tcW w:w="4300" w:type="dxa"/>
            <w:vAlign w:val="bottom"/>
          </w:tcPr>
          <w:p>
            <w:pPr>
              <w:spacing w:after="0" w:line="243" w:lineRule="exact"/>
              <w:rPr>
                <w:sz w:val="20"/>
                <w:szCs w:val="20"/>
                <w:color w:val="auto"/>
              </w:rPr>
            </w:pPr>
            <w:r>
              <w:rPr>
                <w:rFonts w:ascii="Arial" w:cs="Arial" w:eastAsia="Arial" w:hAnsi="Arial"/>
                <w:sz w:val="22"/>
                <w:szCs w:val="22"/>
                <w:color w:val="auto"/>
              </w:rPr>
              <w:t>UFP Ventures II, Inc.</w:t>
            </w:r>
          </w:p>
        </w:tc>
        <w:tc>
          <w:tcPr>
            <w:tcW w:w="4300" w:type="dxa"/>
            <w:vAlign w:val="bottom"/>
          </w:tcPr>
          <w:p>
            <w:pPr>
              <w:ind w:left="100"/>
              <w:spacing w:after="0" w:line="243" w:lineRule="exact"/>
              <w:rPr>
                <w:sz w:val="20"/>
                <w:szCs w:val="20"/>
                <w:color w:val="auto"/>
              </w:rPr>
            </w:pPr>
            <w:r>
              <w:rPr>
                <w:rFonts w:ascii="Arial" w:cs="Arial" w:eastAsia="Arial" w:hAnsi="Arial"/>
                <w:sz w:val="22"/>
                <w:szCs w:val="22"/>
                <w:color w:val="auto"/>
              </w:rPr>
              <w:t>PalletOne of Mobile, LLC</w:t>
            </w:r>
          </w:p>
        </w:tc>
      </w:tr>
      <w:tr>
        <w:trPr>
          <w:trHeight w:val="274"/>
        </w:trPr>
        <w:tc>
          <w:tcPr>
            <w:tcW w:w="4300" w:type="dxa"/>
            <w:vAlign w:val="bottom"/>
          </w:tcPr>
          <w:p>
            <w:pPr>
              <w:spacing w:after="0"/>
              <w:rPr>
                <w:sz w:val="20"/>
                <w:szCs w:val="20"/>
                <w:color w:val="auto"/>
              </w:rPr>
            </w:pPr>
            <w:r>
              <w:rPr>
                <w:rFonts w:ascii="Arial" w:cs="Arial" w:eastAsia="Arial" w:hAnsi="Arial"/>
                <w:sz w:val="22"/>
                <w:szCs w:val="22"/>
                <w:color w:val="auto"/>
              </w:rPr>
              <w:t>UFP Warranty Corporation</w:t>
            </w:r>
          </w:p>
        </w:tc>
        <w:tc>
          <w:tcPr>
            <w:tcW w:w="4300" w:type="dxa"/>
            <w:vAlign w:val="bottom"/>
          </w:tcPr>
          <w:p>
            <w:pPr>
              <w:spacing w:after="0"/>
              <w:rPr>
                <w:sz w:val="23"/>
                <w:szCs w:val="23"/>
                <w:color w:val="auto"/>
              </w:rPr>
            </w:pPr>
          </w:p>
        </w:tc>
      </w:tr>
      <w:tr>
        <w:trPr>
          <w:trHeight w:val="982"/>
        </w:trPr>
        <w:tc>
          <w:tcPr>
            <w:tcW w:w="43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68" w:name="page69"/>
    <w:bookmarkEnd w:id="68"/>
    <w:p>
      <w:pPr>
        <w:ind w:left="200"/>
        <w:spacing w:after="0"/>
        <w:rPr>
          <w:sz w:val="20"/>
          <w:szCs w:val="20"/>
          <w:color w:val="auto"/>
        </w:rPr>
      </w:pPr>
      <w:r>
        <w:rPr>
          <w:rFonts w:ascii="Arial" w:cs="Arial" w:eastAsia="Arial" w:hAnsi="Arial"/>
          <w:sz w:val="16"/>
          <w:szCs w:val="16"/>
          <w:color w:val="auto"/>
        </w:rPr>
        <w:t>4829-2912-5338 v6 [7-3179]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499110</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9" w:right="1440" w:bottom="1440" w:gutter="0" w:footer="0" w:header="0"/>
        </w:sectPr>
      </w:pPr>
    </w:p>
    <w:bookmarkStart w:id="69" w:name="page70"/>
    <w:bookmarkEnd w:id="69"/>
    <w:p>
      <w:pPr>
        <w:jc w:val="right"/>
        <w:ind w:right="59"/>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May 5, 2021</w:t>
            </w:r>
          </w:p>
        </w:tc>
        <w:tc>
          <w:tcPr>
            <w:tcW w:w="444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0"/>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70" w:name="page71"/>
    <w:bookmarkEnd w:id="70"/>
    <w:p>
      <w:pPr>
        <w:jc w:val="right"/>
        <w:ind w:right="59"/>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May 5, 2021</w:t>
            </w:r>
          </w:p>
        </w:tc>
        <w:tc>
          <w:tcPr>
            <w:tcW w:w="444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71" w:name="page72"/>
    <w:bookmarkEnd w:id="71"/>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Matthew J. Missad, Chief Executive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27, 2021,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ind w:left="620" w:right="79" w:hanging="570"/>
        <w:spacing w:after="0" w:line="308"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March 27, 2021,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May 5, 2021</w:t>
            </w:r>
          </w:p>
        </w:tc>
        <w:tc>
          <w:tcPr>
            <w:tcW w:w="444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0"/>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2" w:name="page73"/>
    <w:bookmarkEnd w:id="72"/>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27, 2021,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ind w:left="620" w:right="79" w:hanging="570"/>
        <w:spacing w:after="0" w:line="308" w:lineRule="auto"/>
        <w:tabs>
          <w:tab w:leader="none" w:pos="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March 27, 2021,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May 5, 2021</w:t>
            </w:r>
          </w:p>
        </w:tc>
        <w:tc>
          <w:tcPr>
            <w:tcW w:w="444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0"/>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upperLetter"/>
      <w:start w:val="1"/>
    </w:lvl>
  </w:abstractNum>
  <w:abstractNum w:abstractNumId="3">
    <w:nsid w:val="5C482A97"/>
    <w:multiLevelType w:val="hybridMultilevel"/>
    <w:lvl w:ilvl="0">
      <w:lvlJc w:val="left"/>
      <w:lvlText w:val="%1."/>
      <w:numFmt w:val="upperLetter"/>
      <w:start w:val="2"/>
    </w:lvl>
  </w:abstractNum>
  <w:abstractNum w:abstractNumId="4">
    <w:nsid w:val="2463B9EA"/>
    <w:multiLevelType w:val="hybridMultilevel"/>
    <w:lvl w:ilvl="0">
      <w:lvlJc w:val="left"/>
      <w:lvlText w:val="%1."/>
      <w:numFmt w:val="upperLetter"/>
      <w:start w:val="3"/>
    </w:lvl>
  </w:abstractNum>
  <w:abstractNum w:abstractNumId="5">
    <w:nsid w:val="5E884ADC"/>
    <w:multiLevelType w:val="hybridMultilevel"/>
    <w:lvl w:ilvl="0">
      <w:lvlJc w:val="left"/>
      <w:lvlText w:val="%1."/>
      <w:numFmt w:val="upperLetter"/>
      <w:start w:val="4"/>
    </w:lvl>
  </w:abstractNum>
  <w:abstractNum w:abstractNumId="6">
    <w:nsid w:val="51EAD36B"/>
    <w:multiLevelType w:val="hybridMultilevel"/>
    <w:lvl w:ilvl="0">
      <w:lvlJc w:val="left"/>
      <w:lvlText w:val="%1."/>
      <w:numFmt w:val="upperLetter"/>
      <w:start w:val="5"/>
    </w:lvl>
  </w:abstractNum>
  <w:abstractNum w:abstractNumId="7">
    <w:nsid w:val="2D517796"/>
    <w:multiLevelType w:val="hybridMultilevel"/>
    <w:lvl w:ilvl="0">
      <w:lvlJc w:val="left"/>
      <w:lvlText w:val="%1."/>
      <w:numFmt w:val="upperLetter"/>
      <w:start w:val="6"/>
    </w:lvl>
  </w:abstractNum>
  <w:abstractNum w:abstractNumId="8">
    <w:nsid w:val="580BD78F"/>
    <w:multiLevelType w:val="hybridMultilevel"/>
    <w:lvl w:ilvl="0">
      <w:lvlJc w:val="left"/>
      <w:lvlText w:val="%1."/>
      <w:numFmt w:val="upperLetter"/>
      <w:start w:val="7"/>
    </w:lvl>
  </w:abstractNum>
  <w:abstractNum w:abstractNumId="9">
    <w:nsid w:val="153EA438"/>
    <w:multiLevelType w:val="hybridMultilevel"/>
    <w:lvl w:ilvl="0">
      <w:lvlJc w:val="left"/>
      <w:lvlText w:val="%1."/>
      <w:numFmt w:val="upperLetter"/>
      <w:start w:val="8"/>
    </w:lvl>
  </w:abstractNum>
  <w:abstractNum w:abstractNumId="10">
    <w:nsid w:val="3855585C"/>
    <w:multiLevelType w:val="hybridMultilevel"/>
    <w:lvl w:ilvl="0">
      <w:lvlJc w:val="left"/>
      <w:lvlText w:val="%1."/>
      <w:numFmt w:val="upperLetter"/>
      <w:start w:val="9"/>
    </w:lvl>
  </w:abstractNum>
  <w:abstractNum w:abstractNumId="11">
    <w:nsid w:val="70A64E2A"/>
    <w:multiLevelType w:val="hybridMultilevel"/>
    <w:lvl w:ilvl="0">
      <w:lvlJc w:val="left"/>
      <w:lvlText w:val="%1."/>
      <w:numFmt w:val="upperLetter"/>
      <w:start w:val="10"/>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lvl w:ilvl="1">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decimal"/>
      <w:start w:val="10"/>
    </w:lvl>
    <w:lvl w:ilvl="1">
      <w:lvlJc w:val="left"/>
      <w:lvlText w:val="(%2)"/>
      <w:numFmt w:val="lowerLetter"/>
      <w:start w:val="1"/>
    </w:lvl>
  </w:abstractNum>
  <w:abstractNum w:abstractNumId="25">
    <w:nsid w:val="684A481A"/>
    <w:multiLevelType w:val="hybridMultilevel"/>
    <w:lvl w:ilvl="0">
      <w:lvlJc w:val="left"/>
      <w:lvlText w:val="%1"/>
      <w:numFmt w:val="decimal"/>
      <w:start w:val="31"/>
    </w:lvl>
    <w:lvl w:ilvl="1">
      <w:lvlJc w:val="left"/>
      <w:lvlText w:val="%2"/>
      <w:numFmt w:val="lowerLetter"/>
      <w:start w:val="1"/>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decimal"/>
      <w:start w:val="32"/>
    </w:lvl>
    <w:lvl w:ilvl="1">
      <w:lvlJc w:val="left"/>
      <w:lvlText w:val="(%2)"/>
      <w:numFmt w:val="lowerLetter"/>
      <w:start w:val="1"/>
    </w:lvl>
  </w:abstractNum>
  <w:abstractNum w:abstractNumId="28">
    <w:nsid w:val="3DC240FB"/>
    <w:multiLevelType w:val="hybridMultilevel"/>
    <w:lvl w:ilvl="0">
      <w:lvlJc w:val="left"/>
      <w:lvlText w:val="%1"/>
      <w:numFmt w:val="decimal"/>
      <w:start w:val="101"/>
    </w:lvl>
  </w:abstractNum>
  <w:abstractNum w:abstractNumId="29">
    <w:nsid w:val="1BA026FA"/>
    <w:multiLevelType w:val="hybridMultilevel"/>
    <w:lvl w:ilvl="0">
      <w:lvlJc w:val="left"/>
      <w:lvlText w:val="%1"/>
      <w:numFmt w:val="decimal"/>
      <w:start w:val="104"/>
    </w:lvl>
  </w:abstractNum>
  <w:abstractNum w:abstractNumId="30">
    <w:nsid w:val="79A1DEAA"/>
    <w:multiLevelType w:val="hybridMultilevel"/>
    <w:lvl w:ilvl="0">
      <w:lvlJc w:val="left"/>
      <w:lvlText w:val="%1."/>
      <w:numFmt w:val="upperLetter"/>
      <w:start w:val="1"/>
    </w:lvl>
  </w:abstractNum>
  <w:abstractNum w:abstractNumId="31">
    <w:nsid w:val="75C6C33A"/>
    <w:multiLevelType w:val="hybridMultilevel"/>
    <w:lvl w:ilvl="0">
      <w:lvlJc w:val="left"/>
      <w:lvlText w:val="%1"/>
      <w:numFmt w:val="lowerLetter"/>
      <w:start w:val="1"/>
    </w:lvl>
    <w:lvl w:ilvl="1">
      <w:lvlJc w:val="left"/>
      <w:lvlText w:val="(%2)"/>
      <w:numFmt w:val="upperLetter"/>
      <w:start w:val="1"/>
    </w:lvl>
  </w:abstractNum>
  <w:abstractNum w:abstractNumId="32">
    <w:nsid w:val="12E685FB"/>
    <w:multiLevelType w:val="hybridMultilevel"/>
    <w:lvl w:ilvl="0">
      <w:lvlJc w:val="left"/>
      <w:lvlText w:val="(%1)"/>
      <w:numFmt w:val="lowerLetter"/>
      <w:start w:val="2"/>
    </w:lvl>
    <w:lvl w:ilvl="1">
      <w:lvlJc w:val="left"/>
      <w:lvlText w:val="(%2)"/>
      <w:numFmt w:val="upperLetter"/>
      <w:start w:val="2"/>
    </w:lvl>
  </w:abstractNum>
  <w:abstractNum w:abstractNumId="33">
    <w:nsid w:val="70C6A529"/>
    <w:multiLevelType w:val="hybridMultilevel"/>
    <w:lvl w:ilvl="0">
      <w:lvlJc w:val="left"/>
      <w:lvlText w:val="(%1)"/>
      <w:numFmt w:val="lowerLetter"/>
      <w:start w:val="2"/>
    </w:lvl>
    <w:lvl w:ilvl="1">
      <w:lvlJc w:val="left"/>
      <w:lvlText w:val="(%2)"/>
      <w:numFmt w:val="upperLetter"/>
      <w:start w:val="4"/>
    </w:lvl>
  </w:abstractNum>
  <w:abstractNum w:abstractNumId="34">
    <w:nsid w:val="520EEDD1"/>
    <w:multiLevelType w:val="hybridMultilevel"/>
    <w:lvl w:ilvl="0">
      <w:lvlJc w:val="left"/>
      <w:lvlText w:val="(%1)"/>
      <w:numFmt w:val="upperLetter"/>
      <w:start w:val="1"/>
    </w:lvl>
  </w:abstractNum>
  <w:abstractNum w:abstractNumId="35">
    <w:nsid w:val="374A3FE6"/>
    <w:multiLevelType w:val="hybridMultilevel"/>
    <w:lvl w:ilvl="0">
      <w:lvlJc w:val="left"/>
      <w:lvlText w:val="%1"/>
      <w:numFmt w:val="decimal"/>
      <w:start w:val="1"/>
    </w:lvl>
    <w:lvl w:ilvl="1">
      <w:lvlJc w:val="left"/>
      <w:lvlText w:val="(%2)"/>
      <w:numFmt w:val="upperLetter"/>
      <w:start w:val="3"/>
    </w:lvl>
  </w:abstractNum>
  <w:abstractNum w:abstractNumId="36">
    <w:nsid w:val="4F4EF005"/>
    <w:multiLevelType w:val="hybridMultilevel"/>
    <w:lvl w:ilvl="0">
      <w:lvlJc w:val="left"/>
      <w:lvlText w:val="(%1)"/>
      <w:numFmt w:val="decimal"/>
      <w:start w:val="3"/>
    </w:lvl>
    <w:lvl w:ilvl="1">
      <w:lvlJc w:val="left"/>
      <w:lvlText w:val="%2"/>
      <w:numFmt w:val="upperLetter"/>
      <w:start w:val="1"/>
    </w:lvl>
  </w:abstractNum>
  <w:abstractNum w:abstractNumId="37">
    <w:nsid w:val="23F9C13C"/>
    <w:multiLevelType w:val="hybridMultilevel"/>
    <w:lvl w:ilvl="0">
      <w:lvlJc w:val="left"/>
      <w:lvlText w:val="(%1)"/>
      <w:numFmt w:val="lowerLetter"/>
      <w:start w:val="26"/>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decimal"/>
      <w:start w:val="2"/>
    </w:lvl>
  </w:abstractNum>
  <w:abstractNum w:abstractNumId="41">
    <w:nsid w:val="1CF10FD8"/>
    <w:multiLevelType w:val="hybridMultilevel"/>
    <w:lvl w:ilvl="0">
      <w:lvlJc w:val="left"/>
      <w:lvlText w:val="%1"/>
      <w:numFmt w:val="lowerLetter"/>
      <w:start w:val="1"/>
    </w:lvl>
    <w:lvl w:ilvl="1">
      <w:lvlJc w:val="left"/>
      <w:lvlText w:val="(%2)"/>
      <w:numFmt w:val="decimal"/>
      <w:start w:val="1"/>
    </w:lvl>
  </w:abstractNum>
  <w:abstractNum w:abstractNumId="42">
    <w:nsid w:val="180115BE"/>
    <w:multiLevelType w:val="hybridMultilevel"/>
    <w:lvl w:ilvl="0">
      <w:lvlJc w:val="left"/>
      <w:lvlText w:val="(%1)"/>
      <w:numFmt w:val="lowerLetter"/>
      <w:start w:val="2"/>
    </w:lvl>
    <w:lvl w:ilvl="1">
      <w:lvlJc w:val="left"/>
      <w:lvlText w:val="(%2)"/>
      <w:numFmt w:val="decimal"/>
      <w:start w:val="2"/>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3"/>
    </w:lvl>
  </w:abstractNum>
  <w:abstractNum w:abstractNumId="45">
    <w:nsid w:val="354FE9F9"/>
    <w:multiLevelType w:val="hybridMultilevel"/>
    <w:lvl w:ilvl="0">
      <w:lvlJc w:val="left"/>
      <w:lvlText w:val="(%1)"/>
      <w:numFmt w:val="lowerRoman"/>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2"/>
    </w:lvl>
  </w:abstractNum>
  <w:abstractNum w:abstractNumId="48">
    <w:nsid w:val="D34B6A8"/>
    <w:multiLevelType w:val="hybridMultilevel"/>
    <w:lvl w:ilvl="0">
      <w:lvlJc w:val="left"/>
      <w:lvlText w:val="(%1)"/>
      <w:numFmt w:val="lowerRoman"/>
      <w:start w:val="6"/>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6"/>
    </w:lvl>
  </w:abstractNum>
  <w:abstractNum w:abstractNumId="54">
    <w:nsid w:val="579BE4F1"/>
    <w:multiLevelType w:val="hybridMultilevel"/>
    <w:lvl w:ilvl="0">
      <w:lvlJc w:val="left"/>
      <w:lvlText w:val="(%1)"/>
      <w:numFmt w:val="lowerRoman"/>
      <w:start w:val="1"/>
    </w:lvl>
  </w:abstractNum>
  <w:abstractNum w:abstractNumId="55">
    <w:nsid w:val="310C50B3"/>
    <w:multiLevelType w:val="hybridMultilevel"/>
    <w:lvl w:ilvl="0">
      <w:lvlJc w:val="left"/>
      <w:lvlText w:val="(%1)"/>
      <w:numFmt w:val="lowerLetter"/>
      <w:start w:val="3"/>
    </w:lvl>
  </w:abstractNum>
  <w:abstractNum w:abstractNumId="56">
    <w:nsid w:val="5FF87E05"/>
    <w:multiLevelType w:val="hybridMultilevel"/>
    <w:lvl w:ilvl="0">
      <w:lvlJc w:val="left"/>
      <w:lvlText w:val="(%1)"/>
      <w:numFmt w:val="lowerLetter"/>
      <w:start w:val="1"/>
    </w:lvl>
    <w:lvl w:ilvl="1">
      <w:lvlJc w:val="left"/>
      <w:lvlText w:val="(%2)"/>
      <w:numFmt w:val="lowerRoman"/>
      <w:start w:val="1"/>
    </w:lvl>
  </w:abstractNum>
  <w:abstractNum w:abstractNumId="57">
    <w:nsid w:val="2F305DEF"/>
    <w:multiLevelType w:val="hybridMultilevel"/>
    <w:lvl w:ilvl="0">
      <w:lvlJc w:val="left"/>
      <w:lvlText w:val="(%1)"/>
      <w:numFmt w:val="lowerLetter"/>
      <w:start w:val="2"/>
    </w:lvl>
  </w:abstractNum>
  <w:abstractNum w:abstractNumId="58">
    <w:nsid w:val="25A70BF7"/>
    <w:multiLevelType w:val="hybridMultilevel"/>
    <w:lvl w:ilvl="0">
      <w:lvlJc w:val="left"/>
      <w:lvlText w:val="(%1)"/>
      <w:numFmt w:val="lowerLetter"/>
      <w:start w:val="3"/>
    </w:lvl>
  </w:abstractNum>
  <w:abstractNum w:abstractNumId="59">
    <w:nsid w:val="1DBABF00"/>
    <w:multiLevelType w:val="hybridMultilevel"/>
    <w:lvl w:ilvl="0">
      <w:lvlJc w:val="left"/>
      <w:lvlText w:val="(%1)"/>
      <w:numFmt w:val="lowerLetter"/>
      <w:start w:val="7"/>
    </w:lvl>
  </w:abstractNum>
  <w:abstractNum w:abstractNumId="60">
    <w:nsid w:val="4AD084E9"/>
    <w:multiLevelType w:val="hybridMultilevel"/>
    <w:lvl w:ilvl="0">
      <w:lvlJc w:val="left"/>
      <w:lvlText w:val="(%1)"/>
      <w:numFmt w:val="lowerLetter"/>
      <w:start w:val="7"/>
    </w:lvl>
  </w:abstractNum>
  <w:abstractNum w:abstractNumId="61">
    <w:nsid w:val="1F48EAA1"/>
    <w:multiLevelType w:val="hybridMultilevel"/>
    <w:lvl w:ilvl="0">
      <w:lvlJc w:val="left"/>
      <w:lvlText w:val="(%1)"/>
      <w:numFmt w:val="lowerLetter"/>
      <w:start w:val="7"/>
    </w:lvl>
  </w:abstractNum>
  <w:abstractNum w:abstractNumId="62">
    <w:nsid w:val="1381823A"/>
    <w:multiLevelType w:val="hybridMultilevel"/>
    <w:lvl w:ilvl="0">
      <w:lvlJc w:val="left"/>
      <w:lvlText w:val="(%1)"/>
      <w:numFmt w:val="lowerLetter"/>
      <w:start w:val="1"/>
    </w:lvl>
    <w:lvl w:ilvl="1">
      <w:lvlJc w:val="left"/>
      <w:lvlText w:val="(%2)"/>
      <w:numFmt w:val="lowerRoman"/>
      <w:start w:val="1"/>
    </w:lvl>
  </w:abstractNum>
  <w:abstractNum w:abstractNumId="63">
    <w:nsid w:val="5DB70AE5"/>
    <w:multiLevelType w:val="hybridMultilevel"/>
    <w:lvl w:ilvl="0">
      <w:lvlJc w:val="left"/>
      <w:lvlText w:val="(%1)"/>
      <w:numFmt w:val="lowerRoman"/>
      <w:start w:val="3"/>
    </w:lvl>
  </w:abstractNum>
  <w:abstractNum w:abstractNumId="64">
    <w:nsid w:val="100F8FC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5">
    <w:nsid w:val="6590700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6">
    <w:nsid w:val="15014ACB"/>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67">
    <w:nsid w:val="5F5E7FD0"/>
    <w:multiLevelType w:val="hybridMultilevel"/>
    <w:lvl w:ilvl="0">
      <w:lvlJc w:val="left"/>
      <w:lvlText w:val="(%1)"/>
      <w:numFmt w:val="lowerLetter"/>
      <w:start w:val="4"/>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2021-05-05T14:41:40Z</dcterms:created>
  <dcterms:modified xsi:type="dcterms:W3CDTF">2021-05-05T14:41:40Z</dcterms:modified>
</cp:coreProperties>
</file>