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12, 2011</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Universal Forest Products, Inc</w:t>
      </w:r>
      <w:r>
        <w:rPr>
          <w:rFonts w:ascii="Arial" w:cs="Arial" w:eastAsia="Arial" w:hAnsi="Arial"/>
          <w:sz w:val="17"/>
          <w:szCs w:val="17"/>
          <w:b w:val="1"/>
          <w:bCs w:val="1"/>
          <w:color w:val="auto"/>
        </w:rPr>
        <w:t>.</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06" w:right="25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Michigan</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0-22684</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38-1465835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00"/>
          </w:cols>
          <w:pgMar w:left="240" w:top="306" w:right="25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400"/>
          </w:cols>
          <w:pgMar w:left="240" w:top="306" w:right="259" w:bottom="1440" w:gutter="0" w:footer="0" w:header="0"/>
          <w:type w:val="continuous"/>
        </w:sectPr>
      </w:pPr>
    </w:p>
    <w:p>
      <w:pPr>
        <w:spacing w:after="0" w:line="200" w:lineRule="exact"/>
        <w:rPr>
          <w:sz w:val="24"/>
          <w:szCs w:val="24"/>
          <w:color w:val="auto"/>
        </w:rPr>
      </w:pPr>
    </w:p>
    <w:p>
      <w:pPr>
        <w:spacing w:after="0" w:line="300"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2801 East Beltline, NE</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Grand Rapids, Michigan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49525</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20"/>
          </w:cols>
          <w:pgMar w:left="240" w:top="306" w:right="25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On October 12, 2011, the Registrant issued a press release announcing its financial results for the quarter ended September 24, 2011. A copy of the Registrant’s press release is attached as Exhibit 99(a) to this Current Report.</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56" w:lineRule="exact"/>
        <w:rPr>
          <w:sz w:val="20"/>
          <w:szCs w:val="20"/>
          <w:color w:val="auto"/>
        </w:rPr>
      </w:pPr>
    </w:p>
    <w:p>
      <w:pPr>
        <w:ind w:left="1960" w:hanging="655"/>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October 12, 2011.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UNIVERSAL FOREST PRODUCTS, INC.</w:t>
      </w:r>
    </w:p>
    <w:p>
      <w:pPr>
        <w:spacing w:after="0" w:line="23" w:lineRule="exact"/>
        <w:rPr>
          <w:sz w:val="20"/>
          <w:szCs w:val="20"/>
          <w:color w:val="auto"/>
        </w:rPr>
      </w:pPr>
    </w:p>
    <w:p>
      <w:pPr>
        <w:jc w:val="center"/>
        <w:ind w:left="31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Dated:  October 12,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R. Cole, Chief Financial Officer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Treasurer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Number</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Document</w:t>
            </w:r>
          </w:p>
        </w:tc>
        <w:tc>
          <w:tcPr>
            <w:tcW w:w="2000" w:type="dxa"/>
            <w:vAlign w:val="bottom"/>
          </w:tcPr>
          <w:p>
            <w:pPr>
              <w:spacing w:after="0"/>
              <w:rPr>
                <w:sz w:val="17"/>
                <w:szCs w:val="17"/>
                <w:color w:val="auto"/>
              </w:rPr>
            </w:pPr>
          </w:p>
        </w:tc>
      </w:tr>
      <w:tr>
        <w:trPr>
          <w:trHeight w:val="439"/>
        </w:trPr>
        <w:tc>
          <w:tcPr>
            <w:tcW w:w="1400" w:type="dxa"/>
            <w:vAlign w:val="bottom"/>
            <w:gridSpan w:val="3"/>
          </w:tcPr>
          <w:p>
            <w:pPr>
              <w:spacing w:after="0"/>
              <w:rPr>
                <w:sz w:val="20"/>
                <w:szCs w:val="20"/>
                <w:color w:val="auto"/>
              </w:rPr>
            </w:pPr>
            <w:r>
              <w:rPr>
                <w:rFonts w:ascii="Arial" w:cs="Arial" w:eastAsia="Arial" w:hAnsi="Arial"/>
                <w:sz w:val="18"/>
                <w:szCs w:val="18"/>
                <w:color w:val="0000EE"/>
              </w:rPr>
              <w:t>99(a)</w:t>
            </w:r>
          </w:p>
        </w:tc>
        <w:tc>
          <w:tcPr>
            <w:tcW w:w="2980" w:type="dxa"/>
            <w:vAlign w:val="bottom"/>
            <w:gridSpan w:val="3"/>
          </w:tcPr>
          <w:p>
            <w:pPr>
              <w:ind w:left="220"/>
              <w:spacing w:after="0"/>
              <w:rPr>
                <w:sz w:val="20"/>
                <w:szCs w:val="20"/>
                <w:color w:val="auto"/>
              </w:rPr>
            </w:pPr>
            <w:r>
              <w:rPr>
                <w:rFonts w:ascii="Arial" w:cs="Arial" w:eastAsia="Arial" w:hAnsi="Arial"/>
                <w:sz w:val="18"/>
                <w:szCs w:val="18"/>
                <w:color w:val="auto"/>
                <w:w w:val="86"/>
              </w:rPr>
              <w:t>Press Release dated October 12, 2011.</w:t>
            </w:r>
          </w:p>
        </w:tc>
      </w:tr>
      <w:tr>
        <w:trPr>
          <w:trHeight w:val="20"/>
        </w:trPr>
        <w:tc>
          <w:tcPr>
            <w:tcW w:w="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49"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172085</wp:posOffset>
            </wp:positionV>
            <wp:extent cx="2298065" cy="883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October 12, 2011</w:t>
      </w:r>
    </w:p>
    <w:p>
      <w:pPr>
        <w:spacing w:after="0" w:line="200" w:lineRule="exact"/>
        <w:rPr>
          <w:sz w:val="20"/>
          <w:szCs w:val="20"/>
          <w:color w:val="auto"/>
        </w:rPr>
      </w:pPr>
    </w:p>
    <w:p>
      <w:pPr>
        <w:spacing w:after="0" w:line="22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UFPI increases earnings by 117% in 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quarter</w:t>
      </w:r>
    </w:p>
    <w:p>
      <w:pPr>
        <w:ind w:left="38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Sales hampered by lackluster economy; down 2%</w:t>
      </w:r>
      <w:r>
        <w:rPr>
          <w:rFonts w:ascii="Arial" w:cs="Arial" w:eastAsia="Arial" w:hAnsi="Arial"/>
          <w:sz w:val="18"/>
          <w:szCs w:val="18"/>
          <w:color w:val="auto"/>
        </w:rPr>
        <w:t xml:space="preserve"> –</w:t>
      </w:r>
    </w:p>
    <w:p>
      <w:pPr>
        <w:spacing w:after="0" w:line="23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GRAND RAPIDS, Mich., Oct. 12, 2011 – Universal Forest Products, Inc. (Nasdaq: UFPI) today announced third-quarter 2011 results, including net earnings of $5.6 million, or $0.29 per diluted share, up from net earnings of $2.6 million, or $0.13 per diluted share, for the third quarter of 2010. Net sales of $468.9 million in the third quarter of 2011 were down 2.4 percent from net sales of $480.6 million for the same period of last year.</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grew sales in three of its five markets: commercial construction and concrete forming, industrial, and manufactured housing. The residential construction and retail building materials markets continue to be soft and saw sales decline in the third quarter of 2011 compared to a year ago.</w:t>
      </w:r>
    </w:p>
    <w:p>
      <w:pPr>
        <w:spacing w:after="0" w:line="1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cost-cutting efforts and a more stable lumber market helped us generate a stronger profit in the quarter,” said Chief Executive Officer Matthew J. Missad. “Our sales suffered from a stagnant economy, which is likely to remain weak for the near term. Since we can’t rely on an improved economy to grow our business, we are pursuing other avenues of growth.”</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Missad noted that the Company remains financially strong and is well-positioned to weather a tough economy, even through the typically weak winter months. “If current forecasts are accurate, we believe significant overcapacity exists in the markets we serve,” he said. “We expect that many companies will struggle to make it through the winter, and we remain poised for opportunities to consolidate our markets and improve our value to our customers and our shareholders.”</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0" w:lineRule="exact"/>
        <w:rPr>
          <w:sz w:val="20"/>
          <w:szCs w:val="20"/>
          <w:color w:val="auto"/>
        </w:rPr>
      </w:pP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a lot of work ahead of us, but I’m confident in the ability of our people to create opportunity and success,” Missad added. “We’re a solid company, built and operated by hard-working entrepreneurs who will do what it takes to be successful in this new economy.”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third quarter of 2011:</w:t>
      </w:r>
    </w:p>
    <w:p>
      <w:pPr>
        <w:spacing w:after="0" w:line="24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Retail building materials: $210.9 million, a decrease of 5.4 percent from the same period of 2010. </w:t>
      </w:r>
      <w:r>
        <w:rPr>
          <w:rFonts w:ascii="Arial" w:cs="Arial" w:eastAsia="Arial" w:hAnsi="Arial"/>
          <w:sz w:val="18"/>
          <w:szCs w:val="18"/>
          <w:color w:val="auto"/>
        </w:rPr>
        <w:t>Unit sales to this market declined 2.0 percent as</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demand remained soft. Sales to big box customers declined while sales to regional retailers grew. The Home Improvement Research Institute states that acceleration in the growth of home improvement products will be held back by continuing weakness in the housing market, and calls for growth of home improvement product sales averaging 3.7 percent over 2012-2013. Universal is aggressively focusing on providing new products for this market, and remains persistent in its efforts to be the low-cost producer.</w:t>
      </w:r>
    </w:p>
    <w:p>
      <w:pPr>
        <w:spacing w:after="0" w:line="21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Industrial packaging/components: $128.3 million, up 6.4 percent over the third quarter of 2010. </w:t>
      </w:r>
      <w:r>
        <w:rPr>
          <w:rFonts w:ascii="Arial" w:cs="Arial" w:eastAsia="Arial" w:hAnsi="Arial"/>
          <w:sz w:val="16"/>
          <w:szCs w:val="16"/>
          <w:color w:val="auto"/>
        </w:rPr>
        <w:t>The Company grew sales at a time when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in the United States increased just 0.9 percent and 0.2 percent, respectively, in July and August 2011. The Company continues to focus on adding customers and products, as well as on expanding its reach into non-wood packaging materials and on providing complete packaging solutions.</w:t>
      </w:r>
    </w:p>
    <w:p>
      <w:pPr>
        <w:spacing w:after="0" w:line="169"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Manufactured housing and recreational vehicles: $65.7 million, an increase of 2.4 percent over 2010. </w:t>
      </w:r>
      <w:r>
        <w:rPr>
          <w:rFonts w:ascii="Arial" w:cs="Arial" w:eastAsia="Arial" w:hAnsi="Arial"/>
          <w:sz w:val="17"/>
          <w:szCs w:val="17"/>
          <w:color w:val="auto"/>
        </w:rPr>
        <w:t>Unit sales to this market increased by 3.0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increased sales in the Company’s distribution business. According to the most recent statistics available, shipments of HUD-Code homes in July and August 2011 were down 3 percent from the previous year. Universal remains committed to this market and continues to execute on its strategy to expand its product offering by building on the early success of its distribution operations.</w:t>
      </w:r>
    </w:p>
    <w:p>
      <w:pPr>
        <w:spacing w:after="0" w:line="19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Residential construction: $52.2 million, down 17.0 percent from the same period of 2010. </w:t>
      </w:r>
      <w:r>
        <w:rPr>
          <w:rFonts w:ascii="Arial" w:cs="Arial" w:eastAsia="Arial" w:hAnsi="Arial"/>
          <w:sz w:val="18"/>
          <w:szCs w:val="18"/>
          <w:color w:val="auto"/>
        </w:rPr>
        <w:t>The Company saw a unit sales decline of approximately 16</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in the third quarter of 2011, due to plant closures in Texas and California since the third quarter of 2010. The Company remains focused on multifamily projects, where it sees stronger opportunity for growth than in single-family construction. The most recent statistics available indicate that single-family housing starts were down 1.7 percent June through August 2011 from the same period of 2010, while multifamily starts increased 28.1 percent in the same period of 2011 over the previous year.</w:t>
      </w:r>
    </w:p>
    <w:p>
      <w:pPr>
        <w:spacing w:after="0" w:line="21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Commercial construction and concrete forming: $21.2 million, an increase of 11.7 percent over 2010. </w:t>
      </w:r>
      <w:r>
        <w:rPr>
          <w:rFonts w:ascii="Arial" w:cs="Arial" w:eastAsia="Arial" w:hAnsi="Arial"/>
          <w:sz w:val="17"/>
          <w:szCs w:val="17"/>
          <w:color w:val="auto"/>
        </w:rPr>
        <w:t>Universal continues to see opportunity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concrete forming business, in which it manufactures and/or supplies forms and other materials for concrete construction projects. This is a highly fragmented market that capitalizes on Universal’s engineering and manufacturing capabilities and on its nationwide presence.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The Company believes continued challenging economic conditions and uncertainties in the housing market limit its ability to provide meaningful guidance for ranges of likely financial performance; therefore, the Company will not resume the practice of providing guidance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Universal Forest Products will conduct a conference call to discuss information included in this news release and related matters at 8:30 a.m. ET on Thursday, October 13, 2011. The call will be hosted by CEO Matthew J. Missad and CFO Michael Cole, and will be available for analysts and institutional investors domestically at 866.314.9013 or internationally at 617.213.8053. Use conference pass code 63245938. The conference call will be available simultaneously and in its entirety to all interested investors and news media through a webcast at http://www.ufpi.com. A replay of the call will be available through November 13, 2011, domestically at 888-286-8010 or internationally at 617-801-6888. Use replay pass code 50523221.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residential and commercial construction, specialty wood packaging and components for various industries, and forming products for concrete construction.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construction market. Founded in 1955, Universal Forest Products is headquartered in Grand Rapids, Mich., with operations throughout North America. For more about Universal Forest Products, go to </w:t>
      </w:r>
      <w:r>
        <w:rPr>
          <w:rFonts w:ascii="Arial" w:cs="Arial" w:eastAsia="Arial" w:hAnsi="Arial"/>
          <w:sz w:val="16"/>
          <w:szCs w:val="16"/>
          <w:u w:val="single" w:color="auto"/>
          <w:color w:val="auto"/>
        </w:rPr>
        <w:t>www.ufpi.com</w:t>
      </w:r>
      <w:r>
        <w:rPr>
          <w:rFonts w:ascii="Arial" w:cs="Arial" w:eastAsia="Arial" w:hAnsi="Arial"/>
          <w:sz w:val="16"/>
          <w:szCs w:val="16"/>
          <w:color w:val="auto"/>
        </w:rPr>
        <w:t>.</w:t>
      </w:r>
    </w:p>
    <w:p>
      <w:pPr>
        <w:spacing w:after="0" w:line="1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2011/2010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Quarter Period</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Year to Date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468,941</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480,574</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1,400,313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$ 1,512,166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414,583</w:t>
            </w:r>
          </w:p>
        </w:tc>
        <w:tc>
          <w:tcPr>
            <w:tcW w:w="20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426,159</w:t>
            </w: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1,247,954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1,328,232</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54,358</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54,415</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152,359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tcBorders>
              <w:right w:val="single" w:sz="8" w:color="CCEEFF"/>
            </w:tcBorders>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SELLING,  GENERAL AND</w:t>
            </w: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ADMINISTRATIVE EXPENSES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44,013</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47,286</w:t>
            </w: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135,829</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149,815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NET LOSS ON DISPOSITION OF</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ASSETS,EARLY RETIREMENT,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AND OTHER IMPAIRMENT AND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EXIT CHARGES</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EARNINGS FROM OPERATIONS</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10,138</w:t>
            </w:r>
          </w:p>
        </w:tc>
        <w:tc>
          <w:tcPr>
            <w:tcW w:w="2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5,992</w:t>
            </w:r>
          </w:p>
        </w:tc>
        <w:tc>
          <w:tcPr>
            <w:tcW w:w="2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12,834</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32,598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INTEREST, NET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2,376</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EARNINGS BEFORE INCOME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TAXES</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9,281</w:t>
            </w:r>
          </w:p>
        </w:tc>
        <w:tc>
          <w:tcPr>
            <w:tcW w:w="2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5,215</w:t>
            </w:r>
          </w:p>
        </w:tc>
        <w:tc>
          <w:tcPr>
            <w:tcW w:w="2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10,545</w:t>
            </w:r>
          </w:p>
        </w:tc>
        <w:tc>
          <w:tcPr>
            <w:tcW w:w="18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30,222</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3,293</w:t>
            </w:r>
          </w:p>
        </w:tc>
        <w:tc>
          <w:tcPr>
            <w:tcW w:w="2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3,508</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10,836</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5,988</w:t>
            </w:r>
          </w:p>
        </w:tc>
        <w:tc>
          <w:tcPr>
            <w:tcW w:w="2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3,198</w:t>
            </w:r>
          </w:p>
        </w:tc>
        <w:tc>
          <w:tcPr>
            <w:tcW w:w="2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7,037</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19,386</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LESS NET EARNINGS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ATTRIBUTABLE TO</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NONCONTROLLING INTEREST</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NET EARNINGS ATTRIBUTABLE TO</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b w:val="1"/>
                <w:bCs w:val="1"/>
                <w:color w:val="auto"/>
              </w:rPr>
              <w:t>CONTROLLING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5,616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6,223</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17,287</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PER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tcBorders>
              <w:right w:val="single" w:sz="8" w:color="CCEEFF"/>
            </w:tcBorders>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19,387</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tcBorders>
              <w:right w:val="single" w:sz="8" w:color="CCEEFF"/>
            </w:tcBorders>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 WITH COMMON</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STOCK EQUIVALENTS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19,546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19,416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19,524</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19,488</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3240" w:type="dxa"/>
            <w:vAlign w:val="bottom"/>
            <w:gridSpan w:val="4"/>
          </w:tcPr>
          <w:p>
            <w:pPr>
              <w:spacing w:after="0"/>
              <w:rPr>
                <w:sz w:val="20"/>
                <w:szCs w:val="20"/>
                <w:color w:val="auto"/>
              </w:rPr>
            </w:pPr>
            <w:r>
              <w:rPr>
                <w:rFonts w:ascii="Arial" w:cs="Arial" w:eastAsia="Arial" w:hAnsi="Arial"/>
                <w:sz w:val="18"/>
                <w:szCs w:val="18"/>
                <w:b w:val="1"/>
                <w:bCs w:val="1"/>
                <w:color w:val="auto"/>
              </w:rPr>
              <w:t>SUPPLEMENTAL SALES DATA</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Quarter Period</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Year to Date</w:t>
            </w: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Market Classification</w:t>
            </w:r>
          </w:p>
        </w:tc>
        <w:tc>
          <w:tcPr>
            <w:tcW w:w="140" w:type="dxa"/>
            <w:vAlign w:val="bottom"/>
          </w:tcPr>
          <w:p>
            <w:pPr>
              <w:spacing w:after="0"/>
              <w:rPr>
                <w:sz w:val="15"/>
                <w:szCs w:val="15"/>
                <w:color w:val="auto"/>
              </w:rPr>
            </w:pPr>
          </w:p>
        </w:tc>
        <w:tc>
          <w:tcPr>
            <w:tcW w:w="66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4"/>
              </w:rPr>
              <w:t>2011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w w:val="99"/>
              </w:rPr>
              <w:t>2010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30"/>
              <w:spacing w:after="0" w:line="17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Retail Building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210,912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222,842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762,929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Residential Construction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156,660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183,596</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right w:val="single" w:sz="8" w:color="CCEEFF"/>
            </w:tcBorders>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Commercial Construction and Concrete</w:t>
            </w: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Forming</w:t>
            </w:r>
          </w:p>
        </w:tc>
        <w:tc>
          <w:tcPr>
            <w:tcW w:w="14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Industrial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128,267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120,613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364,453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345,277</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Manufactured Housing</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195,941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Total Gross Sales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478,291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489,490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1,428,674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1,538,048</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Sales Allowances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(28,361)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(25,882)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Total 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468,941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480,574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1,400,313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$ 1,512,166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76"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2011/2010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18,649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41,936</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166,369</w:t>
            </w:r>
          </w:p>
        </w:tc>
        <w:tc>
          <w:tcPr>
            <w:tcW w:w="28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172,457</w:t>
            </w: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debt and capital leases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18,759</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399,521</w:t>
            </w: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6,069</w:t>
            </w: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AND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CAPITAL LEASE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b w:val="1"/>
                <w:bCs w:val="1"/>
                <w:color w:val="auto"/>
              </w:rPr>
              <w:t>OBLIGATIONS, less current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168,962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175,051</w:t>
            </w:r>
          </w:p>
        </w:tc>
        <w:tc>
          <w:tcPr>
            <w:tcW w:w="2860" w:type="dxa"/>
            <w:vAlign w:val="bottom"/>
          </w:tcPr>
          <w:p>
            <w:pPr>
              <w:ind w:left="180"/>
              <w:spacing w:after="0"/>
              <w:rPr>
                <w:sz w:val="20"/>
                <w:szCs w:val="20"/>
                <w:color w:val="auto"/>
              </w:rPr>
            </w:pPr>
            <w:r>
              <w:rPr>
                <w:rFonts w:ascii="Arial" w:cs="Arial" w:eastAsia="Arial" w:hAnsi="Arial"/>
                <w:sz w:val="18"/>
                <w:szCs w:val="18"/>
                <w:b w:val="1"/>
                <w:bCs w:val="1"/>
                <w:color w:val="auto"/>
              </w:rPr>
              <w:t>portion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PROPERTY, PLANT AND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EQUIPMENT, NET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221,839</w:t>
            </w: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585,969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798,423</w:t>
            </w:r>
          </w:p>
        </w:tc>
        <w:tc>
          <w:tcPr>
            <w:tcW w:w="1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802,480</w:t>
            </w:r>
          </w:p>
        </w:tc>
        <w:tc>
          <w:tcPr>
            <w:tcW w:w="286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798,423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802,480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2011/2010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1"/>
              </w:rPr>
              <w:t>Adjustments to reconcile net earnings attributable to controlling interest</w:t>
            </w:r>
          </w:p>
        </w:tc>
        <w:tc>
          <w:tcPr>
            <w:tcW w:w="3820" w:type="dxa"/>
            <w:vAlign w:val="bottom"/>
            <w:gridSpan w:val="3"/>
          </w:tcPr>
          <w:p>
            <w:pPr>
              <w:jc w:val="right"/>
              <w:ind w:right="1140"/>
              <w:spacing w:after="0"/>
              <w:rPr>
                <w:sz w:val="20"/>
                <w:szCs w:val="20"/>
                <w:color w:val="auto"/>
              </w:rPr>
            </w:pPr>
            <w:r>
              <w:rPr>
                <w:rFonts w:ascii="Arial" w:cs="Arial" w:eastAsia="Arial" w:hAnsi="Arial"/>
                <w:sz w:val="18"/>
                <w:szCs w:val="18"/>
                <w:color w:val="auto"/>
                <w:w w:val="92"/>
              </w:rPr>
              <w:t>to net cash from operating activities: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Expense associated with share-based compensation arrangements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w w:val="94"/>
              </w:rPr>
              <w:t>Excess tax benefits from share-based compensation arrangements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associated with stock grant plans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Deferred income tax credit</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Net (gain) loss on sale or impairment of assets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 and other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Purchase of patents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Advances of notes receivable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Collections of notes receivable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(19,997)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revolving credit facilities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Purchase of additional noncontrolling interest</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Capital contribution from noncontrolling interest</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7"/>
              </w:rPr>
              <w:t>Excess tax benefits from share-based compensation arrangements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net</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3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48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2019-12-10T13:14:05Z</dcterms:created>
  <dcterms:modified xsi:type="dcterms:W3CDTF">2019-12-10T13:14:05Z</dcterms:modified>
</cp:coreProperties>
</file>