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ind w:left="1500" w:right="81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29, 2007</w:t>
      </w:r>
      <w:r>
        <w:rPr>
          <w:rFonts w:ascii="Arial" w:cs="Arial" w:eastAsia="Arial" w:hAnsi="Arial"/>
          <w:sz w:val="18"/>
          <w:szCs w:val="18"/>
          <w:b w:val="1"/>
          <w:bCs w:val="1"/>
          <w:color w:val="auto"/>
        </w:rPr>
        <w:t>.</w:t>
      </w:r>
    </w:p>
    <w:p>
      <w:pPr>
        <w:spacing w:after="0" w:line="18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560" w:val="left"/>
          <w:tab w:leader="none" w:pos="5660" w:val="left"/>
        </w:tabs>
        <w:rPr>
          <w:sz w:val="20"/>
          <w:szCs w:val="20"/>
          <w:color w:val="auto"/>
        </w:rPr>
      </w:pPr>
      <w:r>
        <w:rPr>
          <w:rFonts w:ascii="Arial" w:cs="Arial" w:eastAsia="Arial" w:hAnsi="Arial"/>
          <w:sz w:val="18"/>
          <w:szCs w:val="18"/>
          <w:b w:val="1"/>
          <w:bCs w:val="1"/>
          <w:color w:val="auto"/>
        </w:rPr>
        <w:t>For the transition period of</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No.: 0-22684</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0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Michigan</w:t>
            </w:r>
          </w:p>
        </w:tc>
        <w:tc>
          <w:tcPr>
            <w:tcW w:w="2600" w:type="dxa"/>
            <w:vAlign w:val="bottom"/>
          </w:tcPr>
          <w:p>
            <w:pPr>
              <w:jc w:val="right"/>
              <w:ind w:right="130"/>
              <w:spacing w:after="0"/>
              <w:rPr>
                <w:sz w:val="20"/>
                <w:szCs w:val="20"/>
                <w:color w:val="auto"/>
              </w:rPr>
            </w:pPr>
            <w:r>
              <w:rPr>
                <w:rFonts w:ascii="Arial" w:cs="Arial" w:eastAsia="Arial" w:hAnsi="Arial"/>
                <w:sz w:val="18"/>
                <w:szCs w:val="18"/>
                <w:b w:val="1"/>
                <w:bCs w:val="1"/>
                <w:color w:val="auto"/>
              </w:rPr>
              <w:t>38-1465835</w:t>
            </w:r>
          </w:p>
        </w:tc>
      </w:tr>
      <w:tr>
        <w:trPr>
          <w:trHeight w:val="216"/>
        </w:trPr>
        <w:tc>
          <w:tcPr>
            <w:tcW w:w="508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jc w:val="center"/>
              <w:ind w:left="1190"/>
              <w:spacing w:after="0"/>
              <w:rPr>
                <w:sz w:val="20"/>
                <w:szCs w:val="20"/>
                <w:color w:val="auto"/>
              </w:rPr>
            </w:pPr>
            <w:r>
              <w:rPr>
                <w:rFonts w:ascii="Arial" w:cs="Arial" w:eastAsia="Arial" w:hAnsi="Arial"/>
                <w:sz w:val="18"/>
                <w:szCs w:val="18"/>
                <w:color w:val="auto"/>
                <w:w w:val="93"/>
              </w:rPr>
              <w:t>(I.R.S. Employer</w:t>
            </w:r>
          </w:p>
        </w:tc>
      </w:tr>
      <w:tr>
        <w:trPr>
          <w:trHeight w:val="230"/>
        </w:trPr>
        <w:tc>
          <w:tcPr>
            <w:tcW w:w="508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 or organization)</w:t>
            </w:r>
          </w:p>
        </w:tc>
        <w:tc>
          <w:tcPr>
            <w:tcW w:w="2600" w:type="dxa"/>
            <w:vAlign w:val="bottom"/>
          </w:tcPr>
          <w:p>
            <w:pPr>
              <w:jc w:val="center"/>
              <w:ind w:left="1190"/>
              <w:spacing w:after="0"/>
              <w:rPr>
                <w:sz w:val="20"/>
                <w:szCs w:val="20"/>
                <w:color w:val="auto"/>
              </w:rPr>
            </w:pPr>
            <w:r>
              <w:rPr>
                <w:rFonts w:ascii="Arial" w:cs="Arial" w:eastAsia="Arial" w:hAnsi="Arial"/>
                <w:sz w:val="18"/>
                <w:szCs w:val="18"/>
                <w:color w:val="auto"/>
                <w:w w:val="94"/>
              </w:rPr>
              <w:t>Identification No.)</w:t>
            </w:r>
          </w:p>
        </w:tc>
      </w:tr>
      <w:tr>
        <w:trPr>
          <w:trHeight w:val="418"/>
        </w:trPr>
        <w:tc>
          <w:tcPr>
            <w:tcW w:w="50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2"/>
              </w:rPr>
              <w:t>2801 East Beltline, N.E., Grand Rapids, Michigan</w:t>
            </w:r>
          </w:p>
        </w:tc>
        <w:tc>
          <w:tcPr>
            <w:tcW w:w="2600" w:type="dxa"/>
            <w:vAlign w:val="bottom"/>
          </w:tcPr>
          <w:p>
            <w:pPr>
              <w:jc w:val="right"/>
              <w:ind w:right="350"/>
              <w:spacing w:after="0"/>
              <w:rPr>
                <w:sz w:val="20"/>
                <w:szCs w:val="20"/>
                <w:color w:val="auto"/>
              </w:rPr>
            </w:pPr>
            <w:r>
              <w:rPr>
                <w:rFonts w:ascii="Arial" w:cs="Arial" w:eastAsia="Arial" w:hAnsi="Arial"/>
                <w:sz w:val="18"/>
                <w:szCs w:val="18"/>
                <w:b w:val="1"/>
                <w:bCs w:val="1"/>
                <w:color w:val="auto"/>
              </w:rPr>
              <w:t>49525</w:t>
            </w:r>
          </w:p>
        </w:tc>
      </w:tr>
      <w:tr>
        <w:trPr>
          <w:trHeight w:val="230"/>
        </w:trPr>
        <w:tc>
          <w:tcPr>
            <w:tcW w:w="5080" w:type="dxa"/>
            <w:vAlign w:val="bottom"/>
          </w:tcPr>
          <w:p>
            <w:pPr>
              <w:jc w:val="center"/>
              <w:ind w:right="1170"/>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18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0"/>
          <w:szCs w:val="20"/>
          <w:color w:val="auto"/>
        </w:rPr>
      </w:pPr>
    </w:p>
    <w:tbl>
      <w:tblPr>
        <w:tblLayout w:type="fixed"/>
        <w:tblInd w:w="1940" w:type="dxa"/>
        <w:tblCellMar>
          <w:top w:w="0" w:type="dxa"/>
          <w:left w:w="0" w:type="dxa"/>
          <w:bottom w:w="0" w:type="dxa"/>
          <w:right w:w="0" w:type="dxa"/>
        </w:tblCellMar>
      </w:tblPr>
      <w:tr>
        <w:trPr>
          <w:trHeight w:val="212"/>
        </w:trPr>
        <w:tc>
          <w:tcPr>
            <w:tcW w:w="3480" w:type="dxa"/>
            <w:vAlign w:val="bottom"/>
          </w:tcPr>
          <w:p>
            <w:pPr>
              <w:jc w:val="center"/>
              <w:ind w:right="1990"/>
              <w:spacing w:after="0"/>
              <w:rPr>
                <w:sz w:val="20"/>
                <w:szCs w:val="20"/>
                <w:color w:val="auto"/>
              </w:rPr>
            </w:pPr>
            <w:r>
              <w:rPr>
                <w:rFonts w:ascii="Arial" w:cs="Arial" w:eastAsia="Arial" w:hAnsi="Arial"/>
                <w:sz w:val="18"/>
                <w:szCs w:val="18"/>
                <w:color w:val="auto"/>
                <w:w w:val="90"/>
              </w:rPr>
              <w:t>Title Of Each Class</w:t>
            </w:r>
          </w:p>
        </w:tc>
        <w:tc>
          <w:tcPr>
            <w:tcW w:w="4640" w:type="dxa"/>
            <w:vAlign w:val="bottom"/>
          </w:tcPr>
          <w:p>
            <w:pPr>
              <w:ind w:left="640"/>
              <w:spacing w:after="0"/>
              <w:rPr>
                <w:sz w:val="20"/>
                <w:szCs w:val="20"/>
                <w:color w:val="auto"/>
              </w:rPr>
            </w:pPr>
            <w:r>
              <w:rPr>
                <w:rFonts w:ascii="Arial" w:cs="Arial" w:eastAsia="Arial" w:hAnsi="Arial"/>
                <w:sz w:val="18"/>
                <w:szCs w:val="18"/>
                <w:color w:val="auto"/>
              </w:rPr>
              <w:t>Name of Each Exchange on Which Registered</w:t>
            </w:r>
          </w:p>
        </w:tc>
      </w:tr>
      <w:tr>
        <w:trPr>
          <w:trHeight w:val="234"/>
        </w:trPr>
        <w:tc>
          <w:tcPr>
            <w:tcW w:w="3480" w:type="dxa"/>
            <w:vAlign w:val="bottom"/>
          </w:tcPr>
          <w:p>
            <w:pPr>
              <w:jc w:val="center"/>
              <w:ind w:right="1990"/>
              <w:spacing w:after="0"/>
              <w:rPr>
                <w:sz w:val="20"/>
                <w:szCs w:val="20"/>
                <w:color w:val="auto"/>
              </w:rPr>
            </w:pPr>
            <w:r>
              <w:rPr>
                <w:rFonts w:ascii="Arial" w:cs="Arial" w:eastAsia="Arial" w:hAnsi="Arial"/>
                <w:sz w:val="18"/>
                <w:szCs w:val="18"/>
                <w:b w:val="1"/>
                <w:bCs w:val="1"/>
                <w:color w:val="auto"/>
                <w:w w:val="88"/>
              </w:rPr>
              <w:t>None</w:t>
            </w:r>
          </w:p>
        </w:tc>
        <w:tc>
          <w:tcPr>
            <w:tcW w:w="4640" w:type="dxa"/>
            <w:vAlign w:val="bottom"/>
            <w:tcBorders>
              <w:bottom w:val="single" w:sz="8" w:color="auto"/>
            </w:tcBorders>
          </w:tcPr>
          <w:p>
            <w:pPr>
              <w:spacing w:after="0"/>
              <w:rPr>
                <w:sz w:val="20"/>
                <w:szCs w:val="20"/>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9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Common Stock, no par value</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 of Class)</w:t>
      </w:r>
    </w:p>
    <w:p>
      <w:pPr>
        <w:spacing w:after="0" w:line="170" w:lineRule="exact"/>
        <w:rPr>
          <w:sz w:val="20"/>
          <w:szCs w:val="20"/>
          <w:color w:val="auto"/>
        </w:rPr>
      </w:pPr>
    </w:p>
    <w:p>
      <w:pPr>
        <w:ind w:left="780" w:right="1439" w:hanging="442"/>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80" w:right="1279" w:hanging="442"/>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56"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in the past 90 days.</w:t>
      </w:r>
    </w:p>
    <w:p>
      <w:pPr>
        <w:ind w:left="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5" w:lineRule="exact"/>
        <w:rPr>
          <w:sz w:val="20"/>
          <w:szCs w:val="20"/>
          <w:color w:val="auto"/>
        </w:rPr>
      </w:pPr>
    </w:p>
    <w:p>
      <w:pPr>
        <w:jc w:val="both"/>
        <w:ind w:left="340" w:right="179"/>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Items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ind w:left="340" w:right="25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0" w:gutter="0" w:footer="0" w:header="0"/>
        </w:sectPr>
      </w:pPr>
    </w:p>
    <w:p>
      <w:pPr>
        <w:jc w:val="center"/>
        <w:ind w:left="340"/>
        <w:spacing w:after="0" w:line="207" w:lineRule="exact"/>
        <w:tabs>
          <w:tab w:leader="none" w:pos="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422" w:lineRule="exact"/>
        <w:rPr>
          <w:sz w:val="20"/>
          <w:szCs w:val="20"/>
          <w:color w:val="auto"/>
        </w:rPr>
      </w:pPr>
    </w:p>
    <w:p>
      <w:pPr>
        <w:sectPr>
          <w:pgSz w:w="11900" w:h="16838" w:orient="portrait"/>
          <w:cols w:equalWidth="0" w:num="3">
            <w:col w:w="3860" w:space="360"/>
            <w:col w:w="3340" w:space="320"/>
            <w:col w:w="2339"/>
          </w:cols>
          <w:pgMar w:left="240" w:top="122" w:right="1440"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12-2 of the Act.)</w:t>
      </w:r>
    </w:p>
    <w:p>
      <w:pPr>
        <w:spacing w:after="0" w:line="18" w:lineRule="exact"/>
        <w:rPr>
          <w:sz w:val="20"/>
          <w:szCs w:val="20"/>
          <w:color w:val="auto"/>
        </w:rPr>
      </w:pPr>
    </w:p>
    <w:p>
      <w:pPr>
        <w:ind w:left="78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aggregate market value of the common stock held by non-affiliates of the registrant (i.e. excluding shares held by executive officers, directors, and control persons as defined in Rule 405, 17 CFR 230.405) on June 30, 2007 was $661,771,865 computed at the closing price of $42.26 on that date.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 2008, 18,922,136 shares of the registrant’s common stock, no par value, were outstanding.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Documents incorporated by reference:</w:t>
      </w:r>
    </w:p>
    <w:p>
      <w:pPr>
        <w:sectPr>
          <w:pgSz w:w="11900" w:h="16838" w:orient="portrait"/>
          <w:cols w:equalWidth="0" w:num="1">
            <w:col w:w="10219"/>
          </w:cols>
          <w:pgMar w:left="240" w:top="122" w:right="1440" w:bottom="0" w:gutter="0" w:footer="0" w:header="0"/>
          <w:type w:val="continuous"/>
        </w:sectPr>
      </w:pPr>
    </w:p>
    <w:bookmarkStart w:id="2" w:name="page3"/>
    <w:bookmarkEnd w:id="2"/>
    <w:p>
      <w:pPr>
        <w:ind w:left="388" w:right="179" w:hanging="388"/>
        <w:spacing w:after="0" w:line="277" w:lineRule="auto"/>
        <w:tabs>
          <w:tab w:leader="none" w:pos="388"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Annual Report to Shareholders for the fiscal year ended December 29, 2007 are incorporated by reference into Part I and II of this Report.</w:t>
      </w:r>
    </w:p>
    <w:p>
      <w:pPr>
        <w:spacing w:after="0" w:line="129" w:lineRule="exact"/>
        <w:rPr>
          <w:rFonts w:ascii="Arial" w:cs="Arial" w:eastAsia="Arial" w:hAnsi="Arial"/>
          <w:sz w:val="18"/>
          <w:szCs w:val="18"/>
          <w:color w:val="auto"/>
        </w:rPr>
      </w:pPr>
    </w:p>
    <w:p>
      <w:pPr>
        <w:ind w:left="308" w:right="159" w:hanging="308"/>
        <w:spacing w:after="0" w:line="277" w:lineRule="auto"/>
        <w:tabs>
          <w:tab w:leader="none" w:pos="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the registrant’s Proxy Statement for its 2008 Annual Meeting of Shareholders are incorporated by reference into Part III of this Report.</w:t>
      </w:r>
    </w:p>
    <w:p>
      <w:pPr>
        <w:spacing w:after="0" w:line="1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Exhibit Index located on page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819150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960" w:type="dxa"/>
            <w:vAlign w:val="bottom"/>
            <w:gridSpan w:val="20"/>
          </w:tcPr>
          <w:p>
            <w:pPr>
              <w:jc w:val="center"/>
              <w:ind w:right="1700"/>
              <w:spacing w:after="0"/>
              <w:rPr>
                <w:sz w:val="20"/>
                <w:szCs w:val="20"/>
                <w:color w:val="auto"/>
              </w:rPr>
            </w:pPr>
            <w:r>
              <w:rPr>
                <w:rFonts w:ascii="Arial" w:cs="Arial" w:eastAsia="Arial" w:hAnsi="Arial"/>
                <w:sz w:val="18"/>
                <w:szCs w:val="18"/>
                <w:b w:val="1"/>
                <w:bCs w:val="1"/>
                <w:color w:val="auto"/>
                <w:w w:val="99"/>
              </w:rPr>
              <w:t>ANNUAL REPORT ON FORM 10-K</w:t>
            </w:r>
          </w:p>
        </w:tc>
        <w:tc>
          <w:tcPr>
            <w:tcW w:w="9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0" w:type="dxa"/>
            <w:vAlign w:val="bottom"/>
            <w:gridSpan w:val="16"/>
          </w:tcPr>
          <w:p>
            <w:pPr>
              <w:jc w:val="center"/>
              <w:ind w:right="2860"/>
              <w:spacing w:after="0"/>
              <w:rPr>
                <w:sz w:val="20"/>
                <w:szCs w:val="20"/>
                <w:color w:val="auto"/>
              </w:rPr>
            </w:pPr>
            <w:r>
              <w:rPr>
                <w:rFonts w:ascii="Arial" w:cs="Arial" w:eastAsia="Arial" w:hAnsi="Arial"/>
                <w:sz w:val="18"/>
                <w:szCs w:val="18"/>
                <w:b w:val="1"/>
                <w:bCs w:val="1"/>
                <w:color w:val="auto"/>
                <w:w w:val="90"/>
              </w:rPr>
              <w:t>December 29, 2007</w:t>
            </w:r>
          </w:p>
        </w:tc>
        <w:tc>
          <w:tcPr>
            <w:tcW w:w="9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0" w:type="dxa"/>
            <w:vAlign w:val="bottom"/>
            <w:gridSpan w:val="16"/>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20" w:type="dxa"/>
            <w:vAlign w:val="bottom"/>
            <w:gridSpan w:val="12"/>
          </w:tcPr>
          <w:p>
            <w:pPr>
              <w:jc w:val="center"/>
              <w:ind w:right="354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920" w:type="dxa"/>
            <w:vAlign w:val="bottom"/>
          </w:tcPr>
          <w:p>
            <w:pPr>
              <w:spacing w:after="0"/>
              <w:rPr>
                <w:sz w:val="24"/>
                <w:szCs w:val="24"/>
                <w:color w:val="auto"/>
              </w:rPr>
            </w:pPr>
          </w:p>
        </w:tc>
      </w:tr>
      <w:tr>
        <w:trPr>
          <w:trHeight w:val="628"/>
        </w:trPr>
        <w:tc>
          <w:tcPr>
            <w:tcW w:w="12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Business</w:t>
              </w:r>
            </w:hyperlink>
          </w:p>
        </w:tc>
        <w:tc>
          <w:tcPr>
            <w:tcW w:w="3340" w:type="dxa"/>
            <w:vAlign w:val="bottom"/>
            <w:gridSpan w:val="16"/>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354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80" w:type="dxa"/>
            <w:vAlign w:val="bottom"/>
            <w:gridSpan w:val="3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Item 1A. 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Item 1B. Unresolved Staff Comments</w:t>
              </w:r>
            </w:hyperlink>
          </w:p>
        </w:tc>
        <w:tc>
          <w:tcPr>
            <w:tcW w:w="596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12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1">
              <w:r>
                <w:rPr>
                  <w:rFonts w:ascii="Arial" w:cs="Arial" w:eastAsia="Arial" w:hAnsi="Arial"/>
                  <w:sz w:val="18"/>
                  <w:szCs w:val="18"/>
                  <w:color w:val="0000EE"/>
                  <w:w w:val="88"/>
                </w:rPr>
                <w:t>Item 2. Properties</w:t>
              </w:r>
            </w:hyperlink>
          </w:p>
        </w:tc>
        <w:tc>
          <w:tcPr>
            <w:tcW w:w="7400" w:type="dxa"/>
            <w:vAlign w:val="bottom"/>
            <w:gridSpan w:val="2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8680" w:type="dxa"/>
            <w:vAlign w:val="bottom"/>
            <w:gridSpan w:val="3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3.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43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Item 4. Submission of Matters to a Vote of Security Holders</w:t>
              </w:r>
            </w:hyperlink>
          </w:p>
        </w:tc>
        <w:tc>
          <w:tcPr>
            <w:tcW w:w="436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8680" w:type="dxa"/>
            <w:vAlign w:val="bottom"/>
            <w:gridSpan w:val="3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Additional item: Executive Officers of the Registrant</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3"/>
          </w:tcPr>
          <w:p>
            <w:pPr>
              <w:jc w:val="center"/>
              <w:ind w:right="3500"/>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PART II</w:t>
              </w:r>
            </w:hyperlink>
          </w:p>
        </w:tc>
        <w:tc>
          <w:tcPr>
            <w:tcW w:w="9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8680" w:type="dxa"/>
            <w:vAlign w:val="bottom"/>
            <w:gridSpan w:val="35"/>
          </w:tcPr>
          <w:p>
            <w:pPr>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Item 5. Market for Registrant’s Common Equity, Related Shareholder Matters and Issuer Purchases of Equity</w:t>
              </w:r>
            </w:hyperlink>
          </w:p>
        </w:tc>
        <w:tc>
          <w:tcPr>
            <w:tcW w:w="920" w:type="dxa"/>
            <w:vAlign w:val="bottom"/>
          </w:tcPr>
          <w:p>
            <w:pPr>
              <w:spacing w:after="0"/>
              <w:rPr>
                <w:sz w:val="24"/>
                <w:szCs w:val="24"/>
                <w:color w:val="auto"/>
              </w:rPr>
            </w:pPr>
          </w:p>
        </w:tc>
      </w:tr>
      <w:tr>
        <w:trPr>
          <w:trHeight w:val="196"/>
        </w:trPr>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Securities</w:t>
              </w:r>
            </w:hyperlink>
          </w:p>
        </w:tc>
        <w:tc>
          <w:tcPr>
            <w:tcW w:w="8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Item 6. Selected Financial Data</w:t>
              </w:r>
            </w:hyperlink>
          </w:p>
        </w:tc>
        <w:tc>
          <w:tcPr>
            <w:tcW w:w="6420" w:type="dxa"/>
            <w:vAlign w:val="bottom"/>
            <w:gridSpan w:val="2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8680" w:type="dxa"/>
            <w:vAlign w:val="bottom"/>
            <w:gridSpan w:val="3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7. 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504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6"/>
          </w:tcPr>
          <w:p>
            <w:pPr>
              <w:spacing w:after="0"/>
              <w:rPr>
                <w:sz w:val="24"/>
                <w:szCs w:val="24"/>
                <w:color w:val="auto"/>
              </w:rPr>
            </w:pPr>
          </w:p>
        </w:tc>
        <w:tc>
          <w:tcPr>
            <w:tcW w:w="168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38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8. Financial Statements and Supplementary Data</w:t>
              </w:r>
            </w:hyperlink>
          </w:p>
        </w:tc>
        <w:tc>
          <w:tcPr>
            <w:tcW w:w="48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7040" w:type="dxa"/>
            <w:vAlign w:val="bottom"/>
            <w:tcBorders>
              <w:bottom w:val="single" w:sz="8" w:color="0000EE"/>
            </w:tcBorders>
            <w:gridSpan w:val="3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9. Changes In and Disagreements with Accountants on Accounting and Financial Disclosure</w:t>
              </w:r>
            </w:hyperlink>
          </w:p>
        </w:tc>
        <w:tc>
          <w:tcPr>
            <w:tcW w:w="164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2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Item 9A. Controls and Procedures</w:t>
              </w:r>
            </w:hyperlink>
          </w:p>
        </w:tc>
        <w:tc>
          <w:tcPr>
            <w:tcW w:w="622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12"/>
        </w:trPr>
        <w:tc>
          <w:tcPr>
            <w:tcW w:w="8680" w:type="dxa"/>
            <w:vAlign w:val="bottom"/>
            <w:gridSpan w:val="3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9B. 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III</w:t>
              </w:r>
            </w:hyperlink>
          </w:p>
        </w:tc>
        <w:tc>
          <w:tcPr>
            <w:tcW w:w="344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474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10. Directors, Executive Officers and Corporate Governance</w:t>
              </w:r>
            </w:hyperlink>
          </w:p>
        </w:tc>
        <w:tc>
          <w:tcPr>
            <w:tcW w:w="394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4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Item 11. Executive Compensation</w:t>
              </w:r>
            </w:hyperlink>
          </w:p>
        </w:tc>
        <w:tc>
          <w:tcPr>
            <w:tcW w:w="6240" w:type="dxa"/>
            <w:vAlign w:val="bottom"/>
            <w:gridSpan w:val="2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8680" w:type="dxa"/>
            <w:vAlign w:val="bottom"/>
            <w:gridSpan w:val="35"/>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Item 12. Security Ownership of Certain Beneficial Owners and Management and Related Shareholder Matters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7920" w:type="dxa"/>
            <w:vAlign w:val="bottom"/>
            <w:tcBorders>
              <w:top w:val="single" w:sz="8" w:color="0000EE"/>
            </w:tcBorders>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13. Certain Relationships and Related Transactions, and Director Independence</w:t>
              </w:r>
            </w:hyperlink>
          </w:p>
        </w:tc>
        <w:tc>
          <w:tcPr>
            <w:tcW w:w="7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6080" w:type="dxa"/>
            <w:vAlign w:val="bottom"/>
            <w:tcBorders>
              <w:top w:val="single" w:sz="8" w:color="0000EE"/>
            </w:tcBorders>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14. Principal Accounting Fees and Services</w:t>
              </w:r>
            </w:hyperlink>
          </w:p>
        </w:tc>
        <w:tc>
          <w:tcPr>
            <w:tcW w:w="260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PART IV</w:t>
              </w:r>
            </w:hyperlink>
          </w:p>
        </w:tc>
        <w:tc>
          <w:tcPr>
            <w:tcW w:w="346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r>
      <w:tr>
        <w:trPr>
          <w:trHeight w:val="412"/>
        </w:trPr>
        <w:tc>
          <w:tcPr>
            <w:tcW w:w="38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15. Exhibits and Financial Statement Schedules</w:t>
              </w:r>
            </w:hyperlink>
          </w:p>
        </w:tc>
        <w:tc>
          <w:tcPr>
            <w:tcW w:w="488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12"/>
        </w:trPr>
        <w:tc>
          <w:tcPr>
            <w:tcW w:w="40" w:type="dxa"/>
            <w:vAlign w:val="bottom"/>
          </w:tcPr>
          <w:p>
            <w:pPr>
              <w:spacing w:after="0"/>
              <w:rPr>
                <w:sz w:val="24"/>
                <w:szCs w:val="24"/>
                <w:color w:val="auto"/>
              </w:rPr>
            </w:pPr>
          </w:p>
        </w:tc>
        <w:tc>
          <w:tcPr>
            <w:tcW w:w="11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Exhibit 10(a)(7)</w:t>
            </w:r>
          </w:p>
        </w:tc>
        <w:tc>
          <w:tcPr>
            <w:tcW w:w="7480" w:type="dxa"/>
            <w:vAlign w:val="bottom"/>
            <w:gridSpan w:val="29"/>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1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0"/>
              </w:rPr>
              <w:t>Exhibit 10(a)(8)</w:t>
            </w:r>
          </w:p>
        </w:tc>
        <w:tc>
          <w:tcPr>
            <w:tcW w:w="7500" w:type="dxa"/>
            <w:vAlign w:val="bottom"/>
            <w:gridSpan w:val="30"/>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13</w:t>
            </w:r>
          </w:p>
        </w:tc>
        <w:tc>
          <w:tcPr>
            <w:tcW w:w="7900" w:type="dxa"/>
            <w:vAlign w:val="bottom"/>
            <w:gridSpan w:val="32"/>
          </w:tcPr>
          <w:p>
            <w:pPr>
              <w:spacing w:after="0"/>
              <w:rPr>
                <w:sz w:val="17"/>
                <w:szCs w:val="17"/>
                <w:color w:val="auto"/>
              </w:rPr>
            </w:pPr>
          </w:p>
        </w:tc>
        <w:tc>
          <w:tcPr>
            <w:tcW w:w="920" w:type="dxa"/>
            <w:vAlign w:val="bottom"/>
          </w:tcPr>
          <w:p>
            <w:pPr>
              <w:spacing w:after="0"/>
              <w:rPr>
                <w:sz w:val="17"/>
                <w:szCs w:val="17"/>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31(b)</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32(a)</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32(b)</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505"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General Development of the Business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Universal Forest Products, Inc. was organized as a Michigan corporation in 1955. We engineer, manufacture, treat, distribute and install lumber, composite wood, plastic and other building products to the do-it-yourself/retail (“DIY/retail”), site-built construction, manufactured housing, and industrial markets. We currently operate facilities throughout the United States, Canada, and Mexico.</w:t>
      </w:r>
    </w:p>
    <w:p>
      <w:pPr>
        <w:spacing w:after="0" w:line="13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29, 2007 (“2007 Annual Report”) under the caption “Management’s Discussion and Analysis of Financial Condition and Results of Operations.” Selected portions of the 2007 Annual Report are filed as Exhibit 13 with this Form 10-K Report.</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189"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 xml:space="preserve">Statement of Financial Accounting Standards (“SFAS”) No. 131, </w:t>
      </w:r>
      <w:r>
        <w:rPr>
          <w:rFonts w:ascii="Arial" w:cs="Arial" w:eastAsia="Arial" w:hAnsi="Arial"/>
          <w:sz w:val="17"/>
          <w:szCs w:val="17"/>
          <w:i w:val="1"/>
          <w:iCs w:val="1"/>
          <w:color w:val="auto"/>
        </w:rPr>
        <w:t>Disclosures about Segments of an Enterprise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(“SFAS 131”) defines operating segments as components of an enterprise about which separate financial information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that is evaluated regularly by the chief operating decision maker in deciding how to allocate resources and in assessing performance. 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We have aggregated our Eastern and Western divisions into one reporting segment, consistent with SFAS 131. Our Consumer Products Division, which was formed in 2006, is included in “All Other.” Separate Financial information about industry segments is incorporated by reference from Note O of the Consolidated Financial Statements presented under Item 8 herein.</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Narrative Description of Business</w:t>
      </w:r>
      <w:r>
        <w:rPr>
          <w:rFonts w:ascii="Arial" w:cs="Arial" w:eastAsia="Arial" w:hAnsi="Arial"/>
          <w:sz w:val="18"/>
          <w:szCs w:val="18"/>
          <w:color w:val="auto"/>
        </w:rPr>
        <w:t>.</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presently engineer, manufacture, treat, distribute and install lumber, composite wood, plastic and other building products for the DIY/retail, site-built construction, manufactured housing, and industrial markets. Each of these markets is discussed in the paragraphs which follow.</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u w:val="single" w:color="auto"/>
          <w:color w:val="auto"/>
        </w:rPr>
        <w:t>DIY/Retail Market</w:t>
      </w:r>
      <w:r>
        <w:rPr>
          <w:rFonts w:ascii="Arial" w:cs="Arial" w:eastAsia="Arial" w:hAnsi="Arial"/>
          <w:sz w:val="18"/>
          <w:szCs w:val="18"/>
          <w:color w:val="auto"/>
        </w:rPr>
        <w:t>. The customers comprising this market are primarily national home center retailers, retail-oriented regional lumberyards and contractor-oriented lumberyards. Generally, terms of sale are established for annual periods, and orders are placed with our regional facilities in accordance with established terms. One customer, The Home Depot, accounted for approximately 26% of our total net sales for fiscal 2007, 22% for 2006, and 22% for 2005.</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From time to time we enter into certain sales contracts with The Home Depot. The contracts are limited to the establishment of general sales terms and conditions, such as delivery, invoicing, warranties and other standard, commercial matters. Sales are made by the release of purchase orders to us for particular quantities of certain products. We also enter into marketing agreements and rebate agreements with The Home Depot. The marketing agreements provide a certain percentage of our sales revenue or a minimum dollar amount will be committed to generate sales for us and The Home Depot.</w:t>
      </w:r>
    </w:p>
    <w:p>
      <w:pPr>
        <w:spacing w:after="0" w:line="146"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currently supply customers in this market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significant advantage when negotiating annual sales programs.</w:t>
      </w:r>
    </w:p>
    <w:p>
      <w:pPr>
        <w:spacing w:after="0" w:line="11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products offered to customers in this market include dimensional lumber (both preserved and unpreserved) and various “value-added products,” some of which are sold under our trademarks. In addition to our conventional lumber products, we offer composite wood and plastic products. We also sell engineered wood products to this market, which include roof trusses, wall panels and engineered floor systems (see “Site-Built Construction Market” below).</w:t>
      </w:r>
    </w:p>
    <w:p>
      <w:pPr>
        <w:spacing w:after="0" w:line="146"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We are not aware of any competitor that currently manufactures, treats and distributes a full line of both value-added and commodity products on a national basis.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customer relationships, close proximity of our plants to core customers, purchasing and manufacturing expertise and service capabilities provide significant competitive advantages in this market.</w:t>
      </w:r>
    </w:p>
    <w:p>
      <w:pPr>
        <w:spacing w:after="0" w:line="131" w:lineRule="exact"/>
        <w:rPr>
          <w:sz w:val="20"/>
          <w:szCs w:val="20"/>
          <w:color w:val="auto"/>
        </w:rPr>
      </w:pPr>
    </w:p>
    <w:p>
      <w:pPr>
        <w:jc w:val="both"/>
        <w:ind w:left="340" w:right="179"/>
        <w:spacing w:after="0" w:line="259" w:lineRule="auto"/>
        <w:rPr>
          <w:sz w:val="20"/>
          <w:szCs w:val="20"/>
          <w:color w:val="auto"/>
        </w:rPr>
      </w:pPr>
      <w:r>
        <w:rPr>
          <w:rFonts w:ascii="Arial" w:cs="Arial" w:eastAsia="Arial" w:hAnsi="Arial"/>
          <w:sz w:val="18"/>
          <w:szCs w:val="18"/>
          <w:u w:val="single" w:color="auto"/>
          <w:color w:val="auto"/>
        </w:rPr>
        <w:t>Site-Built Construction Market</w:t>
      </w:r>
      <w:r>
        <w:rPr>
          <w:rFonts w:ascii="Arial" w:cs="Arial" w:eastAsia="Arial" w:hAnsi="Arial"/>
          <w:sz w:val="18"/>
          <w:szCs w:val="18"/>
          <w:color w:val="auto"/>
        </w:rPr>
        <w:t>. We entered the site-built construction market through strategic business acquisitions. The residential housing customers comprising this market are primarily large-volume, multi-tract builders and smaller volume custom builders. We also supply builders engaged in multi-family and commercial construction. Generally, terms of sale and pricing are determined based on quotes for each order.</w:t>
      </w:r>
    </w:p>
    <w:p>
      <w:pPr>
        <w:spacing w:after="0" w:line="146" w:lineRule="exact"/>
        <w:rPr>
          <w:sz w:val="20"/>
          <w:szCs w:val="20"/>
          <w:color w:val="auto"/>
        </w:rPr>
      </w:pPr>
    </w:p>
    <w:p>
      <w:pPr>
        <w:jc w:val="both"/>
        <w:ind w:left="340" w:right="159"/>
        <w:spacing w:after="0" w:line="229" w:lineRule="auto"/>
        <w:rPr>
          <w:sz w:val="20"/>
          <w:szCs w:val="20"/>
          <w:color w:val="auto"/>
        </w:rPr>
      </w:pPr>
      <w:r>
        <w:rPr>
          <w:rFonts w:ascii="Arial" w:cs="Arial" w:eastAsia="Arial" w:hAnsi="Arial"/>
          <w:sz w:val="18"/>
          <w:szCs w:val="18"/>
          <w:color w:val="auto"/>
        </w:rPr>
        <w:t>We currently supply customers in this market from manufacturing facilities located in many different states and Canada. These facilities manufacture various engineered wood components used to frame residential or commercial projects, including roof and floor trusses, wall panels, Open Joist 2000</w:t>
      </w:r>
      <w:r>
        <w:rPr>
          <w:rFonts w:ascii="Arial" w:cs="Arial" w:eastAsia="Arial" w:hAnsi="Arial"/>
          <w:sz w:val="26"/>
          <w:szCs w:val="26"/>
          <w:color w:val="auto"/>
          <w:vertAlign w:val="superscript"/>
        </w:rPr>
        <w:t>®</w:t>
      </w:r>
      <w:r>
        <w:rPr>
          <w:rFonts w:ascii="Arial" w:cs="Arial" w:eastAsia="Arial" w:hAnsi="Arial"/>
          <w:sz w:val="18"/>
          <w:szCs w:val="18"/>
          <w:color w:val="auto"/>
        </w:rPr>
        <w:t>, I-joists and lumber packages. Freight costs are a factor in the ability to competitively service this market due to the space requirements of these products on each truckload.</w:t>
      </w:r>
    </w:p>
    <w:p>
      <w:pPr>
        <w:spacing w:after="0" w:line="200" w:lineRule="exact"/>
        <w:rPr>
          <w:sz w:val="20"/>
          <w:szCs w:val="20"/>
          <w:color w:val="auto"/>
        </w:rPr>
      </w:pP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also provide framing services for customers in certain regional markets, in which we erect the wood structure. We believe that providing a comprehensive framing package, including installation, provides a competitive advantage. Terms of sale are based on a construction contract.</w:t>
      </w:r>
    </w:p>
    <w:p>
      <w:pPr>
        <w:spacing w:after="0" w:line="154"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Competitors in this market include national and regional retail contractor yards who also manufacture components and provide framing services, as well as regional manufacturers of components. Our objective is to continue to increase our manufacturing capacity and framing capabilities for this market while developing a national presence. We believe our primary competitive advantages relate to the engineering and design capabilities of our regional staff, customer relationships, purchasing and manufacturing expertise, product quality and timeliness of delivery.</w:t>
      </w:r>
    </w:p>
    <w:p>
      <w:pPr>
        <w:spacing w:after="0" w:line="148"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u w:val="single" w:color="auto"/>
          <w:color w:val="auto"/>
        </w:rPr>
        <w:t>Manufactured Housing Market</w:t>
      </w:r>
      <w:r>
        <w:rPr>
          <w:rFonts w:ascii="Arial" w:cs="Arial" w:eastAsia="Arial" w:hAnsi="Arial"/>
          <w:sz w:val="16"/>
          <w:szCs w:val="16"/>
          <w:color w:val="auto"/>
        </w:rPr>
        <w:t>. The customers comprising the manufactured housing market are producers of mobile, modular and prefabricated homes and recreational vehicles. Products sold to customers in this market consist primarily of roof trusses, lumber cut and shaped to the customer’s specification, plywood, particle board and dimensional lumber, all intended for use in the construction of manufactured housing. Sales are made by personnel located at each regional facility based on customer orders.</w:t>
      </w:r>
    </w:p>
    <w:p>
      <w:pPr>
        <w:spacing w:after="0" w:line="11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Our principal competitive advantages include our customer relationships, product knowledge, the strength of our engineering support services, the close proximity of our regional facilities to our customers, our purchasing and manufacturing expertise and our ability to provide national sales programs to certain customers. These factors have enabled us to accumulate significant market share in the products we supply.</w:t>
      </w:r>
    </w:p>
    <w:p>
      <w:pPr>
        <w:spacing w:after="0" w:line="160"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u w:val="single" w:color="auto"/>
          <w:color w:val="auto"/>
        </w:rPr>
        <w:t>Industrial Market</w:t>
      </w:r>
      <w:r>
        <w:rPr>
          <w:rFonts w:ascii="Arial" w:cs="Arial" w:eastAsia="Arial" w:hAnsi="Arial"/>
          <w:sz w:val="18"/>
          <w:szCs w:val="18"/>
          <w:color w:val="auto"/>
        </w:rPr>
        <w:t>. We define our industrial market as industrial manufacturers and agricultural customers who use pallets, specialty crates and wooden boxes for packaging, shipping and material handling purposes. Many of the products sold to this market may be produced from the by-product of other manufactured products, thereby allowing us to increase our raw material yields while expanding our business. Competition is fragmented and includes virtually every supplier of lumber convenient to the customer. We service this market with our dedicated local sales teams and national sales support efforts, combined with our competitive advantages in manufacturing, purchasing, and material utilization.</w:t>
      </w:r>
    </w:p>
    <w:p>
      <w:pPr>
        <w:spacing w:after="0" w:line="153" w:lineRule="exact"/>
        <w:rPr>
          <w:sz w:val="20"/>
          <w:szCs w:val="20"/>
          <w:color w:val="auto"/>
        </w:rPr>
      </w:pPr>
    </w:p>
    <w:p>
      <w:pPr>
        <w:jc w:val="both"/>
        <w:ind w:left="340" w:right="159"/>
        <w:spacing w:after="0" w:line="289" w:lineRule="auto"/>
        <w:rPr>
          <w:sz w:val="20"/>
          <w:szCs w:val="20"/>
          <w:color w:val="auto"/>
        </w:rPr>
      </w:pPr>
      <w:r>
        <w:rPr>
          <w:rFonts w:ascii="Arial" w:cs="Arial" w:eastAsia="Arial" w:hAnsi="Arial"/>
          <w:sz w:val="16"/>
          <w:szCs w:val="16"/>
          <w:u w:val="single" w:color="auto"/>
          <w:color w:val="auto"/>
        </w:rPr>
        <w:t>Suppliers</w:t>
      </w:r>
      <w:r>
        <w:rPr>
          <w:rFonts w:ascii="Arial" w:cs="Arial" w:eastAsia="Arial" w:hAnsi="Arial"/>
          <w:sz w:val="16"/>
          <w:szCs w:val="16"/>
          <w:color w:val="auto"/>
        </w:rPr>
        <w:t>. We are one of the largest domestic buyers of solid sawn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programs such as consigned inventory. We believe this represents a competitive advantage.</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44"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Due to the nature of our DIY/retail, manufactured housing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4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On December 29, 2007 and December 30, 2006, we estimate that backlog orders associated with the site-built construction business approximated $101.6 million and $119.8 million, respectively. With respect to the former, we expect that these orders will be primarily filled within the current fiscal year, however, it is possible that some orders could be canceled.</w:t>
      </w:r>
    </w:p>
    <w:p>
      <w:pPr>
        <w:spacing w:after="0" w:line="12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M of the Consolidated Financial Statements presented under Item 8 herein.</w:t>
      </w:r>
    </w:p>
    <w:p>
      <w:pPr>
        <w:spacing w:after="0" w:line="143"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xml:space="preserve">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On December 29, 2007, we had approximately 8,400 employees.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Financial Information About Geographic Areas.</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dominant portion of our operations and sales occur in the United States. Separate financial information about foreign and domestic operations and export sales is incorporated by reference from Note O of the Consolidated Financial Statements presented under Item 8 herein.</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02"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b w:val="1"/>
          <w:bCs w:val="1"/>
          <w:i w:val="1"/>
          <w:iCs w:val="1"/>
          <w:color w:val="auto"/>
        </w:rPr>
        <w:t>We are subject to fluctuations in the price of lumber</w:t>
      </w:r>
      <w:r>
        <w:rPr>
          <w:rFonts w:ascii="Arial" w:cs="Arial" w:eastAsia="Arial" w:hAnsi="Arial"/>
          <w:sz w:val="18"/>
          <w:szCs w:val="18"/>
          <w:color w:val="auto"/>
        </w:rPr>
        <w:t>. We experience significant fluctuations in the cost of commodity lumber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from primary producers (the “Lumber Market”). A variety of factors over which we have no control, including government regulations, environmental regulations, weather conditions, economic conditions, and natural disasters, impact the cost of lumber products and our selling prices. While we attempt to minimize our risk from severe price fluctuations, substantial, prolonged trends in lumber prices can negatively affect our sales volume, our gross margins, and our profitability. We anticipate that these fluctuations will continue in the future.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 xml:space="preserve">Our growth may be limited by the markets we serve. </w:t>
      </w:r>
      <w:r>
        <w:rPr>
          <w:rFonts w:ascii="Arial" w:cs="Arial" w:eastAsia="Arial" w:hAnsi="Arial"/>
          <w:sz w:val="15"/>
          <w:szCs w:val="15"/>
          <w:color w:val="auto"/>
        </w:rPr>
        <w:t>Our sales growth is dependent, in part, upon the growth of the markets we serve.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our markets do not achieve anticipated growth, or if we fail to maintain our market share, financial results could be impaired.</w:t>
      </w:r>
    </w:p>
    <w:p>
      <w:pPr>
        <w:spacing w:after="0" w:line="182"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Our ability to achieve sales and margin goals, particularly on sales to the site-built construction market, is impacted by housing starts. If housing starts decline significantly, our financial results could be negatively impacted. Single-family housing starts fell approximately 29% in 2007 compared to 2006.</w:t>
      </w:r>
    </w:p>
    <w:p>
      <w:pPr>
        <w:spacing w:after="0" w:line="15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We are witnessing consolidation by our customers in each of the markets we serve. These consolidations will result in a larger portion of our sales being made to some customers and may limit the customer base we are able to serve.</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26% of our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in 2007, 22% in 2006, and 22% in 2005.</w:t>
      </w:r>
    </w:p>
    <w:p>
      <w:pPr>
        <w:spacing w:after="0" w:line="143"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b w:val="1"/>
          <w:bCs w:val="1"/>
          <w:i w:val="1"/>
          <w:iCs w:val="1"/>
          <w:color w:val="auto"/>
        </w:rPr>
        <w:t xml:space="preserve">Our growth may be limited by our ability to make successful acquisitions. </w:t>
      </w:r>
      <w:r>
        <w:rPr>
          <w:rFonts w:ascii="Arial" w:cs="Arial" w:eastAsia="Arial" w:hAnsi="Arial"/>
          <w:sz w:val="18"/>
          <w:szCs w:val="18"/>
          <w:color w:val="auto"/>
        </w:rPr>
        <w:t>A key component of our growth strategy is to complete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combinations. Business combinations involve inherent risks, including assimilation and successfully managing growth. While we conduct extensive due diligence and have taken steps to ensure successful assimilation, factors beyond our control could influence the results of these acquisitions.</w:t>
      </w:r>
    </w:p>
    <w:p>
      <w:pPr>
        <w:spacing w:after="0" w:line="146"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b w:val="1"/>
          <w:bCs w:val="1"/>
          <w:i w:val="1"/>
          <w:iCs w:val="1"/>
          <w:color w:val="auto"/>
        </w:rPr>
        <w:t xml:space="preserve">We may be adversely affected by the impact of environmental and safety regulations. </w:t>
      </w:r>
      <w:r>
        <w:rPr>
          <w:rFonts w:ascii="Arial" w:cs="Arial" w:eastAsia="Arial" w:hAnsi="Arial"/>
          <w:sz w:val="17"/>
          <w:szCs w:val="17"/>
          <w:color w:val="auto"/>
        </w:rPr>
        <w:t>We are subject to the requirements of federal,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in the future, which restrict our ability to manufacture and market our products, including our treated lumber products, it could adversely affect our sales and profits. If existing laws are interpreted differently, it could also increase our financial costs.</w:t>
      </w:r>
    </w:p>
    <w:p>
      <w:pPr>
        <w:spacing w:after="0" w:line="138"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b w:val="1"/>
          <w:bCs w:val="1"/>
          <w:i w:val="1"/>
          <w:iCs w:val="1"/>
          <w:color w:val="auto"/>
        </w:rPr>
        <w:t>Seasonality and weather conditions could adversely affect us</w:t>
      </w:r>
      <w:r>
        <w:rPr>
          <w:rFonts w:ascii="Arial" w:cs="Arial" w:eastAsia="Arial" w:hAnsi="Arial"/>
          <w:sz w:val="17"/>
          <w:szCs w:val="17"/>
          <w:color w:val="auto"/>
        </w:rPr>
        <w:t>. Some aspects of our business are seasonal in nature and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vary from quarter to quarter. Our treated lumber and outdoor specialty products, such as fencing, decking, and lattice, experience the greatest seasonal effects. Sales of treated lumber, primarily consisting of Southern Yellow Pine, also experience the greatest Lumber Market risk (see “Historical Lumber Prices” in Management’s Discussion and Analysis of Financial Condition and Results of Operations which is presented under Item 7 of this Form 10-K and is incorporated herein by reference). Treated lumber sales are generally at their highest levels between April and August. This sales peak, combined with capacity constraints in the wood treatment process, requires us to build our inventory of treated lumber throughout the winter and spring. (This also has an impact on our receivables balances, which tend to be significantly higher at the end of the second and third quarters.) Because sales prices of treated lumber products may be indexed to the Lumber Market at the time they are shipped, our profits can be negatively affected by prolonged declines in the Lumber Market during our primary selling season. To mitigate this risk, consignment inventory programs are negotiated with certain vendors that are intended to decrease our exposure to the Lumber Market by correlating the purchase price of the material with the related sell price to the customer. These programs include those materials which are most susceptible to adverse changes in the Lumber Market.</w:t>
      </w:r>
    </w:p>
    <w:p>
      <w:pPr>
        <w:spacing w:after="0" w:line="161"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majority of our products are used or installed in outdoor construction activities; therefore, short-term sales volume, our gross margins, and our profits can be negatively affected by adverse weather conditions, particularly in our first and fourth quarters. In addition, adverse weather conditions can negatively impact our productivity and costs per unit.</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33" w:lineRule="auto"/>
        <w:rPr>
          <w:sz w:val="20"/>
          <w:szCs w:val="20"/>
          <w:color w:val="auto"/>
        </w:rPr>
      </w:pPr>
      <w:r>
        <w:rPr>
          <w:rFonts w:ascii="Arial" w:cs="Arial" w:eastAsia="Arial" w:hAnsi="Arial"/>
          <w:sz w:val="18"/>
          <w:szCs w:val="18"/>
          <w:b w:val="1"/>
          <w:bCs w:val="1"/>
          <w:i w:val="1"/>
          <w:iCs w:val="1"/>
          <w:color w:val="auto"/>
        </w:rPr>
        <w:t xml:space="preserve">New preservatives will be developed to treat our products. </w:t>
      </w:r>
      <w:r>
        <w:rPr>
          <w:rFonts w:ascii="Arial" w:cs="Arial" w:eastAsia="Arial" w:hAnsi="Arial"/>
          <w:sz w:val="18"/>
          <w:szCs w:val="18"/>
          <w:color w:val="auto"/>
        </w:rPr>
        <w:t>The manufacturers of preservatives continue to develop new preservatives.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our wood preservation facilities utilize either Amine Copper Quaternary (“ACQ”),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 or borates. While we believe treated products are reasonably priced relative to alternative products such as composites or vinyl, consumer acceptance may be impacted which would in turn affect our future operating results. In addition, new preservatives could increase our cost of treating products in the future.</w:t>
      </w:r>
    </w:p>
    <w:p>
      <w:pPr>
        <w:spacing w:after="0" w:line="17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b w:val="1"/>
          <w:bCs w:val="1"/>
          <w:i w:val="1"/>
          <w:iCs w:val="1"/>
          <w:color w:val="auto"/>
        </w:rPr>
        <w:t>Market conditions for the supply of certain lumber products and inbound transportation may be limited</w:t>
      </w:r>
      <w:r>
        <w:rPr>
          <w:rFonts w:ascii="Arial" w:cs="Arial" w:eastAsia="Arial" w:hAnsi="Arial"/>
          <w:sz w:val="18"/>
          <w:szCs w:val="18"/>
          <w:color w:val="auto"/>
        </w:rPr>
        <w:t>. These conditions,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 on occasion, have resulted in difficulties procuring desired quantities and receiving orders on a timely basis for all industry participants. We are not certain how these conditions may impact our short-term sales volumes and profitability. However, we attempt to mitigate the risks of these conditions by:</w:t>
      </w:r>
    </w:p>
    <w:p>
      <w:pPr>
        <w:spacing w:after="0" w:line="146" w:lineRule="exact"/>
        <w:rPr>
          <w:sz w:val="20"/>
          <w:szCs w:val="20"/>
          <w:color w:val="auto"/>
        </w:rPr>
      </w:pPr>
    </w:p>
    <w:p>
      <w:pPr>
        <w:jc w:val="both"/>
        <w:ind w:left="720" w:right="159" w:hanging="388"/>
        <w:spacing w:after="0" w:line="264" w:lineRule="auto"/>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pricing practices (see “Impact of the Lumber Market on Our Operating Results” in Management’s Discussion and Analysis of Financial Condition and Results of Operations which is presented under Item 7 of this Form 10-K and is incorporated herein by reference);</w:t>
      </w:r>
    </w:p>
    <w:p>
      <w:pPr>
        <w:spacing w:after="0" w:line="59" w:lineRule="exact"/>
        <w:rPr>
          <w:rFonts w:ascii="Arial" w:cs="Arial" w:eastAsia="Arial" w:hAnsi="Arial"/>
          <w:sz w:val="18"/>
          <w:szCs w:val="18"/>
          <w:b w:val="1"/>
          <w:bCs w:val="1"/>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Leveraging our size with mill and transportation suppliers to ensure they achieve supply and service requirements;</w:t>
      </w:r>
    </w:p>
    <w:p>
      <w:pPr>
        <w:spacing w:after="0" w:line="103" w:lineRule="exact"/>
        <w:rPr>
          <w:rFonts w:ascii="Arial" w:cs="Arial" w:eastAsia="Arial" w:hAnsi="Arial"/>
          <w:sz w:val="18"/>
          <w:szCs w:val="18"/>
          <w:b w:val="1"/>
          <w:bCs w:val="1"/>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Increasing our utilization of consigned inventory programs with mills; and</w:t>
      </w:r>
    </w:p>
    <w:p>
      <w:pPr>
        <w:spacing w:after="0" w:line="103" w:lineRule="exact"/>
        <w:rPr>
          <w:rFonts w:ascii="Arial" w:cs="Arial" w:eastAsia="Arial" w:hAnsi="Arial"/>
          <w:sz w:val="18"/>
          <w:szCs w:val="18"/>
          <w:b w:val="1"/>
          <w:bCs w:val="1"/>
          <w:color w:val="auto"/>
        </w:rPr>
      </w:pPr>
    </w:p>
    <w:p>
      <w:pPr>
        <w:ind w:left="720" w:hanging="388"/>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Expanding our supply base of dedicated carriers.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corporate headquarters building is located in suburban Grand Rapids, Michigan. We currently have approximately 90 facilities located throughout the United States, Canada, and Mexico. Depending upon function and location, these facilities typically utilize office space, manufacturing space, treating space and covered storage.</w:t>
      </w:r>
    </w:p>
    <w:p>
      <w:pPr>
        <w:spacing w:after="0" w:line="15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20 regional facilities which are leased. We believe all of these operating facilities are adequate in capacity and condition to service existing customer locations.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89"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Information regarding our legal proceedings is set forth in Note M of our Consolidated Financial Statements which are presented under Item 8 of this Form 10-K and are incorporated herein by reference.</w:t>
      </w:r>
    </w:p>
    <w:p>
      <w:pPr>
        <w:spacing w:after="0" w:line="200" w:lineRule="exact"/>
        <w:rPr>
          <w:sz w:val="20"/>
          <w:szCs w:val="20"/>
          <w:color w:val="auto"/>
        </w:rPr>
      </w:pPr>
    </w:p>
    <w:p>
      <w:pPr>
        <w:spacing w:after="0" w:line="33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4. Submission of Matters to a Vote of Security Holders.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The following table lists the names, ages, and positions of our executive officers as of February 1, 2008. Executive officers are elected annually by the Board of Directors at the first meeting of the Board following the annual meeting of shareholders.</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300" w:type="dxa"/>
            <w:vAlign w:val="bottom"/>
          </w:tcPr>
          <w:p>
            <w:pPr>
              <w:spacing w:after="0"/>
              <w:rPr>
                <w:sz w:val="20"/>
                <w:szCs w:val="20"/>
                <w:color w:val="auto"/>
              </w:rPr>
            </w:pPr>
          </w:p>
        </w:tc>
        <w:tc>
          <w:tcPr>
            <w:tcW w:w="61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Position</w:t>
            </w: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William G. Currie</w:t>
            </w:r>
          </w:p>
        </w:tc>
        <w:tc>
          <w:tcPr>
            <w:tcW w:w="8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60</w:t>
            </w: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Executive Chairman, Universal Forest Products, Inc.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Michael B. Glenn</w:t>
            </w:r>
          </w:p>
        </w:tc>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56</w:t>
            </w:r>
          </w:p>
        </w:tc>
        <w:tc>
          <w:tcPr>
            <w:tcW w:w="30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President and Chief Executive Officer, Universal Forest Products, Inc.</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 Scott Greene</w:t>
            </w:r>
          </w:p>
        </w:tc>
        <w:tc>
          <w:tcPr>
            <w:tcW w:w="8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52</w:t>
            </w: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President, Universal Forest Products Eastern Division, Inc.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Patrick M. Webster</w:t>
            </w:r>
          </w:p>
        </w:tc>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48</w:t>
            </w:r>
          </w:p>
        </w:tc>
        <w:tc>
          <w:tcPr>
            <w:tcW w:w="30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President, Universal Forest Products Western Division, Inc.</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Robert D. Coleman</w:t>
            </w:r>
          </w:p>
        </w:tc>
        <w:tc>
          <w:tcPr>
            <w:tcW w:w="8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53</w:t>
            </w: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of Manufacturing, Universal Forest Products, Inc.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Matthew J. Missad</w:t>
            </w:r>
          </w:p>
        </w:tc>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47</w:t>
            </w:r>
          </w:p>
        </w:tc>
        <w:tc>
          <w:tcPr>
            <w:tcW w:w="30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Executive Vice President and Secretary, Universal Forest Products, Inc.</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Michael R. Cole</w:t>
            </w:r>
          </w:p>
        </w:tc>
        <w:tc>
          <w:tcPr>
            <w:tcW w:w="8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41</w:t>
            </w: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Treasurer, Universal Forest Products, Inc.</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Ronald G. Klyn</w:t>
            </w:r>
          </w:p>
        </w:tc>
        <w:tc>
          <w:tcPr>
            <w:tcW w:w="84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50</w:t>
            </w:r>
          </w:p>
        </w:tc>
        <w:tc>
          <w:tcPr>
            <w:tcW w:w="30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Chief Information Officer, Universal Forest Products, Inc.</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Joseph F. Granger</w:t>
            </w:r>
          </w:p>
        </w:tc>
        <w:tc>
          <w:tcPr>
            <w:tcW w:w="84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42</w:t>
            </w:r>
          </w:p>
        </w:tc>
        <w:tc>
          <w:tcPr>
            <w:tcW w:w="3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5"/>
              </w:rPr>
              <w:t>Executive Vice President of Sales and Marketing, Universal Forest Products, Inc.</w:t>
            </w:r>
          </w:p>
        </w:tc>
      </w:tr>
    </w:tbl>
    <w:p>
      <w:pPr>
        <w:spacing w:after="0" w:line="17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 xml:space="preserve">William G. Currie </w:t>
      </w:r>
      <w:r>
        <w:rPr>
          <w:rFonts w:ascii="Arial" w:cs="Arial" w:eastAsia="Arial" w:hAnsi="Arial"/>
          <w:sz w:val="18"/>
          <w:szCs w:val="18"/>
          <w:color w:val="auto"/>
        </w:rPr>
        <w:t>joined us in 1971. From 1983 to 1990, Mr. Currie was President of Universal Forest Products, Inc., and he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Executive Officer of The Universal Companies, Inc. from 1989 until the merger to form Universal Forest Products, Inc. in 1993. On January 1, 2000, Mr. Currie also became Vice Chairman of the Board. On April 19, 2006, Mr. Currie became Executive Chairman.</w:t>
      </w:r>
    </w:p>
    <w:p>
      <w:pPr>
        <w:spacing w:after="0" w:line="146"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i w:val="1"/>
          <w:iCs w:val="1"/>
          <w:color w:val="auto"/>
        </w:rPr>
        <w:t xml:space="preserve">Michael B. Glenn </w:t>
      </w:r>
      <w:r>
        <w:rPr>
          <w:rFonts w:ascii="Arial" w:cs="Arial" w:eastAsia="Arial" w:hAnsi="Arial"/>
          <w:sz w:val="17"/>
          <w:szCs w:val="17"/>
          <w:color w:val="auto"/>
        </w:rPr>
        <w:t>joined us in 1974. In June of 1989, Mr. Glenn was elected Senior Vice President of our Southwest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on December 1, 1997, became President of Universal Forest Products Western Division, Inc. Effective January 1, 2000, Mr. Glenn was promoted to President and Chief Operating Officer. On July 1, 2006, Mr. Glenn became Chief Executive Officer.</w:t>
      </w:r>
    </w:p>
    <w:p>
      <w:pPr>
        <w:spacing w:after="0" w:line="12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i w:val="1"/>
          <w:iCs w:val="1"/>
          <w:color w:val="auto"/>
        </w:rPr>
        <w:t xml:space="preserve">C. Scott Greene </w:t>
      </w:r>
      <w:r>
        <w:rPr>
          <w:rFonts w:ascii="Arial" w:cs="Arial" w:eastAsia="Arial" w:hAnsi="Arial"/>
          <w:sz w:val="18"/>
          <w:szCs w:val="18"/>
          <w:color w:val="auto"/>
        </w:rPr>
        <w:t>joined us in 1991. In November of 1996 he became General Manager of Operations for our Florida Region, and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of 1999 became Vice President of Marketing for Universal Forest Products, Inc. During early 2000, Mr. Greene became President of Universal Forest Products Eastern Division, Inc.</w:t>
      </w:r>
    </w:p>
    <w:p>
      <w:pPr>
        <w:spacing w:after="0" w:line="15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He has held various sales, purchasing and management positions throughout his career with us.</w:t>
      </w:r>
      <w:r>
        <w:rPr>
          <w:rFonts w:ascii="Arial" w:cs="Arial" w:eastAsia="Arial" w:hAnsi="Arial"/>
          <w:sz w:val="18"/>
          <w:szCs w:val="18"/>
          <w:i w:val="1"/>
          <w:iCs w:val="1"/>
          <w:color w:val="auto"/>
        </w:rPr>
        <w:t xml:space="preserve"> </w:t>
      </w:r>
      <w:r>
        <w:rPr>
          <w:rFonts w:ascii="Arial" w:cs="Arial" w:eastAsia="Arial" w:hAnsi="Arial"/>
          <w:sz w:val="18"/>
          <w:szCs w:val="18"/>
          <w:color w:val="auto"/>
        </w:rPr>
        <w:t>Mr. Webster became Vice President of the Far West Region in 1999, and on July 1, 2007, became President of Universal Forest Products Western Division, Inc.</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312" w:lineRule="auto"/>
        <w:rPr>
          <w:sz w:val="20"/>
          <w:szCs w:val="20"/>
          <w:color w:val="auto"/>
        </w:rPr>
      </w:pPr>
      <w:r>
        <w:rPr>
          <w:rFonts w:ascii="Arial" w:cs="Arial" w:eastAsia="Arial" w:hAnsi="Arial"/>
          <w:sz w:val="16"/>
          <w:szCs w:val="16"/>
          <w:i w:val="1"/>
          <w:iCs w:val="1"/>
          <w:color w:val="auto"/>
        </w:rPr>
        <w:t>Robert D. Coleman</w:t>
      </w:r>
      <w:r>
        <w:rPr>
          <w:rFonts w:ascii="Arial" w:cs="Arial" w:eastAsia="Arial" w:hAnsi="Arial"/>
          <w:sz w:val="16"/>
          <w:szCs w:val="16"/>
          <w:color w:val="auto"/>
        </w:rPr>
        <w:t>, joined us in 1979. Mr. Coleman was promoted to Senior Vice President of our Midwest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1993. On December 1, 1997, Mr. Coleman became the Executive Vice President of Manufacturing of the Universal Forest Products Eastern Division, Inc. On January 1, 1999, Mr. Coleman was named the Executive Vice President of Manufacturing.</w:t>
      </w:r>
    </w:p>
    <w:p>
      <w:pPr>
        <w:spacing w:after="0" w:line="120" w:lineRule="exact"/>
        <w:rPr>
          <w:sz w:val="20"/>
          <w:szCs w:val="20"/>
          <w:color w:val="auto"/>
        </w:rPr>
      </w:pPr>
    </w:p>
    <w:p>
      <w:pPr>
        <w:jc w:val="both"/>
        <w:ind w:left="340" w:right="1380"/>
        <w:spacing w:after="0" w:line="342" w:lineRule="auto"/>
        <w:rPr>
          <w:sz w:val="20"/>
          <w:szCs w:val="20"/>
          <w:color w:val="auto"/>
        </w:rPr>
      </w:pPr>
      <w:r>
        <w:rPr>
          <w:rFonts w:ascii="Arial" w:cs="Arial" w:eastAsia="Arial" w:hAnsi="Arial"/>
          <w:sz w:val="16"/>
          <w:szCs w:val="16"/>
          <w:i w:val="1"/>
          <w:iCs w:val="1"/>
          <w:color w:val="auto"/>
        </w:rPr>
        <w:t xml:space="preserve">Matthew J. Missad </w:t>
      </w:r>
      <w:r>
        <w:rPr>
          <w:rFonts w:ascii="Arial" w:cs="Arial" w:eastAsia="Arial" w:hAnsi="Arial"/>
          <w:sz w:val="16"/>
          <w:szCs w:val="16"/>
          <w:color w:val="auto"/>
        </w:rPr>
        <w:t>joined us in 1985. Mr. Missad has served as General Counsel and Secretary since December 1, 1987, and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Corporate Compliance since August 1989. In February 1996, Mr. Missad was promoted to Executive Vice President.</w:t>
      </w:r>
    </w:p>
    <w:p>
      <w:pPr>
        <w:spacing w:after="0" w:line="83" w:lineRule="exact"/>
        <w:rPr>
          <w:sz w:val="20"/>
          <w:szCs w:val="20"/>
          <w:color w:val="auto"/>
        </w:rPr>
      </w:pPr>
    </w:p>
    <w:p>
      <w:pPr>
        <w:jc w:val="both"/>
        <w:ind w:left="340" w:right="1360"/>
        <w:spacing w:after="0" w:line="308" w:lineRule="auto"/>
        <w:rPr>
          <w:sz w:val="20"/>
          <w:szCs w:val="20"/>
          <w:color w:val="auto"/>
        </w:rPr>
      </w:pPr>
      <w:r>
        <w:rPr>
          <w:rFonts w:ascii="Arial" w:cs="Arial" w:eastAsia="Arial" w:hAnsi="Arial"/>
          <w:sz w:val="17"/>
          <w:szCs w:val="17"/>
          <w:i w:val="1"/>
          <w:iCs w:val="1"/>
          <w:color w:val="auto"/>
        </w:rPr>
        <w:t>Michael R. Cole</w:t>
      </w:r>
      <w:r>
        <w:rPr>
          <w:rFonts w:ascii="Arial" w:cs="Arial" w:eastAsia="Arial" w:hAnsi="Arial"/>
          <w:sz w:val="17"/>
          <w:szCs w:val="17"/>
          <w:color w:val="auto"/>
        </w:rPr>
        <w:t>, CPA, CMA, joined us in 1993. In January of 1997, Mr. Cole was promoted to Director of Finance, and on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2000 was made Vice President of Finance and Treasurer. On July 19, 2000, Mr. Cole became Chief Financial Officer.</w:t>
      </w:r>
    </w:p>
    <w:p>
      <w:pPr>
        <w:spacing w:after="0" w:line="106"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i w:val="1"/>
          <w:iCs w:val="1"/>
          <w:color w:val="auto"/>
        </w:rPr>
        <w:t xml:space="preserve">Ronald G. Klyn </w:t>
      </w:r>
      <w:r>
        <w:rPr>
          <w:rFonts w:ascii="Arial" w:cs="Arial" w:eastAsia="Arial" w:hAnsi="Arial"/>
          <w:sz w:val="18"/>
          <w:szCs w:val="18"/>
          <w:color w:val="auto"/>
        </w:rPr>
        <w:t>joined us in 1993 as Information Services Manager. In October of 1999, Mr. Klyn was promoted to Chief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Officer.</w:t>
      </w:r>
    </w:p>
    <w:p>
      <w:pPr>
        <w:spacing w:after="0" w:line="143" w:lineRule="exact"/>
        <w:rPr>
          <w:sz w:val="20"/>
          <w:szCs w:val="20"/>
          <w:color w:val="auto"/>
        </w:rPr>
      </w:pPr>
    </w:p>
    <w:p>
      <w:pPr>
        <w:jc w:val="both"/>
        <w:ind w:left="340" w:right="1360"/>
        <w:spacing w:after="0" w:line="308" w:lineRule="auto"/>
        <w:rPr>
          <w:sz w:val="20"/>
          <w:szCs w:val="20"/>
          <w:color w:val="auto"/>
        </w:rPr>
      </w:pPr>
      <w:r>
        <w:rPr>
          <w:rFonts w:ascii="Arial" w:cs="Arial" w:eastAsia="Arial" w:hAnsi="Arial"/>
          <w:sz w:val="17"/>
          <w:szCs w:val="17"/>
          <w:i w:val="1"/>
          <w:iCs w:val="1"/>
          <w:color w:val="auto"/>
        </w:rPr>
        <w:t xml:space="preserve">Joseph F. Granger </w:t>
      </w:r>
      <w:r>
        <w:rPr>
          <w:rFonts w:ascii="Arial" w:cs="Arial" w:eastAsia="Arial" w:hAnsi="Arial"/>
          <w:sz w:val="17"/>
          <w:szCs w:val="17"/>
          <w:color w:val="auto"/>
        </w:rPr>
        <w:t>joined us in 1988. In 1997 he became Vice President of the Atlantic Region, in 2002 he became Regional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the Southeast Region, and on January 1, 2007, he became Executive Vice President of Sales and Marketing.</w:t>
      </w:r>
    </w:p>
    <w:p>
      <w:pPr>
        <w:spacing w:after="0" w:line="102"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PART II</w:t>
      </w:r>
    </w:p>
    <w:p>
      <w:pPr>
        <w:spacing w:after="0" w:line="189"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The following information items in this Part II, which are contained in the 2007 Annual Report, are specifically incorporated by reference into this Form 10-K Report. These portions of the 2007 Annual Report that are specifically incorporated by reference are filed as Exhibit 13 with this Form 10-K Report.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89" w:lineRule="exact"/>
        <w:rPr>
          <w:sz w:val="20"/>
          <w:szCs w:val="20"/>
          <w:color w:val="auto"/>
        </w:rPr>
      </w:pPr>
    </w:p>
    <w:p>
      <w:pPr>
        <w:ind w:left="720" w:right="1380" w:hanging="388"/>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2007 Annual Report under the caption “Price Range of Common Stock and Dividends.”</w:t>
      </w:r>
    </w:p>
    <w:p>
      <w:pPr>
        <w:spacing w:after="0" w:line="48"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There were no recent sales of unregistered securities.</w:t>
      </w:r>
    </w:p>
    <w:p>
      <w:pPr>
        <w:spacing w:after="0" w:line="103"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03"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Month</w:t>
            </w:r>
          </w:p>
        </w:tc>
        <w:tc>
          <w:tcPr>
            <w:tcW w:w="300" w:type="dxa"/>
            <w:vAlign w:val="bottom"/>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w:t>
            </w:r>
          </w:p>
        </w:tc>
        <w:tc>
          <w:tcPr>
            <w:tcW w:w="380" w:type="dxa"/>
            <w:vAlign w:val="bottom"/>
          </w:tcPr>
          <w:p>
            <w:pPr>
              <w:spacing w:after="0"/>
              <w:rPr>
                <w:sz w:val="20"/>
                <w:szCs w:val="20"/>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(c)</w:t>
            </w:r>
          </w:p>
        </w:tc>
        <w:tc>
          <w:tcPr>
            <w:tcW w:w="380" w:type="dxa"/>
            <w:vAlign w:val="bottom"/>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September 30 – November 3, 2007</w:t>
            </w:r>
            <w:r>
              <w:rPr>
                <w:rFonts w:ascii="Arial" w:cs="Arial" w:eastAsia="Arial" w:hAnsi="Arial"/>
                <w:sz w:val="15"/>
                <w:szCs w:val="15"/>
                <w:color w:val="auto"/>
              </w:rPr>
              <w:t>(1)</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60,300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60,300</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1,298,710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November 4 – December 1, 2007</w:t>
            </w: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42,000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30.39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42,000</w:t>
            </w: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9"/>
              </w:rPr>
              <w:t>1,256,710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2 – 29, 2007</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12,000</w:t>
            </w:r>
          </w:p>
        </w:tc>
        <w:tc>
          <w:tcPr>
            <w:tcW w:w="1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1,244,710</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80" w:type="dxa"/>
            <w:vAlign w:val="bottom"/>
            <w:gridSpan w:val="2"/>
          </w:tcPr>
          <w:p>
            <w:pPr>
              <w:jc w:val="right"/>
              <w:ind w:right="5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77" w:lineRule="exact"/>
        <w:rPr>
          <w:sz w:val="20"/>
          <w:szCs w:val="20"/>
          <w:color w:val="auto"/>
        </w:rPr>
      </w:pPr>
    </w:p>
    <w:p>
      <w:pPr>
        <w:jc w:val="both"/>
        <w:ind w:left="720" w:right="159" w:hanging="388"/>
        <w:spacing w:after="0" w:line="264" w:lineRule="auto"/>
        <w:tabs>
          <w:tab w:leader="none" w:pos="720" w:val="left"/>
        </w:tabs>
        <w:numPr>
          <w:ilvl w:val="0"/>
          <w:numId w:val="7"/>
        </w:numPr>
        <w:rPr>
          <w:rFonts w:ascii="Arial" w:cs="Arial" w:eastAsia="Arial" w:hAnsi="Arial"/>
          <w:sz w:val="15"/>
          <w:szCs w:val="15"/>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 million shares of our common stock. As of December 29, 2007, the cumulative total of authorized shares available for repurchase is 1.2 million shares.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2007 Annual Report under the caption “Selected Financial Data.”</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2007 Annual Report under the caption “Management’s Discussion and Analysis of Financial Condition and Results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54" w:lineRule="exact"/>
        <w:rPr>
          <w:sz w:val="20"/>
          <w:szCs w:val="20"/>
          <w:color w:val="auto"/>
        </w:rPr>
      </w:pPr>
    </w:p>
    <w:p>
      <w:pPr>
        <w:jc w:val="both"/>
        <w:ind w:left="340" w:right="179"/>
        <w:spacing w:after="0" w:line="279" w:lineRule="auto"/>
        <w:rPr>
          <w:sz w:val="20"/>
          <w:szCs w:val="20"/>
          <w:color w:val="auto"/>
        </w:rPr>
      </w:pPr>
      <w:r>
        <w:rPr>
          <w:rFonts w:ascii="Arial" w:cs="Arial" w:eastAsia="Arial" w:hAnsi="Arial"/>
          <w:sz w:val="17"/>
          <w:szCs w:val="17"/>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3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On December 29, 2007, the estimated fair value of our long-term debt, including the current portion, was $207.6 million, which was $1.5 million greater than the carrying value. The estimated fair value is based on rates anticipated to be available to us for debt with similar terms and maturities. The estimated fair value of notes payable included in current liabilities and the revolving credit facility approximated the carrying values.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780" w:type="dxa"/>
            <w:vAlign w:val="bottom"/>
            <w:gridSpan w:val="17"/>
          </w:tcPr>
          <w:p>
            <w:pPr>
              <w:spacing w:after="0"/>
              <w:rPr>
                <w:sz w:val="20"/>
                <w:szCs w:val="20"/>
                <w:color w:val="auto"/>
              </w:rPr>
            </w:pPr>
            <w:r>
              <w:rPr>
                <w:rFonts w:ascii="Arial" w:cs="Arial" w:eastAsia="Arial" w:hAnsi="Arial"/>
                <w:sz w:val="18"/>
                <w:szCs w:val="18"/>
                <w:color w:val="auto"/>
                <w:w w:val="97"/>
              </w:rPr>
              <w:t>Expected cash flows over the next five years related to debt instruments are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2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($US equivalents, in thousands)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84"/>
              </w:rPr>
              <w:t>2008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2009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84"/>
              </w:rPr>
              <w:t>2010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84"/>
              </w:rPr>
              <w:t>2011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99"/>
              </w:rPr>
              <w:t>2012</w:t>
            </w:r>
          </w:p>
        </w:tc>
        <w:tc>
          <w:tcPr>
            <w:tcW w:w="3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Fixed Rate ($US)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118,500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Average interest rate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Variable Rate ($US)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54,884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15,900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72,571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15"/>
                <w:szCs w:val="15"/>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5"/>
          <w:szCs w:val="15"/>
          <w:color w:val="auto"/>
        </w:rPr>
      </w:pPr>
      <w:r>
        <w:rPr>
          <w:rFonts w:ascii="Arial" w:cs="Arial" w:eastAsia="Arial" w:hAnsi="Arial"/>
          <w:sz w:val="18"/>
          <w:szCs w:val="18"/>
          <w:color w:val="auto"/>
        </w:rPr>
        <w:t>Average of rates at December 29, 2007.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required by this Item is incorporated by reference from the 2007 Annual Report under the following captions: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3" w:lineRule="exact"/>
        <w:rPr>
          <w:sz w:val="20"/>
          <w:szCs w:val="20"/>
          <w:color w:val="auto"/>
        </w:rPr>
      </w:pPr>
    </w:p>
    <w:p>
      <w:pPr>
        <w:ind w:left="340" w:right="2199"/>
        <w:spacing w:after="0" w:line="250"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“Report of Independent Registered Public Accounting Firm” “Consolidated Balance Sheets”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02" w:lineRule="exact"/>
        <w:rPr>
          <w:sz w:val="20"/>
          <w:szCs w:val="20"/>
          <w:color w:val="auto"/>
        </w:rPr>
      </w:pPr>
    </w:p>
    <w:p>
      <w:pPr>
        <w:jc w:val="both"/>
        <w:ind w:left="720" w:right="159" w:hanging="388"/>
        <w:spacing w:after="0" w:line="259"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29, 2007 (the “Evaluation Date”), have concluded that, as of such date, our disclosure controls and procedures were effective.</w:t>
      </w:r>
    </w:p>
    <w:p>
      <w:pPr>
        <w:spacing w:after="0" w:line="65" w:lineRule="exact"/>
        <w:rPr>
          <w:rFonts w:ascii="Arial" w:cs="Arial" w:eastAsia="Arial" w:hAnsi="Arial"/>
          <w:sz w:val="18"/>
          <w:szCs w:val="18"/>
          <w:color w:val="auto"/>
        </w:rPr>
      </w:pPr>
    </w:p>
    <w:p>
      <w:pPr>
        <w:jc w:val="both"/>
        <w:ind w:left="720" w:right="159" w:hanging="388"/>
        <w:spacing w:after="0" w:line="297"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Management’s Annual Report on Internal Control Over Financial Reporting is included in the 2007 Annual Report under the caption “Management’s Annual Report on Internal Control Over Financial Reporting” and is incorporated herein by reference. Our accounting firm’s attestation Report on our internal control over financial reporting is also included in the 2007 Annual Report in the caption “Report of Independent Registered Public Accounting Firm on Internal Control Over Financial Reporting” and is incorporated herein by reference.</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79" w:hanging="388"/>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fourth quarter ended December 29, 2007, there were no changes in our internal control over financial reporting that materially affected, or is reasonably likely to materially affect, our internal control over financial reporting.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189"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Information relating to our directors, compliance with Section 16(a) of the Securities and Exchange Act of 1934 and various corporate governance matters is incorporated by reference from our definitive Proxy Statement for the year ended December 29, 2007 for the 2008 Annual Meeting of Shareholders, as filed with the Commission (“2008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11. Executive Compensation</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2008 Proxy Statement under the caption “Executive Compensation.” The “Compensation Committee Report” included in the 2008 Proxy Statement is incorporated hereby by reference for the purpose of being furnished herein and is not and shall not be deemed to be filed under the Securities Exchange Act of 1934, as amended.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Shareholder Matters</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Information relating to security ownership of certain beneficial owners and management is incorporated by reference from our 2008 Proxy Statement under the captions “Ownership of Common Stock” and “Securities Ownership of Management.”</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Information relating to securities authorized for issuance under equity compensation plans as of December 29, 2007, is as follows: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Number of shares</w:t>
            </w: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remaining</w:t>
            </w:r>
          </w:p>
        </w:tc>
      </w:tr>
      <w:tr>
        <w:trPr>
          <w:trHeight w:val="216"/>
        </w:trPr>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gridSpan w:val="3"/>
          </w:tcPr>
          <w:p>
            <w:pPr>
              <w:jc w:val="center"/>
              <w:ind w:left="170"/>
              <w:spacing w:after="0"/>
              <w:rPr>
                <w:sz w:val="20"/>
                <w:szCs w:val="20"/>
                <w:color w:val="auto"/>
              </w:rPr>
            </w:pPr>
            <w:r>
              <w:rPr>
                <w:rFonts w:ascii="Arial" w:cs="Arial" w:eastAsia="Arial" w:hAnsi="Arial"/>
                <w:sz w:val="18"/>
                <w:szCs w:val="18"/>
                <w:color w:val="auto"/>
                <w:w w:val="93"/>
              </w:rPr>
              <w:t>available for future</w:t>
            </w:r>
          </w:p>
        </w:tc>
      </w:tr>
      <w:tr>
        <w:trPr>
          <w:trHeight w:val="216"/>
        </w:trPr>
        <w:tc>
          <w:tcPr>
            <w:tcW w:w="56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3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issuance under</w:t>
            </w:r>
          </w:p>
        </w:tc>
      </w:tr>
      <w:tr>
        <w:trPr>
          <w:trHeight w:val="216"/>
        </w:trPr>
        <w:tc>
          <w:tcPr>
            <w:tcW w:w="56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shares to be</w:t>
            </w: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equity</w:t>
            </w:r>
          </w:p>
        </w:tc>
      </w:tr>
      <w:tr>
        <w:trPr>
          <w:trHeight w:val="216"/>
        </w:trPr>
        <w:tc>
          <w:tcPr>
            <w:tcW w:w="56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issued upon</w:t>
            </w: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exercise</w:t>
            </w:r>
          </w:p>
        </w:tc>
        <w:tc>
          <w:tcPr>
            <w:tcW w:w="3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compensation</w:t>
            </w:r>
          </w:p>
        </w:tc>
      </w:tr>
      <w:tr>
        <w:trPr>
          <w:trHeight w:val="216"/>
        </w:trPr>
        <w:tc>
          <w:tcPr>
            <w:tcW w:w="56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 of</w:t>
            </w:r>
          </w:p>
        </w:tc>
        <w:tc>
          <w:tcPr>
            <w:tcW w:w="12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94"/>
              </w:rPr>
              <w:t>price of</w:t>
            </w:r>
          </w:p>
        </w:tc>
        <w:tc>
          <w:tcPr>
            <w:tcW w:w="36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plans [excluding</w:t>
            </w:r>
          </w:p>
        </w:tc>
      </w:tr>
      <w:tr>
        <w:trPr>
          <w:trHeight w:val="216"/>
        </w:trPr>
        <w:tc>
          <w:tcPr>
            <w:tcW w:w="56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outstanding</w:t>
            </w:r>
          </w:p>
        </w:tc>
        <w:tc>
          <w:tcPr>
            <w:tcW w:w="36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shares reflected in</w:t>
            </w:r>
          </w:p>
        </w:tc>
      </w:tr>
      <w:tr>
        <w:trPr>
          <w:trHeight w:val="230"/>
        </w:trPr>
        <w:tc>
          <w:tcPr>
            <w:tcW w:w="560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options</w:t>
            </w:r>
          </w:p>
        </w:tc>
        <w:tc>
          <w:tcPr>
            <w:tcW w:w="120" w:type="dxa"/>
            <w:vAlign w:val="bottom"/>
          </w:tcPr>
          <w:p>
            <w:pPr>
              <w:spacing w:after="0"/>
              <w:rPr>
                <w:sz w:val="20"/>
                <w:szCs w:val="20"/>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options</w:t>
            </w:r>
          </w:p>
        </w:tc>
        <w:tc>
          <w:tcPr>
            <w:tcW w:w="36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column (a)]</w:t>
            </w:r>
          </w:p>
        </w:tc>
      </w:tr>
      <w:tr>
        <w:trPr>
          <w:trHeight w:val="217"/>
        </w:trPr>
        <w:tc>
          <w:tcPr>
            <w:tcW w:w="56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(b)</w:t>
            </w:r>
          </w:p>
        </w:tc>
        <w:tc>
          <w:tcPr>
            <w:tcW w:w="3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796,477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987,603</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r>
        <w:rPr>
          <w:rFonts w:ascii="Arial" w:cs="Arial" w:eastAsia="Arial" w:hAnsi="Arial"/>
          <w:sz w:val="18"/>
          <w:szCs w:val="18"/>
          <w:b w:val="1"/>
          <w:bCs w:val="1"/>
          <w:color w:val="auto"/>
        </w:rPr>
        <w:t>.</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2008 Proxy Statement under the captions “Election of Directors”, “Affirmative Determination Regarding Director Independence and Other Matters” and “Related Party Transactions.”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14. Principal Accounting Fees and Services</w:t>
      </w:r>
      <w:r>
        <w:rPr>
          <w:rFonts w:ascii="Arial" w:cs="Arial" w:eastAsia="Arial" w:hAnsi="Arial"/>
          <w:sz w:val="18"/>
          <w:szCs w:val="18"/>
          <w:b w:val="1"/>
          <w:bCs w:val="1"/>
          <w:color w:val="auto"/>
        </w:rPr>
        <w:t>.</w:t>
      </w:r>
    </w:p>
    <w:p>
      <w:pPr>
        <w:spacing w:after="0" w:line="202"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Information relating to the types of services rendered by our Independent Auditors and the fees paid for these services is incorporated by reference from our 2008 Proxy Statement under the caption “Independent Public Accountants — Fees and Services.”</w:t>
      </w:r>
    </w:p>
    <w:p>
      <w:pPr>
        <w:spacing w:after="0" w:line="7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r>
        <w:rPr>
          <w:rFonts w:ascii="Arial" w:cs="Arial" w:eastAsia="Arial" w:hAnsi="Arial"/>
          <w:sz w:val="18"/>
          <w:szCs w:val="18"/>
          <w:b w:val="1"/>
          <w:bCs w:val="1"/>
          <w:color w:val="auto"/>
        </w:rPr>
        <w:t>.</w:t>
      </w:r>
    </w:p>
    <w:p>
      <w:pPr>
        <w:spacing w:after="0" w:line="202"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1. Financial Statements</w:t>
      </w:r>
      <w:r>
        <w:rPr>
          <w:rFonts w:ascii="Arial" w:cs="Arial" w:eastAsia="Arial" w:hAnsi="Arial"/>
          <w:sz w:val="16"/>
          <w:szCs w:val="16"/>
          <w:color w:val="auto"/>
        </w:rPr>
        <w:t>. The following are incorporated by reference, under Item 8 of this report, from the 2007 Annual Report: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Earnings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20" w:right="179" w:firstLine="1"/>
        <w:spacing w:after="0" w:line="264" w:lineRule="auto"/>
        <w:tabs>
          <w:tab w:leader="none" w:pos="932"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54" w:lineRule="exact"/>
        <w:rPr>
          <w:rFonts w:ascii="Arial" w:cs="Arial" w:eastAsia="Arial" w:hAnsi="Arial"/>
          <w:sz w:val="18"/>
          <w:szCs w:val="18"/>
          <w:u w:val="single" w:color="auto"/>
          <w:color w:val="auto"/>
        </w:rPr>
      </w:pPr>
    </w:p>
    <w:p>
      <w:pPr>
        <w:ind w:left="900" w:hanging="179"/>
        <w:spacing w:after="0"/>
        <w:tabs>
          <w:tab w:leader="none" w:pos="900" w:val="left"/>
        </w:tabs>
        <w:numPr>
          <w:ilvl w:val="1"/>
          <w:numId w:val="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Reference is made to the Exhibit Index which is included in this Form 10-K Report.</w:t>
      </w:r>
    </w:p>
    <w:p>
      <w:pPr>
        <w:spacing w:after="0" w:line="184" w:lineRule="exact"/>
        <w:rPr>
          <w:rFonts w:ascii="Arial" w:cs="Arial" w:eastAsia="Arial" w:hAnsi="Arial"/>
          <w:sz w:val="18"/>
          <w:szCs w:val="18"/>
          <w:u w:val="single" w:color="auto"/>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Reference is made to the Exhibit Index which is included in this Form 10-K Report.</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340"/>
        <w:spacing w:after="0"/>
        <w:tabs>
          <w:tab w:leader="none" w:pos="4840" w:val="left"/>
        </w:tabs>
        <w:rPr>
          <w:sz w:val="20"/>
          <w:szCs w:val="20"/>
          <w:color w:val="auto"/>
        </w:rPr>
      </w:pPr>
      <w:r>
        <w:rPr>
          <w:rFonts w:ascii="Arial" w:cs="Arial" w:eastAsia="Arial" w:hAnsi="Arial"/>
          <w:sz w:val="18"/>
          <w:szCs w:val="18"/>
          <w:color w:val="auto"/>
        </w:rPr>
        <w:t>Dated: February 26, 2008</w:t>
      </w:r>
      <w:r>
        <w:rPr>
          <w:sz w:val="20"/>
          <w:szCs w:val="20"/>
          <w:color w:val="auto"/>
        </w:rPr>
        <w:tab/>
      </w:r>
      <w:r>
        <w:rPr>
          <w:rFonts w:ascii="Arial" w:cs="Arial" w:eastAsia="Arial" w:hAnsi="Arial"/>
          <w:sz w:val="17"/>
          <w:szCs w:val="17"/>
          <w:b w:val="1"/>
          <w:bCs w:val="1"/>
          <w:color w:val="auto"/>
        </w:rPr>
        <w:t>UNIVERSAL FOREST PRODUCTS, INC.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Michael B. Glenn</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Michael B. Glenn,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-130810</wp:posOffset>
            </wp:positionV>
            <wp:extent cx="21780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 Michael R. Cole</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Michael R. Cole,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-130810</wp:posOffset>
            </wp:positionV>
            <wp:extent cx="2306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 Treasurer</w:t>
      </w: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26th day of February, 2008, by the following persons on behalf of us and in the capacities indicated.</w:t>
      </w:r>
    </w:p>
    <w:p>
      <w:pPr>
        <w:spacing w:after="0" w:line="13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Each Director whose signature appears below hereby appoints Matthew J. Missad and Michael R. Cole, and each of them individually, as his attorney-in-fact to sign in his name and on his behalf as a Director, and to file with the Commission any and all amendments to this report on Form 10-K to the same extent and with the same effect as if done personally.</w:t>
      </w:r>
    </w:p>
    <w:p>
      <w:pPr>
        <w:sectPr>
          <w:pgSz w:w="11900" w:h="16838" w:orient="portrait"/>
          <w:cols w:equalWidth="0" w:num="1">
            <w:col w:w="10219"/>
          </w:cols>
          <w:pgMar w:left="240" w:top="419" w:right="1440" w:bottom="1440" w:gutter="0" w:footer="0" w:header="0"/>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Peter F. Secchia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9673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Peter F. Secchia, Director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Dan M. Dutton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Dan M. Dutton,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John W. Garside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John W. Garside, Director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Gary F. Goode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9673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Gary F. Goode, Director</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Louis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29673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Louis A. Smith, 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9584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M. Engler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9584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Engler,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B.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9584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Michael B. Glenn, Director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A.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9584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A. Murray, Director</w:t>
      </w:r>
    </w:p>
    <w:p>
      <w:pPr>
        <w:spacing w:after="0" w:line="863" w:lineRule="exact"/>
        <w:rPr>
          <w:sz w:val="20"/>
          <w:szCs w:val="20"/>
          <w:color w:val="auto"/>
        </w:rPr>
      </w:pPr>
    </w:p>
    <w:p>
      <w:pPr>
        <w:sectPr>
          <w:pgSz w:w="11900" w:h="16838" w:orient="portrait"/>
          <w:cols w:equalWidth="0" w:num="2">
            <w:col w:w="4680" w:space="720"/>
            <w:col w:w="4819"/>
          </w:cols>
          <w:pgMar w:left="240" w:top="419"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19" w:lineRule="exact"/>
        <w:rPr>
          <w:sz w:val="20"/>
          <w:szCs w:val="20"/>
          <w:color w:val="auto"/>
        </w:rPr>
      </w:pPr>
    </w:p>
    <w:p>
      <w:pPr>
        <w:ind w:left="1280" w:hanging="948"/>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225" w:lineRule="exact"/>
        <w:rPr>
          <w:rFonts w:ascii="Arial" w:cs="Arial" w:eastAsia="Arial" w:hAnsi="Arial"/>
          <w:sz w:val="18"/>
          <w:szCs w:val="18"/>
          <w:color w:val="auto"/>
        </w:rPr>
      </w:pPr>
    </w:p>
    <w:p>
      <w:pPr>
        <w:ind w:left="2040" w:right="1380" w:hanging="762"/>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Registrant’s Articles of Incorporation were filed as Exhibit 3(a) to a Registration Statement on Form S-1 (No. 33-69474) and the same is incorporated herein by reference.</w:t>
      </w:r>
    </w:p>
    <w:p>
      <w:pPr>
        <w:spacing w:after="0" w:line="170" w:lineRule="exact"/>
        <w:rPr>
          <w:rFonts w:ascii="Arial" w:cs="Arial" w:eastAsia="Arial" w:hAnsi="Arial"/>
          <w:sz w:val="18"/>
          <w:szCs w:val="18"/>
          <w:color w:val="auto"/>
        </w:rPr>
      </w:pPr>
    </w:p>
    <w:p>
      <w:pPr>
        <w:ind w:left="2040" w:right="1360" w:hanging="762"/>
        <w:spacing w:after="0" w:line="277" w:lineRule="auto"/>
        <w:tabs>
          <w:tab w:leader="none" w:pos="2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Registrant’s Bylaws were filed as Exhibit 3(b) to a Registration Statement on Form S-1 (No. 33-69474) and the same is incorporated herein by reference.</w:t>
      </w:r>
    </w:p>
    <w:p>
      <w:pPr>
        <w:spacing w:after="0" w:line="170" w:lineRule="exact"/>
        <w:rPr>
          <w:sz w:val="20"/>
          <w:szCs w:val="20"/>
          <w:color w:val="auto"/>
        </w:rPr>
      </w:pPr>
    </w:p>
    <w:p>
      <w:pPr>
        <w:ind w:left="1280" w:hanging="948"/>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w:t>
            </w:r>
          </w:p>
        </w:tc>
        <w:tc>
          <w:tcPr>
            <w:tcW w:w="9520" w:type="dxa"/>
            <w:vAlign w:val="bottom"/>
          </w:tcPr>
          <w:p>
            <w:pPr>
              <w:ind w:left="140"/>
              <w:spacing w:after="0"/>
              <w:rPr>
                <w:sz w:val="20"/>
                <w:szCs w:val="20"/>
                <w:color w:val="auto"/>
              </w:rPr>
            </w:pPr>
            <w:r>
              <w:rPr>
                <w:rFonts w:ascii="Arial" w:cs="Arial" w:eastAsia="Arial" w:hAnsi="Arial"/>
                <w:sz w:val="18"/>
                <w:szCs w:val="18"/>
                <w:color w:val="auto"/>
              </w:rPr>
              <w:t>Specimen form of Stock Certificate for Common Stock was filed as Exhibit 4(a) to a Registration Statement on</w:t>
            </w:r>
          </w:p>
        </w:tc>
      </w:tr>
      <w:tr>
        <w:trPr>
          <w:trHeight w:val="230"/>
        </w:trPr>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Form S-1 (No. 33-69474) and the same is incorporated herein by reference.</w:t>
            </w:r>
          </w:p>
        </w:tc>
      </w:tr>
      <w:tr>
        <w:trPr>
          <w:trHeight w:val="432"/>
        </w:trPr>
        <w:tc>
          <w:tcPr>
            <w:tcW w:w="90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0520" w:type="dxa"/>
            <w:vAlign w:val="bottom"/>
            <w:gridSpan w:val="2"/>
          </w:tcPr>
          <w:p>
            <w:pPr>
              <w:ind w:left="380"/>
              <w:spacing w:after="0"/>
              <w:rPr>
                <w:sz w:val="20"/>
                <w:szCs w:val="20"/>
                <w:color w:val="auto"/>
              </w:rPr>
            </w:pPr>
            <w:r>
              <w:rPr>
                <w:rFonts w:ascii="Arial" w:cs="Arial" w:eastAsia="Arial" w:hAnsi="Arial"/>
                <w:sz w:val="18"/>
                <w:szCs w:val="18"/>
                <w:color w:val="auto"/>
              </w:rPr>
              <w:t>Material Contracts.</w:t>
            </w:r>
          </w:p>
        </w:tc>
      </w:tr>
      <w:tr>
        <w:trPr>
          <w:trHeight w:val="418"/>
        </w:trPr>
        <w:tc>
          <w:tcPr>
            <w:tcW w:w="9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*(a)(3)</w:t>
            </w:r>
          </w:p>
        </w:tc>
        <w:tc>
          <w:tcPr>
            <w:tcW w:w="9520" w:type="dxa"/>
            <w:vAlign w:val="bottom"/>
          </w:tcPr>
          <w:p>
            <w:pPr>
              <w:ind w:left="140"/>
              <w:spacing w:after="0"/>
              <w:rPr>
                <w:sz w:val="20"/>
                <w:szCs w:val="20"/>
                <w:color w:val="auto"/>
              </w:rPr>
            </w:pPr>
            <w:r>
              <w:rPr>
                <w:rFonts w:ascii="Arial" w:cs="Arial" w:eastAsia="Arial" w:hAnsi="Arial"/>
                <w:sz w:val="18"/>
                <w:szCs w:val="18"/>
                <w:color w:val="auto"/>
              </w:rPr>
              <w:t>Consulting Agreement with Peter F. Secchia, dated December 31, 2002, and Assignment dated January 1, 2003</w:t>
            </w:r>
          </w:p>
        </w:tc>
      </w:tr>
      <w:tr>
        <w:trPr>
          <w:trHeight w:val="216"/>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was filed as Exhibit 10(a)(3) to a Form 10-K, Annual Report for the year ended December 28, 2002 and the</w:t>
            </w:r>
          </w:p>
        </w:tc>
      </w:tr>
      <w:tr>
        <w:trPr>
          <w:trHeight w:val="230"/>
        </w:trPr>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same is incorporated herein by reference.</w:t>
            </w:r>
          </w:p>
        </w:tc>
      </w:tr>
      <w:tr>
        <w:trPr>
          <w:trHeight w:val="418"/>
        </w:trPr>
        <w:tc>
          <w:tcPr>
            <w:tcW w:w="9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*(a)(4)</w:t>
            </w:r>
          </w:p>
        </w:tc>
        <w:tc>
          <w:tcPr>
            <w:tcW w:w="9520" w:type="dxa"/>
            <w:vAlign w:val="bottom"/>
          </w:tcPr>
          <w:p>
            <w:pPr>
              <w:ind w:left="140"/>
              <w:spacing w:after="0"/>
              <w:rPr>
                <w:sz w:val="20"/>
                <w:szCs w:val="20"/>
                <w:color w:val="auto"/>
              </w:rPr>
            </w:pPr>
            <w:r>
              <w:rPr>
                <w:rFonts w:ascii="Arial" w:cs="Arial" w:eastAsia="Arial" w:hAnsi="Arial"/>
                <w:sz w:val="18"/>
                <w:szCs w:val="18"/>
                <w:color w:val="auto"/>
              </w:rPr>
              <w:t>Nondisclosure and Non-Compete Agreement with Peter F. Secchia, dated December 31, 2002 was filed as</w:t>
            </w:r>
          </w:p>
        </w:tc>
      </w:tr>
      <w:tr>
        <w:trPr>
          <w:trHeight w:val="216"/>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Exhibit 10(a)(4) to a Form 10-K, Annual Report for the year ended December 28, 2002 and the same is</w:t>
            </w:r>
          </w:p>
        </w:tc>
      </w:tr>
      <w:tr>
        <w:trPr>
          <w:trHeight w:val="230"/>
        </w:trPr>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9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*(a)(5)</w:t>
            </w:r>
          </w:p>
        </w:tc>
        <w:tc>
          <w:tcPr>
            <w:tcW w:w="9520" w:type="dxa"/>
            <w:vAlign w:val="bottom"/>
          </w:tcPr>
          <w:p>
            <w:pPr>
              <w:ind w:left="140"/>
              <w:spacing w:after="0"/>
              <w:rPr>
                <w:sz w:val="20"/>
                <w:szCs w:val="20"/>
                <w:color w:val="auto"/>
              </w:rPr>
            </w:pPr>
            <w:r>
              <w:rPr>
                <w:rFonts w:ascii="Arial" w:cs="Arial" w:eastAsia="Arial" w:hAnsi="Arial"/>
                <w:sz w:val="18"/>
                <w:szCs w:val="18"/>
                <w:color w:val="auto"/>
              </w:rPr>
              <w:t>Conditional Share Grant Agreement with William G. Currie dated April 17, 2002 was filed as Exhibit 10(a)(5)</w:t>
            </w:r>
          </w:p>
        </w:tc>
      </w:tr>
      <w:tr>
        <w:trPr>
          <w:trHeight w:val="216"/>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to a Form 10-K, Annual Report for the year ended December 28, 2002 and the same is incorporated herein by</w:t>
            </w:r>
          </w:p>
        </w:tc>
      </w:tr>
      <w:tr>
        <w:trPr>
          <w:trHeight w:val="230"/>
        </w:trPr>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reference.</w:t>
            </w:r>
          </w:p>
        </w:tc>
      </w:tr>
      <w:tr>
        <w:trPr>
          <w:trHeight w:val="418"/>
        </w:trPr>
        <w:tc>
          <w:tcPr>
            <w:tcW w:w="9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*(a)(6)</w:t>
            </w:r>
          </w:p>
        </w:tc>
        <w:tc>
          <w:tcPr>
            <w:tcW w:w="9520" w:type="dxa"/>
            <w:vAlign w:val="bottom"/>
          </w:tcPr>
          <w:p>
            <w:pPr>
              <w:ind w:left="140"/>
              <w:spacing w:after="0"/>
              <w:rPr>
                <w:sz w:val="20"/>
                <w:szCs w:val="20"/>
                <w:color w:val="auto"/>
              </w:rPr>
            </w:pPr>
            <w:r>
              <w:rPr>
                <w:rFonts w:ascii="Arial" w:cs="Arial" w:eastAsia="Arial" w:hAnsi="Arial"/>
                <w:sz w:val="18"/>
                <w:szCs w:val="18"/>
                <w:color w:val="auto"/>
              </w:rPr>
              <w:t>Form of Conditional Share Grant Agreement utilized under the Company’s Long Term Stock Incentive Plan,</w:t>
            </w:r>
          </w:p>
        </w:tc>
      </w:tr>
      <w:tr>
        <w:trPr>
          <w:trHeight w:val="216"/>
        </w:trPr>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was filed as Exhibit 10(a) to a Form 10-Q Quarterly Report for the quarter ended September 25, 2004 and the</w:t>
            </w:r>
          </w:p>
        </w:tc>
      </w:tr>
      <w:tr>
        <w:trPr>
          <w:trHeight w:val="230"/>
        </w:trPr>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520" w:type="dxa"/>
            <w:vAlign w:val="bottom"/>
          </w:tcPr>
          <w:p>
            <w:pPr>
              <w:ind w:left="140"/>
              <w:spacing w:after="0"/>
              <w:rPr>
                <w:sz w:val="20"/>
                <w:szCs w:val="20"/>
                <w:color w:val="auto"/>
              </w:rPr>
            </w:pPr>
            <w:r>
              <w:rPr>
                <w:rFonts w:ascii="Arial" w:cs="Arial" w:eastAsia="Arial" w:hAnsi="Arial"/>
                <w:sz w:val="18"/>
                <w:szCs w:val="18"/>
                <w:color w:val="auto"/>
              </w:rPr>
              <w:t>same is incorporated herein by reference.</w:t>
            </w:r>
          </w:p>
        </w:tc>
      </w:tr>
      <w:tr>
        <w:trPr>
          <w:trHeight w:val="432"/>
        </w:trPr>
        <w:tc>
          <w:tcPr>
            <w:tcW w:w="900" w:type="dxa"/>
            <w:vAlign w:val="bottom"/>
          </w:tcPr>
          <w:p>
            <w:pPr>
              <w:spacing w:after="0"/>
              <w:rPr>
                <w:sz w:val="24"/>
                <w:szCs w:val="24"/>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rPr>
              <w:t>*(a)(7)</w:t>
            </w:r>
          </w:p>
        </w:tc>
        <w:tc>
          <w:tcPr>
            <w:tcW w:w="9520" w:type="dxa"/>
            <w:vAlign w:val="bottom"/>
          </w:tcPr>
          <w:p>
            <w:pPr>
              <w:ind w:left="140"/>
              <w:spacing w:after="0"/>
              <w:rPr>
                <w:sz w:val="20"/>
                <w:szCs w:val="20"/>
                <w:color w:val="auto"/>
              </w:rPr>
            </w:pPr>
            <w:r>
              <w:rPr>
                <w:rFonts w:ascii="Arial" w:cs="Arial" w:eastAsia="Arial" w:hAnsi="Arial"/>
                <w:sz w:val="18"/>
                <w:szCs w:val="18"/>
                <w:color w:val="auto"/>
              </w:rPr>
              <w:t>Consulting and Non-Compete Agreement with William G. Currie, dated December 17, 2007.</w:t>
            </w:r>
          </w:p>
        </w:tc>
      </w:tr>
      <w:tr>
        <w:trPr>
          <w:trHeight w:val="797"/>
        </w:trPr>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520" w:type="dxa"/>
            <w:vAlign w:val="bottom"/>
          </w:tcPr>
          <w:p>
            <w:pPr>
              <w:ind w:left="3160"/>
              <w:spacing w:after="0"/>
              <w:rPr>
                <w:sz w:val="20"/>
                <w:szCs w:val="20"/>
                <w:color w:val="auto"/>
              </w:rPr>
            </w:pPr>
            <w:r>
              <w:rPr>
                <w:rFonts w:ascii="Arial" w:cs="Arial" w:eastAsia="Arial" w:hAnsi="Arial"/>
                <w:sz w:val="18"/>
                <w:szCs w:val="18"/>
                <w:color w:val="auto"/>
              </w:rPr>
              <w:t>E-1</w:t>
            </w:r>
          </w:p>
        </w:tc>
      </w:tr>
      <w:tr>
        <w:trPr>
          <w:trHeight w:val="226"/>
        </w:trPr>
        <w:tc>
          <w:tcPr>
            <w:tcW w:w="9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9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5436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219" w:lineRule="exact"/>
        <w:rPr>
          <w:sz w:val="20"/>
          <w:szCs w:val="20"/>
          <w:color w:val="auto"/>
        </w:rPr>
      </w:pPr>
    </w:p>
    <w:p>
      <w:pPr>
        <w:ind w:left="1280"/>
        <w:spacing w:after="0"/>
        <w:tabs>
          <w:tab w:leader="none" w:pos="2000" w:val="left"/>
        </w:tabs>
        <w:rPr>
          <w:sz w:val="20"/>
          <w:szCs w:val="20"/>
          <w:color w:val="auto"/>
        </w:rPr>
      </w:pPr>
      <w:r>
        <w:rPr>
          <w:rFonts w:ascii="Arial" w:cs="Arial" w:eastAsia="Arial" w:hAnsi="Arial"/>
          <w:sz w:val="17"/>
          <w:szCs w:val="17"/>
          <w:color w:val="auto"/>
        </w:rPr>
        <w:t>*(a)(8)</w:t>
        <w:tab/>
        <w:t>Employment, Consulting (and Non-Competition) Agreement with Robert K. Hill, dated June 15, 2007.</w:t>
      </w:r>
    </w:p>
    <w:p>
      <w:pPr>
        <w:spacing w:after="0" w:line="237" w:lineRule="exact"/>
        <w:rPr>
          <w:sz w:val="20"/>
          <w:szCs w:val="20"/>
          <w:color w:val="auto"/>
        </w:rPr>
      </w:pPr>
    </w:p>
    <w:p>
      <w:pPr>
        <w:jc w:val="both"/>
        <w:ind w:left="2020" w:right="379" w:hanging="742"/>
        <w:spacing w:after="0" w:line="264"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81"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*(e)(1)</w:t>
            </w:r>
          </w:p>
        </w:tc>
        <w:tc>
          <w:tcPr>
            <w:tcW w:w="7940" w:type="dxa"/>
            <w:vAlign w:val="bottom"/>
          </w:tcPr>
          <w:p>
            <w:pPr>
              <w:ind w:left="120"/>
              <w:spacing w:after="0"/>
              <w:rPr>
                <w:sz w:val="20"/>
                <w:szCs w:val="20"/>
                <w:color w:val="auto"/>
              </w:rPr>
            </w:pPr>
            <w:r>
              <w:rPr>
                <w:rFonts w:ascii="Arial" w:cs="Arial" w:eastAsia="Arial" w:hAnsi="Arial"/>
                <w:sz w:val="18"/>
                <w:szCs w:val="18"/>
                <w:color w:val="auto"/>
                <w:w w:val="94"/>
              </w:rPr>
              <w:t>Form of Executive Stock Option Agreement was filed as Exhibit 10(e)(1) to a Registration Statement on</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Form S-1 (No. 33-69474) and the same is incorporated herein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*(e)(2)</w:t>
            </w:r>
          </w:p>
        </w:tc>
        <w:tc>
          <w:tcPr>
            <w:tcW w:w="7940" w:type="dxa"/>
            <w:vAlign w:val="bottom"/>
          </w:tcPr>
          <w:p>
            <w:pPr>
              <w:ind w:left="120"/>
              <w:spacing w:after="0"/>
              <w:rPr>
                <w:sz w:val="20"/>
                <w:szCs w:val="20"/>
                <w:color w:val="auto"/>
              </w:rPr>
            </w:pPr>
            <w:r>
              <w:rPr>
                <w:rFonts w:ascii="Arial" w:cs="Arial" w:eastAsia="Arial" w:hAnsi="Arial"/>
                <w:sz w:val="18"/>
                <w:szCs w:val="18"/>
                <w:color w:val="auto"/>
                <w:w w:val="96"/>
              </w:rPr>
              <w:t>Form of Officers’ Stock Option Agreement was filed as Exhibit 10(e)(2) to a Registration Statement on</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Form S-1 (No. 33-69474) and the same is incorporated herein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*(f)</w:t>
            </w:r>
          </w:p>
        </w:tc>
        <w:tc>
          <w:tcPr>
            <w:tcW w:w="7940" w:type="dxa"/>
            <w:vAlign w:val="bottom"/>
          </w:tcPr>
          <w:p>
            <w:pPr>
              <w:ind w:left="120"/>
              <w:spacing w:after="0"/>
              <w:rPr>
                <w:sz w:val="20"/>
                <w:szCs w:val="20"/>
                <w:color w:val="auto"/>
              </w:rPr>
            </w:pPr>
            <w:r>
              <w:rPr>
                <w:rFonts w:ascii="Arial" w:cs="Arial" w:eastAsia="Arial" w:hAnsi="Arial"/>
                <w:sz w:val="18"/>
                <w:szCs w:val="18"/>
                <w:color w:val="auto"/>
                <w:w w:val="92"/>
              </w:rPr>
              <w:t>Salaried Employee Bonus Plan was filed as Exhibit 10(f) to a Registration Statement on Form S-1 (No. 33-</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69474) and the same is incorporated herein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(i)(4)</w:t>
            </w:r>
          </w:p>
        </w:tc>
        <w:tc>
          <w:tcPr>
            <w:tcW w:w="7940" w:type="dxa"/>
            <w:vAlign w:val="bottom"/>
          </w:tcPr>
          <w:p>
            <w:pPr>
              <w:ind w:left="120"/>
              <w:spacing w:after="0"/>
              <w:rPr>
                <w:sz w:val="20"/>
                <w:szCs w:val="20"/>
                <w:color w:val="auto"/>
              </w:rPr>
            </w:pPr>
            <w:r>
              <w:rPr>
                <w:rFonts w:ascii="Arial" w:cs="Arial" w:eastAsia="Arial" w:hAnsi="Arial"/>
                <w:sz w:val="18"/>
                <w:szCs w:val="18"/>
                <w:color w:val="auto"/>
                <w:w w:val="98"/>
              </w:rPr>
              <w:t>Series 2004-A, Credit Agreement dated December 20, 2004 was filed as Exhibit 10(i) to a Form 8-K</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Current Report dated December 21, 2004 and the same is incorporated herein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(i)(5)</w:t>
            </w:r>
          </w:p>
        </w:tc>
        <w:tc>
          <w:tcPr>
            <w:tcW w:w="7940" w:type="dxa"/>
            <w:vAlign w:val="bottom"/>
          </w:tcPr>
          <w:p>
            <w:pPr>
              <w:ind w:left="120"/>
              <w:spacing w:after="0"/>
              <w:rPr>
                <w:sz w:val="20"/>
                <w:szCs w:val="20"/>
                <w:color w:val="auto"/>
              </w:rPr>
            </w:pPr>
            <w:r>
              <w:rPr>
                <w:rFonts w:ascii="Arial" w:cs="Arial" w:eastAsia="Arial" w:hAnsi="Arial"/>
                <w:sz w:val="18"/>
                <w:szCs w:val="18"/>
                <w:color w:val="auto"/>
                <w:w w:val="90"/>
              </w:rPr>
              <w:t>First Amendment dated February 12, 2007 relating to Series 2004-A, Credit Agreement dated December 20,</w:t>
            </w:r>
          </w:p>
        </w:tc>
      </w:tr>
      <w:tr>
        <w:trPr>
          <w:trHeight w:val="216"/>
        </w:trPr>
        <w:tc>
          <w:tcPr>
            <w:tcW w:w="6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w w:val="96"/>
              </w:rPr>
              <w:t>2004 was filed as Exhibit 10(i) to a Form 8-K Current Report dated February 15, 2007 and the same is</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(j)(1)</w:t>
            </w:r>
          </w:p>
        </w:tc>
        <w:tc>
          <w:tcPr>
            <w:tcW w:w="7940" w:type="dxa"/>
            <w:vAlign w:val="bottom"/>
          </w:tcPr>
          <w:p>
            <w:pPr>
              <w:ind w:left="120"/>
              <w:spacing w:after="0"/>
              <w:rPr>
                <w:sz w:val="20"/>
                <w:szCs w:val="20"/>
                <w:color w:val="auto"/>
              </w:rPr>
            </w:pPr>
            <w:r>
              <w:rPr>
                <w:rFonts w:ascii="Arial" w:cs="Arial" w:eastAsia="Arial" w:hAnsi="Arial"/>
                <w:sz w:val="18"/>
                <w:szCs w:val="18"/>
                <w:color w:val="auto"/>
                <w:w w:val="99"/>
              </w:rPr>
              <w:t>Series 1998-A, Senior Note Agreement dated December 21, 1998 was filed as Exhibit 10(j)(1) to a</w:t>
            </w:r>
          </w:p>
        </w:tc>
      </w:tr>
      <w:tr>
        <w:trPr>
          <w:trHeight w:val="216"/>
        </w:trPr>
        <w:tc>
          <w:tcPr>
            <w:tcW w:w="6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w w:val="92"/>
              </w:rPr>
              <w:t>Form 10-K Annual Report for the year ended December 26, 1998, and the same is incorporated herein by</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(j)(2)</w:t>
            </w:r>
          </w:p>
        </w:tc>
        <w:tc>
          <w:tcPr>
            <w:tcW w:w="7940" w:type="dxa"/>
            <w:vAlign w:val="bottom"/>
          </w:tcPr>
          <w:p>
            <w:pPr>
              <w:ind w:left="120"/>
              <w:spacing w:after="0"/>
              <w:rPr>
                <w:sz w:val="20"/>
                <w:szCs w:val="20"/>
                <w:color w:val="auto"/>
              </w:rPr>
            </w:pPr>
            <w:r>
              <w:rPr>
                <w:rFonts w:ascii="Arial" w:cs="Arial" w:eastAsia="Arial" w:hAnsi="Arial"/>
                <w:sz w:val="18"/>
                <w:szCs w:val="18"/>
                <w:color w:val="auto"/>
                <w:w w:val="99"/>
              </w:rPr>
              <w:t>Series 2002-A, Senior Note Agreement dated December 18, 2002 was filed as Exhibit 10(j)(2) to a</w:t>
            </w:r>
          </w:p>
        </w:tc>
      </w:tr>
      <w:tr>
        <w:trPr>
          <w:trHeight w:val="216"/>
        </w:trPr>
        <w:tc>
          <w:tcPr>
            <w:tcW w:w="6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w w:val="93"/>
              </w:rPr>
              <w:t>Form 10-K Annual Report for the year ended December 28, 2002 and the same is incorporated herein by</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reference.</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(k)(4)</w:t>
            </w:r>
          </w:p>
        </w:tc>
        <w:tc>
          <w:tcPr>
            <w:tcW w:w="7940" w:type="dxa"/>
            <w:vAlign w:val="bottom"/>
          </w:tcPr>
          <w:p>
            <w:pPr>
              <w:ind w:left="120"/>
              <w:spacing w:after="0"/>
              <w:rPr>
                <w:sz w:val="20"/>
                <w:szCs w:val="20"/>
                <w:color w:val="auto"/>
              </w:rPr>
            </w:pPr>
            <w:r>
              <w:rPr>
                <w:rFonts w:ascii="Arial" w:cs="Arial" w:eastAsia="Arial" w:hAnsi="Arial"/>
                <w:sz w:val="18"/>
                <w:szCs w:val="18"/>
                <w:color w:val="auto"/>
                <w:w w:val="98"/>
              </w:rPr>
              <w:t>Program for Accounts Receivable Transfer (“PARTS”) Agreement dated March 7, 2006 was filed as</w:t>
            </w:r>
          </w:p>
        </w:tc>
      </w:tr>
      <w:tr>
        <w:trPr>
          <w:trHeight w:val="216"/>
        </w:trPr>
        <w:tc>
          <w:tcPr>
            <w:tcW w:w="620" w:type="dxa"/>
            <w:vAlign w:val="bottom"/>
          </w:tcPr>
          <w:p>
            <w:pPr>
              <w:spacing w:after="0"/>
              <w:rPr>
                <w:sz w:val="18"/>
                <w:szCs w:val="18"/>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w w:val="95"/>
              </w:rPr>
              <w:t>Exhibit 10(k)(4) to a Form 10-K Annual Report for the year ended December 31, 2005 and the same is</w:t>
            </w:r>
          </w:p>
        </w:tc>
      </w:tr>
      <w:tr>
        <w:trPr>
          <w:trHeight w:val="230"/>
        </w:trPr>
        <w:tc>
          <w:tcPr>
            <w:tcW w:w="620" w:type="dxa"/>
            <w:vAlign w:val="bottom"/>
          </w:tcPr>
          <w:p>
            <w:pPr>
              <w:spacing w:after="0"/>
              <w:rPr>
                <w:sz w:val="20"/>
                <w:szCs w:val="20"/>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incorporated herein by reference.</w:t>
            </w:r>
          </w:p>
        </w:tc>
      </w:tr>
    </w:tbl>
    <w:p>
      <w:pPr>
        <w:spacing w:after="0" w:line="202" w:lineRule="exact"/>
        <w:rPr>
          <w:sz w:val="20"/>
          <w:szCs w:val="20"/>
          <w:color w:val="auto"/>
        </w:rPr>
      </w:pPr>
    </w:p>
    <w:p>
      <w:pPr>
        <w:jc w:val="center"/>
        <w:ind w:left="5060" w:right="799" w:hanging="4728"/>
        <w:spacing w:after="0" w:line="951" w:lineRule="auto"/>
        <w:tabs>
          <w:tab w:leader="none" w:pos="12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Selected portions of the Company’s Annual Report to Shareholders for the fiscal year ended December 29, 2007.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wp:posOffset>
            </wp:positionV>
            <wp:extent cx="5514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4340" cy="8890"/>
                    </a:xfrm>
                    <a:prstGeom prst="rect">
                      <a:avLst/>
                    </a:prstGeom>
                    <a:noFill/>
                  </pic:spPr>
                </pic:pic>
              </a:graphicData>
            </a:graphic>
          </wp:anchor>
        </w:drawing>
      </w:r>
    </w:p>
    <w:p>
      <w:pPr>
        <w:spacing w:after="0" w:line="219" w:lineRule="exact"/>
        <w:rPr>
          <w:sz w:val="20"/>
          <w:szCs w:val="20"/>
          <w:color w:val="auto"/>
        </w:rPr>
      </w:pPr>
    </w:p>
    <w:p>
      <w:pPr>
        <w:ind w:left="1260" w:hanging="928"/>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spacing w:after="0" w:line="225" w:lineRule="exact"/>
        <w:rPr>
          <w:rFonts w:ascii="Arial" w:cs="Arial" w:eastAsia="Arial" w:hAnsi="Arial"/>
          <w:sz w:val="18"/>
          <w:szCs w:val="18"/>
          <w:color w:val="auto"/>
        </w:rPr>
      </w:pPr>
    </w:p>
    <w:p>
      <w:pPr>
        <w:ind w:left="2380" w:right="279" w:hanging="1116"/>
        <w:spacing w:after="0" w:line="308" w:lineRule="auto"/>
        <w:tabs>
          <w:tab w:leader="none" w:pos="2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Code of Ethics for Chief Financial Officer was filed as Exhibit 14(a) to a Form 10-K, Annual Report for the year ended December 25, 2004 and the same is incorporated herein by reference.</w:t>
      </w:r>
    </w:p>
    <w:p>
      <w:pPr>
        <w:spacing w:after="0" w:line="146" w:lineRule="exact"/>
        <w:rPr>
          <w:rFonts w:ascii="Arial" w:cs="Arial" w:eastAsia="Arial" w:hAnsi="Arial"/>
          <w:sz w:val="17"/>
          <w:szCs w:val="17"/>
          <w:color w:val="auto"/>
        </w:rPr>
      </w:pPr>
    </w:p>
    <w:p>
      <w:pPr>
        <w:jc w:val="both"/>
        <w:ind w:left="2380" w:right="279" w:hanging="1116"/>
        <w:spacing w:after="0" w:line="264" w:lineRule="auto"/>
        <w:tabs>
          <w:tab w:leader="none" w:pos="23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Code of Ethics for Vice President of Accounting and Administration was filed as Exhibit 14(a) to a Form 10-K, Annual Report for the year ended December 25, 2004 and the same is incorporated herein by reference.</w:t>
      </w:r>
    </w:p>
    <w:p>
      <w:pPr>
        <w:spacing w:after="0" w:line="181" w:lineRule="exact"/>
        <w:rPr>
          <w:rFonts w:ascii="Arial" w:cs="Arial" w:eastAsia="Arial" w:hAnsi="Arial"/>
          <w:sz w:val="18"/>
          <w:szCs w:val="18"/>
          <w:color w:val="auto"/>
        </w:rPr>
      </w:pPr>
    </w:p>
    <w:p>
      <w:pPr>
        <w:ind w:left="2380" w:right="279" w:hanging="1116"/>
        <w:spacing w:after="0" w:line="308" w:lineRule="auto"/>
        <w:tabs>
          <w:tab w:leader="none" w:pos="23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Code of Ethics for Vice President of Accounting was filed as Exhibit 14(c) to a Form 10-K, Annual Report for the year ended December 31, 2005 and the same is incorporated herein by reference.</w:t>
      </w:r>
    </w:p>
    <w:p>
      <w:pPr>
        <w:spacing w:after="0" w:line="1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2680" w:type="dxa"/>
            <w:vAlign w:val="bottom"/>
          </w:tcPr>
          <w:p>
            <w:pPr>
              <w:ind w:left="380"/>
              <w:spacing w:after="0"/>
              <w:rPr>
                <w:sz w:val="20"/>
                <w:szCs w:val="20"/>
                <w:color w:val="auto"/>
              </w:rPr>
            </w:pPr>
            <w:r>
              <w:rPr>
                <w:rFonts w:ascii="Arial" w:cs="Arial" w:eastAsia="Arial" w:hAnsi="Arial"/>
                <w:sz w:val="18"/>
                <w:szCs w:val="18"/>
                <w:color w:val="auto"/>
                <w:w w:val="94"/>
              </w:rPr>
              <w:t>Subsidiaries of the Registrant.</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23</w:t>
            </w:r>
          </w:p>
        </w:tc>
        <w:tc>
          <w:tcPr>
            <w:tcW w:w="2680" w:type="dxa"/>
            <w:vAlign w:val="bottom"/>
          </w:tcPr>
          <w:p>
            <w:pPr>
              <w:ind w:left="380"/>
              <w:spacing w:after="0"/>
              <w:rPr>
                <w:sz w:val="20"/>
                <w:szCs w:val="20"/>
                <w:color w:val="auto"/>
              </w:rPr>
            </w:pPr>
            <w:r>
              <w:rPr>
                <w:rFonts w:ascii="Arial" w:cs="Arial" w:eastAsia="Arial" w:hAnsi="Arial"/>
                <w:sz w:val="18"/>
                <w:szCs w:val="18"/>
                <w:color w:val="auto"/>
                <w:w w:val="91"/>
              </w:rPr>
              <w:t>Consent of Ernst &amp; Young LLP.</w:t>
            </w:r>
          </w:p>
        </w:tc>
      </w:tr>
    </w:tbl>
    <w:p>
      <w:pPr>
        <w:spacing w:after="0" w:line="202" w:lineRule="exact"/>
        <w:rPr>
          <w:sz w:val="20"/>
          <w:szCs w:val="20"/>
          <w:color w:val="auto"/>
        </w:rPr>
      </w:pPr>
    </w:p>
    <w:p>
      <w:pPr>
        <w:ind w:left="1260" w:hanging="92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380" w:right="279" w:hanging="1116"/>
        <w:spacing w:after="0" w:line="277" w:lineRule="auto"/>
        <w:tabs>
          <w:tab w:leader="none" w:pos="2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2380" w:right="279" w:hanging="1116"/>
        <w:spacing w:after="0" w:line="277" w:lineRule="auto"/>
        <w:tabs>
          <w:tab w:leader="none" w:pos="2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260" w:hanging="928"/>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2380" w:right="279" w:hanging="1116"/>
        <w:spacing w:after="0" w:line="277" w:lineRule="auto"/>
        <w:tabs>
          <w:tab w:leader="none" w:pos="2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2380" w:right="279" w:hanging="1116"/>
        <w:spacing w:after="0" w:line="277" w:lineRule="auto"/>
        <w:tabs>
          <w:tab w:leader="none" w:pos="2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Certificate of the Chief Financial Officer of Universal Forest Products, Inc.,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177165</wp:posOffset>
            </wp:positionV>
            <wp:extent cx="11150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13" w:lineRule="exact"/>
        <w:rPr>
          <w:sz w:val="20"/>
          <w:szCs w:val="20"/>
          <w:color w:val="auto"/>
        </w:rPr>
      </w:pPr>
    </w:p>
    <w:p>
      <w:pPr>
        <w:ind w:left="720" w:hanging="388"/>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219"/>
          </w:cols>
          <w:pgMar w:left="240" w:top="419" w:right="1440" w:bottom="1440" w:gutter="0" w:footer="0" w:header="0"/>
        </w:sectPr>
      </w:pPr>
    </w:p>
    <w:bookmarkStart w:id="23" w:name="page24"/>
    <w:bookmarkEnd w:id="23"/>
    <w:p>
      <w:pPr>
        <w:jc w:val="right"/>
        <w:ind w:right="159"/>
        <w:spacing w:after="0"/>
        <w:rPr>
          <w:sz w:val="20"/>
          <w:szCs w:val="20"/>
          <w:color w:val="auto"/>
        </w:rPr>
      </w:pPr>
      <w:r>
        <w:rPr>
          <w:rFonts w:ascii="Arial" w:cs="Arial" w:eastAsia="Arial" w:hAnsi="Arial"/>
          <w:sz w:val="18"/>
          <w:szCs w:val="18"/>
          <w:b w:val="1"/>
          <w:bCs w:val="1"/>
          <w:color w:val="auto"/>
        </w:rPr>
        <w:t>Exhibit 10(a) (7)</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NONDISCLOSURE AND NON-COMPETE AGREEMENT</w:t>
      </w:r>
    </w:p>
    <w:p>
      <w:pPr>
        <w:spacing w:after="0" w:line="189"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This Agreement is entered into as of the 17th day of December, 2007, by and between Universal Forest Products, Inc., and its affiliates and subsidiaries, 2801 East Beltline NE, Grand Rapids, MI 49525 (herein “UFP”), and William G. Currie, an individual, of 1830 Beard Drive SE, Grand Rapids, MI 49546 (herein “Currie”).</w:t>
      </w:r>
    </w:p>
    <w:p>
      <w:pPr>
        <w:spacing w:after="0" w:line="13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RECITALS</w:t>
      </w:r>
    </w:p>
    <w:p>
      <w:pPr>
        <w:spacing w:after="0" w:line="202" w:lineRule="exact"/>
        <w:rPr>
          <w:sz w:val="20"/>
          <w:szCs w:val="20"/>
          <w:color w:val="auto"/>
        </w:rPr>
      </w:pPr>
    </w:p>
    <w:p>
      <w:pPr>
        <w:ind w:left="468" w:right="159" w:hanging="468"/>
        <w:spacing w:after="0" w:line="277" w:lineRule="auto"/>
        <w:tabs>
          <w:tab w:leader="none" w:pos="4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Currie intends to retire as an officer of UFP as of July 21, 2009. UFP wishes to restrict his services from being provided to any competitors of UFP.</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Parties agree as follows: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1. DISCLOSURE OF INFORMATION.</w:t>
      </w:r>
    </w:p>
    <w:p>
      <w:pPr>
        <w:spacing w:after="0" w:line="202" w:lineRule="exact"/>
        <w:rPr>
          <w:sz w:val="20"/>
          <w:szCs w:val="20"/>
          <w:color w:val="auto"/>
        </w:rPr>
      </w:pPr>
    </w:p>
    <w:p>
      <w:pPr>
        <w:jc w:val="both"/>
        <w:ind w:left="8" w:right="159" w:firstLine="389"/>
        <w:spacing w:after="0" w:line="286" w:lineRule="auto"/>
        <w:rPr>
          <w:sz w:val="20"/>
          <w:szCs w:val="20"/>
          <w:color w:val="auto"/>
        </w:rPr>
      </w:pPr>
      <w:r>
        <w:rPr>
          <w:rFonts w:ascii="Arial" w:cs="Arial" w:eastAsia="Arial" w:hAnsi="Arial"/>
          <w:sz w:val="16"/>
          <w:szCs w:val="16"/>
          <w:color w:val="auto"/>
        </w:rPr>
        <w:t>Currie acknowledges that UFP’s trade secrets, private or secret processes as they exist from time to time, and information concerning customers and their identity, products, developments, manufacturing techniques, new product plans, equipment, inventions, discoveries, patent applications, ideas, designs, engineering drawings, sketches, renderings, other drawings, manufacturing and test data, computer programs, progress reports, materials, costs, specifications, processes, methods, research, procurement and sales activities and procedures, promotion and pricing techniques, and credit and financial data concerning customers of UFP, as well as information relating to the management, operation, or planning of UFP, herein the (“Proprietary Information”) are valuable, special, and unique assets of UFP, access to and knowledge of which may be essential to the performance of Currie’s duties under this Agreement. In light of the highly competitive nature of the industries in which UFP conducts businesses, Currie agrees that all Proprietary Information obtained by Currie as a result of its relationship with UFP shall be considered confidential. In recognition of this fact, Currie agrees that except as may be necessary for UFP’s benefit, in Currie’s reasonable judgment, Currie will not, during and after the Non-Compete Period, disclose any of such Proprietary Information to any person or entity for any reason or purpose whatsoever without the written consent of UFP, and Currie will not make use of any Proprietary Information for Currie’s own purposes or for the benefit of any other person or entity (except UFP) under any circumstances.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2. NON-COMPETITION AGREEMENT.</w:t>
      </w:r>
    </w:p>
    <w:p>
      <w:pPr>
        <w:spacing w:after="0" w:line="189" w:lineRule="exact"/>
        <w:rPr>
          <w:sz w:val="20"/>
          <w:szCs w:val="20"/>
          <w:color w:val="auto"/>
        </w:rPr>
      </w:pPr>
    </w:p>
    <w:p>
      <w:pPr>
        <w:jc w:val="both"/>
        <w:ind w:left="8" w:right="179" w:firstLine="389"/>
        <w:spacing w:after="0" w:line="286" w:lineRule="auto"/>
        <w:rPr>
          <w:sz w:val="20"/>
          <w:szCs w:val="20"/>
          <w:color w:val="auto"/>
        </w:rPr>
      </w:pPr>
      <w:r>
        <w:rPr>
          <w:rFonts w:ascii="Arial" w:cs="Arial" w:eastAsia="Arial" w:hAnsi="Arial"/>
          <w:sz w:val="17"/>
          <w:szCs w:val="17"/>
          <w:color w:val="auto"/>
        </w:rPr>
        <w:t>In order to further protect the confidentiality of the Proprietary Information and in recognition of the highly competitive nature of the industries in which UFP conducts its businesses, and for the consideration set forth herein, Currie further agrees that during and for the period commencing on July 21, 2009 and ending on July 21, 2012 (the “Non-Compete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617855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4" w:name="page25"/>
    <w:bookmarkEnd w:id="24"/>
    <w:p>
      <w:pPr>
        <w:jc w:val="both"/>
        <w:ind w:right="159" w:firstLine="389"/>
        <w:spacing w:after="0" w:line="25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Currie will not directly or indirectly engage in any Business Activities (hereinafter defined), other than on behalf of UFP,</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such engagement is as an officer, director, proprietor, employee, partner, investor (other than as a holder of less than 1% of the outstanding capital stock of a publicly-traded corporation), advisor, agent, or other participant, in any geographic area in which the products or services of UFP have been distributed or provided during the period of Currie’s consulting relationship with UFP. For purposes of this Agreement, the term “Business Activities” shall mean the design, development, manufacture, sale, marketing, or servicing of UFP’s products, together with all other activities engaged in by UFP or any of its subsidiaries at any time during Currie’s relationship with UFP, and activities in any way related to activities with respect to which Currie renders consulting services under this Agreement.</w:t>
      </w:r>
    </w:p>
    <w:p>
      <w:pPr>
        <w:spacing w:after="0" w:line="158" w:lineRule="exact"/>
        <w:rPr>
          <w:sz w:val="20"/>
          <w:szCs w:val="20"/>
          <w:color w:val="auto"/>
        </w:rPr>
      </w:pPr>
    </w:p>
    <w:p>
      <w:pPr>
        <w:jc w:val="both"/>
        <w:ind w:right="179" w:firstLine="389"/>
        <w:spacing w:after="0" w:line="281"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color w:val="auto"/>
        </w:rPr>
        <w:t>Currie will not directly or indirectly engage in any of the Business Activities (other than on behalf of UFP) by supplying</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or providing services to any customer with whom UFP has done any business during the consulting relationship with UFP, whether such engagement is as an officer, director, proprietor, employee, partner, investor (other than as a holder of less than one percent (1%) of the outstanding capital stock of a publicly traded corporation), advisor, agent, or other participant.</w:t>
      </w:r>
    </w:p>
    <w:p>
      <w:pPr>
        <w:spacing w:after="0" w:line="124" w:lineRule="exact"/>
        <w:rPr>
          <w:sz w:val="20"/>
          <w:szCs w:val="20"/>
          <w:color w:val="auto"/>
        </w:rPr>
      </w:pPr>
    </w:p>
    <w:p>
      <w:pPr>
        <w:jc w:val="both"/>
        <w:ind w:right="179" w:firstLine="389"/>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Assistance to Others</w:t>
      </w:r>
      <w:r>
        <w:rPr>
          <w:rFonts w:ascii="Arial" w:cs="Arial" w:eastAsia="Arial" w:hAnsi="Arial"/>
          <w:sz w:val="18"/>
          <w:szCs w:val="18"/>
          <w:b w:val="1"/>
          <w:bCs w:val="1"/>
          <w:color w:val="auto"/>
        </w:rPr>
        <w:t xml:space="preserve">. </w:t>
      </w:r>
      <w:r>
        <w:rPr>
          <w:rFonts w:ascii="Arial" w:cs="Arial" w:eastAsia="Arial" w:hAnsi="Arial"/>
          <w:sz w:val="18"/>
          <w:szCs w:val="18"/>
          <w:color w:val="auto"/>
        </w:rPr>
        <w:t>Currie will not directly or indirectly assist others in engaging in any of the Business Activities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prohibited to Currie under this Agreement.</w:t>
      </w:r>
    </w:p>
    <w:p>
      <w:pPr>
        <w:spacing w:after="0" w:line="121" w:lineRule="exact"/>
        <w:rPr>
          <w:sz w:val="20"/>
          <w:szCs w:val="20"/>
          <w:color w:val="auto"/>
        </w:rPr>
      </w:pPr>
    </w:p>
    <w:p>
      <w:pPr>
        <w:jc w:val="both"/>
        <w:ind w:right="179" w:firstLine="389"/>
        <w:spacing w:after="0" w:line="282"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UFP’s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Currie will not directly or indirectly induce employees of UFP to engage in any activity hereby</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prohibited to Currie or to terminate their employment with UFP.</w:t>
      </w:r>
    </w:p>
    <w:p>
      <w:pPr>
        <w:spacing w:after="0" w:line="135" w:lineRule="exact"/>
        <w:rPr>
          <w:sz w:val="20"/>
          <w:szCs w:val="20"/>
          <w:color w:val="auto"/>
        </w:rPr>
      </w:pPr>
    </w:p>
    <w:p>
      <w:pPr>
        <w:jc w:val="both"/>
        <w:ind w:right="159" w:firstLine="389"/>
        <w:spacing w:after="0" w:line="281"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b w:val="1"/>
          <w:bCs w:val="1"/>
          <w:u w:val="single" w:color="auto"/>
          <w:color w:val="auto"/>
        </w:rPr>
        <w:t>Non-Compete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In exchange for Currie’s agreements and obligations under this Section 2, Currie will receive a</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Forty One Thousand Six Hundred Sixty Six Dollars ($41,666.00) per month for the term of the Non-Compete Period, subject to earlier termination upon the death or Disability of Currie. Disability shall mean a physical or mental injury or illness that totally and permanently renders Currie unable to perform all of the functions called for under this Agreement.</w:t>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SECTION 3. INTERPRETATION.</w:t>
      </w:r>
    </w:p>
    <w:p>
      <w:pPr>
        <w:spacing w:after="0" w:line="202" w:lineRule="exact"/>
        <w:rPr>
          <w:sz w:val="20"/>
          <w:szCs w:val="20"/>
          <w:color w:val="auto"/>
        </w:rPr>
      </w:pPr>
    </w:p>
    <w:p>
      <w:pPr>
        <w:jc w:val="both"/>
        <w:ind w:right="159" w:firstLine="389"/>
        <w:spacing w:after="0" w:line="289" w:lineRule="auto"/>
        <w:rPr>
          <w:sz w:val="20"/>
          <w:szCs w:val="20"/>
          <w:color w:val="auto"/>
        </w:rPr>
      </w:pPr>
      <w:r>
        <w:rPr>
          <w:rFonts w:ascii="Arial" w:cs="Arial" w:eastAsia="Arial" w:hAnsi="Arial"/>
          <w:sz w:val="16"/>
          <w:szCs w:val="16"/>
          <w:color w:val="auto"/>
        </w:rPr>
        <w:t>Although Currie and UFP consider the restrictions contained in Sections 1 and 2 of this Agreement reasonable for the purpose of preserving the goodwill, proprietary rights, and going concern value of UFP, if a final judicial determination is made by a court having jurisdiction that the time or territory or any other restriction contained in Section 2 is an unenforceable restriction on the activities of Currie, the provisions of such restriction shall not be rendered void but shall be deemed amended to apply as to such maximum time and territory and to such other extent as such court may judicially determine or indicate to be reasonable. Alternatively, if the court referred to above finds that any restriction contained in Section 2 or any remedy provided in Section 4 of this Agreement is unenforceable, and such restriction or remedy cannot be amended so as to make it enforceable, such finding shall not affect the enforceability of any of the other restrictions contained in this Agreement or the availability of any other remedy. The provisions of Sections 1 and 2 shall in no respect limit or otherwise affect the obligations of Currie under other agreements with UFP.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REMEDIES.</w:t>
      </w:r>
    </w:p>
    <w:p>
      <w:pPr>
        <w:spacing w:after="0" w:line="189" w:lineRule="exact"/>
        <w:rPr>
          <w:sz w:val="20"/>
          <w:szCs w:val="20"/>
          <w:color w:val="auto"/>
        </w:rPr>
      </w:pPr>
    </w:p>
    <w:p>
      <w:pPr>
        <w:jc w:val="both"/>
        <w:ind w:right="159" w:firstLine="389"/>
        <w:spacing w:after="0" w:line="268" w:lineRule="auto"/>
        <w:rPr>
          <w:sz w:val="20"/>
          <w:szCs w:val="20"/>
          <w:color w:val="auto"/>
        </w:rPr>
      </w:pPr>
      <w:r>
        <w:rPr>
          <w:rFonts w:ascii="Arial" w:cs="Arial" w:eastAsia="Arial" w:hAnsi="Arial"/>
          <w:sz w:val="17"/>
          <w:szCs w:val="17"/>
          <w:color w:val="auto"/>
        </w:rPr>
        <w:t>Currie acknowledges and agrees that UFP’s remedy at law for a breach or threatened breach of any of the provisions of Sections 1 and 2 of this Agreement would be inadequate and, in recognition of this fact, in the event of a breach or threatened breach by Currie of any of the provisions of Sections 1 and 2, Currie agrees that, in addition to its remedies at law, at UFP’s option, all rights of Currie, and obligations of UFP, under this Agreement may be terminated. UFP shall be entitled to equitable relief in the form of specific performance, temporary restraining order, temporary or permanent injunction, or any other equitable remedy which may then be available. UFP shall not be required to post bond, and Currie agrees not to oppose UFP’s request for equitable relief. Currie acknowledges that the granting of a temporary injunction, temporary restraining order or permanent injunction merely prohibiting the use of Proprietary Information would not be an adequate remedy upon breach or threatened breach of Sections 1 and 2, and consequently agrees upon any such breach or threatened breach to the granting of injunctive relief prohibiting the design, development, manufacture, marketing or sale of products and providing of services of the kind designed, developed, manufactured, marketed, sold or provided by UFP or its subsidiaries during the term of Currie’s relationship with UFP. Nothing contained in this Section 4 shall be construed as prohibiting UFP from pursuing, in addition, any other remedies available to it for such breach or threatened breach.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 PROVISIONS.</w:t>
      </w:r>
    </w:p>
    <w:p>
      <w:pPr>
        <w:spacing w:after="0" w:line="185" w:lineRule="exact"/>
        <w:rPr>
          <w:sz w:val="20"/>
          <w:szCs w:val="20"/>
          <w:color w:val="auto"/>
        </w:rPr>
      </w:pPr>
    </w:p>
    <w:p>
      <w:pPr>
        <w:jc w:val="both"/>
        <w:ind w:right="179" w:firstLine="389"/>
        <w:spacing w:after="0" w:line="266" w:lineRule="auto"/>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be assignable by either party, except by UFP to any subsidiary or affiliate of UFP</w:t>
      </w:r>
      <w:r>
        <w:rPr>
          <w:rFonts w:ascii="Arial" w:cs="Arial" w:eastAsia="Arial" w:hAnsi="Arial"/>
          <w:sz w:val="18"/>
          <w:szCs w:val="18"/>
          <w:b w:val="1"/>
          <w:bCs w:val="1"/>
          <w:color w:val="auto"/>
        </w:rPr>
        <w:t xml:space="preserve"> </w:t>
      </w:r>
      <w:r>
        <w:rPr>
          <w:rFonts w:ascii="Arial" w:cs="Arial" w:eastAsia="Arial" w:hAnsi="Arial"/>
          <w:sz w:val="18"/>
          <w:szCs w:val="18"/>
          <w:color w:val="auto"/>
        </w:rPr>
        <w:t>(now or hereafter existing) or to any successor in interest to UFP’s business, provided that in the case of an assignment to an affiliate or subsidiary, UFP shall remain liable as a guarantor for payments due to Currie hereunder.</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6" w:name="page27"/>
    <w:bookmarkEnd w:id="26"/>
    <w:p>
      <w:pPr>
        <w:jc w:val="both"/>
        <w:ind w:right="159" w:firstLine="389"/>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be binding upon and inure to the benefit of the heirs,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successors, and assigns of the parties.</w:t>
      </w:r>
    </w:p>
    <w:p>
      <w:pPr>
        <w:spacing w:after="0" w:line="135" w:lineRule="exact"/>
        <w:rPr>
          <w:sz w:val="20"/>
          <w:szCs w:val="20"/>
          <w:color w:val="auto"/>
        </w:rPr>
      </w:pPr>
    </w:p>
    <w:p>
      <w:pPr>
        <w:jc w:val="both"/>
        <w:ind w:right="159" w:firstLine="389"/>
        <w:spacing w:after="0" w:line="261"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or other communication required or permitted to be given under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mailed by certified mail, return receipt requested, postage prepaid, addressed to the parties at the address stated on the first page of this Agreement. The address of a party to which notices or other communications shall be mailed may be changed from time to time by giving written notice to the other party.</w:t>
      </w:r>
    </w:p>
    <w:p>
      <w:pPr>
        <w:spacing w:after="0" w:line="140" w:lineRule="exact"/>
        <w:rPr>
          <w:sz w:val="20"/>
          <w:szCs w:val="20"/>
          <w:color w:val="auto"/>
        </w:rPr>
      </w:pPr>
    </w:p>
    <w:p>
      <w:pPr>
        <w:jc w:val="both"/>
        <w:ind w:right="159" w:firstLine="389"/>
        <w:spacing w:after="0" w:line="256"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Litigation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default under this Agreement, the defaulting party shall reimburse the non-defaulting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for all costs and expenses reasonably incurred by the non-defaulting party in connection with the default, including without limitation reasonable attorney’s fees. The non-defaulting party may seek reimbursement in a court of competent jurisdiction. Additionally, in the event a suit or action is filed to enforce this Agreement or with respect to this Agreement, the prevailing party or parties shall be reimbursed by the other party for all costs and expenses incurred in connection with the suit or action, including without limitation reasonable attorney’s fees at the trial level and on appeal.</w:t>
      </w:r>
    </w:p>
    <w:p>
      <w:pPr>
        <w:spacing w:after="0" w:line="147" w:lineRule="exact"/>
        <w:rPr>
          <w:sz w:val="20"/>
          <w:szCs w:val="20"/>
          <w:color w:val="auto"/>
        </w:rPr>
      </w:pPr>
    </w:p>
    <w:p>
      <w:pPr>
        <w:jc w:val="both"/>
        <w:ind w:right="159" w:firstLine="389"/>
        <w:spacing w:after="0" w:line="26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of this Agreement shall be deemed, or shall constitute, a waiver of any other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similar, nor shall any waiver constitute a continuing waiver. No waiver shall be binding unless executed in writing by the party making the waiver.</w:t>
      </w:r>
    </w:p>
    <w:p>
      <w:pPr>
        <w:spacing w:after="0" w:line="149" w:lineRule="exact"/>
        <w:rPr>
          <w:sz w:val="20"/>
          <w:szCs w:val="20"/>
          <w:color w:val="auto"/>
        </w:rPr>
      </w:pPr>
    </w:p>
    <w:p>
      <w:pPr>
        <w:jc w:val="both"/>
        <w:ind w:right="159" w:firstLine="389"/>
        <w:spacing w:after="0" w:line="282"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shall be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Michigan.</w:t>
      </w:r>
    </w:p>
    <w:p>
      <w:pPr>
        <w:spacing w:after="0" w:line="121" w:lineRule="exact"/>
        <w:rPr>
          <w:sz w:val="20"/>
          <w:szCs w:val="20"/>
          <w:color w:val="auto"/>
        </w:rPr>
      </w:pPr>
    </w:p>
    <w:p>
      <w:pPr>
        <w:jc w:val="both"/>
        <w:ind w:right="159" w:firstLine="389"/>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pertaining to its subject matter,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 supersedes all prior contemporaneous agreements, representations, and understandings of the parties. No supplement, modification, or amendment of this Agreement shall be binding unless executed in writing by all parties.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[SIGNATURES ON FOLLOWING PAGE.]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7" w:name="page28"/>
    <w:bookmarkEnd w:id="27"/>
    <w:p>
      <w:pPr>
        <w:ind w:left="3180"/>
        <w:spacing w:after="0"/>
        <w:rPr>
          <w:sz w:val="20"/>
          <w:szCs w:val="20"/>
          <w:color w:val="auto"/>
        </w:rPr>
      </w:pPr>
      <w:r>
        <w:rPr>
          <w:rFonts w:ascii="Arial" w:cs="Arial" w:eastAsia="Arial" w:hAnsi="Arial"/>
          <w:sz w:val="17"/>
          <w:szCs w:val="17"/>
          <w:color w:val="auto"/>
        </w:rPr>
        <w:t>UNIVERSAL FOREST PRODUCTS, INC.:</w:t>
      </w:r>
    </w:p>
    <w:p>
      <w:pPr>
        <w:spacing w:after="0" w:line="237" w:lineRule="exact"/>
        <w:rPr>
          <w:sz w:val="20"/>
          <w:szCs w:val="20"/>
          <w:color w:val="auto"/>
        </w:rPr>
      </w:pPr>
    </w:p>
    <w:p>
      <w:pPr>
        <w:ind w:left="3180"/>
        <w:spacing w:after="0"/>
        <w:tabs>
          <w:tab w:leader="none" w:pos="3600" w:val="left"/>
        </w:tabs>
        <w:rPr>
          <w:sz w:val="20"/>
          <w:szCs w:val="20"/>
          <w:color w:val="auto"/>
        </w:rPr>
      </w:pPr>
      <w:r>
        <w:rPr>
          <w:rFonts w:ascii="Arial" w:cs="Arial" w:eastAsia="Arial" w:hAnsi="Arial"/>
          <w:sz w:val="18"/>
          <w:szCs w:val="18"/>
          <w:color w:val="auto"/>
        </w:rPr>
        <w:t>By:</w:t>
        <w:tab/>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14605</wp:posOffset>
            </wp:positionV>
            <wp:extent cx="24612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ind w:left="3180"/>
        <w:spacing w:after="0"/>
        <w:tabs>
          <w:tab w:leader="none" w:pos="3600" w:val="left"/>
        </w:tabs>
        <w:rPr>
          <w:sz w:val="20"/>
          <w:szCs w:val="20"/>
          <w:color w:val="auto"/>
        </w:rPr>
      </w:pPr>
      <w:r>
        <w:rPr>
          <w:rFonts w:ascii="Arial" w:cs="Arial" w:eastAsia="Arial" w:hAnsi="Arial"/>
          <w:sz w:val="18"/>
          <w:szCs w:val="18"/>
          <w:color w:val="auto"/>
        </w:rPr>
        <w:t>Its:</w:t>
        <w:tab/>
        <w:t>Executive Vice President</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2012950</wp:posOffset>
            </wp:positionH>
            <wp:positionV relativeFrom="paragraph">
              <wp:posOffset>14605</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William G. Currie</w:t>
      </w:r>
    </w:p>
    <w:p>
      <w:pPr>
        <w:spacing w:after="0" w:line="200" w:lineRule="exact"/>
        <w:rPr>
          <w:sz w:val="20"/>
          <w:szCs w:val="20"/>
          <w:color w:val="auto"/>
        </w:rPr>
      </w:pPr>
    </w:p>
    <w:p>
      <w:pPr>
        <w:spacing w:after="0" w:line="39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1368"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8"/>
          <w:szCs w:val="18"/>
          <w:b w:val="1"/>
          <w:bCs w:val="1"/>
          <w:color w:val="auto"/>
        </w:rPr>
        <w:t>Exhibit 10(a) (8)</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EMPLOYMENT, CONSULTING</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NON-COMPETITION) AGREEMENT</w:t>
      </w:r>
    </w:p>
    <w:p>
      <w:pPr>
        <w:sectPr>
          <w:pgSz w:w="11900" w:h="16838" w:orient="portrait"/>
          <w:cols w:equalWidth="0" w:num="1">
            <w:col w:w="9879"/>
          </w:cols>
          <w:pgMar w:left="580" w:top="931" w:right="1440"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June 15, 2007</w:t>
      </w:r>
    </w:p>
    <w:p>
      <w:pPr>
        <w:spacing w:after="0" w:line="207" w:lineRule="exact"/>
        <w:rPr>
          <w:sz w:val="20"/>
          <w:szCs w:val="20"/>
          <w:color w:val="auto"/>
        </w:rPr>
      </w:pPr>
    </w:p>
    <w:p>
      <w:pPr>
        <w:sectPr>
          <w:pgSz w:w="11900" w:h="16838" w:orient="portrait"/>
          <w:cols w:equalWidth="0" w:num="2">
            <w:col w:w="600" w:space="720"/>
            <w:col w:w="8559"/>
          </w:cols>
          <w:pgMar w:left="580" w:top="931"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Robert K. Hill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5974 Watson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Fort Collins, CO 80528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“Hill”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Universal Forest Products Western Div.,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affiliates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(herein “UFP” or the “Company”)</w:t>
      </w:r>
    </w:p>
    <w:p>
      <w:pPr>
        <w:spacing w:after="0" w:line="170" w:lineRule="exact"/>
        <w:rPr>
          <w:sz w:val="20"/>
          <w:szCs w:val="20"/>
          <w:color w:val="auto"/>
        </w:rPr>
      </w:pPr>
    </w:p>
    <w:p>
      <w:pPr>
        <w:sectPr>
          <w:pgSz w:w="11900" w:h="16838" w:orient="portrait"/>
          <w:cols w:equalWidth="0" w:num="3">
            <w:col w:w="800" w:space="520"/>
            <w:col w:w="2340" w:space="720"/>
            <w:col w:w="5499"/>
          </w:cols>
          <w:pgMar w:left="580" w:top="931"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The Parties agree as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RETIREMENT.</w:t>
      </w:r>
    </w:p>
    <w:p>
      <w:pPr>
        <w:spacing w:after="0" w:line="202"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Hill is currently the President of Universal Forest Products Western Division, Inc. From June 15, 2007 to December 31, 2007, Hill shall remain an officer of UFP. The Company will appoint a new President of Universal Forest Products Western Division, Inc., effective July 1, 2007. Effective January 1, 2008 (the “Effective Date”), Hill shall be deemed to have resigned as an officer of the Company and will become a consultant to the Company. As of the Effective Date, Hill releases UFP from any employment obligations and wishes to enter into a consulting agreement as described in this document.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RETENTION OF HILL AS CONSULTANT.</w:t>
      </w:r>
    </w:p>
    <w:p>
      <w:pPr>
        <w:spacing w:after="0" w:line="189"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Effective Date</w:t>
      </w:r>
      <w:r>
        <w:rPr>
          <w:rFonts w:ascii="Arial" w:cs="Arial" w:eastAsia="Arial" w:hAnsi="Arial"/>
          <w:sz w:val="18"/>
          <w:szCs w:val="18"/>
          <w:color w:val="auto"/>
        </w:rPr>
        <w:t>. As of the Effective Date, UFP shall retain Hill as an independent contractor and consultant. Hill accepts such consulting relationship upon the terms and conditions set forth in this Agreement.</w:t>
      </w:r>
    </w:p>
    <w:p>
      <w:pPr>
        <w:spacing w:after="0" w:line="143"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Services</w:t>
      </w:r>
      <w:r>
        <w:rPr>
          <w:rFonts w:ascii="Arial" w:cs="Arial" w:eastAsia="Arial" w:hAnsi="Arial"/>
          <w:sz w:val="18"/>
          <w:szCs w:val="18"/>
          <w:color w:val="auto"/>
        </w:rPr>
        <w:t>. Hill agrees to provide sales, manufacturing and purchasing consulting for the exclusive benefit of UFP. Hill shall perform such consulting services faithfully for UFP during the term of this Agreement. The initial consulting services are listed on Appendix “A” and may be amended in writing as agreed by the parties.</w:t>
      </w:r>
    </w:p>
    <w:p>
      <w:pPr>
        <w:spacing w:after="0" w:line="141"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Condition Precedent</w:t>
      </w:r>
      <w:r>
        <w:rPr>
          <w:rFonts w:ascii="Arial" w:cs="Arial" w:eastAsia="Arial" w:hAnsi="Arial"/>
          <w:sz w:val="18"/>
          <w:szCs w:val="18"/>
          <w:color w:val="auto"/>
        </w:rPr>
        <w:t>. UFP’s obligations hereunder, including but not limited to the Compensation described in Section 3 of this Agreement, are expressly conditioned upon the execution of the Full and Final Release by Hill on or before December 31, 2007. The Full and Final Release is attached as Appendix “B.”</w:t>
      </w: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type w:val="continuous"/>
        </w:sectPr>
      </w:pPr>
    </w:p>
    <w:bookmarkStart w:id="29" w:name="page30"/>
    <w:bookmarkEnd w:id="29"/>
    <w:p>
      <w:pPr>
        <w:ind w:left="8"/>
        <w:spacing w:after="0"/>
        <w:rPr>
          <w:sz w:val="20"/>
          <w:szCs w:val="20"/>
          <w:color w:val="auto"/>
        </w:rPr>
      </w:pPr>
      <w:r>
        <w:rPr>
          <w:rFonts w:ascii="Arial" w:cs="Arial" w:eastAsia="Arial" w:hAnsi="Arial"/>
          <w:sz w:val="18"/>
          <w:szCs w:val="18"/>
          <w:b w:val="1"/>
          <w:bCs w:val="1"/>
          <w:color w:val="auto"/>
        </w:rPr>
        <w:t>SECTION 3. COMPENSATION.</w:t>
      </w:r>
    </w:p>
    <w:p>
      <w:pPr>
        <w:spacing w:after="0" w:line="202" w:lineRule="exact"/>
        <w:rPr>
          <w:sz w:val="20"/>
          <w:szCs w:val="20"/>
          <w:color w:val="auto"/>
        </w:rPr>
      </w:pPr>
    </w:p>
    <w:p>
      <w:pPr>
        <w:jc w:val="both"/>
        <w:ind w:left="8" w:right="179" w:firstLine="389"/>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Employment Compensation</w:t>
      </w:r>
      <w:r>
        <w:rPr>
          <w:rFonts w:ascii="Arial" w:cs="Arial" w:eastAsia="Arial" w:hAnsi="Arial"/>
          <w:sz w:val="18"/>
          <w:szCs w:val="18"/>
          <w:color w:val="auto"/>
        </w:rPr>
        <w:t>. For the period ended fiscal year 2007, Hill shall receive his normal base salary, ROI bonus consisting of 25% of the Universal Forest Products Western Division pool plus a portion of the discretionary pool (minimum 10% and maximum 25%), as determined by Hill and the CEO, and officer benefits package.</w:t>
      </w:r>
    </w:p>
    <w:p>
      <w:pPr>
        <w:spacing w:after="0" w:line="141" w:lineRule="exact"/>
        <w:rPr>
          <w:sz w:val="20"/>
          <w:szCs w:val="20"/>
          <w:color w:val="auto"/>
        </w:rPr>
      </w:pPr>
    </w:p>
    <w:p>
      <w:pPr>
        <w:jc w:val="both"/>
        <w:ind w:left="8" w:right="179" w:firstLine="389"/>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Consulting Fee and Expense Reimbursement</w:t>
      </w:r>
      <w:r>
        <w:rPr>
          <w:rFonts w:ascii="Arial" w:cs="Arial" w:eastAsia="Arial" w:hAnsi="Arial"/>
          <w:sz w:val="18"/>
          <w:szCs w:val="18"/>
          <w:color w:val="auto"/>
        </w:rPr>
        <w:t>. On the Effective Date, in full satisfaction for all consulting services rendered by Hill for UFP under this Agreement, UFP shall pay Hill’s consulting business a consulting fee as follows:</w:t>
      </w:r>
    </w:p>
    <w:p>
      <w:pPr>
        <w:spacing w:after="0" w:line="130" w:lineRule="exact"/>
        <w:rPr>
          <w:sz w:val="20"/>
          <w:szCs w:val="20"/>
          <w:color w:val="auto"/>
        </w:rPr>
      </w:pPr>
    </w:p>
    <w:p>
      <w:pPr>
        <w:ind w:left="1048" w:hanging="270"/>
        <w:spacing w:after="0"/>
        <w:tabs>
          <w:tab w:leader="none" w:pos="10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Thirty Thousand Three Hundred Fifty Two Dollars and 08/100 ($30,352.08) per month, in exchange for up to two</w:t>
      </w:r>
    </w:p>
    <w:p>
      <w:pPr>
        <w:spacing w:after="0" w:line="34" w:lineRule="exact"/>
        <w:rPr>
          <w:rFonts w:ascii="Arial" w:cs="Arial" w:eastAsia="Arial" w:hAnsi="Arial"/>
          <w:sz w:val="17"/>
          <w:szCs w:val="17"/>
          <w:color w:val="auto"/>
        </w:rPr>
      </w:pPr>
    </w:p>
    <w:p>
      <w:pPr>
        <w:ind w:left="8" w:right="179" w:hanging="8"/>
        <w:spacing w:after="0" w:line="261" w:lineRule="auto"/>
        <w:tabs>
          <w:tab w:leader="none" w:pos="2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days or twenty (20) hours per week. Some weeks may require more time, and other weeks may require less time, as agreed by the parties.</w:t>
      </w:r>
    </w:p>
    <w:p>
      <w:pPr>
        <w:spacing w:after="0" w:line="156" w:lineRule="exact"/>
        <w:rPr>
          <w:rFonts w:ascii="Arial" w:cs="Arial" w:eastAsia="Arial" w:hAnsi="Arial"/>
          <w:sz w:val="18"/>
          <w:szCs w:val="18"/>
          <w:color w:val="auto"/>
        </w:rPr>
      </w:pPr>
    </w:p>
    <w:p>
      <w:pPr>
        <w:jc w:val="both"/>
        <w:ind w:left="8" w:right="159" w:firstLine="770"/>
        <w:spacing w:after="0" w:line="302" w:lineRule="auto"/>
        <w:tabs>
          <w:tab w:leader="none" w:pos="1045" w:val="left"/>
        </w:tabs>
        <w:numPr>
          <w:ilvl w:val="1"/>
          <w:numId w:val="22"/>
        </w:numPr>
        <w:rPr>
          <w:rFonts w:ascii="Arial" w:cs="Arial" w:eastAsia="Arial" w:hAnsi="Arial"/>
          <w:sz w:val="16"/>
          <w:szCs w:val="16"/>
          <w:color w:val="auto"/>
        </w:rPr>
      </w:pPr>
      <w:r>
        <w:rPr>
          <w:rFonts w:ascii="Arial" w:cs="Arial" w:eastAsia="Arial" w:hAnsi="Arial"/>
          <w:sz w:val="16"/>
          <w:szCs w:val="16"/>
          <w:color w:val="auto"/>
        </w:rPr>
        <w:t>Hill and his spouse shall be eligible for COBRA continuation of medical benefits effective January 1, 2008. The fee for standard salaried insurance will be paid by UFP for the 18 months of COBRA coverage, or longer, if eligible. From July 1, 2009 through November 30, 2012, UFP shall pay the premium for a Colorado Preferred Blue Cross policy, or its similarly priced equivalent, with a reasonable deductible, for Hill and his spouse. Hill shall be responsible for all deductibles, co-pays and policy limitations.</w:t>
      </w:r>
    </w:p>
    <w:p>
      <w:pPr>
        <w:spacing w:after="0" w:line="113" w:lineRule="exact"/>
        <w:rPr>
          <w:rFonts w:ascii="Arial" w:cs="Arial" w:eastAsia="Arial" w:hAnsi="Arial"/>
          <w:sz w:val="16"/>
          <w:szCs w:val="16"/>
          <w:color w:val="auto"/>
        </w:rPr>
      </w:pPr>
    </w:p>
    <w:p>
      <w:pPr>
        <w:jc w:val="both"/>
        <w:ind w:left="8" w:right="159" w:firstLine="770"/>
        <w:spacing w:after="0" w:line="259" w:lineRule="auto"/>
        <w:tabs>
          <w:tab w:leader="none" w:pos="10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After December 31, 2007, Hill will be responsible for all of Hill’s costs to perform the obligations under this agreement. UFP will reimburse Hill for business telephone and internet access used for UFP business as agreed by the CEO and Hill. If Hill is required by UFP to travel to perform specific duties, UFP will reimburse the ordinary and necessary costs to travel and perform such duties.</w:t>
      </w:r>
    </w:p>
    <w:p>
      <w:pPr>
        <w:spacing w:after="0" w:line="146" w:lineRule="exact"/>
        <w:rPr>
          <w:sz w:val="20"/>
          <w:szCs w:val="20"/>
          <w:color w:val="auto"/>
        </w:rPr>
      </w:pPr>
    </w:p>
    <w:p>
      <w:pPr>
        <w:jc w:val="both"/>
        <w:ind w:left="8" w:right="159" w:firstLine="389"/>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Other Compensation and Fringe Benefits</w:t>
      </w:r>
      <w:r>
        <w:rPr>
          <w:rFonts w:ascii="Arial" w:cs="Arial" w:eastAsia="Arial" w:hAnsi="Arial"/>
          <w:sz w:val="18"/>
          <w:szCs w:val="18"/>
          <w:color w:val="auto"/>
        </w:rPr>
        <w:t>. Except as set forth in this Agreement, Hill shall not receive any other compensation from UFP or participate in or receive benefits under any other UFP fringe benefit programs, including, without limitation, disability, life insurance, bonus, and profit sharing benefits. On the Effective Date, Hill shall receive a one-time payment of Five Thousand Dollars ($5,000.00).</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SECTION 4. NATURE OF RELATIONSHIP; EXPENSES.</w:t>
      </w:r>
    </w:p>
    <w:p>
      <w:pPr>
        <w:spacing w:after="0" w:line="189" w:lineRule="exact"/>
        <w:rPr>
          <w:sz w:val="20"/>
          <w:szCs w:val="20"/>
          <w:color w:val="auto"/>
        </w:rPr>
      </w:pPr>
    </w:p>
    <w:p>
      <w:pPr>
        <w:jc w:val="both"/>
        <w:ind w:left="8" w:right="159" w:firstLine="389"/>
        <w:spacing w:after="0" w:line="25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As of the Effective Date, Hill shall be an independent contractor and shall not be the employee, servant, agent, partner, or joint venturer of UFP, or any of its officers, directors, or consultants. Except as expressly provided herein, Hill shall not have the right to or be entitled to any of the employee benefits of UFP or its subsidiaries except as expressly agreed in writing. Hill has no authority to assume or create any obligation or liability, express or implied, on UFP’s behalf or in its name or to bind UFP in any manner whatsoever.</w:t>
      </w:r>
    </w:p>
    <w:p>
      <w:pPr>
        <w:spacing w:after="0" w:line="200" w:lineRule="exact"/>
        <w:rPr>
          <w:sz w:val="20"/>
          <w:szCs w:val="20"/>
          <w:color w:val="auto"/>
        </w:rPr>
      </w:pPr>
    </w:p>
    <w:p>
      <w:pPr>
        <w:spacing w:after="0" w:line="35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0" w:name="page31"/>
    <w:bookmarkEnd w:id="30"/>
    <w:p>
      <w:pPr>
        <w:jc w:val="both"/>
        <w:ind w:right="159" w:firstLine="389"/>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Insurance and Taxes</w:t>
      </w:r>
      <w:r>
        <w:rPr>
          <w:rFonts w:ascii="Arial" w:cs="Arial" w:eastAsia="Arial" w:hAnsi="Arial"/>
          <w:sz w:val="18"/>
          <w:szCs w:val="18"/>
          <w:color w:val="auto"/>
        </w:rPr>
        <w:t>. Hill agrees to arrange for Hill’s own liability, disability, and workers’ compensation insurance, and that of Hill’s employees, if any. Hill agrees to be responsible for Hill’s own tax obligations accruing as a result of payments for services rendered under this Agreement, as well as for the tax withholding obligations with respect to Hill’s employees, if any. It is expressly understood and agreed by Hill that should UFP for any reason incur tax liability or charges whatsoever as a result of not making any withholdings from payments for services under this Agreement, Hill will reimburse and indemnify UFP for the same. Hill agrees to sign independent contractor agreement(s) containing terms sufficient to comply with Colorado and Federal law regarding his status as an independent contractor.</w:t>
      </w:r>
    </w:p>
    <w:p>
      <w:pPr>
        <w:spacing w:after="0" w:line="162"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Equipment, Tools, Consultants and Overhead</w:t>
      </w:r>
      <w:r>
        <w:rPr>
          <w:rFonts w:ascii="Arial" w:cs="Arial" w:eastAsia="Arial" w:hAnsi="Arial"/>
          <w:sz w:val="18"/>
          <w:szCs w:val="18"/>
          <w:color w:val="auto"/>
        </w:rPr>
        <w:t>. Except as set forth in this Agreement, Hill shall provide, at his own expense, all equipment and tools needed to provide services under this Agreement, including the salaries of and benefits provided to any employees of Hill. Hill shall be responsible for all of Hill’s overhead costs and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TERM.</w:t>
      </w:r>
    </w:p>
    <w:p>
      <w:pPr>
        <w:spacing w:after="0" w:line="189"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Initial Term; Renewal</w:t>
      </w:r>
      <w:r>
        <w:rPr>
          <w:rFonts w:ascii="Arial" w:cs="Arial" w:eastAsia="Arial" w:hAnsi="Arial"/>
          <w:sz w:val="18"/>
          <w:szCs w:val="18"/>
          <w:color w:val="auto"/>
        </w:rPr>
        <w:t>. The consulting relationship under this Agreement shall commence on the Effective Date and continue in effect until December 31, 2010. The parties may mutually agree in writing to extend this Agreement.</w:t>
      </w:r>
    </w:p>
    <w:p>
      <w:pPr>
        <w:spacing w:after="0" w:line="143"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Termination of the consulting relationship shall not affect the provisions of Sections 6, 7 and 8, which provisions shall survive any termination in accordance with their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DISCLOSURE OF INFORMATION.</w:t>
      </w:r>
    </w:p>
    <w:p>
      <w:pPr>
        <w:spacing w:after="0" w:line="189"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Hill acknowledges that UFP’s trade secrets, private or secret processes as they exist from time to time, and information concerning customers and their identity, products, developments, manufacturing techniques, new product plans, equipment, inventions, discoveries, patent applications, ideas, designs, engineering drawings, sketches, renderings, other drawings, manufacturing and test data, computer programs, progress reports, materials, costs, specifications, processes, methods, research, procurement and sales activities and procedures, promotion and pricing techniques, and credit and financial data concerning customers of UFP, as well as information relating to the management, operation, or planning of UFP, herein the (“Proprietary Information”) are valuable, special, and unique assets of UFP, access to and knowledge of which may be essential to the performance of Hill’s duties under this Agreement as an employee or as a consultant.</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1" w:name="page32"/>
    <w:bookmarkEnd w:id="31"/>
    <w:p>
      <w:pPr>
        <w:jc w:val="both"/>
        <w:ind w:right="159"/>
        <w:spacing w:after="0" w:line="271" w:lineRule="auto"/>
        <w:rPr>
          <w:sz w:val="20"/>
          <w:szCs w:val="20"/>
          <w:color w:val="auto"/>
        </w:rPr>
      </w:pPr>
      <w:r>
        <w:rPr>
          <w:rFonts w:ascii="Arial" w:cs="Arial" w:eastAsia="Arial" w:hAnsi="Arial"/>
          <w:sz w:val="17"/>
          <w:szCs w:val="17"/>
          <w:color w:val="auto"/>
        </w:rPr>
        <w:t>In light of the highly competitive nature of the industry in which UFP conducts business, Hill agrees that all Proprietary Information obtained by Hill as a result of its relationship with UFP shall be considered confidential. In recognition of this fact, Hill agrees that Hill will not, during and after the Consulting Period, disclose any of such Proprietary Information to any person or entity for any reason or purpose whatsoever, and Hill will not make use of any Proprietary Information for Hill’s own purposes or for the benefit of any other person or entity (except UFP) under any circumstances. Notwithstanding anything herein to the contrary, no obligation or liability shall accrue hereunder with respect to any of the Proprietary Information to the extent that such Proprietary Information (1) is or becomes publicly available other than as a result of acts by Hill in violation of this Agreement; or (2) is, on the advice of counsel, required to be disclosed by law or legal process.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NONCOMPETITION AGREEMENT.</w:t>
      </w:r>
    </w:p>
    <w:p>
      <w:pPr>
        <w:spacing w:after="0" w:line="189"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In order to further protect the confidentiality of the Proprietary Information and in recognition of the highly competitive nature of the industries in which UFP conducts its businesses, and for the consideration set forth herein, Hill further agrees that during and for the period June 15, 2007 and ending on December 31, 2010.</w:t>
      </w:r>
    </w:p>
    <w:p>
      <w:pPr>
        <w:spacing w:after="0" w:line="141"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7.1 Hill will not directly or indirectly engage in any Business Activities (hereinafter defined), other than on behalf of UFP, whether such engagement is as an officer, director, proprietor, employee, partner, investor (other than as a holder of less than 1% of the outstanding capital stock of a publicly-traded corporation), consultant, advisor, agent, or other participant, in any geographic area in which the products or services of UFP have been distributed or provided during the period of Hill’s employment or consulting relationship with UFP. For purposes of this Agreement, the term “Business Activities” shall mean the design, development, manufacture, sale, marketing, or servicing of UFP’s products, together with all other activities engaged in by UFP or any of its subsidiaries at any time during Hill’s employment or consulting relationship with UFP, and activities in any way related to activities with respect to which Hill renders consulting services under this Agreement.</w:t>
      </w:r>
    </w:p>
    <w:p>
      <w:pPr>
        <w:spacing w:after="0" w:line="152"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color w:val="auto"/>
        </w:rPr>
        <w:t>7.2 Hill will not directly or indirectly engage in any of the Business Activities (other than on behalf of UFP) by supplying products or providing services to any customer with whom UFP has done any business during the consulting relationship with UFP, whether such engagement is as an officer, director, proprietor, employee, partner, investor (other than as a holder of less than 1% of the outstanding capital stock of a publicly traded corporation), consultant, advisor, agent, or other participant.</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2" w:name="page33"/>
    <w:bookmarkEnd w:id="32"/>
    <w:p>
      <w:pPr>
        <w:jc w:val="both"/>
        <w:ind w:right="179" w:firstLine="389"/>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Assistance to Others</w:t>
      </w:r>
      <w:r>
        <w:rPr>
          <w:rFonts w:ascii="Arial" w:cs="Arial" w:eastAsia="Arial" w:hAnsi="Arial"/>
          <w:sz w:val="18"/>
          <w:szCs w:val="18"/>
          <w:color w:val="auto"/>
        </w:rPr>
        <w:t>. Hill will not directly or indirectly assist others in engaging in any of the Business Activities in any manner prohibited to Hill under this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DESIGNS, INVENTIONS, PATENTS AND COPYRIGHTS.</w:t>
      </w:r>
    </w:p>
    <w:p>
      <w:pPr>
        <w:spacing w:after="0" w:line="189" w:lineRule="exact"/>
        <w:rPr>
          <w:sz w:val="20"/>
          <w:szCs w:val="20"/>
          <w:color w:val="auto"/>
        </w:rPr>
      </w:pPr>
    </w:p>
    <w:p>
      <w:pPr>
        <w:jc w:val="both"/>
        <w:ind w:right="159" w:firstLine="389"/>
        <w:spacing w:after="0" w:line="29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Hill and UFP shall agree, at the outset of any project, as to the scope of the project and Hill’s role therein (the “Project Scope”). Hill shall promptly disclose, grant, and assign to UFP for its sole use and benefit any and all designs, inventions, improvements, technical information, know-how and technology, and suggestions within the Project Scope relating in any way to the products of UFP or capable of beneficial use by customers to whom products or services of UFP are sold or provided, that Hill may conceive, develop, or acquire while consulting with UFP (whether or not during usual working hours), together with all copyrights, trademarks, design patents, patents, and applications for copyrights, trademarks, divisions of pending patent applications, applications for reissue of patents and specific assignments of such applications that may at any time be granted for or upon any such designs, inventions, improvements, technical information, know-how, or technology (Intellectual Property).</w:t>
      </w:r>
    </w:p>
    <w:p>
      <w:pPr>
        <w:spacing w:after="0" w:line="126" w:lineRule="exact"/>
        <w:rPr>
          <w:sz w:val="20"/>
          <w:szCs w:val="20"/>
          <w:color w:val="auto"/>
        </w:rPr>
      </w:pPr>
    </w:p>
    <w:p>
      <w:pPr>
        <w:jc w:val="both"/>
        <w:ind w:right="159" w:firstLine="389"/>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Assignments and Assistance</w:t>
      </w:r>
      <w:r>
        <w:rPr>
          <w:rFonts w:ascii="Arial" w:cs="Arial" w:eastAsia="Arial" w:hAnsi="Arial"/>
          <w:sz w:val="16"/>
          <w:szCs w:val="16"/>
          <w:color w:val="auto"/>
        </w:rPr>
        <w:t>. In connection with the rights of UFP to the Intellectual Property, Hill shall promptly execute and deliver such applications, assignments, descriptions, and other instruments as may be necessary or proper in the opinion of UFP to vest in UFP title to the Intellectual Property and to enable UFP to obtain and maintain the entire right and title to the Intellectual Property throughout the world. Hill shall also render to UFP, at UFP’s expense, such assistance as UFP may require in the prosecution of applications for said patents or reissues thereof, in the prosecution or defense of interferences which may be declared involving any of said applications or patents, and in any litigation in which UFP may be involved relating to the Intellectual Property.</w:t>
      </w:r>
    </w:p>
    <w:p>
      <w:pPr>
        <w:spacing w:after="0" w:line="138" w:lineRule="exact"/>
        <w:rPr>
          <w:sz w:val="20"/>
          <w:szCs w:val="20"/>
          <w:color w:val="auto"/>
        </w:rPr>
      </w:pPr>
    </w:p>
    <w:p>
      <w:pPr>
        <w:jc w:val="both"/>
        <w:ind w:right="159" w:firstLine="389"/>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Copyrights</w:t>
      </w:r>
      <w:r>
        <w:rPr>
          <w:rFonts w:ascii="Arial" w:cs="Arial" w:eastAsia="Arial" w:hAnsi="Arial"/>
          <w:sz w:val="16"/>
          <w:szCs w:val="16"/>
          <w:color w:val="auto"/>
        </w:rPr>
        <w:t>. Hill agrees to, and hereby grants to UFP, title to all copyrightable material first designed, produced, or composed in the course of or pursuant to the performance of work under this Agreement, which material shall be deemed “works made for hire” under Title 17, United States Code, Section 1.01 of the Copyright Act of 1976. Hill hereby grants to UFP a royalty-free, nonexclusive, and irrevocable license to reproduce, translate, publish, use, and dispose of, and to authorize others so to do, any and all copyrighted or copyrightable material created by Hill as a result of work performed under this Agreement but not first produced or composed by Hill in the performance of this Agreement, provided that the license granted by this paragraph shall be only to the extent Hill now has, or prior to the completion of work under this Agreement or under any later agreements with UFP relating to similar work may acquire, the right to grant such licenses without UFP becoming liable to pay compensation to others solely because of such grant.</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SECTION 9. MISCELLANEOUS PROVISIONS.</w:t>
      </w:r>
    </w:p>
    <w:p>
      <w:pPr>
        <w:spacing w:after="0" w:line="202"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assignable by either party, except by UFP to any subsidiary or affiliate of UFP (now or hereafter existing) or to any successor in interest to UFP’s business.</w:t>
      </w:r>
    </w:p>
    <w:p>
      <w:pPr>
        <w:spacing w:after="0" w:line="130"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Binding Effect</w:t>
      </w:r>
      <w:r>
        <w:rPr>
          <w:rFonts w:ascii="Arial" w:cs="Arial" w:eastAsia="Arial" w:hAnsi="Arial"/>
          <w:sz w:val="18"/>
          <w:szCs w:val="18"/>
          <w:color w:val="auto"/>
        </w:rPr>
        <w:t>. The provisions of this Agreement shall be binding upon and inure to the benefit of the heirs, personal representatives, successors, and assigns of the parties.</w:t>
      </w:r>
    </w:p>
    <w:p>
      <w:pPr>
        <w:spacing w:after="0" w:line="130"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Notice</w:t>
      </w:r>
      <w:r>
        <w:rPr>
          <w:rFonts w:ascii="Arial" w:cs="Arial" w:eastAsia="Arial" w:hAnsi="Arial"/>
          <w:sz w:val="18"/>
          <w:szCs w:val="18"/>
          <w:color w:val="auto"/>
        </w:rPr>
        <w:t>. Any notice or other communication required or permitted to be given under this Agreement shall be in writing and shall be mailed by certified mail, return receipt requested, postage prepaid, addressed to the parties at the address stated on the first page of this Agreement. The address of a party to which notices or other communications shall be mailed may be changed from time to time by giving written notice to the other party.</w:t>
      </w:r>
    </w:p>
    <w:p>
      <w:pPr>
        <w:spacing w:after="0" w:line="160"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Litigation Expense</w:t>
      </w:r>
      <w:r>
        <w:rPr>
          <w:rFonts w:ascii="Arial" w:cs="Arial" w:eastAsia="Arial" w:hAnsi="Arial"/>
          <w:sz w:val="17"/>
          <w:szCs w:val="17"/>
          <w:color w:val="auto"/>
        </w:rPr>
        <w:t>. In the event of a default under this Agreement, the defaulting party shall reimburse the nondefaulting party for all costs and expenses reasonably incurred by the nondefaulting party in connection with the default, including without limitation attorney’s fees. Additionally, in the event a suit or action is filed to enforce this Agreement or with respect to this Agreement, the prevailing party or parties shall be reimbursed by the other party for all costs and expenses incurred in connection with the suit or action, including without limitation reasonable attorney’s fees at the trial level and on appeal.</w:t>
      </w:r>
    </w:p>
    <w:p>
      <w:pPr>
        <w:spacing w:after="0" w:line="132"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of this Agreement shall be deemed, or shall constitute, a waiver of any other provision, whether or not similar, nor shall any waiver constitute a continuing waiver. No waiver shall be binding unless executed in writing by the party making the waiver.</w:t>
      </w:r>
    </w:p>
    <w:p>
      <w:pPr>
        <w:spacing w:after="0" w:line="141" w:lineRule="exact"/>
        <w:rPr>
          <w:sz w:val="20"/>
          <w:szCs w:val="20"/>
          <w:color w:val="auto"/>
        </w:rPr>
      </w:pPr>
    </w:p>
    <w:p>
      <w:pPr>
        <w:jc w:val="both"/>
        <w:ind w:right="179" w:firstLine="389"/>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shall be construed in accordance with the laws of the State of Colorado. Venue for any action brought to enforce this Agreement shall be brought in the courts of the State of Colorado.</w:t>
      </w:r>
    </w:p>
    <w:p>
      <w:pPr>
        <w:spacing w:after="0" w:line="120"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pertaining to its subject matter, and it supersedes all prior contemporaneous agreements, representations, and understandings of the parties. No supplement, modification, or amendment of this Agreement shall be binding unless executed in writing by all parties.</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4" w:name="page35"/>
    <w:bookmarkEnd w:id="34"/>
    <w:p>
      <w:pPr>
        <w:ind w:left="3280"/>
        <w:spacing w:after="0"/>
        <w:rPr>
          <w:sz w:val="20"/>
          <w:szCs w:val="20"/>
          <w:color w:val="auto"/>
        </w:rPr>
      </w:pPr>
      <w:r>
        <w:rPr>
          <w:rFonts w:ascii="Arial" w:cs="Arial" w:eastAsia="Arial" w:hAnsi="Arial"/>
          <w:sz w:val="17"/>
          <w:szCs w:val="17"/>
          <w:color w:val="auto"/>
        </w:rPr>
        <w:t>UNIVERSAL FOREST PRODUCTS</w:t>
      </w:r>
    </w:p>
    <w:p>
      <w:pPr>
        <w:spacing w:after="0" w:line="3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WESTERN DIVISION, INC.:</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14605</wp:posOffset>
            </wp:positionV>
            <wp:extent cx="24612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14605</wp:posOffset>
            </wp:positionV>
            <wp:extent cx="24612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2081530</wp:posOffset>
            </wp:positionH>
            <wp:positionV relativeFrom="paragraph">
              <wp:posOffset>306705</wp:posOffset>
            </wp:positionV>
            <wp:extent cx="28130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Robert K. Hill</w:t>
      </w:r>
    </w:p>
    <w:p>
      <w:pPr>
        <w:spacing w:after="0" w:line="200" w:lineRule="exact"/>
        <w:rPr>
          <w:sz w:val="20"/>
          <w:szCs w:val="20"/>
          <w:color w:val="auto"/>
        </w:rPr>
      </w:pPr>
    </w:p>
    <w:p>
      <w:pPr>
        <w:spacing w:after="0" w:line="390"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68"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INITIAL CONSULTING SERVICES</w:t>
      </w:r>
    </w:p>
    <w:p>
      <w:pPr>
        <w:spacing w:after="0" w:line="189" w:lineRule="exact"/>
        <w:rPr>
          <w:sz w:val="20"/>
          <w:szCs w:val="20"/>
          <w:color w:val="auto"/>
        </w:rPr>
      </w:pPr>
    </w:p>
    <w:p>
      <w:pPr>
        <w:ind w:left="468" w:right="159" w:hanging="468"/>
        <w:spacing w:after="0" w:line="277" w:lineRule="auto"/>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consultation to the CEO of UFP, the President of Universal Forest Products Western Division, Inc., or other employees of the Company, as approved by the CEO and Hill.</w:t>
      </w:r>
    </w:p>
    <w:p>
      <w:pPr>
        <w:spacing w:after="0" w:line="48" w:lineRule="exact"/>
        <w:rPr>
          <w:rFonts w:ascii="Arial" w:cs="Arial" w:eastAsia="Arial" w:hAnsi="Arial"/>
          <w:sz w:val="18"/>
          <w:szCs w:val="18"/>
          <w:color w:val="auto"/>
        </w:rPr>
      </w:pPr>
    </w:p>
    <w:p>
      <w:pPr>
        <w:ind w:left="468" w:hanging="468"/>
        <w:spacing w:after="0"/>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information on Hill’s past activities on behalf of the Company.</w:t>
      </w:r>
    </w:p>
    <w:p>
      <w:pPr>
        <w:spacing w:after="0" w:line="103" w:lineRule="exact"/>
        <w:rPr>
          <w:rFonts w:ascii="Arial" w:cs="Arial" w:eastAsia="Arial" w:hAnsi="Arial"/>
          <w:sz w:val="18"/>
          <w:szCs w:val="18"/>
          <w:color w:val="auto"/>
        </w:rPr>
      </w:pPr>
    </w:p>
    <w:p>
      <w:pPr>
        <w:ind w:left="468" w:hanging="468"/>
        <w:spacing w:after="0"/>
        <w:tabs>
          <w:tab w:leader="none" w:pos="4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Cooperate with UFP to ensure a smooth management transition.</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u w:val="single" w:color="auto"/>
          <w:color w:val="auto"/>
        </w:rPr>
        <w:t>APPENDIX B</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FULL AND FINAL RELEASE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consideration of the benefits provided to me by Universal Forest Products, Inc. contained in the Employment, Consulting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Non-Competition) Agreement (the “Agreement”) dated June 15, 2007, I hereby agree as follows:</w:t>
      </w:r>
    </w:p>
    <w:p>
      <w:pPr>
        <w:spacing w:after="0" w:line="166" w:lineRule="exact"/>
        <w:rPr>
          <w:sz w:val="20"/>
          <w:szCs w:val="20"/>
          <w:color w:val="auto"/>
        </w:rPr>
      </w:pPr>
    </w:p>
    <w:p>
      <w:pPr>
        <w:jc w:val="both"/>
        <w:ind w:right="159" w:firstLine="381"/>
        <w:spacing w:after="0" w:line="266" w:lineRule="auto"/>
        <w:tabs>
          <w:tab w:leader="none" w:pos="582"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color w:val="auto"/>
        </w:rPr>
        <w:t>. When used herein, “the Company” includes any parent, subsidiary, and affiliated companies of 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Forest Products, Inc. and its and their successors, assigns, officers, directors, agents, employees and attorneys, past, present or future, jointly and individually (collectively, “the Company”).</w:t>
      </w:r>
    </w:p>
    <w:p>
      <w:pPr>
        <w:spacing w:after="0" w:line="149" w:lineRule="exact"/>
        <w:rPr>
          <w:rFonts w:ascii="Arial" w:cs="Arial" w:eastAsia="Arial" w:hAnsi="Arial"/>
          <w:sz w:val="18"/>
          <w:szCs w:val="18"/>
          <w:color w:val="auto"/>
        </w:rPr>
      </w:pPr>
    </w:p>
    <w:p>
      <w:pPr>
        <w:jc w:val="both"/>
        <w:ind w:right="159" w:firstLine="381"/>
        <w:spacing w:after="0" w:line="268" w:lineRule="auto"/>
        <w:tabs>
          <w:tab w:leader="none" w:pos="609"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Release of Claim</w:t>
      </w:r>
      <w:r>
        <w:rPr>
          <w:rFonts w:ascii="Arial" w:cs="Arial" w:eastAsia="Arial" w:hAnsi="Arial"/>
          <w:sz w:val="17"/>
          <w:szCs w:val="17"/>
          <w:color w:val="auto"/>
        </w:rPr>
        <w:t>. I release and forever discharge the Company from any and all claims, disputes, causes of action,</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proceedings, legal actions, whether arising out of statutory law, common law or equity, and damages, known or unknown, which I have or may have against the Company, however denominated (the “Claims”), including, but not limited to, Claims related to my employment, the conduct of business during my employment, any claims of discrimination under any Federal, state or local law, rule or regulation, including claims under the Age Discrimination in Employment Act (ADEA), any claims under the Older Workers Benefits Protection Act, Title VII of the Civil Rights Acts of 1964, the Civil Rights Act of 1991, the Employee Retirement Income Security Act of 1974, the Michigan Elliott-Larsen Civil Rights Act, the Michigan Handicappers’ Civil Rights Act, the Michigan Workers Disability Compensation Act, the Americans with Disabilities Act, any Claim for violation of any other federal, state or local law, rule or regulation, any Claim for wrongful termination of employment, wrongful layoff, failure to recall to work, breach of contract, violation of any policy, practice or procedure of the Company, denial of any employment benefit, constructive discharge, retaliatory discharge, breach of the covenant of good faith and fair dealings, detrimental reliance, termination in violation of public policy, violation of any whistleblowers statute, negligent supervision, negligent conducting of performance appraisal, libel, slander, defamation, sexual or any other type of harassment, intentional or negligent infliction of emotional distress, tortious interference with business relations or prospective employers, providing false references, any Claims to reinstatement or future employment, any Claim for damages, attorney fees or costs and any Claims occurring or existing through the date of this Release. Employee does not waive the right to file a lawsuit to enforce the Agreement and this Appendix B. The right to file the lawsuit shall apply solely to the equity powers of the court to enforce the arbitration provisions herein.</w:t>
      </w:r>
    </w:p>
    <w:p>
      <w:pPr>
        <w:spacing w:after="0" w:line="138" w:lineRule="exact"/>
        <w:rPr>
          <w:rFonts w:ascii="Arial" w:cs="Arial" w:eastAsia="Arial" w:hAnsi="Arial"/>
          <w:sz w:val="17"/>
          <w:szCs w:val="17"/>
          <w:color w:val="auto"/>
        </w:rPr>
      </w:pPr>
    </w:p>
    <w:p>
      <w:pPr>
        <w:jc w:val="both"/>
        <w:ind w:right="159" w:firstLine="381"/>
        <w:spacing w:after="0" w:line="261" w:lineRule="auto"/>
        <w:tabs>
          <w:tab w:leader="none" w:pos="609"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 of Release</w:t>
      </w:r>
      <w:r>
        <w:rPr>
          <w:rFonts w:ascii="Arial" w:cs="Arial" w:eastAsia="Arial" w:hAnsi="Arial"/>
          <w:sz w:val="18"/>
          <w:szCs w:val="18"/>
          <w:color w:val="auto"/>
        </w:rPr>
        <w:t>. Except as provided below, this Release covers all Claims arising from or in connection with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and separation from the Company as well as any Claims occurring or existing through the date of this Release. This Release does not apply to (a) my rights under the Consulting Agreement, (b) Claims against any person other than the Company that is unrelated to my employment and the conduct of business during my employment.</w:t>
      </w: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7" w:name="page38"/>
    <w:bookmarkEnd w:id="37"/>
    <w:p>
      <w:pPr>
        <w:ind w:left="560" w:hanging="179"/>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 Claims</w:t>
      </w:r>
      <w:r>
        <w:rPr>
          <w:rFonts w:ascii="Arial" w:cs="Arial" w:eastAsia="Arial" w:hAnsi="Arial"/>
          <w:sz w:val="18"/>
          <w:szCs w:val="18"/>
          <w:color w:val="auto"/>
        </w:rPr>
        <w:t>. I have not filed any claim, administrative proceedings or legal action against the Company.</w:t>
      </w:r>
    </w:p>
    <w:p>
      <w:pPr>
        <w:spacing w:after="0" w:line="198" w:lineRule="exact"/>
        <w:rPr>
          <w:rFonts w:ascii="Arial" w:cs="Arial" w:eastAsia="Arial" w:hAnsi="Arial"/>
          <w:sz w:val="18"/>
          <w:szCs w:val="18"/>
          <w:color w:val="auto"/>
        </w:rPr>
      </w:pPr>
    </w:p>
    <w:p>
      <w:pPr>
        <w:jc w:val="both"/>
        <w:ind w:right="159" w:firstLine="381"/>
        <w:spacing w:after="0" w:line="258" w:lineRule="auto"/>
        <w:tabs>
          <w:tab w:leader="none" w:pos="58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Legal Action</w:t>
      </w:r>
      <w:r>
        <w:rPr>
          <w:rFonts w:ascii="Arial" w:cs="Arial" w:eastAsia="Arial" w:hAnsi="Arial"/>
          <w:sz w:val="18"/>
          <w:szCs w:val="18"/>
          <w:color w:val="auto"/>
        </w:rPr>
        <w:t>. I will not initiate, assist or cooperate in any charge, claim, complaint or legal action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any federal, state or local administrative agency or court, or with any other person (the term “person” shall mean and include an individual, a partnership, a joint venture, a corporation, a limited liability entity, a trust, an unincorporated organization, and a government or any department or agency thereof), unless so ordered by a duly authorized court, legislative committee or grand jury, as for enforcement of this Agreement.</w:t>
      </w:r>
    </w:p>
    <w:p>
      <w:pPr>
        <w:spacing w:after="0" w:line="143" w:lineRule="exact"/>
        <w:rPr>
          <w:rFonts w:ascii="Arial" w:cs="Arial" w:eastAsia="Arial" w:hAnsi="Arial"/>
          <w:sz w:val="18"/>
          <w:szCs w:val="18"/>
          <w:color w:val="auto"/>
        </w:rPr>
      </w:pPr>
    </w:p>
    <w:p>
      <w:pPr>
        <w:ind w:left="560" w:hanging="179"/>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Derogatory Comments</w:t>
      </w:r>
      <w:r>
        <w:rPr>
          <w:rFonts w:ascii="Arial" w:cs="Arial" w:eastAsia="Arial" w:hAnsi="Arial"/>
          <w:sz w:val="18"/>
          <w:szCs w:val="18"/>
          <w:color w:val="auto"/>
        </w:rPr>
        <w:t>. I shall not make any derogatory statements regarding the Company.</w:t>
      </w:r>
    </w:p>
    <w:p>
      <w:pPr>
        <w:spacing w:after="0" w:line="184" w:lineRule="exact"/>
        <w:rPr>
          <w:rFonts w:ascii="Arial" w:cs="Arial" w:eastAsia="Arial" w:hAnsi="Arial"/>
          <w:sz w:val="18"/>
          <w:szCs w:val="18"/>
          <w:color w:val="auto"/>
        </w:rPr>
      </w:pPr>
    </w:p>
    <w:p>
      <w:pPr>
        <w:ind w:right="159" w:firstLine="381"/>
        <w:spacing w:after="0" w:line="282" w:lineRule="auto"/>
        <w:tabs>
          <w:tab w:leader="none" w:pos="569"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 Effective with the date of my separation from employment, I resign as an employee, officer and /or a director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its subsidiaries and affiliates.</w:t>
      </w:r>
    </w:p>
    <w:p>
      <w:pPr>
        <w:spacing w:after="0" w:line="134" w:lineRule="exact"/>
        <w:rPr>
          <w:rFonts w:ascii="Arial" w:cs="Arial" w:eastAsia="Arial" w:hAnsi="Arial"/>
          <w:sz w:val="18"/>
          <w:szCs w:val="18"/>
          <w:color w:val="auto"/>
        </w:rPr>
      </w:pPr>
    </w:p>
    <w:p>
      <w:pPr>
        <w:jc w:val="both"/>
        <w:ind w:right="179" w:firstLine="381"/>
        <w:spacing w:after="0" w:line="266" w:lineRule="auto"/>
        <w:tabs>
          <w:tab w:leader="none" w:pos="569"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Finality of Release</w:t>
      </w:r>
      <w:r>
        <w:rPr>
          <w:rFonts w:ascii="Arial" w:cs="Arial" w:eastAsia="Arial" w:hAnsi="Arial"/>
          <w:sz w:val="18"/>
          <w:szCs w:val="18"/>
          <w:color w:val="auto"/>
        </w:rPr>
        <w:t>. I recognize that I may be mistaken as to the facts and/or law upon which I may be relying in executing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or that additional facts may exist of which I am not presently aware. Nonetheless, I have been fully advised and understand the finality of this Release and intend to be bound by it.</w:t>
      </w:r>
    </w:p>
    <w:p>
      <w:pPr>
        <w:spacing w:after="0" w:line="135" w:lineRule="exact"/>
        <w:rPr>
          <w:rFonts w:ascii="Arial" w:cs="Arial" w:eastAsia="Arial" w:hAnsi="Arial"/>
          <w:sz w:val="18"/>
          <w:szCs w:val="18"/>
          <w:color w:val="auto"/>
        </w:rPr>
      </w:pPr>
    </w:p>
    <w:p>
      <w:pPr>
        <w:jc w:val="both"/>
        <w:ind w:right="159" w:firstLine="381"/>
        <w:spacing w:after="0" w:line="266" w:lineRule="auto"/>
        <w:tabs>
          <w:tab w:leader="none" w:pos="569"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of Document</w:t>
      </w:r>
      <w:r>
        <w:rPr>
          <w:rFonts w:ascii="Arial" w:cs="Arial" w:eastAsia="Arial" w:hAnsi="Arial"/>
          <w:sz w:val="18"/>
          <w:szCs w:val="18"/>
          <w:color w:val="auto"/>
        </w:rPr>
        <w:t>. I acknowledge that the Company has advised me in writing to consult with an attorney regarding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 have had the opportunity to read and discuss this Release with the Company and I have had an opportunity to review this Release with my own legal counsel.</w:t>
      </w:r>
    </w:p>
    <w:p>
      <w:pPr>
        <w:spacing w:after="0" w:line="135" w:lineRule="exact"/>
        <w:rPr>
          <w:rFonts w:ascii="Arial" w:cs="Arial" w:eastAsia="Arial" w:hAnsi="Arial"/>
          <w:sz w:val="18"/>
          <w:szCs w:val="18"/>
          <w:color w:val="auto"/>
        </w:rPr>
      </w:pPr>
    </w:p>
    <w:p>
      <w:pPr>
        <w:jc w:val="both"/>
        <w:ind w:right="159" w:firstLine="381"/>
        <w:spacing w:after="0" w:line="266" w:lineRule="auto"/>
        <w:tabs>
          <w:tab w:leader="none" w:pos="672"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Review and Revocation Periods</w:t>
      </w:r>
      <w:r>
        <w:rPr>
          <w:rFonts w:ascii="Arial" w:cs="Arial" w:eastAsia="Arial" w:hAnsi="Arial"/>
          <w:sz w:val="18"/>
          <w:szCs w:val="18"/>
          <w:color w:val="auto"/>
        </w:rPr>
        <w:t>. I have been given twenty one (21) days within which to consider this Release before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executing it. I have been advised that I may revoke this Release for a period of seven (7) calendar days following the execution of this Release and that this Release is not effective until the revocation period has expired.</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8" w:name="page39"/>
    <w:bookmarkEnd w:id="38"/>
    <w:p>
      <w:pPr>
        <w:ind w:right="179" w:firstLine="381"/>
        <w:spacing w:after="0" w:line="282" w:lineRule="auto"/>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 to Release</w:t>
      </w:r>
      <w:r>
        <w:rPr>
          <w:rFonts w:ascii="Arial" w:cs="Arial" w:eastAsia="Arial" w:hAnsi="Arial"/>
          <w:sz w:val="18"/>
          <w:szCs w:val="18"/>
          <w:color w:val="auto"/>
        </w:rPr>
        <w:t>. I have the authority to release the claims which are released herein, and no claims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previously assigned to or are owned by any other person or entity.</w:t>
      </w:r>
    </w:p>
    <w:p>
      <w:pPr>
        <w:spacing w:after="0" w:line="134" w:lineRule="exact"/>
        <w:rPr>
          <w:rFonts w:ascii="Arial" w:cs="Arial" w:eastAsia="Arial" w:hAnsi="Arial"/>
          <w:sz w:val="18"/>
          <w:szCs w:val="18"/>
          <w:color w:val="auto"/>
        </w:rPr>
      </w:pPr>
    </w:p>
    <w:p>
      <w:pPr>
        <w:ind w:right="179" w:firstLine="381"/>
        <w:spacing w:after="0" w:line="282" w:lineRule="auto"/>
        <w:tabs>
          <w:tab w:leader="none" w:pos="67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dispute arising out of the interpretation or application of this Agreement shall be submitted to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arbitration and the fees and expenses of the Arbitrator shall be paid by the unsuccessful party.</w:t>
      </w:r>
    </w:p>
    <w:p>
      <w:pPr>
        <w:spacing w:after="0" w:line="121" w:lineRule="exact"/>
        <w:rPr>
          <w:rFonts w:ascii="Arial" w:cs="Arial" w:eastAsia="Arial" w:hAnsi="Arial"/>
          <w:sz w:val="18"/>
          <w:szCs w:val="18"/>
          <w:color w:val="auto"/>
        </w:rPr>
      </w:pPr>
    </w:p>
    <w:p>
      <w:pPr>
        <w:jc w:val="both"/>
        <w:ind w:right="159" w:firstLine="381"/>
        <w:spacing w:after="0" w:line="289" w:lineRule="auto"/>
        <w:tabs>
          <w:tab w:leader="none" w:pos="672"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No other written or oral promises, inducement or agreements have been made by the Company to me</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those made in the Consulting Agreement, attached hereto. I understand that this Release may not be modified, altered or changed in any respect, except upon the express prior written consent by me and the Company.</w:t>
      </w:r>
    </w:p>
    <w:p>
      <w:pPr>
        <w:spacing w:after="0" w:line="117" w:lineRule="exact"/>
        <w:rPr>
          <w:rFonts w:ascii="Arial" w:cs="Arial" w:eastAsia="Arial" w:hAnsi="Arial"/>
          <w:sz w:val="17"/>
          <w:szCs w:val="17"/>
          <w:color w:val="auto"/>
        </w:rPr>
      </w:pPr>
    </w:p>
    <w:p>
      <w:pPr>
        <w:jc w:val="both"/>
        <w:ind w:right="159" w:firstLine="381"/>
        <w:spacing w:after="0" w:line="266" w:lineRule="auto"/>
        <w:tabs>
          <w:tab w:leader="none" w:pos="67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after the date of execution of this Release, any provision of this Release is held to be illegal,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such provision shall be fully severable. In lieu thereof, there shall be added a provision as similar in terms to such illegal, invalid or unenforceable provision as may be possible and be legal, valid and enforceable.</w:t>
      </w:r>
    </w:p>
    <w:p>
      <w:pPr>
        <w:spacing w:after="0" w:line="149" w:lineRule="exact"/>
        <w:rPr>
          <w:rFonts w:ascii="Arial" w:cs="Arial" w:eastAsia="Arial" w:hAnsi="Arial"/>
          <w:sz w:val="18"/>
          <w:szCs w:val="18"/>
          <w:color w:val="auto"/>
        </w:rPr>
      </w:pPr>
    </w:p>
    <w:p>
      <w:pPr>
        <w:ind w:right="159" w:firstLine="381"/>
        <w:spacing w:after="0" w:line="282" w:lineRule="auto"/>
        <w:tabs>
          <w:tab w:leader="none" w:pos="659"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Release shall be construed in accordance with and shall be governed by the internal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of Colorado.</w:t>
      </w:r>
    </w:p>
    <w:p>
      <w:pPr>
        <w:spacing w:after="0" w:line="200" w:lineRule="exact"/>
        <w:rPr>
          <w:sz w:val="20"/>
          <w:szCs w:val="20"/>
          <w:color w:val="auto"/>
        </w:rPr>
      </w:pPr>
    </w:p>
    <w:p>
      <w:pPr>
        <w:spacing w:after="0" w:line="3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9" w:name="page40"/>
    <w:bookmarkEnd w:id="39"/>
    <w:p>
      <w:pPr>
        <w:ind w:left="380"/>
        <w:spacing w:after="0"/>
        <w:rPr>
          <w:sz w:val="20"/>
          <w:szCs w:val="20"/>
          <w:color w:val="auto"/>
        </w:rPr>
      </w:pPr>
      <w:r>
        <w:rPr>
          <w:rFonts w:ascii="Arial" w:cs="Arial" w:eastAsia="Arial" w:hAnsi="Arial"/>
          <w:sz w:val="16"/>
          <w:szCs w:val="16"/>
          <w:color w:val="auto"/>
        </w:rPr>
        <w:t>IN WITNESS WHEREOF, the parties have executed this Release as of the date first above written.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IS A RELEASE. READ BEFORE SIGNING</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UNIVERSAL FOREST PRODUCTS</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WESTERN DIVISION,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4457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32"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14605</wp:posOffset>
            </wp:positionV>
            <wp:extent cx="24612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54457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457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Robert K. Hill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by Counsel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2452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93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p>
        </w:tc>
        <w:tc>
          <w:tcPr>
            <w:tcW w:w="2600" w:type="dxa"/>
            <w:vAlign w:val="bottom"/>
          </w:tcPr>
          <w:p>
            <w:pPr>
              <w:jc w:val="right"/>
              <w:ind w:right="1270"/>
              <w:spacing w:after="0"/>
              <w:rPr>
                <w:sz w:val="20"/>
                <w:szCs w:val="20"/>
                <w:color w:val="auto"/>
              </w:rPr>
            </w:pPr>
            <w:r>
              <w:rPr>
                <w:rFonts w:ascii="Arial" w:cs="Arial" w:eastAsia="Arial" w:hAnsi="Arial"/>
                <w:sz w:val="18"/>
                <w:szCs w:val="18"/>
                <w:b w:val="1"/>
                <w:bCs w:val="1"/>
                <w:color w:val="auto"/>
              </w:rPr>
              <w:t>Exhibit 13</w:t>
            </w:r>
          </w:p>
        </w:tc>
      </w:tr>
      <w:tr>
        <w:trPr>
          <w:trHeight w:val="387"/>
        </w:trPr>
        <w:tc>
          <w:tcPr>
            <w:tcW w:w="8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UNIVERSAL FOREST PRODUCTS, INC.</w:t>
            </w:r>
          </w:p>
        </w:tc>
        <w:tc>
          <w:tcPr>
            <w:tcW w:w="2600" w:type="dxa"/>
            <w:vAlign w:val="bottom"/>
          </w:tcPr>
          <w:p>
            <w:pPr>
              <w:spacing w:after="0"/>
              <w:rPr>
                <w:sz w:val="24"/>
                <w:szCs w:val="24"/>
                <w:color w:val="auto"/>
              </w:rPr>
            </w:pPr>
          </w:p>
        </w:tc>
      </w:tr>
      <w:tr>
        <w:trPr>
          <w:trHeight w:val="234"/>
        </w:trPr>
        <w:tc>
          <w:tcPr>
            <w:tcW w:w="8820" w:type="dxa"/>
            <w:vAlign w:val="bottom"/>
          </w:tcPr>
          <w:p>
            <w:pPr>
              <w:jc w:val="center"/>
              <w:ind w:left="1470"/>
              <w:spacing w:after="0"/>
              <w:rPr>
                <w:sz w:val="20"/>
                <w:szCs w:val="20"/>
                <w:color w:val="auto"/>
              </w:rPr>
            </w:pPr>
            <w:r>
              <w:rPr>
                <w:rFonts w:ascii="Arial" w:cs="Arial" w:eastAsia="Arial" w:hAnsi="Arial"/>
                <w:sz w:val="18"/>
                <w:szCs w:val="18"/>
                <w:b w:val="1"/>
                <w:bCs w:val="1"/>
                <w:color w:val="auto"/>
              </w:rPr>
              <w:t>FINANCIAL INFORMATION</w:t>
            </w:r>
          </w:p>
        </w:tc>
        <w:tc>
          <w:tcPr>
            <w:tcW w:w="2600" w:type="dxa"/>
            <w:vAlign w:val="bottom"/>
          </w:tcPr>
          <w:p>
            <w:pPr>
              <w:spacing w:after="0"/>
              <w:rPr>
                <w:sz w:val="20"/>
                <w:szCs w:val="20"/>
                <w:color w:val="auto"/>
              </w:rPr>
            </w:pPr>
          </w:p>
        </w:tc>
      </w:tr>
      <w:tr>
        <w:trPr>
          <w:trHeight w:val="392"/>
        </w:trPr>
        <w:tc>
          <w:tcPr>
            <w:tcW w:w="882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Table of Contents</w:t>
            </w:r>
          </w:p>
        </w:tc>
        <w:tc>
          <w:tcPr>
            <w:tcW w:w="2600" w:type="dxa"/>
            <w:vAlign w:val="bottom"/>
          </w:tcPr>
          <w:p>
            <w:pPr>
              <w:spacing w:after="0"/>
              <w:rPr>
                <w:sz w:val="24"/>
                <w:szCs w:val="24"/>
                <w:color w:val="auto"/>
              </w:rPr>
            </w:pP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Selected Financial Data</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3</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23</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24</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25</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Consolidated Balance Sheets as of December 29, 2007 and December 30, 2006</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26</w:t>
            </w:r>
          </w:p>
        </w:tc>
      </w:tr>
      <w:tr>
        <w:trPr>
          <w:trHeight w:val="418"/>
        </w:trPr>
        <w:tc>
          <w:tcPr>
            <w:tcW w:w="8820" w:type="dxa"/>
            <w:vAlign w:val="bottom"/>
          </w:tcPr>
          <w:p>
            <w:pPr>
              <w:ind w:left="340"/>
              <w:spacing w:after="0"/>
              <w:rPr>
                <w:sz w:val="20"/>
                <w:szCs w:val="20"/>
                <w:color w:val="auto"/>
              </w:rPr>
            </w:pPr>
            <w:r>
              <w:rPr>
                <w:rFonts w:ascii="Arial" w:cs="Arial" w:eastAsia="Arial" w:hAnsi="Arial"/>
                <w:sz w:val="18"/>
                <w:szCs w:val="18"/>
                <w:color w:val="auto"/>
              </w:rPr>
              <w:t>Consolidated Statements of Earnings for the Years Ended December 29, 2007, December 30, 2006, and</w:t>
            </w:r>
          </w:p>
        </w:tc>
        <w:tc>
          <w:tcPr>
            <w:tcW w:w="2600" w:type="dxa"/>
            <w:vAlign w:val="bottom"/>
          </w:tcPr>
          <w:p>
            <w:pPr>
              <w:spacing w:after="0"/>
              <w:rPr>
                <w:sz w:val="24"/>
                <w:szCs w:val="24"/>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December 31, 2005</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27</w:t>
            </w:r>
          </w:p>
        </w:tc>
      </w:tr>
      <w:tr>
        <w:trPr>
          <w:trHeight w:val="418"/>
        </w:trPr>
        <w:tc>
          <w:tcPr>
            <w:tcW w:w="8820" w:type="dxa"/>
            <w:vAlign w:val="bottom"/>
          </w:tcPr>
          <w:p>
            <w:pPr>
              <w:ind w:left="340"/>
              <w:spacing w:after="0"/>
              <w:rPr>
                <w:sz w:val="20"/>
                <w:szCs w:val="20"/>
                <w:color w:val="auto"/>
              </w:rPr>
            </w:pPr>
            <w:r>
              <w:rPr>
                <w:rFonts w:ascii="Arial" w:cs="Arial" w:eastAsia="Arial" w:hAnsi="Arial"/>
                <w:sz w:val="18"/>
                <w:szCs w:val="18"/>
                <w:color w:val="auto"/>
                <w:w w:val="94"/>
              </w:rPr>
              <w:t>Consolidated Statements of Shareholders’ Equity for the Years Ended December 29, 2007, December 30, 2006,</w:t>
            </w:r>
          </w:p>
        </w:tc>
        <w:tc>
          <w:tcPr>
            <w:tcW w:w="2600" w:type="dxa"/>
            <w:vAlign w:val="bottom"/>
          </w:tcPr>
          <w:p>
            <w:pPr>
              <w:spacing w:after="0"/>
              <w:rPr>
                <w:sz w:val="24"/>
                <w:szCs w:val="24"/>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and December 31, 2005</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28</w:t>
            </w:r>
          </w:p>
        </w:tc>
      </w:tr>
      <w:tr>
        <w:trPr>
          <w:trHeight w:val="418"/>
        </w:trPr>
        <w:tc>
          <w:tcPr>
            <w:tcW w:w="8820" w:type="dxa"/>
            <w:vAlign w:val="bottom"/>
          </w:tcPr>
          <w:p>
            <w:pPr>
              <w:ind w:left="340"/>
              <w:spacing w:after="0"/>
              <w:rPr>
                <w:sz w:val="20"/>
                <w:szCs w:val="20"/>
                <w:color w:val="auto"/>
              </w:rPr>
            </w:pPr>
            <w:r>
              <w:rPr>
                <w:rFonts w:ascii="Arial" w:cs="Arial" w:eastAsia="Arial" w:hAnsi="Arial"/>
                <w:sz w:val="18"/>
                <w:szCs w:val="18"/>
                <w:color w:val="auto"/>
                <w:w w:val="98"/>
              </w:rPr>
              <w:t>Consolidated Statements of Cash Flows for the Years Ended December 29, 2007, December 30, 2006, and</w:t>
            </w:r>
          </w:p>
        </w:tc>
        <w:tc>
          <w:tcPr>
            <w:tcW w:w="2600" w:type="dxa"/>
            <w:vAlign w:val="bottom"/>
          </w:tcPr>
          <w:p>
            <w:pPr>
              <w:spacing w:after="0"/>
              <w:rPr>
                <w:sz w:val="24"/>
                <w:szCs w:val="24"/>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December 31, 2005</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29</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31</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Price Range of Common Stock and Dividends</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58</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Stock Performance Graph</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59</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Directors and Executive Officers</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60</w:t>
            </w:r>
          </w:p>
        </w:tc>
      </w:tr>
      <w:tr>
        <w:trPr>
          <w:trHeight w:val="432"/>
        </w:trPr>
        <w:tc>
          <w:tcPr>
            <w:tcW w:w="8820" w:type="dxa"/>
            <w:vAlign w:val="bottom"/>
          </w:tcPr>
          <w:p>
            <w:pPr>
              <w:ind w:left="340"/>
              <w:spacing w:after="0"/>
              <w:rPr>
                <w:sz w:val="20"/>
                <w:szCs w:val="20"/>
                <w:color w:val="auto"/>
              </w:rPr>
            </w:pPr>
            <w:r>
              <w:rPr>
                <w:rFonts w:ascii="Arial" w:cs="Arial" w:eastAsia="Arial" w:hAnsi="Arial"/>
                <w:sz w:val="18"/>
                <w:szCs w:val="18"/>
                <w:color w:val="auto"/>
              </w:rPr>
              <w:t>Shareholder Information</w:t>
            </w:r>
          </w:p>
        </w:tc>
        <w:tc>
          <w:tcPr>
            <w:tcW w:w="2600" w:type="dxa"/>
            <w:vAlign w:val="bottom"/>
          </w:tcPr>
          <w:p>
            <w:pPr>
              <w:jc w:val="right"/>
              <w:ind w:right="1390"/>
              <w:spacing w:after="0"/>
              <w:rPr>
                <w:sz w:val="20"/>
                <w:szCs w:val="20"/>
                <w:color w:val="auto"/>
              </w:rPr>
            </w:pPr>
            <w:r>
              <w:rPr>
                <w:rFonts w:ascii="Arial" w:cs="Arial" w:eastAsia="Arial" w:hAnsi="Arial"/>
                <w:sz w:val="18"/>
                <w:szCs w:val="18"/>
                <w:color w:val="auto"/>
              </w:rPr>
              <w:t>61</w:t>
            </w:r>
          </w:p>
        </w:tc>
      </w:tr>
      <w:tr>
        <w:trPr>
          <w:trHeight w:val="1239"/>
        </w:trPr>
        <w:tc>
          <w:tcPr>
            <w:tcW w:w="8820" w:type="dxa"/>
            <w:vAlign w:val="bottom"/>
            <w:tcBorders>
              <w:bottom w:val="single" w:sz="8" w:color="808080"/>
            </w:tcBorders>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ind w:left="8"/>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2004</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20"/>
                <w:szCs w:val="20"/>
                <w:color w:val="auto"/>
              </w:rPr>
            </w:pPr>
          </w:p>
        </w:tc>
      </w:tr>
      <w:tr>
        <w:trPr>
          <w:trHeight w:val="191"/>
        </w:trPr>
        <w:tc>
          <w:tcPr>
            <w:tcW w:w="284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Consolidated Statement of</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Earnings Data</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2,513,178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2,664,572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2,691,522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2,453,281</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1,898,830</w:t>
            </w: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309,029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381,682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359,256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257,986</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Earnings before income taxes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38,609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112,135</w:t>
            </w:r>
          </w:p>
        </w:tc>
        <w:tc>
          <w:tcPr>
            <w:tcW w:w="1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110,772</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83,059</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65,792</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21,045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70,125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67,343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48,603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40,119</w:t>
            </w: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3.62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3.53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0.095</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3"/>
              </w:rPr>
              <w:t>Weighted average shares outstanding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with common stock equivalents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19,362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19,370</w:t>
            </w:r>
          </w:p>
        </w:tc>
        <w:tc>
          <w:tcPr>
            <w:tcW w:w="1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19,106</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18,771</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18,379</w:t>
            </w:r>
          </w:p>
        </w:tc>
      </w:tr>
      <w:tr>
        <w:trPr>
          <w:trHeight w:val="216"/>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Consolidated Balance Sheet Data</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337,800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282,913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298,027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222,618</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190,400</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913,441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876,920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762,360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686,931</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Total debt and capital lease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206,071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170,097</w:t>
            </w:r>
          </w:p>
        </w:tc>
        <w:tc>
          <w:tcPr>
            <w:tcW w:w="16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209,497</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207,142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213,186</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536,668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514,742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431,852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356,769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305,104</w:t>
            </w: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Statistics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2"/>
        </w:trPr>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Gross profit as a percentage of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8"/>
              </w:rPr>
              <w:t>Net earnings as a percentage of net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sales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Return on beginning equity</w:t>
            </w:r>
            <w:r>
              <w:rPr>
                <w:rFonts w:ascii="Arial" w:cs="Arial" w:eastAsia="Arial" w:hAnsi="Arial"/>
                <w:sz w:val="15"/>
                <w:szCs w:val="15"/>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Current ratio</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Debt to equity ratio</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0.70</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Book value per common share</w:t>
            </w:r>
            <w:r>
              <w:rPr>
                <w:rFonts w:ascii="Arial" w:cs="Arial" w:eastAsia="Arial" w:hAnsi="Arial"/>
                <w:sz w:val="15"/>
                <w:szCs w:val="15"/>
                <w:color w:val="auto"/>
              </w:rPr>
              <w:t>(3)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28.38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27.29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23.47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19.82</w:t>
            </w:r>
          </w:p>
        </w:tc>
        <w:tc>
          <w:tcPr>
            <w:tcW w:w="4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17.13</w:t>
            </w:r>
          </w:p>
        </w:tc>
      </w:tr>
    </w:tbl>
    <w:p>
      <w:pPr>
        <w:spacing w:after="0" w:line="160" w:lineRule="exact"/>
        <w:rPr>
          <w:sz w:val="20"/>
          <w:szCs w:val="20"/>
          <w:color w:val="auto"/>
        </w:rPr>
      </w:pPr>
    </w:p>
    <w:p>
      <w:pPr>
        <w:ind w:left="388" w:hanging="388"/>
        <w:spacing w:after="0"/>
        <w:tabs>
          <w:tab w:leader="none" w:pos="3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earnings divided by beginning shareholders’ equity.</w:t>
      </w:r>
    </w:p>
    <w:p>
      <w:pPr>
        <w:spacing w:after="0" w:line="76" w:lineRule="exact"/>
        <w:rPr>
          <w:rFonts w:ascii="Arial" w:cs="Arial" w:eastAsia="Arial" w:hAnsi="Arial"/>
          <w:sz w:val="18"/>
          <w:szCs w:val="18"/>
          <w:color w:val="auto"/>
        </w:rPr>
      </w:pPr>
    </w:p>
    <w:p>
      <w:pPr>
        <w:ind w:left="388" w:hanging="388"/>
        <w:spacing w:after="0"/>
        <w:tabs>
          <w:tab w:leader="none" w:pos="3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42" w:name="page43"/>
    <w:bookmarkEnd w:id="42"/>
    <w:p>
      <w:pPr>
        <w:jc w:val="center"/>
        <w:ind w:left="580" w:right="2160"/>
        <w:spacing w:after="0" w:line="266"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153" w:lineRule="exact"/>
        <w:rPr>
          <w:sz w:val="20"/>
          <w:szCs w:val="20"/>
          <w:color w:val="auto"/>
        </w:rPr>
      </w:pPr>
    </w:p>
    <w:p>
      <w:pPr>
        <w:jc w:val="both"/>
        <w:ind w:left="8" w:right="159"/>
        <w:spacing w:after="0" w:line="276" w:lineRule="auto"/>
        <w:rPr>
          <w:sz w:val="20"/>
          <w:szCs w:val="20"/>
          <w:color w:val="auto"/>
        </w:rPr>
      </w:pPr>
      <w:r>
        <w:rPr>
          <w:rFonts w:ascii="Arial" w:cs="Arial" w:eastAsia="Arial" w:hAnsi="Arial"/>
          <w:sz w:val="17"/>
          <w:szCs w:val="17"/>
          <w:color w:val="auto"/>
        </w:rPr>
        <w:t>We advise you to read the issues discussed in Management’s Discussion and Analysis of Financial Condition and Results of Operations in conjunction with our Consolidated Financial Statements and the Notes to the Consolidated Financial Statements included in this Annual Report for the year ended December 29, 2007. We also encourage you to read our Annual Report on Form 10-K, filed with the United States Securities and Exchange Commission. That report includes “Risk Factors” that you should consider in connection with any decision to buy or sell our securities. We are pleased to present this overview of 2007.</w:t>
      </w:r>
    </w:p>
    <w:p>
      <w:pPr>
        <w:spacing w:after="0" w:line="12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OVERVIEW</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Our results for 2007 were impacted by the following:</w:t>
      </w:r>
    </w:p>
    <w:p>
      <w:pPr>
        <w:spacing w:after="0" w:line="198" w:lineRule="exact"/>
        <w:rPr>
          <w:sz w:val="20"/>
          <w:szCs w:val="20"/>
          <w:color w:val="auto"/>
        </w:rPr>
      </w:pPr>
    </w:p>
    <w:p>
      <w:pPr>
        <w:ind w:left="388" w:right="179" w:hanging="388"/>
        <w:spacing w:after="0" w:line="277"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Our overall unit sales were flat in 2007 compared to 2006, as sales out of existing facilities and operations we closed decreased by 9% and we experienced a 9% increase in unit sales as a result of acquisitions and new operations.</w:t>
      </w:r>
    </w:p>
    <w:p>
      <w:pPr>
        <w:spacing w:after="0" w:line="48"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Lumber prices were 13% lower in 2007 compared to 2006, reducing our overall selling prices (see “Impact of the Lumber Market on Our Operating Results” below) and sales dollars.</w:t>
      </w:r>
    </w:p>
    <w:p>
      <w:pPr>
        <w:spacing w:after="0" w:line="48" w:lineRule="exact"/>
        <w:rPr>
          <w:rFonts w:ascii="Arial" w:cs="Arial" w:eastAsia="Arial" w:hAnsi="Arial"/>
          <w:sz w:val="18"/>
          <w:szCs w:val="18"/>
          <w:b w:val="1"/>
          <w:bCs w:val="1"/>
          <w:color w:val="auto"/>
        </w:rPr>
      </w:pPr>
    </w:p>
    <w:p>
      <w:pPr>
        <w:jc w:val="both"/>
        <w:ind w:left="388" w:right="159" w:hanging="388"/>
        <w:spacing w:after="0" w:line="264"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We saw unit sales increases in our manufactured housing, do-it-yourself/retail (“DIY/retail”) and industrial markets as we gained market share in all of these markets due, in part, to recent acquisitions. These sales increases were offset by a decline in sales to our site-built construction customers despite market share gains we achieved.</w:t>
      </w:r>
    </w:p>
    <w:p>
      <w:pPr>
        <w:spacing w:after="0" w:line="59"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Single-family housing starts fell approximately 29% in 2007 compared to 2006 as a result of an excess supply of homes, tighter credit conditions, and an increase in foreclosures associated with sub-prime lending practices.</w:t>
      </w:r>
    </w:p>
    <w:p>
      <w:pPr>
        <w:spacing w:after="0" w:line="48" w:lineRule="exact"/>
        <w:rPr>
          <w:rFonts w:ascii="Arial" w:cs="Arial" w:eastAsia="Arial" w:hAnsi="Arial"/>
          <w:sz w:val="18"/>
          <w:szCs w:val="18"/>
          <w:b w:val="1"/>
          <w:bCs w:val="1"/>
          <w:color w:val="auto"/>
        </w:rPr>
      </w:pPr>
    </w:p>
    <w:p>
      <w:pPr>
        <w:jc w:val="both"/>
        <w:ind w:left="388" w:right="159" w:hanging="388"/>
        <w:spacing w:after="0" w:line="264"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Consumer spending for large repair/remodel projects has decreased due to a combination of an increase in home equity loans, concerns over home values due to housing market conditions, and other general economic conditions. The Consumer Confidence Index fell to 88.6 in December, down from 110.2 at the beginning of the year.</w:t>
      </w:r>
    </w:p>
    <w:p>
      <w:pPr>
        <w:spacing w:after="0" w:line="59"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Production of HUD code manufactured homes and modular homes has continued to decline due, in part, to an excess supply of site-built homes in certain key regions and continued tight credit conditions.</w:t>
      </w:r>
    </w:p>
    <w:p>
      <w:pPr>
        <w:spacing w:after="0" w:line="48" w:lineRule="exact"/>
        <w:rPr>
          <w:rFonts w:ascii="Arial" w:cs="Arial" w:eastAsia="Arial" w:hAnsi="Arial"/>
          <w:sz w:val="18"/>
          <w:szCs w:val="18"/>
          <w:b w:val="1"/>
          <w:bCs w:val="1"/>
          <w:color w:val="auto"/>
        </w:rPr>
      </w:pPr>
    </w:p>
    <w:p>
      <w:pPr>
        <w:jc w:val="both"/>
        <w:ind w:left="388" w:right="159" w:hanging="388"/>
        <w:spacing w:after="0" w:line="264" w:lineRule="auto"/>
        <w:tabs>
          <w:tab w:leader="none" w:pos="388"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Our gross profits decreased approximately 19% compared to the same period of 2006 primarily due to a combination of lower unit sales out of existing facilities and fixed manufacturing costs and intense pricing pressure in the site-built construction market.</w:t>
      </w:r>
    </w:p>
    <w:p>
      <w:pPr>
        <w:spacing w:after="0" w:line="200" w:lineRule="exact"/>
        <w:rPr>
          <w:sz w:val="20"/>
          <w:szCs w:val="20"/>
          <w:color w:val="auto"/>
        </w:rPr>
      </w:pPr>
    </w:p>
    <w:p>
      <w:pPr>
        <w:spacing w:after="0" w:line="33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43" w:name="page44"/>
    <w:bookmarkEnd w:id="43"/>
    <w:p>
      <w:pPr>
        <w:jc w:val="center"/>
        <w:ind w:right="1080"/>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ind w:left="720" w:right="1380" w:hanging="388"/>
        <w:spacing w:after="0" w:line="277" w:lineRule="auto"/>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 spite of difficult market conditions, we generated over $87 million in operating cash flow which was used to fund acquisitions, capital expenditures, and repurchases of our stock.</w:t>
      </w:r>
    </w:p>
    <w:p>
      <w:pPr>
        <w:spacing w:after="0" w:line="130"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In summary, we remain optimistic about the future of our business, markets, and strategies, and our employees remain focused on adding value for our customers, executing our strategies, and meeting our goals.</w:t>
      </w:r>
    </w:p>
    <w:p>
      <w:pPr>
        <w:spacing w:after="0" w:line="12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02" w:lineRule="exact"/>
        <w:rPr>
          <w:sz w:val="20"/>
          <w:szCs w:val="20"/>
          <w:color w:val="auto"/>
        </w:rPr>
      </w:pPr>
    </w:p>
    <w:p>
      <w:pPr>
        <w:ind w:left="340" w:right="1360"/>
        <w:spacing w:after="0" w:line="277" w:lineRule="auto"/>
        <w:rPr>
          <w:sz w:val="20"/>
          <w:szCs w:val="20"/>
          <w:color w:val="auto"/>
        </w:rPr>
      </w:pPr>
      <w:r>
        <w:rPr>
          <w:rFonts w:ascii="Arial" w:cs="Arial" w:eastAsia="Arial" w:hAnsi="Arial"/>
          <w:sz w:val="18"/>
          <w:szCs w:val="18"/>
          <w:color w:val="auto"/>
        </w:rPr>
        <w:t>The following table presents the Random Lengths framing lumber composite price for the years ended December 29, 2007, December 30, 2006, and December 31, 2005.</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8"/>
          </w:tcPr>
          <w:p>
            <w:pPr>
              <w:jc w:val="center"/>
              <w:ind w:left="490"/>
              <w:spacing w:after="0"/>
              <w:rPr>
                <w:sz w:val="20"/>
                <w:szCs w:val="20"/>
                <w:color w:val="auto"/>
              </w:rPr>
            </w:pPr>
            <w:r>
              <w:rPr>
                <w:rFonts w:ascii="Arial" w:cs="Arial" w:eastAsia="Arial" w:hAnsi="Arial"/>
                <w:sz w:val="18"/>
                <w:szCs w:val="18"/>
                <w:color w:val="auto"/>
                <w:w w:val="90"/>
              </w:rPr>
              <w:t>Random Lengths Composite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5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color w:val="auto"/>
                <w:w w:val="92"/>
              </w:rPr>
              <w:t>Average $/MBF</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February</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April</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June</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August</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October</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December</w:t>
            </w:r>
          </w:p>
        </w:tc>
        <w:tc>
          <w:tcPr>
            <w:tcW w:w="2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Annual average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Annual percentage change</w:t>
            </w:r>
          </w:p>
        </w:tc>
        <w:tc>
          <w:tcPr>
            <w:tcW w:w="2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147"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Sales of products produced using this species may comprise up to 50% of our sales volume.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color w:val="auto"/>
                <w:w w:val="89"/>
              </w:rPr>
              <w:t>Random Lengths SYP</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8"/>
                <w:szCs w:val="18"/>
                <w:color w:val="auto"/>
                <w:w w:val="92"/>
              </w:rPr>
              <w:t>Average $/MBF</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414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February</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April</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397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June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August</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394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October</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December</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10"/>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Annual average</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380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Annual percentage change</w:t>
            </w: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60" w:type="dxa"/>
            <w:vAlign w:val="bottom"/>
          </w:tcPr>
          <w:p>
            <w:pPr>
              <w:jc w:val="right"/>
              <w:ind w:right="73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4" w:name="page45"/>
    <w:bookmarkEnd w:id="44"/>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IMPACT OF THE LUMBER MARKET ON OUR OPERATING PROFITS</w:t>
      </w:r>
    </w:p>
    <w:p>
      <w:pPr>
        <w:spacing w:after="0" w:line="189" w:lineRule="exact"/>
        <w:rPr>
          <w:sz w:val="20"/>
          <w:szCs w:val="20"/>
          <w:color w:val="auto"/>
        </w:rPr>
      </w:pPr>
    </w:p>
    <w:p>
      <w:pPr>
        <w:jc w:val="both"/>
        <w:ind w:left="8" w:right="159"/>
        <w:spacing w:after="0" w:line="302" w:lineRule="auto"/>
        <w:rPr>
          <w:sz w:val="20"/>
          <w:szCs w:val="20"/>
          <w:color w:val="auto"/>
        </w:rPr>
      </w:pPr>
      <w:r>
        <w:rPr>
          <w:rFonts w:ascii="Arial" w:cs="Arial" w:eastAsia="Arial" w:hAnsi="Arial"/>
          <w:sz w:val="16"/>
          <w:szCs w:val="16"/>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are a significant percentage of our cost of goods sold.</w:t>
      </w:r>
    </w:p>
    <w:p>
      <w:pPr>
        <w:spacing w:after="0" w:line="114" w:lineRule="exact"/>
        <w:rPr>
          <w:sz w:val="20"/>
          <w:szCs w:val="20"/>
          <w:color w:val="auto"/>
        </w:rPr>
      </w:pPr>
    </w:p>
    <w:p>
      <w:pPr>
        <w:jc w:val="both"/>
        <w:ind w:left="8" w:right="159"/>
        <w:spacing w:after="0" w:line="297" w:lineRule="auto"/>
        <w:rPr>
          <w:sz w:val="20"/>
          <w:szCs w:val="20"/>
          <w:color w:val="auto"/>
        </w:rPr>
      </w:pPr>
      <w:r>
        <w:rPr>
          <w:rFonts w:ascii="Arial" w:cs="Arial" w:eastAsia="Arial" w:hAnsi="Arial"/>
          <w:sz w:val="16"/>
          <w:szCs w:val="16"/>
          <w:color w:val="auto"/>
        </w:rPr>
        <w:t xml:space="preserve">Our gross margins are impacted by both (1) the relative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the Lumber Market (i.e. whether prices are higher or lower from comparative periods), and (2) the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trend</w:t>
      </w:r>
      <w:r>
        <w:rPr>
          <w:rFonts w:ascii="Arial" w:cs="Arial" w:eastAsia="Arial" w:hAnsi="Arial"/>
          <w:sz w:val="16"/>
          <w:szCs w:val="16"/>
          <w:color w:val="auto"/>
        </w:rPr>
        <w:t xml:space="preserve"> of the Lumber Market impact our products differently.</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185" w:lineRule="exact"/>
        <w:rPr>
          <w:sz w:val="20"/>
          <w:szCs w:val="20"/>
          <w:color w:val="auto"/>
        </w:rPr>
      </w:pPr>
    </w:p>
    <w:p>
      <w:pPr>
        <w:jc w:val="both"/>
        <w:ind w:left="388" w:right="179" w:hanging="388"/>
        <w:spacing w:after="0" w:line="293" w:lineRule="auto"/>
        <w:tabs>
          <w:tab w:leader="none" w:pos="388" w:val="left"/>
        </w:tabs>
        <w:numPr>
          <w:ilvl w:val="0"/>
          <w:numId w:val="30"/>
        </w:numPr>
        <w:rPr>
          <w:rFonts w:ascii="Arial" w:cs="Arial" w:eastAsia="Arial" w:hAnsi="Arial"/>
          <w:sz w:val="16"/>
          <w:szCs w:val="16"/>
          <w:b w:val="1"/>
          <w:bCs w:val="1"/>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DIY/retail customers, as well as trusses, wall panels and other components sold to the site-built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for these sales commitments with our suppliers. Also, the time period and quantity limitations generally allow us to re-price our products for changes in lumber costs from our suppliers.</w:t>
      </w:r>
    </w:p>
    <w:p>
      <w:pPr>
        <w:spacing w:after="0" w:line="43" w:lineRule="exact"/>
        <w:rPr>
          <w:rFonts w:ascii="Arial" w:cs="Arial" w:eastAsia="Arial" w:hAnsi="Arial"/>
          <w:sz w:val="16"/>
          <w:szCs w:val="16"/>
          <w:b w:val="1"/>
          <w:bCs w:val="1"/>
          <w:color w:val="auto"/>
        </w:rPr>
      </w:pPr>
    </w:p>
    <w:p>
      <w:pPr>
        <w:jc w:val="both"/>
        <w:ind w:left="388" w:right="159" w:hanging="388"/>
        <w:spacing w:after="0" w:line="276" w:lineRule="auto"/>
        <w:tabs>
          <w:tab w:leader="none" w:pos="388" w:val="left"/>
        </w:tabs>
        <w:numPr>
          <w:ilvl w:val="0"/>
          <w:numId w:val="30"/>
        </w:numPr>
        <w:rPr>
          <w:rFonts w:ascii="Arial" w:cs="Arial" w:eastAsia="Arial" w:hAnsi="Arial"/>
          <w:sz w:val="17"/>
          <w:szCs w:val="17"/>
          <w:b w:val="1"/>
          <w:bCs w:val="1"/>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carry anticipated levels of inventory. Because lumber costs are incurred in advance of final sale prices, subsequent increases or decreases in the market price of lumber impact our gross margins. For these products, our margins are exposed to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of lumber prices.</w:t>
      </w:r>
    </w:p>
    <w:p>
      <w:pPr>
        <w:spacing w:after="0" w:line="200" w:lineRule="exact"/>
        <w:rPr>
          <w:sz w:val="20"/>
          <w:szCs w:val="20"/>
          <w:color w:val="auto"/>
        </w:rPr>
      </w:pPr>
    </w:p>
    <w:p>
      <w:pPr>
        <w:spacing w:after="0" w:line="33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45" w:name="page46"/>
    <w:bookmarkEnd w:id="45"/>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have their greatest impact on the following products:</w:t>
      </w:r>
    </w:p>
    <w:p>
      <w:pPr>
        <w:spacing w:after="0" w:line="185" w:lineRule="exact"/>
        <w:rPr>
          <w:sz w:val="20"/>
          <w:szCs w:val="20"/>
          <w:color w:val="auto"/>
        </w:rPr>
      </w:pPr>
    </w:p>
    <w:p>
      <w:pPr>
        <w:jc w:val="both"/>
        <w:ind w:left="188" w:right="159" w:hanging="188"/>
        <w:spacing w:after="0" w:line="255" w:lineRule="auto"/>
        <w:tabs>
          <w:tab w:leader="none" w:pos="188"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12%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 Factors” section of our annual report on form 10-K, filed with the United States Securities and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188" w:right="179" w:hanging="188"/>
        <w:spacing w:after="0" w:line="277" w:lineRule="auto"/>
        <w:tabs>
          <w:tab w:leader="none" w:pos="188" w:val="left"/>
        </w:tabs>
        <w:numPr>
          <w:ilvl w:val="0"/>
          <w:numId w:val="31"/>
        </w:numPr>
        <w:rPr>
          <w:rFonts w:ascii="Arial" w:cs="Arial" w:eastAsia="Arial" w:hAnsi="Arial"/>
          <w:sz w:val="18"/>
          <w:szCs w:val="18"/>
          <w:b w:val="1"/>
          <w:bCs w:val="1"/>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130"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 xml:space="preserve">In addition to the impact of the Lumber Market </w:t>
      </w:r>
      <w:r>
        <w:rPr>
          <w:rFonts w:ascii="Arial" w:cs="Arial" w:eastAsia="Arial" w:hAnsi="Arial"/>
          <w:sz w:val="17"/>
          <w:szCs w:val="17"/>
          <w:u w:val="single" w:color="auto"/>
          <w:color w:val="auto"/>
        </w:rPr>
        <w:t>trends</w:t>
      </w:r>
      <w:r>
        <w:rPr>
          <w:rFonts w:ascii="Arial" w:cs="Arial" w:eastAsia="Arial" w:hAnsi="Arial"/>
          <w:sz w:val="17"/>
          <w:szCs w:val="17"/>
          <w:color w:val="auto"/>
        </w:rPr>
        <w:t xml:space="preserve"> on gross margins, changes in the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7"/>
          <w:szCs w:val="17"/>
          <w:u w:val="single" w:color="auto"/>
          <w:color w:val="auto"/>
        </w:rPr>
        <w:t>trend</w:t>
      </w:r>
      <w:r>
        <w:rPr>
          <w:rFonts w:ascii="Arial" w:cs="Arial" w:eastAsia="Arial" w:hAnsi="Arial"/>
          <w:sz w:val="17"/>
          <w:szCs w:val="17"/>
          <w:color w:val="auto"/>
        </w:rPr>
        <w:t xml:space="preserve"> within each period.</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Period 1</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Period 2</w:t>
            </w:r>
          </w:p>
        </w:tc>
        <w:tc>
          <w:tcPr>
            <w:tcW w:w="180" w:type="dxa"/>
            <w:vAlign w:val="bottom"/>
          </w:tcPr>
          <w:p>
            <w:pPr>
              <w:spacing w:after="0"/>
              <w:rPr>
                <w:sz w:val="20"/>
                <w:szCs w:val="20"/>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Lumber cost</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Conversion cost</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Adder</w:t>
            </w: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r>
      <w:tr>
        <w:trPr>
          <w:trHeight w:val="27"/>
        </w:trPr>
        <w:tc>
          <w:tcPr>
            <w:tcW w:w="41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As is apparent from the preceding example,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does not impact our overall profits but does impact our margins. Gross margins are negatively impacted during periods of high lumber prices; conversely, we experience margin improvement when lumber prices are relatively low.</w:t>
      </w:r>
    </w:p>
    <w:p>
      <w:pPr>
        <w:spacing w:after="0" w:line="13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189"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All of the transactions mentioned below are considered business combinations. Each business combination has been accounted for using the purchase method.</w:t>
      </w:r>
    </w:p>
    <w:p>
      <w:pPr>
        <w:spacing w:after="0" w:line="200" w:lineRule="exact"/>
        <w:rPr>
          <w:sz w:val="20"/>
          <w:szCs w:val="20"/>
          <w:color w:val="auto"/>
        </w:rPr>
      </w:pPr>
    </w:p>
    <w:p>
      <w:pPr>
        <w:spacing w:after="0" w:line="33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46" w:name="page47"/>
    <w:bookmarkEnd w:id="46"/>
    <w:p>
      <w:pPr>
        <w:jc w:val="center"/>
        <w:ind w:right="1080"/>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 Name</w:t>
            </w:r>
          </w:p>
        </w:tc>
        <w:tc>
          <w:tcPr>
            <w:tcW w:w="260" w:type="dxa"/>
            <w:vAlign w:val="bottom"/>
          </w:tcPr>
          <w:p>
            <w:pPr>
              <w:spacing w:after="0"/>
              <w:rPr>
                <w:sz w:val="20"/>
                <w:szCs w:val="20"/>
                <w:color w:val="auto"/>
              </w:rPr>
            </w:pPr>
          </w:p>
        </w:tc>
        <w:tc>
          <w:tcPr>
            <w:tcW w:w="14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Acquisition Date</w:t>
            </w:r>
          </w:p>
        </w:tc>
        <w:tc>
          <w:tcPr>
            <w:tcW w:w="2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Purchase Price</w:t>
            </w:r>
          </w:p>
        </w:tc>
        <w:tc>
          <w:tcPr>
            <w:tcW w:w="260" w:type="dxa"/>
            <w:vAlign w:val="bottom"/>
          </w:tcPr>
          <w:p>
            <w:pPr>
              <w:spacing w:after="0"/>
              <w:rPr>
                <w:sz w:val="20"/>
                <w:szCs w:val="20"/>
                <w:color w:val="auto"/>
              </w:rPr>
            </w:pPr>
          </w:p>
        </w:tc>
        <w:tc>
          <w:tcPr>
            <w:tcW w:w="424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Business Description</w:t>
            </w: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Deck Images</w:t>
            </w:r>
          </w:p>
        </w:tc>
        <w:tc>
          <w:tcPr>
            <w:tcW w:w="1700" w:type="dxa"/>
            <w:vAlign w:val="bottom"/>
            <w:gridSpan w:val="2"/>
            <w:shd w:val="clear" w:color="auto" w:fill="CCEEFF"/>
          </w:tcPr>
          <w:p>
            <w:pPr>
              <w:ind w:left="260"/>
              <w:spacing w:after="0" w:line="195" w:lineRule="exact"/>
              <w:rPr>
                <w:sz w:val="20"/>
                <w:szCs w:val="20"/>
                <w:color w:val="auto"/>
              </w:rPr>
            </w:pPr>
            <w:r>
              <w:rPr>
                <w:rFonts w:ascii="Arial" w:cs="Arial" w:eastAsia="Arial" w:hAnsi="Arial"/>
                <w:sz w:val="18"/>
                <w:szCs w:val="18"/>
                <w:color w:val="auto"/>
              </w:rPr>
              <w:t>July 10, 2007</w:t>
            </w:r>
          </w:p>
        </w:tc>
        <w:tc>
          <w:tcPr>
            <w:tcW w:w="1440" w:type="dxa"/>
            <w:vAlign w:val="bottom"/>
            <w:gridSpan w:val="2"/>
            <w:shd w:val="clear" w:color="auto" w:fill="CCEEFF"/>
          </w:tcPr>
          <w:p>
            <w:pPr>
              <w:ind w:left="280"/>
              <w:spacing w:after="0" w:line="195" w:lineRule="exact"/>
              <w:rPr>
                <w:sz w:val="20"/>
                <w:szCs w:val="20"/>
                <w:color w:val="auto"/>
              </w:rPr>
            </w:pPr>
            <w:r>
              <w:rPr>
                <w:rFonts w:ascii="Arial" w:cs="Arial" w:eastAsia="Arial" w:hAnsi="Arial"/>
                <w:sz w:val="18"/>
                <w:szCs w:val="18"/>
                <w:color w:val="auto"/>
              </w:rPr>
              <w:t>$0.9 million</w:t>
            </w:r>
          </w:p>
        </w:tc>
        <w:tc>
          <w:tcPr>
            <w:tcW w:w="260" w:type="dxa"/>
            <w:vAlign w:val="bottom"/>
            <w:shd w:val="clear" w:color="auto" w:fill="CCEEFF"/>
          </w:tcPr>
          <w:p>
            <w:pPr>
              <w:spacing w:after="0"/>
              <w:rPr>
                <w:sz w:val="16"/>
                <w:szCs w:val="16"/>
                <w:color w:val="auto"/>
              </w:rPr>
            </w:pPr>
          </w:p>
        </w:tc>
        <w:tc>
          <w:tcPr>
            <w:tcW w:w="42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Manufactures and distributes aluminum railing systems.</w:t>
            </w: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6"/>
              </w:rPr>
              <w:t>Located in Hastings, MN. 2006 sales were $1.9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Shawnlee Construction,</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April 2, 2007</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$1.4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3"/>
              </w:rPr>
              <w:t>Provides framing services for multi-family construction in</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LLC (“Shawnlee”)</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7"/>
              </w:rPr>
              <w:t>the northeast. Located in Plainville, MA. Purchased an</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8"/>
              </w:rPr>
              <w:t>additional 5% membership. We currently own an 85%</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membership interest.</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April 3, 2006</w:t>
            </w:r>
          </w:p>
        </w:tc>
        <w:tc>
          <w:tcPr>
            <w:tcW w:w="1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$0.8 million</w:t>
            </w: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Purchased an additional 5% membership interest.</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color w:val="auto"/>
              </w:rPr>
              <w:t>June 27, 2005</w:t>
            </w: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$3.5 million</w:t>
            </w: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Purchased an additional 25% membership interest.</w:t>
            </w:r>
          </w:p>
        </w:tc>
        <w:tc>
          <w:tcPr>
            <w:tcW w:w="136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Perfection Trusses, Inc.</w:t>
            </w:r>
          </w:p>
        </w:tc>
        <w:tc>
          <w:tcPr>
            <w:tcW w:w="1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March 5, 2007</w:t>
            </w:r>
          </w:p>
        </w:tc>
        <w:tc>
          <w:tcPr>
            <w:tcW w:w="1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$1.3 million</w:t>
            </w:r>
          </w:p>
        </w:tc>
        <w:tc>
          <w:tcPr>
            <w:tcW w:w="2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Manufactures and distributes roof and floor trusses to the</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(“Perfection”)</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Eastern Florida market. The company is located in Vero</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Beach, FL. 2006 sales were $3.9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Aljoma Lumber Company</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February 12, 2007</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$53.5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Manufactures, treats and distributes various wood</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(“Aljoma”)</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1"/>
              </w:rPr>
              <w:t>products, building materials and specialty hardwoods. The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1"/>
              </w:rPr>
              <w:t>company is located in Medley, FL. They serve Florida, the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2"/>
              </w:rPr>
              <w:t>Eastern United States and the Caribbean islands. Aljoma</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9"/>
              </w:rPr>
              <w:t>has one of the largest treating facilities in the country.</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2006 sales were $225.0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Banks Lumber (“Banks”)</w:t>
            </w:r>
          </w:p>
        </w:tc>
        <w:tc>
          <w:tcPr>
            <w:tcW w:w="1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89"/>
              </w:rPr>
              <w:t>November 17, 2006</w:t>
            </w:r>
          </w:p>
        </w:tc>
        <w:tc>
          <w:tcPr>
            <w:tcW w:w="1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$46.7 million</w:t>
            </w:r>
          </w:p>
        </w:tc>
        <w:tc>
          <w:tcPr>
            <w:tcW w:w="2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Manufactures roof trusses and cut-to-size structural</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1"/>
              </w:rPr>
              <w:t>lumber for manufactured housing and recreational vehicle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(RV) manufacturers nationwide. The company had</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8"/>
              </w:rPr>
              <w:t>continuing operations in Elkhart, IN, Edwardsburg, MI,</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Morristown, TN, Auburndale, FL, Hillsboro, TX and</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2"/>
              </w:rPr>
              <w:t>certain other operations we consolidated into our existing</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plants. 2006 sales were $147.0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GeoMatrix, Inc.</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August 18, 2006</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$11.5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3"/>
              </w:rPr>
              <w:t>A developer and distributor of plastic lattice products and</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(“GeoMatrix”)</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proprietary plastic products located in Troy, MI.</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2005 sales were $19.0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United Lumber &amp; Reman,</w:t>
            </w:r>
          </w:p>
        </w:tc>
        <w:tc>
          <w:tcPr>
            <w:tcW w:w="1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July 10, 2006</w:t>
            </w:r>
          </w:p>
        </w:tc>
        <w:tc>
          <w:tcPr>
            <w:tcW w:w="1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$4.9 million</w:t>
            </w:r>
          </w:p>
        </w:tc>
        <w:tc>
          <w:tcPr>
            <w:tcW w:w="2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An industrial wood manufacturing plant located in Muscle</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LLC (“United”)</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Shoals, AL. Acquired a 50% membership interest. 2005</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sales were $26.0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Dura-Bilt Mfg. Co. (“Dura-</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June 5, 2006</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$9.2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3"/>
              </w:rPr>
              <w:t>Designs and manufactures roof and floor trusses for site-</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Bilt”)</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built construction. The company is located in Riverbank,</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 2005 sales were $16.0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Classic Truss Company, Inc.</w:t>
            </w:r>
          </w:p>
        </w:tc>
        <w:tc>
          <w:tcPr>
            <w:tcW w:w="1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January 9, 2006</w:t>
            </w:r>
          </w:p>
        </w:tc>
        <w:tc>
          <w:tcPr>
            <w:tcW w:w="1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$2.1 million</w:t>
            </w:r>
          </w:p>
        </w:tc>
        <w:tc>
          <w:tcPr>
            <w:tcW w:w="2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Manufactures and distributes engineered wood</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(“Classic”)</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6"/>
              </w:rPr>
              <w:t>components for site-built construction. The company is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located in Fort Pierce, FL. 2005 sales were $6.0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DecKorators, Inc.</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9"/>
              </w:rPr>
              <w:t>November 14, 2005</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$7.7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rPr>
              <w:t>Provides decorative balusters and accessories for</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(“DecKorators”)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1"/>
              </w:rPr>
              <w:t>residential decks and porches to independent dealers and</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certain “big box” home improvement retailers. The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4"/>
              </w:rPr>
              <w:t>company had locations in Crestwood and St. Louis, MO.</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2004 sales were $9.1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Shepardville Construction,</w:t>
            </w:r>
          </w:p>
        </w:tc>
        <w:tc>
          <w:tcPr>
            <w:tcW w:w="17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June 27, 2005</w:t>
            </w:r>
          </w:p>
        </w:tc>
        <w:tc>
          <w:tcPr>
            <w:tcW w:w="14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 million</w:t>
            </w:r>
          </w:p>
        </w:tc>
        <w:tc>
          <w:tcPr>
            <w:tcW w:w="26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Installs interior products such as base boards, crown</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8"/>
              </w:rPr>
              <w:t>Inc. and AW Construction,</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4"/>
              </w:rPr>
              <w:t>moldings, window sills and casings, doors, and cabinets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LLC (“Shepardville and</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9"/>
              </w:rPr>
              <w:t>for commercial and multi-family construction projects.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AW”)</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Located in Warwick, RI and Wolcott, CT. These entities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were merged on January 1, 2006. 2004 sales were</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$12.7 million.</w:t>
            </w:r>
          </w:p>
        </w:tc>
        <w:tc>
          <w:tcPr>
            <w:tcW w:w="1360" w:type="dxa"/>
            <w:vAlign w:val="bottom"/>
          </w:tcPr>
          <w:p>
            <w:pPr>
              <w:spacing w:after="0"/>
              <w:rPr>
                <w:sz w:val="20"/>
                <w:szCs w:val="20"/>
                <w:color w:val="auto"/>
              </w:rPr>
            </w:pPr>
          </w:p>
        </w:tc>
      </w:tr>
      <w:tr>
        <w:trPr>
          <w:trHeight w:val="202"/>
        </w:trPr>
        <w:tc>
          <w:tcPr>
            <w:tcW w:w="34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Maine Ornamental</w:t>
            </w:r>
          </w:p>
        </w:tc>
        <w:tc>
          <w:tcPr>
            <w:tcW w:w="170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June 2, 2005</w:t>
            </w:r>
          </w:p>
        </w:tc>
        <w:tc>
          <w:tcPr>
            <w:tcW w:w="14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$8.4 million</w:t>
            </w:r>
          </w:p>
        </w:tc>
        <w:tc>
          <w:tcPr>
            <w:tcW w:w="260" w:type="dxa"/>
            <w:vAlign w:val="bottom"/>
          </w:tcPr>
          <w:p>
            <w:pPr>
              <w:spacing w:after="0"/>
              <w:rPr>
                <w:sz w:val="17"/>
                <w:szCs w:val="17"/>
                <w:color w:val="auto"/>
              </w:rPr>
            </w:pPr>
          </w:p>
        </w:tc>
        <w:tc>
          <w:tcPr>
            <w:tcW w:w="4240" w:type="dxa"/>
            <w:vAlign w:val="bottom"/>
          </w:tcPr>
          <w:p>
            <w:pPr>
              <w:spacing w:after="0" w:line="201" w:lineRule="exact"/>
              <w:rPr>
                <w:sz w:val="20"/>
                <w:szCs w:val="20"/>
                <w:color w:val="auto"/>
              </w:rPr>
            </w:pPr>
            <w:r>
              <w:rPr>
                <w:rFonts w:ascii="Arial" w:cs="Arial" w:eastAsia="Arial" w:hAnsi="Arial"/>
                <w:sz w:val="18"/>
                <w:szCs w:val="18"/>
                <w:color w:val="auto"/>
                <w:w w:val="97"/>
              </w:rPr>
              <w:t>Provides decorative post caps for fencing and decking</w:t>
            </w:r>
          </w:p>
        </w:tc>
        <w:tc>
          <w:tcPr>
            <w:tcW w:w="136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5"/>
              </w:rPr>
              <w:t>Woodworkers, Inc. (“Maine</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3"/>
              </w:rPr>
              <w:t>applications to two-step distributors and certain “big box”</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Ornamental”)</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3"/>
              </w:rPr>
              <w:t>home improvement retailers. The company had locations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w w:val="99"/>
              </w:rPr>
              <w:t>in Winthrop and Eliot, ME and Bainbridge Island, WA.</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2004 sales were $12.4 million.</w:t>
            </w:r>
          </w:p>
        </w:tc>
        <w:tc>
          <w:tcPr>
            <w:tcW w:w="1360" w:type="dxa"/>
            <w:vAlign w:val="bottom"/>
          </w:tcPr>
          <w:p>
            <w:pPr>
              <w:spacing w:after="0"/>
              <w:rPr>
                <w:sz w:val="20"/>
                <w:szCs w:val="20"/>
                <w:color w:val="auto"/>
              </w:rPr>
            </w:pPr>
          </w:p>
        </w:tc>
      </w:tr>
      <w:tr>
        <w:trPr>
          <w:trHeight w:val="797"/>
        </w:trPr>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gridSpan w:val="2"/>
          </w:tcPr>
          <w:p>
            <w:pPr>
              <w:ind w:left="10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7" w:name="page48"/>
    <w:bookmarkEnd w:id="47"/>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89"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Consolidated Statements of Earnings as a percentage of net sales.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6"/>
              </w:rPr>
              <w:t>Years Ended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5"/>
        </w:trPr>
        <w:tc>
          <w:tcPr>
            <w:tcW w:w="5660" w:type="dxa"/>
            <w:vAlign w:val="bottom"/>
          </w:tcPr>
          <w:p>
            <w:pPr>
              <w:spacing w:after="0"/>
              <w:rPr>
                <w:sz w:val="16"/>
                <w:szCs w:val="16"/>
                <w:color w:val="auto"/>
              </w:rPr>
            </w:pPr>
          </w:p>
        </w:tc>
        <w:tc>
          <w:tcPr>
            <w:tcW w:w="13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90"/>
              </w:rPr>
              <w:t>December 29,</w:t>
            </w:r>
          </w:p>
        </w:tc>
        <w:tc>
          <w:tcPr>
            <w:tcW w:w="14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0"/>
              </w:rPr>
              <w:t>December 30,</w:t>
            </w:r>
          </w:p>
        </w:tc>
        <w:tc>
          <w:tcPr>
            <w:tcW w:w="11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6"/>
                <w:szCs w:val="16"/>
                <w:color w:val="auto"/>
              </w:rPr>
            </w:pPr>
          </w:p>
        </w:tc>
      </w:tr>
      <w:tr>
        <w:trPr>
          <w:trHeight w:val="230"/>
        </w:trPr>
        <w:tc>
          <w:tcPr>
            <w:tcW w:w="56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87.7</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85.7</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86.7</w:t>
            </w:r>
          </w:p>
        </w:tc>
      </w:tr>
      <w:tr>
        <w:trPr>
          <w:trHeight w:val="223"/>
        </w:trPr>
        <w:tc>
          <w:tcPr>
            <w:tcW w:w="5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w:t>
            </w: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8.7</w:t>
            </w:r>
          </w:p>
        </w:tc>
      </w:tr>
      <w:tr>
        <w:trPr>
          <w:trHeight w:val="223"/>
        </w:trPr>
        <w:tc>
          <w:tcPr>
            <w:tcW w:w="5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Interest, net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(0.4)</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(0.5)</w:t>
            </w:r>
          </w:p>
        </w:tc>
      </w:tr>
      <w:tr>
        <w:trPr>
          <w:trHeight w:val="223"/>
        </w:trPr>
        <w:tc>
          <w:tcPr>
            <w:tcW w:w="5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Income taxes</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r>
      <w:tr>
        <w:trPr>
          <w:trHeight w:val="223"/>
        </w:trPr>
        <w:tc>
          <w:tcPr>
            <w:tcW w:w="5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Minority interest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(0.1)</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r>
      <w:tr>
        <w:trPr>
          <w:trHeight w:val="223"/>
        </w:trPr>
        <w:tc>
          <w:tcPr>
            <w:tcW w:w="5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GROSS SALES</w:t>
      </w:r>
    </w:p>
    <w:p>
      <w:pPr>
        <w:spacing w:after="0" w:line="202"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We market, manufacture and engineer wood and wood-alternative products for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strategic sales objectives include:</w:t>
      </w:r>
    </w:p>
    <w:p>
      <w:pPr>
        <w:spacing w:after="0" w:line="146" w:lineRule="exact"/>
        <w:rPr>
          <w:sz w:val="20"/>
          <w:szCs w:val="20"/>
          <w:color w:val="auto"/>
        </w:rPr>
      </w:pPr>
    </w:p>
    <w:p>
      <w:pPr>
        <w:ind w:left="388" w:hanging="388"/>
        <w:spacing w:after="0"/>
        <w:tabs>
          <w:tab w:leader="none" w:pos="388"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Diversifying our end market sales mix by increasing sales to industrial and multi-family customers.</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Expanding geographically in our core businesses.</w:t>
      </w:r>
    </w:p>
    <w:p>
      <w:pPr>
        <w:spacing w:after="0" w:line="103" w:lineRule="exact"/>
        <w:rPr>
          <w:rFonts w:ascii="Arial" w:cs="Arial" w:eastAsia="Arial" w:hAnsi="Arial"/>
          <w:sz w:val="18"/>
          <w:szCs w:val="18"/>
          <w:b w:val="1"/>
          <w:bCs w:val="1"/>
          <w:color w:val="auto"/>
        </w:rPr>
      </w:pPr>
    </w:p>
    <w:p>
      <w:pPr>
        <w:jc w:val="both"/>
        <w:ind w:left="388" w:right="159" w:hanging="388"/>
        <w:spacing w:after="0" w:line="255" w:lineRule="auto"/>
        <w:tabs>
          <w:tab w:leader="none" w:pos="388"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Increasing sales of “value-added” products and framing services. Value-added product sales primarily consist of fencing, decking, lattice, and other specialty products sold to the DIY/retail market, specialty wood packaging, engineered wood components,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commodity lumber is not presently included in the value-added sales totals.</w:t>
      </w:r>
    </w:p>
    <w:p>
      <w:pPr>
        <w:spacing w:after="0" w:line="200" w:lineRule="exact"/>
        <w:rPr>
          <w:sz w:val="20"/>
          <w:szCs w:val="20"/>
          <w:color w:val="auto"/>
        </w:rPr>
      </w:pPr>
    </w:p>
    <w:p>
      <w:pPr>
        <w:spacing w:after="0" w:line="35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48" w:name="page49"/>
    <w:bookmarkEnd w:id="48"/>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ind w:left="388" w:hanging="388"/>
        <w:spacing w:after="0"/>
        <w:tabs>
          <w:tab w:leader="none" w:pos="388"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Maximizing unit sales growth while achieving return on investment goals.</w:t>
      </w:r>
    </w:p>
    <w:p>
      <w:pPr>
        <w:spacing w:after="0" w:line="185"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The following table presents, for the periods indicated, our gross sales (in thousands) and change in gross sales by market classification.</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color w:val="auto"/>
                <w:w w:val="90"/>
              </w:rPr>
              <w:t>Years Ended</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94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540" w:type="dxa"/>
            <w:vAlign w:val="bottom"/>
            <w:gridSpan w:val="4"/>
          </w:tcPr>
          <w:p>
            <w:pPr>
              <w:ind w:left="160"/>
              <w:spacing w:after="0" w:line="195" w:lineRule="exact"/>
              <w:rPr>
                <w:sz w:val="20"/>
                <w:szCs w:val="20"/>
                <w:color w:val="auto"/>
              </w:rPr>
            </w:pPr>
            <w:r>
              <w:rPr>
                <w:rFonts w:ascii="Arial" w:cs="Arial" w:eastAsia="Arial" w:hAnsi="Arial"/>
                <w:sz w:val="18"/>
                <w:szCs w:val="18"/>
                <w:color w:val="auto"/>
              </w:rPr>
              <w:t>December 30,</w:t>
            </w:r>
          </w:p>
        </w:tc>
        <w:tc>
          <w:tcPr>
            <w:tcW w:w="96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6"/>
                <w:szCs w:val="16"/>
                <w:color w:val="auto"/>
              </w:rPr>
            </w:pPr>
          </w:p>
        </w:tc>
      </w:t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Market Classification</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DIY/Retail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990,659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962,240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1,012,531</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Site-Built Construction</w:t>
            </w:r>
          </w:p>
        </w:tc>
        <w:tc>
          <w:tcPr>
            <w:tcW w:w="1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592,148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811,923</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753,791</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588,195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550,669</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527,946</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Manufactured Housing</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390,483</w:t>
            </w:r>
          </w:p>
        </w:tc>
        <w:tc>
          <w:tcPr>
            <w:tcW w:w="3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382,203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440,036</w:t>
            </w: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2,561,485</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2,707,035</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2,734,304</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(48,307)</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(42,463)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(42,782)</w:t>
            </w:r>
          </w:p>
        </w:tc>
      </w:tr>
      <w:tr>
        <w:trPr>
          <w:trHeight w:val="27"/>
        </w:trPr>
        <w:tc>
          <w:tcPr>
            <w:tcW w:w="2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2,513,178</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2,664,572</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2,691,522</w:t>
            </w:r>
          </w:p>
        </w:tc>
      </w:tr>
      <w:tr>
        <w:trPr>
          <w:trHeight w:val="20"/>
        </w:trPr>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8" w:right="159"/>
        <w:spacing w:after="0" w:line="277" w:lineRule="auto"/>
        <w:rPr>
          <w:sz w:val="20"/>
          <w:szCs w:val="20"/>
          <w:color w:val="auto"/>
        </w:rPr>
      </w:pPr>
      <w:r>
        <w:rPr>
          <w:rFonts w:ascii="Arial" w:cs="Arial" w:eastAsia="Arial" w:hAnsi="Arial"/>
          <w:sz w:val="18"/>
          <w:szCs w:val="18"/>
          <w:color w:val="auto"/>
        </w:rPr>
        <w:t>The following table presents estimates, for the periods indicated, of our percentage change in gross sales which were attributable to changes in overall selling prices versus changes in units shipped.</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 Change</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600" w:type="dxa"/>
            <w:vAlign w:val="bottom"/>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rPr>
              <w:t>in Sales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in Selling Prices</w:t>
            </w:r>
          </w:p>
        </w:tc>
        <w:tc>
          <w:tcPr>
            <w:tcW w:w="960" w:type="dxa"/>
            <w:vAlign w:val="bottom"/>
          </w:tcPr>
          <w:p>
            <w:pPr>
              <w:ind w:left="200"/>
              <w:spacing w:after="0"/>
              <w:rPr>
                <w:sz w:val="20"/>
                <w:szCs w:val="20"/>
                <w:color w:val="auto"/>
              </w:rPr>
            </w:pPr>
            <w:r>
              <w:rPr>
                <w:rFonts w:ascii="Arial" w:cs="Arial" w:eastAsia="Arial" w:hAnsi="Arial"/>
                <w:sz w:val="18"/>
                <w:szCs w:val="18"/>
                <w:color w:val="auto"/>
              </w:rPr>
              <w:t>in Units</w:t>
            </w:r>
          </w:p>
        </w:tc>
        <w:tc>
          <w:tcPr>
            <w:tcW w:w="1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2007 versus 2006</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2006 versus 2005</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76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2005 versus 2004</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bl>
    <w:p>
      <w:pPr>
        <w:spacing w:after="0" w:line="175" w:lineRule="exact"/>
        <w:rPr>
          <w:sz w:val="20"/>
          <w:szCs w:val="20"/>
          <w:color w:val="auto"/>
        </w:rPr>
      </w:pPr>
    </w:p>
    <w:p>
      <w:pPr>
        <w:jc w:val="both"/>
        <w:ind w:left="8" w:right="159"/>
        <w:spacing w:after="0" w:line="302" w:lineRule="auto"/>
        <w:rPr>
          <w:sz w:val="20"/>
          <w:szCs w:val="20"/>
          <w:color w:val="auto"/>
        </w:rPr>
      </w:pPr>
      <w:r>
        <w:rPr>
          <w:rFonts w:ascii="Arial" w:cs="Arial" w:eastAsia="Arial" w:hAnsi="Arial"/>
          <w:sz w:val="16"/>
          <w:szCs w:val="16"/>
          <w:color w:val="auto"/>
        </w:rPr>
        <w:t>Gross sales in 2007 decreased 5% compared to 2006. We estimate that our unit sales remained flat while overall selling prices decreased by 5% comparing the two periods. We estimate our unit sales increased 9% as a result of acquisitions and new facilities, while unit sales from existing and closed facilities decreased 9%. Our overall selling prices fluctuate as a result of the Lumber Market (see “Historical Lumber Prices”) and were negatively impacted by pricing pressure in the site-built construction market.</w:t>
      </w:r>
    </w:p>
    <w:p>
      <w:pPr>
        <w:spacing w:after="0" w:line="114"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Gross sales in 2006 decreased 1% compared to 2005. We estimate that our unit sales increased by 3% and overall selling prices decreased by 4% comparing the two periods. We estimate our unit sales increased 2% as a result of acquisitions and new facilities, while unit sales from existing and closed facilities increased 1%.</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Changes in our sales by market are discussed below.</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49" w:name="page50"/>
    <w:bookmarkEnd w:id="49"/>
    <w:p>
      <w:pPr>
        <w:jc w:val="center"/>
        <w:ind w:right="219"/>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DIY/Retail:</w:t>
      </w:r>
    </w:p>
    <w:p>
      <w:pPr>
        <w:spacing w:after="0" w:line="189" w:lineRule="exact"/>
        <w:rPr>
          <w:sz w:val="20"/>
          <w:szCs w:val="20"/>
          <w:color w:val="auto"/>
        </w:rPr>
      </w:pPr>
    </w:p>
    <w:p>
      <w:pPr>
        <w:jc w:val="both"/>
        <w:ind w:right="159"/>
        <w:spacing w:after="0" w:line="272" w:lineRule="auto"/>
        <w:rPr>
          <w:sz w:val="20"/>
          <w:szCs w:val="20"/>
          <w:color w:val="auto"/>
        </w:rPr>
      </w:pPr>
      <w:r>
        <w:rPr>
          <w:rFonts w:ascii="Arial" w:cs="Arial" w:eastAsia="Arial" w:hAnsi="Arial"/>
          <w:sz w:val="17"/>
          <w:szCs w:val="17"/>
          <w:color w:val="auto"/>
        </w:rPr>
        <w:t>Gross sales to the DIY/retail market increased 3% in 2007 compared to 2006, as a result of a 7% increase in unit sales offset by a 4% decrease in selling prices due to a soft Lumber Market. We estimate that our unit sales increased as a result of our acquisitions of Geomatrix and Aljoma and significant market share gains we realized with “big box” retail customers. Our sales to these customers increased 12% (8% due to acquisitions and 4% due to existing facilities) while our sales to other retailers whose business is more closely correlated with housing starts was off 17% (a 10% increase due to acquisitions offset by a 27% decrease due to existing facilities). Our increase in sales to “big box” customers was less than expected, however, which we believe was caused by a decline in consumer spending on large home improvement projects.</w:t>
      </w:r>
    </w:p>
    <w:p>
      <w:pPr>
        <w:spacing w:after="0" w:line="137"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Gross sales to the DIY/retail market decreased 5% in 2006 compared to 2005, as a result of a 3% decrease in units shipped and a 2% decrease in selling prices due to the Lumber Market. Our decline in unit sales was a result of a 5% decline in unit sales out of existing and closed facilities, offset by a 2% increase in unit sales attributable to our acquisitions of DecKorators and GeoMatrix. Our unit sales out of existing facilities declined due in part to decreases in consumer spending and housing starts. These decreases were partially offset by market share gains we realized with our “big box”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Site-Built Construction:</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Gross sales to the site-built construction market decreased 27% in 2007 compared to 2006, due to a 14% decrease in unit sales out of existing facilities, a 4% decline due to our decision to exit the Las Vegas framing market, and a 10% decrease in selling prices due to a soft Lumber Market and competitive pricing pressure, particularly in our third and fourth quarters. Single-family housing starts have fallen approximately 29% in 2007 compared to 2006 as a result of an excess supply of homes, tighter credit conditions, and an increase in foreclosures associated with sub-prime lending practices. These decreases were offset by market share gains we have realized in the multi-family and light commercial market and a 1% increase in unit sales due to our acquisitions of Dura-Bilt and Perfection.</w:t>
      </w:r>
    </w:p>
    <w:p>
      <w:pPr>
        <w:spacing w:after="0" w:line="149" w:lineRule="exact"/>
        <w:rPr>
          <w:sz w:val="20"/>
          <w:szCs w:val="20"/>
          <w:color w:val="auto"/>
        </w:rPr>
      </w:pPr>
    </w:p>
    <w:p>
      <w:pPr>
        <w:jc w:val="both"/>
        <w:ind w:right="159"/>
        <w:spacing w:after="0" w:line="291" w:lineRule="auto"/>
        <w:rPr>
          <w:sz w:val="20"/>
          <w:szCs w:val="20"/>
          <w:color w:val="auto"/>
        </w:rPr>
      </w:pPr>
      <w:r>
        <w:rPr>
          <w:rFonts w:ascii="Arial" w:cs="Arial" w:eastAsia="Arial" w:hAnsi="Arial"/>
          <w:sz w:val="16"/>
          <w:szCs w:val="16"/>
          <w:color w:val="auto"/>
        </w:rPr>
        <w:t>Gross sales to the site-built construction market increased 8% in 2006 compared to 2005, due to an increase in unit sales as selling prices remained relatively flat. Unit sales increased 1% as a result of acquisitions and new facilities combined with a 7% increase in unit sales out of several existing facilities. Our growth was a result of strong housing and multi-family construction activities in certain regions during the first six months of 2006 and greater market penetration by offering turn-key framing and lumber packages in addition to wall panels in some regions. In addition, our multi-family framing operation in the Northeast achieved significant increases in sales and gained market share. A dramatic decline in housing starts beginning in the third quarter and continuing through the fourth quarter of 2006 negatively impacted our unit sales of engineered trusses and offset part of the positive results mentioned above.</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0" w:name="page51"/>
    <w:bookmarkEnd w:id="50"/>
    <w:p>
      <w:pPr>
        <w:jc w:val="center"/>
        <w:ind w:right="219"/>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189" w:lineRule="exact"/>
        <w:rPr>
          <w:sz w:val="20"/>
          <w:szCs w:val="20"/>
          <w:color w:val="auto"/>
        </w:rPr>
      </w:pPr>
    </w:p>
    <w:p>
      <w:pPr>
        <w:jc w:val="both"/>
        <w:ind w:right="159"/>
        <w:spacing w:after="0" w:line="312" w:lineRule="auto"/>
        <w:rPr>
          <w:sz w:val="20"/>
          <w:szCs w:val="20"/>
          <w:color w:val="auto"/>
        </w:rPr>
      </w:pPr>
      <w:r>
        <w:rPr>
          <w:rFonts w:ascii="Arial" w:cs="Arial" w:eastAsia="Arial" w:hAnsi="Arial"/>
          <w:sz w:val="16"/>
          <w:szCs w:val="16"/>
          <w:color w:val="auto"/>
        </w:rPr>
        <w:t>Gross sales to the industrial market increased 7% in 2007 compared to 2006, due to an 8% increase in units shipped offset by a 1% decrease in selling prices. Our acquisitions of United and Aljoma and our continued focus on adding new customers, including concrete forming, helped us mitigate the effect of a decline in sales to certain customers that supply the housing market.</w:t>
      </w:r>
    </w:p>
    <w:p>
      <w:pPr>
        <w:spacing w:after="0" w:line="106"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Gross sales to the industrial market increased 4% in 2006 compared to 2005, due to a 12% increase in units shipped and an 8% decrease in selling prices due to the Lumber Market. Our unit sales increase was the result of organic growth out of several existing facilities. During 2006 we have added nearly 1,200 new accounts and have been successful at increasing our sales with existing customers.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Housing:</w:t>
      </w:r>
    </w:p>
    <w:p>
      <w:pPr>
        <w:spacing w:after="0" w:line="18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Gross sales to the manufactured housing market increased 2% in 2007 compared to 2006, due to a 9% increase in unit sales offset by a 7% decrease in selling prices primarily due to a soft Lumber Market. We estimate that our unit sales increased 21% as a result of acquiring Banks, while unit sales from existing and closed facilities decreased 12% due to the continued decline in industry production.</w:t>
      </w:r>
    </w:p>
    <w:p>
      <w:pPr>
        <w:spacing w:after="0" w:line="146"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Gross sales to the manufactured housing market decreased 13% in 2006 compared to 2005. The decrease resulted from a 5% decrease in units shipped and an 8% decrease in selling prices due to the Lumber Market. Our decline in unit sales resulted from a significant decline in industry production. Industry production of HUD code homes decreased 20% in 2006, including a 50% decline in the fourth quarter due to hurricane-related sales last year. Modular home production declined 20% in 2006. We were able to mitigate part of the impact of these difficult market conditions by increasing our market share through organic growth and the acquisition of Banks in November 2006.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Value-Added</w:t>
            </w:r>
          </w:p>
        </w:tc>
        <w:tc>
          <w:tcPr>
            <w:tcW w:w="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Commodity-Based</w:t>
            </w:r>
          </w:p>
        </w:tc>
        <w:tc>
          <w:tcPr>
            <w:tcW w:w="180" w:type="dxa"/>
            <w:vAlign w:val="bottom"/>
          </w:tcPr>
          <w:p>
            <w:pPr>
              <w:spacing w:after="0"/>
              <w:rPr>
                <w:sz w:val="20"/>
                <w:szCs w:val="20"/>
                <w:color w:val="auto"/>
              </w:rPr>
            </w:pPr>
          </w:p>
        </w:tc>
      </w:tr>
      <w:tr>
        <w:trPr>
          <w:trHeight w:val="210"/>
        </w:trPr>
        <w:tc>
          <w:tcPr>
            <w:tcW w:w="6760" w:type="dxa"/>
            <w:vAlign w:val="bottom"/>
            <w:shd w:val="clear" w:color="auto" w:fill="CCEEFF"/>
          </w:tcPr>
          <w:p>
            <w:pPr>
              <w:jc w:val="right"/>
              <w:ind w:right="6310"/>
              <w:spacing w:after="0"/>
              <w:rPr>
                <w:sz w:val="20"/>
                <w:szCs w:val="20"/>
                <w:color w:val="auto"/>
              </w:rPr>
            </w:pPr>
            <w:r>
              <w:rPr>
                <w:rFonts w:ascii="Arial" w:cs="Arial" w:eastAsia="Arial" w:hAnsi="Arial"/>
                <w:sz w:val="18"/>
                <w:szCs w:val="18"/>
                <w:color w:val="auto"/>
                <w:w w:val="84"/>
              </w:rPr>
              <w:t>2007</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6760" w:type="dxa"/>
            <w:vAlign w:val="bottom"/>
          </w:tcPr>
          <w:p>
            <w:pPr>
              <w:jc w:val="right"/>
              <w:ind w:right="6310"/>
              <w:spacing w:after="0"/>
              <w:rPr>
                <w:sz w:val="20"/>
                <w:szCs w:val="20"/>
                <w:color w:val="auto"/>
              </w:rPr>
            </w:pPr>
            <w:r>
              <w:rPr>
                <w:rFonts w:ascii="Arial" w:cs="Arial" w:eastAsia="Arial" w:hAnsi="Arial"/>
                <w:sz w:val="18"/>
                <w:szCs w:val="18"/>
                <w:color w:val="auto"/>
                <w:w w:val="84"/>
              </w:rPr>
              <w:t>2006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62.7%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r>
        <w:trPr>
          <w:trHeight w:val="216"/>
        </w:trPr>
        <w:tc>
          <w:tcPr>
            <w:tcW w:w="6760" w:type="dxa"/>
            <w:vAlign w:val="bottom"/>
            <w:shd w:val="clear" w:color="auto" w:fill="CCEEFF"/>
          </w:tcPr>
          <w:p>
            <w:pPr>
              <w:jc w:val="right"/>
              <w:ind w:right="6310"/>
              <w:spacing w:after="0"/>
              <w:rPr>
                <w:sz w:val="20"/>
                <w:szCs w:val="20"/>
                <w:color w:val="auto"/>
              </w:rPr>
            </w:pPr>
            <w:r>
              <w:rPr>
                <w:rFonts w:ascii="Arial" w:cs="Arial" w:eastAsia="Arial" w:hAnsi="Arial"/>
                <w:sz w:val="18"/>
                <w:szCs w:val="18"/>
                <w:color w:val="auto"/>
                <w:w w:val="84"/>
              </w:rPr>
              <w:t>2005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r>
    </w:tbl>
    <w:p>
      <w:pPr>
        <w:spacing w:after="0" w:line="161" w:lineRule="exact"/>
        <w:rPr>
          <w:sz w:val="20"/>
          <w:szCs w:val="20"/>
          <w:color w:val="auto"/>
        </w:rPr>
      </w:pPr>
    </w:p>
    <w:p>
      <w:pPr>
        <w:jc w:val="both"/>
        <w:ind w:left="500" w:right="179" w:hanging="499"/>
        <w:spacing w:after="0" w:line="277" w:lineRule="auto"/>
        <w:tabs>
          <w:tab w:leader="none" w:pos="480" w:val="left"/>
        </w:tabs>
        <w:rPr>
          <w:sz w:val="20"/>
          <w:szCs w:val="20"/>
          <w:color w:val="auto"/>
        </w:rPr>
      </w:pPr>
      <w:r>
        <w:rPr>
          <w:rFonts w:ascii="Arial" w:cs="Arial" w:eastAsia="Arial" w:hAnsi="Arial"/>
          <w:sz w:val="18"/>
          <w:szCs w:val="18"/>
          <w:color w:val="auto"/>
        </w:rPr>
        <w:t>Note:</w:t>
        <w:tab/>
        <w:t>In the third quarter of 2007, we reviewed the classification of our product codes and made certain reclassifications. Historical information has been restated to reflect these reclassifications.</w:t>
      </w:r>
    </w:p>
    <w:p>
      <w:pPr>
        <w:spacing w:after="0" w:line="143"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Value-added sales decreased 9% in 2007 compared to 2006, primarily due to decreased sales of trusses, turn-key framing packages, and wall panels, offset partially by increased sales of fencing and lattice sold to the DIY/retail market. Commodity-based sales remained flat in 2007 compared to 2006 in spite of difficult market conditions primarily due to our acquisitions of Aljoma and Banks. See Notes to Consolidated Financial Statements, Note O, “Segment Reporting.”</w:t>
      </w:r>
    </w:p>
    <w:p>
      <w:pPr>
        <w:spacing w:after="0" w:line="146"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Value-added sales increased 5% in 2006 compared to 2005, primarily due to increased sales of turn-key framing packages to the site-built market, increased sales of fencing sold to the DIY/retail market and increased sales of industrial packaging and components. These increases were partially offset by a decrease in sales of trusses. Commodity-based sales decreased 9% primarily due to a decrease in unit sales of treated lumber to the DIY/retail market, lumber packages to the site-built construction market and the decline in the level of the Lumber Market.</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1" w:name="page52"/>
    <w:bookmarkEnd w:id="51"/>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COST OF GOODS SOLD AND GROSS PROFIT</w:t>
      </w:r>
    </w:p>
    <w:p>
      <w:pPr>
        <w:spacing w:after="0" w:line="189" w:lineRule="exact"/>
        <w:rPr>
          <w:sz w:val="20"/>
          <w:szCs w:val="20"/>
          <w:color w:val="auto"/>
        </w:rPr>
      </w:pPr>
    </w:p>
    <w:p>
      <w:pPr>
        <w:ind w:left="8" w:right="159"/>
        <w:spacing w:after="0" w:line="277" w:lineRule="auto"/>
        <w:rPr>
          <w:sz w:val="20"/>
          <w:szCs w:val="20"/>
          <w:color w:val="auto"/>
        </w:rPr>
      </w:pPr>
      <w:r>
        <w:rPr>
          <w:rFonts w:ascii="Arial" w:cs="Arial" w:eastAsia="Arial" w:hAnsi="Arial"/>
          <w:sz w:val="18"/>
          <w:szCs w:val="18"/>
          <w:color w:val="auto"/>
        </w:rPr>
        <w:t>Our gross profit percentage decreased to 12.3% in 2007 from 14.3% in 2006 and gross profit dollars decreased 19% in 2007 compared to 2006. The decline in profitability was primarily due to a combination of:</w:t>
      </w:r>
    </w:p>
    <w:p>
      <w:pPr>
        <w:spacing w:after="0" w:line="130" w:lineRule="exact"/>
        <w:rPr>
          <w:sz w:val="20"/>
          <w:szCs w:val="20"/>
          <w:color w:val="auto"/>
        </w:rPr>
      </w:pPr>
    </w:p>
    <w:p>
      <w:pPr>
        <w:ind w:left="388" w:right="159" w:hanging="388"/>
        <w:spacing w:after="0" w:line="277" w:lineRule="auto"/>
        <w:tabs>
          <w:tab w:leader="none" w:pos="38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Increased pricing pressure on sales to the site-built construction market due to the overall decline in market demand and excess capacity of suppliers.</w:t>
      </w:r>
    </w:p>
    <w:p>
      <w:pPr>
        <w:spacing w:after="0" w:line="48" w:lineRule="exact"/>
        <w:rPr>
          <w:rFonts w:ascii="Arial" w:cs="Arial" w:eastAsia="Arial" w:hAnsi="Arial"/>
          <w:sz w:val="18"/>
          <w:szCs w:val="18"/>
          <w:b w:val="1"/>
          <w:bCs w:val="1"/>
          <w:color w:val="auto"/>
        </w:rPr>
      </w:pPr>
    </w:p>
    <w:p>
      <w:pPr>
        <w:ind w:left="388" w:hanging="388"/>
        <w:spacing w:after="0"/>
        <w:tabs>
          <w:tab w:leader="none" w:pos="388"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Cost inefficiencies as a result of the impact of decreased unit sales out of existing facilities and fixed manufacturing costs.</w:t>
      </w:r>
    </w:p>
    <w:p>
      <w:pPr>
        <w:spacing w:after="0" w:line="115" w:lineRule="exact"/>
        <w:rPr>
          <w:rFonts w:ascii="Arial" w:cs="Arial" w:eastAsia="Arial" w:hAnsi="Arial"/>
          <w:sz w:val="17"/>
          <w:szCs w:val="17"/>
          <w:b w:val="1"/>
          <w:bCs w:val="1"/>
          <w:color w:val="auto"/>
        </w:rPr>
      </w:pPr>
    </w:p>
    <w:p>
      <w:pPr>
        <w:ind w:left="388" w:hanging="388"/>
        <w:spacing w:after="0"/>
        <w:tabs>
          <w:tab w:leader="none" w:pos="38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Sales incentives offered to customers to gain market share.</w:t>
      </w:r>
    </w:p>
    <w:p>
      <w:pPr>
        <w:spacing w:after="0" w:line="103"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 change in sales mix whereby historically higher margin engineered wood components sold to site-built customers comprised a lower percentage of our sales.</w:t>
      </w:r>
    </w:p>
    <w:p>
      <w:pPr>
        <w:spacing w:after="0" w:line="143"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Our gross profit percentage increased to 14.3% in 2006 from 13.3% in 2005 due, in part, to the lower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in 2006. Our gross profit dollars increased by 6% in 2006, while our units shipped increased by 3%. The increase in profitability was primarily due to a combination of:</w:t>
      </w:r>
    </w:p>
    <w:p>
      <w:pPr>
        <w:spacing w:after="0" w:line="141" w:lineRule="exact"/>
        <w:rPr>
          <w:sz w:val="20"/>
          <w:szCs w:val="20"/>
          <w:color w:val="auto"/>
        </w:rPr>
      </w:pPr>
    </w:p>
    <w:p>
      <w:pPr>
        <w:ind w:left="388" w:hanging="388"/>
        <w:spacing w:after="0"/>
        <w:tabs>
          <w:tab w:leader="none" w:pos="38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Increased sales of higher margin, value-added products.</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Improved profitability on sales to our industrial market.</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Cost efficiencies we achieved through our company-wide innovation program.</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02" w:lineRule="exact"/>
        <w:rPr>
          <w:sz w:val="20"/>
          <w:szCs w:val="20"/>
          <w:color w:val="auto"/>
        </w:rPr>
      </w:pPr>
    </w:p>
    <w:p>
      <w:pPr>
        <w:jc w:val="both"/>
        <w:ind w:left="8" w:right="159"/>
        <w:spacing w:after="0" w:line="297" w:lineRule="auto"/>
        <w:rPr>
          <w:sz w:val="20"/>
          <w:szCs w:val="20"/>
          <w:color w:val="auto"/>
        </w:rPr>
      </w:pPr>
      <w:r>
        <w:rPr>
          <w:rFonts w:ascii="Arial" w:cs="Arial" w:eastAsia="Arial" w:hAnsi="Arial"/>
          <w:sz w:val="16"/>
          <w:szCs w:val="16"/>
          <w:color w:val="auto"/>
        </w:rPr>
        <w:t>Selling, general and administrative (“SG&amp;A”) expenses decreased by over $2 million, or 1%, in 2007. Existing facilities and operations we closed this year had the effect of decreasing our SG&amp;A expenses approximately $9 million, while business acquisitions added $7 million to our costs. The cost decrease in our existing facilities was primarily due to a decline in accrued bonus expense, which is tied to operating profits and return on investment. This decrease was offset by approximately $7 million of expense we recorded to impair the value of certain property, plant and equipment and an increase in depreciation and amortization expense.</w:t>
      </w:r>
    </w:p>
    <w:p>
      <w:pPr>
        <w:spacing w:after="0" w:line="200" w:lineRule="exact"/>
        <w:rPr>
          <w:sz w:val="20"/>
          <w:szCs w:val="20"/>
          <w:color w:val="auto"/>
        </w:rPr>
      </w:pPr>
    </w:p>
    <w:p>
      <w:pPr>
        <w:spacing w:after="0" w:line="30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2" w:name="page53"/>
    <w:bookmarkEnd w:id="52"/>
    <w:p>
      <w:pPr>
        <w:jc w:val="center"/>
        <w:ind w:right="1080"/>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jc w:val="both"/>
        <w:ind w:left="340" w:right="1360"/>
        <w:spacing w:after="0" w:line="257" w:lineRule="auto"/>
        <w:rPr>
          <w:sz w:val="20"/>
          <w:szCs w:val="20"/>
          <w:color w:val="auto"/>
        </w:rPr>
      </w:pPr>
      <w:r>
        <w:rPr>
          <w:rFonts w:ascii="Arial" w:cs="Arial" w:eastAsia="Arial" w:hAnsi="Arial"/>
          <w:sz w:val="18"/>
          <w:szCs w:val="18"/>
          <w:color w:val="auto"/>
        </w:rPr>
        <w:t>SG&amp;A expenses increased 10% in 2006, which compares unfavorably with our 3% increase in unit sales. Business acquisitions and new facilities added almost $13 million in SG&amp;A expenses, which represents approximately 50% of the overall increase. The remaining increase was primarily due to increases in compensation and benefit expenses, travel-related expenses, professional services and stock based compensation expense. These amounts were partially offset by a decline in bad debt expense and liability insurance expense.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NET</w:t>
      </w:r>
    </w:p>
    <w:p>
      <w:pPr>
        <w:spacing w:after="0" w:line="189" w:lineRule="exact"/>
        <w:rPr>
          <w:sz w:val="20"/>
          <w:szCs w:val="20"/>
          <w:color w:val="auto"/>
        </w:rPr>
      </w:pPr>
    </w:p>
    <w:p>
      <w:pPr>
        <w:jc w:val="both"/>
        <w:ind w:left="340" w:right="1380"/>
        <w:spacing w:after="0" w:line="277" w:lineRule="auto"/>
        <w:rPr>
          <w:sz w:val="20"/>
          <w:szCs w:val="20"/>
          <w:color w:val="auto"/>
        </w:rPr>
      </w:pPr>
      <w:r>
        <w:rPr>
          <w:rFonts w:ascii="Arial" w:cs="Arial" w:eastAsia="Arial" w:hAnsi="Arial"/>
          <w:sz w:val="18"/>
          <w:szCs w:val="18"/>
          <w:color w:val="auto"/>
        </w:rPr>
        <w:t>Net interest costs were higher in 2007 compared to 2006 primarily due to an increase in borrowings on the revolving credit facility as a result of acquisitions.</w:t>
      </w:r>
    </w:p>
    <w:p>
      <w:pPr>
        <w:spacing w:after="0" w:line="143" w:lineRule="exact"/>
        <w:rPr>
          <w:sz w:val="20"/>
          <w:szCs w:val="20"/>
          <w:color w:val="auto"/>
        </w:rPr>
      </w:pPr>
    </w:p>
    <w:p>
      <w:pPr>
        <w:jc w:val="both"/>
        <w:ind w:left="340" w:right="1360"/>
        <w:spacing w:after="0" w:line="286" w:lineRule="auto"/>
        <w:rPr>
          <w:sz w:val="20"/>
          <w:szCs w:val="20"/>
          <w:color w:val="auto"/>
        </w:rPr>
      </w:pPr>
      <w:r>
        <w:rPr>
          <w:rFonts w:ascii="Arial" w:cs="Arial" w:eastAsia="Arial" w:hAnsi="Arial"/>
          <w:sz w:val="17"/>
          <w:szCs w:val="17"/>
          <w:color w:val="auto"/>
        </w:rPr>
        <w:t>Net interest costs were lower in 2006 compared to 2005 due to a combination of increased income on investments held by our wholly-owned insurance captive and a decline in interest expense, in spite of higher borrowing rates on our variable rate debt. The overall decline in interest expense is also attributable to our decreased borrowings under our revolving credit facility.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increased to 39.9% in 2007 compared to 34.6% in 2006 primarily due to the impairment charge we recorded for property, plant and equipment for our Canadian subsidiary, for which we recorded no related tax benefit.</w:t>
      </w:r>
    </w:p>
    <w:p>
      <w:pPr>
        <w:spacing w:after="0" w:line="160" w:lineRule="exact"/>
        <w:rPr>
          <w:sz w:val="20"/>
          <w:szCs w:val="20"/>
          <w:color w:val="auto"/>
        </w:rPr>
      </w:pPr>
    </w:p>
    <w:p>
      <w:pPr>
        <w:jc w:val="both"/>
        <w:ind w:left="340" w:right="1380"/>
        <w:spacing w:after="0" w:line="259" w:lineRule="auto"/>
        <w:rPr>
          <w:sz w:val="20"/>
          <w:szCs w:val="20"/>
          <w:color w:val="auto"/>
        </w:rPr>
      </w:pPr>
      <w:r>
        <w:rPr>
          <w:rFonts w:ascii="Arial" w:cs="Arial" w:eastAsia="Arial" w:hAnsi="Arial"/>
          <w:sz w:val="18"/>
          <w:szCs w:val="18"/>
          <w:color w:val="auto"/>
        </w:rPr>
        <w:t>Our effective tax rate decreased to 34.6% in 2006 compared to 37.1% in 2005 primarily due to a $4.5 million estimated benefit from federal research &amp; development tax credits for 2001 – 2006 combined with a decline in our effective state income tax rate due to tax credits received in 2006, partially offset by a $1.1 million expense to establish a valuation allowance against a net operating loss carry forward for our Canadian subsidiary.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TRANSACTIONS AND CONTRACTUAL OBLIGATIONS</w:t>
      </w:r>
    </w:p>
    <w:p>
      <w:pPr>
        <w:spacing w:after="0" w:line="189"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We have no significant off-balance sheet transactions other than operating leases. The following table summarizes our contractual obligations as of December 29, 2007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Payments Due by Period</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87"/>
              </w:rPr>
              <w:t>Less than</w:t>
            </w:r>
          </w:p>
        </w:tc>
        <w:tc>
          <w:tcPr>
            <w:tcW w:w="120" w:type="dxa"/>
            <w:vAlign w:val="bottom"/>
          </w:tcPr>
          <w:p>
            <w:pPr>
              <w:spacing w:after="0"/>
              <w:rPr>
                <w:sz w:val="16"/>
                <w:szCs w:val="16"/>
                <w:color w:val="auto"/>
              </w:rPr>
            </w:pPr>
          </w:p>
        </w:tc>
        <w:tc>
          <w:tcPr>
            <w:tcW w:w="86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3-5</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20"/>
              <w:spacing w:after="0" w:line="195" w:lineRule="exact"/>
              <w:rPr>
                <w:sz w:val="20"/>
                <w:szCs w:val="20"/>
                <w:color w:val="auto"/>
              </w:rPr>
            </w:pPr>
            <w:r>
              <w:rPr>
                <w:rFonts w:ascii="Arial" w:cs="Arial" w:eastAsia="Arial" w:hAnsi="Arial"/>
                <w:sz w:val="18"/>
                <w:szCs w:val="18"/>
                <w:color w:val="auto"/>
                <w:w w:val="99"/>
              </w:rPr>
              <w:t>After</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1 Year</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Years</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5 Years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32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Long-term debt and capital lease</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173,638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206,071</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Estimated interest on long-term debt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12,109</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19,872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18,964</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6,244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57,189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17,072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Capital project purchase obligations</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32,358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59,500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201,450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25,415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318,723</w:t>
            </w: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570"/>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3" w:name="page54"/>
    <w:bookmarkEnd w:id="53"/>
    <w:p>
      <w:pPr>
        <w:jc w:val="center"/>
        <w:ind w:right="219"/>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As of December 29, 2007, we also had $33.7 million in outstanding letters of credit issued during the normal course of business, as required by some vendor contracts.</w:t>
      </w:r>
    </w:p>
    <w:p>
      <w:pPr>
        <w:spacing w:after="0" w:line="126"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152,322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Cash from investing activities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(91,971)</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(111,705)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(55,409)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(35,724)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51,108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46,215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25,274</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46,215</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general, we financed our growth in the past through a combination of operating cash flows, our revolving credit facility, industrial development bonds (when circumstances permit), and issuances of long-term notes payable at times when interest rates are favorable. We have not issued equity to finance our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53"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Seasonality has a significant impact on our working capital from March to August which historically resulted in negative or modest cash flows from operations in our first and second quarters. Conversely, we experience a substantial decrease in working capital from September to February which results in significant cash flow from operations in our third and fourth quarters.</w:t>
      </w:r>
    </w:p>
    <w:p>
      <w:pPr>
        <w:spacing w:after="0" w:line="125"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Due to the seasonality of our business and the effects of the Lumber Market, we believe our cash cycle (days sales outstanding plus days supply of inventory less days payables outstanding) is a good indicator of our working capital management. Our cash cycle (excluding the impact of our sale of receivables program) increased to 45 days in 2007 from 40 days in 2006 due to a 3 day increase in our days supply of inventory and a 2 day increase in our receivables cycle. Our days supply of inventory primarily increased because we planned for higher sales volumes in the first and second quarters than actually occurred due to market conditions. Our receivables cycle lengthened primarily due to the payment patterns of our site-built construction customers.</w:t>
      </w:r>
    </w:p>
    <w:p>
      <w:pPr>
        <w:spacing w:after="0" w:line="151" w:lineRule="exact"/>
        <w:rPr>
          <w:sz w:val="20"/>
          <w:szCs w:val="20"/>
          <w:color w:val="auto"/>
        </w:rPr>
      </w:pPr>
    </w:p>
    <w:p>
      <w:pPr>
        <w:jc w:val="both"/>
        <w:ind w:right="179"/>
        <w:spacing w:after="0" w:line="279" w:lineRule="auto"/>
        <w:rPr>
          <w:sz w:val="20"/>
          <w:szCs w:val="20"/>
          <w:color w:val="auto"/>
        </w:rPr>
      </w:pPr>
      <w:r>
        <w:rPr>
          <w:rFonts w:ascii="Arial" w:cs="Arial" w:eastAsia="Arial" w:hAnsi="Arial"/>
          <w:sz w:val="17"/>
          <w:szCs w:val="17"/>
          <w:color w:val="auto"/>
        </w:rPr>
        <w:t>Our cash flow from operating activities was approximately $87 million in 2007 in spite of difficult market conditions. We were able to effectively manage our working capital during the fourth quarter and reduce our accounts receivable and inventory despite an increase in sales. These improvements were partially offset by a decrease in accounts payable related to our lower inventory levels and a decrease in accrued liabilities due to the decrease in accrued bonus compensation.</w:t>
      </w: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4" w:name="page55"/>
    <w:bookmarkEnd w:id="54"/>
    <w:p>
      <w:pPr>
        <w:jc w:val="center"/>
        <w:ind w:right="219"/>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jc w:val="both"/>
        <w:ind w:right="159"/>
        <w:spacing w:after="0" w:line="342" w:lineRule="auto"/>
        <w:rPr>
          <w:sz w:val="20"/>
          <w:szCs w:val="20"/>
          <w:color w:val="auto"/>
        </w:rPr>
      </w:pPr>
      <w:r>
        <w:rPr>
          <w:rFonts w:ascii="Arial" w:cs="Arial" w:eastAsia="Arial" w:hAnsi="Arial"/>
          <w:sz w:val="16"/>
          <w:szCs w:val="16"/>
          <w:color w:val="auto"/>
        </w:rPr>
        <w:t>Cash used for investing activities decreased by approximately $20 million in 2007 compared to 2006 due to a $15 million decrease in amounts spent for business acquisitions (see “Business Combinations”) and a $4 million decrease in capital expenditures.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Cash used in financing activities was almost $3 million due to purchases we made of our common stock.</w:t>
      </w:r>
    </w:p>
    <w:p>
      <w:pPr>
        <w:spacing w:after="0" w:line="185"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On December 29, 2007, we had approximately $55 million outstanding on our $300 million revolving credit facility. The revolving credit facility supports letters of credit totaling approximately $31.3 million on December 29, 2007. Financial covenants on the unsecured revolving credit facility and unsecured notes include a minimum net worth requirement, minimum interest and fixed charge coverage tests, and a maximum leverage ratio. The agreements also restrict the amount of additional indebtedness we may incur and the amount of assets which may be sold. We were within all of our lending requirements on December 29, 2007.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 Note M, “Commitments, Contingencies, and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02"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18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record provisions against gross revenues for estimated returns and cash discounts in the period when the related revenue is recorded. These estimates are based on factors that include, but are not limited to, historical discounts taken, analysis of credit memorandum activity, and customer demand. We also evaluate the allowance for uncollectible accounts receivable and discounts based on historical collection experience and specific identification of other potential problems, including the economic climate. Actual collections can differ, requiring adjustments to the allowances.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RESERVES</w:t>
      </w:r>
    </w:p>
    <w:p>
      <w:pPr>
        <w:spacing w:after="0" w:line="189" w:lineRule="exact"/>
        <w:rPr>
          <w:sz w:val="20"/>
          <w:szCs w:val="20"/>
          <w:color w:val="auto"/>
        </w:rPr>
      </w:pPr>
    </w:p>
    <w:p>
      <w:pPr>
        <w:jc w:val="both"/>
        <w:ind w:right="179"/>
        <w:spacing w:after="0" w:line="257" w:lineRule="auto"/>
        <w:rPr>
          <w:sz w:val="20"/>
          <w:szCs w:val="20"/>
          <w:color w:val="auto"/>
        </w:rPr>
      </w:pPr>
      <w:r>
        <w:rPr>
          <w:rFonts w:ascii="Arial" w:cs="Arial" w:eastAsia="Arial" w:hAnsi="Arial"/>
          <w:sz w:val="18"/>
          <w:szCs w:val="18"/>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captive; the related assets and liabilities of which are included in the consolidated financial statements as of December 29, 2007. Our accounting policies with respect to the reserves are as follows: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5" w:name="page56"/>
    <w:bookmarkEnd w:id="55"/>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ind w:left="388" w:right="179" w:hanging="388"/>
        <w:spacing w:after="0" w:line="277" w:lineRule="auto"/>
        <w:tabs>
          <w:tab w:leader="none" w:pos="388"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General liability, automobile, workers’ compensation reserves are accrued based on third party actuarial valuations of the expected future liabilities.</w:t>
      </w:r>
    </w:p>
    <w:p>
      <w:pPr>
        <w:spacing w:after="0" w:line="48" w:lineRule="exact"/>
        <w:rPr>
          <w:rFonts w:ascii="Arial" w:cs="Arial" w:eastAsia="Arial" w:hAnsi="Arial"/>
          <w:sz w:val="18"/>
          <w:szCs w:val="18"/>
          <w:b w:val="1"/>
          <w:bCs w:val="1"/>
          <w:color w:val="auto"/>
        </w:rPr>
      </w:pPr>
    </w:p>
    <w:p>
      <w:pPr>
        <w:jc w:val="both"/>
        <w:ind w:left="388" w:right="179" w:hanging="388"/>
        <w:spacing w:after="0" w:line="264" w:lineRule="auto"/>
        <w:tabs>
          <w:tab w:leader="none" w:pos="388"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Health benefits are self-insured by us up to our pre-determined stop loss limits. These reserves, including incurred but not reported claims, are based on internal computations. These computations consider our historical claims experience, independent statistics, and trends.</w:t>
      </w:r>
    </w:p>
    <w:p>
      <w:pPr>
        <w:spacing w:after="0" w:line="59" w:lineRule="exact"/>
        <w:rPr>
          <w:rFonts w:ascii="Arial" w:cs="Arial" w:eastAsia="Arial" w:hAnsi="Arial"/>
          <w:sz w:val="18"/>
          <w:szCs w:val="18"/>
          <w:b w:val="1"/>
          <w:bCs w:val="1"/>
          <w:color w:val="auto"/>
        </w:rPr>
      </w:pPr>
    </w:p>
    <w:p>
      <w:pPr>
        <w:jc w:val="both"/>
        <w:ind w:left="388" w:right="159" w:hanging="388"/>
        <w:spacing w:after="0" w:line="259" w:lineRule="auto"/>
        <w:tabs>
          <w:tab w:leader="none" w:pos="388"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environmental reserve is based on known remediation activities at certain wood preservation facilities and the potential for undetected environmental matters at other sites. The reserve for known activities is based on expected future costs and is computed by in-house experts responsible for managing our monitoring and remediation activities. (See “Environmental Considerations and Regulations.”)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left="8" w:right="159"/>
        <w:spacing w:after="0" w:line="270" w:lineRule="auto"/>
        <w:rPr>
          <w:sz w:val="20"/>
          <w:szCs w:val="20"/>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LONG-LIVED ASSETS AND GOODWILL</w:t>
      </w:r>
    </w:p>
    <w:p>
      <w:pPr>
        <w:spacing w:after="0" w:line="189" w:lineRule="exact"/>
        <w:rPr>
          <w:sz w:val="20"/>
          <w:szCs w:val="20"/>
          <w:color w:val="auto"/>
        </w:rPr>
      </w:pPr>
    </w:p>
    <w:p>
      <w:pPr>
        <w:jc w:val="both"/>
        <w:ind w:left="8" w:right="159"/>
        <w:spacing w:after="0" w:line="279" w:lineRule="auto"/>
        <w:rPr>
          <w:sz w:val="20"/>
          <w:szCs w:val="20"/>
          <w:color w:val="auto"/>
        </w:rPr>
      </w:pPr>
      <w:r>
        <w:rPr>
          <w:rFonts w:ascii="Arial" w:cs="Arial" w:eastAsia="Arial" w:hAnsi="Arial"/>
          <w:sz w:val="17"/>
          <w:szCs w:val="17"/>
          <w:color w:val="auto"/>
        </w:rPr>
        <w:t>We evaluate long-lived assets for indicators of impairment when events or circumstances indicate that this risk may be present. Our judgments regarding the existence of impairment are based on market conditions, operational performance and estimated future cash flows. If the carrying value of a long-lived asset is considered impaired, an impairment charge is recorded to adjust the asset to its fair value. In addition, we test goodwill for impairment by utilizing the discounted cash flow method.</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8"/>
          <w:szCs w:val="18"/>
          <w:b w:val="1"/>
          <w:bCs w:val="1"/>
          <w:u w:val="single" w:color="auto"/>
          <w:color w:val="auto"/>
        </w:rPr>
        <w:t>RECENTLY ISSUED ACCOUNTING STANDARDS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See Notes to Consolidated Financial Statements, Note A, “Summary of Significant Accounting Policies”.</w:t>
      </w: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6" w:name="page57"/>
    <w:bookmarkEnd w:id="56"/>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189" w:lineRule="exact"/>
        <w:rPr>
          <w:sz w:val="20"/>
          <w:szCs w:val="20"/>
          <w:color w:val="auto"/>
        </w:rPr>
      </w:pPr>
    </w:p>
    <w:p>
      <w:pPr>
        <w:jc w:val="both"/>
        <w:ind w:left="8" w:right="159"/>
        <w:spacing w:after="0" w:line="255" w:lineRule="auto"/>
        <w:rPr>
          <w:sz w:val="20"/>
          <w:szCs w:val="20"/>
          <w:color w:val="auto"/>
        </w:rPr>
      </w:pPr>
      <w:r>
        <w:rPr>
          <w:rFonts w:ascii="Arial" w:cs="Arial" w:eastAsia="Arial" w:hAnsi="Arial"/>
          <w:sz w:val="18"/>
          <w:szCs w:val="18"/>
          <w:color w:val="auto"/>
        </w:rPr>
        <w:t>The following section contains forward-looking statements within the meaning of Section 27A of the Securities Act of 1933, as amended, and Section 21E of the Securities Exchange Act of 1934, as amended. The forward-looking statements are based on the beliefs and assumptions of management, together with information available to us when the statements were made. Future results could differ materially from those included in such forward-looking statements as a result of, among other things, the factors set forth in the “Risk Factors” section of our Annual Report on Form 10-K, filed with the United States Securities and Exchange Commission and certain economic and business factors which may be beyond our control. Investors are cautioned that all forward-looking statements involve risks and uncertainties.</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“GO 2010</w:t>
      </w:r>
      <w:r>
        <w:rPr>
          <w:rFonts w:ascii="Arial" w:cs="Arial" w:eastAsia="Arial" w:hAnsi="Arial"/>
          <w:sz w:val="18"/>
          <w:szCs w:val="18"/>
          <w:color w:val="auto"/>
        </w:rPr>
        <w:t>”</w:t>
      </w:r>
    </w:p>
    <w:p>
      <w:pPr>
        <w:spacing w:after="0" w:line="202"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In 2006, we announced our new five year growth plan entitled “GO (Growth and Opportunity) 2010”, which includes the following goals to be achieved by the end of our fiscal year 2010:</w:t>
      </w:r>
    </w:p>
    <w:p>
      <w:pPr>
        <w:spacing w:after="0" w:line="130" w:lineRule="exact"/>
        <w:rPr>
          <w:sz w:val="20"/>
          <w:szCs w:val="20"/>
          <w:color w:val="auto"/>
        </w:rPr>
      </w:pPr>
    </w:p>
    <w:p>
      <w:pPr>
        <w:ind w:left="388" w:hanging="388"/>
        <w:spacing w:after="0"/>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Increasing sales to $4 billion.</w:t>
      </w:r>
    </w:p>
    <w:p>
      <w:pPr>
        <w:spacing w:after="0" w:line="103"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Improving productivity by 10%, which will be measured through a variety of statistics such as sales per employee and operating profit per employee.</w:t>
      </w:r>
    </w:p>
    <w:p>
      <w:pPr>
        <w:spacing w:after="0" w:line="48" w:lineRule="exact"/>
        <w:rPr>
          <w:rFonts w:ascii="Arial" w:cs="Arial" w:eastAsia="Arial" w:hAnsi="Arial"/>
          <w:sz w:val="18"/>
          <w:szCs w:val="18"/>
          <w:b w:val="1"/>
          <w:bCs w:val="1"/>
          <w:color w:val="auto"/>
        </w:rPr>
      </w:pPr>
    </w:p>
    <w:p>
      <w:pPr>
        <w:ind w:left="388" w:hanging="388"/>
        <w:spacing w:after="0"/>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Improving inventory turnover and our cash cycle by 10%.</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Achieving 100% customer satisfaction.</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Increasing opportunities for all employees.</w:t>
      </w:r>
    </w:p>
    <w:p>
      <w:pPr>
        <w:spacing w:after="0" w:line="185"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The plan focuses on growing the business through organic and acquisition growth, driving waste out of our processes through a new program called Continuous Improvement at Universal (“Continuous Improvement”), and changes to the organizational structure intended to cultivate growth and opportunity for the organization and its employees.</w:t>
      </w:r>
    </w:p>
    <w:p>
      <w:pPr>
        <w:spacing w:after="0" w:line="154"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Since we announced our GO 2010 goals, industry and general economic conditions have significantly deteriorated. In addition, the Lumber Market has declined from an average of $388/mbf in 2005 to an average of $283/mbf in 2007, a 27% decline, which has adversely impacted our sales. We review our long-term goals periodically and to date we have not revised them.</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2008 OUTLOOK</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Key assumptions with respect to our 2008 outlook include:</w:t>
      </w:r>
    </w:p>
    <w:p>
      <w:pPr>
        <w:spacing w:after="0" w:line="198" w:lineRule="exact"/>
        <w:rPr>
          <w:sz w:val="20"/>
          <w:szCs w:val="20"/>
          <w:color w:val="auto"/>
        </w:rPr>
      </w:pPr>
    </w:p>
    <w:p>
      <w:pPr>
        <w:ind w:left="388" w:hanging="388"/>
        <w:spacing w:after="0"/>
        <w:tabs>
          <w:tab w:leader="none" w:pos="388"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 continued decline in housing starts for the year and a soft DIY/retail market.</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A continued depressed lumber market as mills face lower demand and as the global supply of wood continues to expand.</w:t>
      </w:r>
    </w:p>
    <w:p>
      <w:pPr>
        <w:spacing w:after="0" w:line="200" w:lineRule="exact"/>
        <w:rPr>
          <w:sz w:val="20"/>
          <w:szCs w:val="20"/>
          <w:color w:val="auto"/>
        </w:rPr>
      </w:pPr>
    </w:p>
    <w:p>
      <w:pPr>
        <w:spacing w:after="0" w:line="38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57" w:name="page58"/>
    <w:bookmarkEnd w:id="57"/>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ind w:left="388" w:right="179" w:hanging="388"/>
        <w:spacing w:after="0" w:line="277" w:lineRule="auto"/>
        <w:tabs>
          <w:tab w:leader="none" w:pos="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Persistent price pressure, especially early in the year, from competition among suppliers who continue to offer price concessions to win business, particularly in the site-built construction market.</w:t>
      </w:r>
    </w:p>
    <w:p>
      <w:pPr>
        <w:spacing w:after="0" w:line="48"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Continued market share gains in the site-built construction market due in part to gains in multi-family and commercial construction, and in the industrial market.</w:t>
      </w:r>
    </w:p>
    <w:p>
      <w:pPr>
        <w:spacing w:after="0" w:line="48" w:lineRule="exact"/>
        <w:rPr>
          <w:rFonts w:ascii="Arial" w:cs="Arial" w:eastAsia="Arial" w:hAnsi="Arial"/>
          <w:sz w:val="18"/>
          <w:szCs w:val="18"/>
          <w:b w:val="1"/>
          <w:bCs w:val="1"/>
          <w:color w:val="auto"/>
        </w:rPr>
      </w:pPr>
    </w:p>
    <w:p>
      <w:pPr>
        <w:ind w:left="388" w:hanging="388"/>
        <w:spacing w:after="0"/>
        <w:tabs>
          <w:tab w:leader="none" w:pos="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Maintaining a strong market share with DIY/retail and manufactured housing customers.</w:t>
      </w:r>
    </w:p>
    <w:p>
      <w:pPr>
        <w:spacing w:after="0" w:line="103"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No permanent plant closures (or closures that could result in asset impairment charges). Any plant consolidations or closures would be temporary in nature, creating no asset impairment charges.</w:t>
      </w:r>
    </w:p>
    <w:p>
      <w:pPr>
        <w:spacing w:after="0" w:line="130" w:lineRule="exact"/>
        <w:rPr>
          <w:sz w:val="20"/>
          <w:szCs w:val="20"/>
          <w:color w:val="auto"/>
        </w:rPr>
      </w:pPr>
    </w:p>
    <w:p>
      <w:pPr>
        <w:jc w:val="both"/>
        <w:ind w:left="8" w:right="179"/>
        <w:spacing w:after="0" w:line="308" w:lineRule="auto"/>
        <w:rPr>
          <w:sz w:val="20"/>
          <w:szCs w:val="20"/>
          <w:color w:val="auto"/>
        </w:rPr>
      </w:pPr>
      <w:r>
        <w:rPr>
          <w:rFonts w:ascii="Arial" w:cs="Arial" w:eastAsia="Arial" w:hAnsi="Arial"/>
          <w:sz w:val="17"/>
          <w:szCs w:val="17"/>
          <w:color w:val="auto"/>
        </w:rPr>
        <w:t>With these factors in mind, including the anticipated net sales and net earnings of International Wood Industries (“IWI”), we are targeting net sales of between $2.45 billion and $2.55 billion, and net earnings of between $22 million and $27 million for 2008.</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DIY/RETAIL MARKET</w:t>
      </w:r>
    </w:p>
    <w:p>
      <w:pPr>
        <w:spacing w:after="0" w:line="202" w:lineRule="exact"/>
        <w:rPr>
          <w:sz w:val="20"/>
          <w:szCs w:val="20"/>
          <w:color w:val="auto"/>
        </w:rPr>
      </w:pPr>
    </w:p>
    <w:p>
      <w:pPr>
        <w:jc w:val="both"/>
        <w:ind w:left="8" w:right="179"/>
        <w:spacing w:after="0" w:line="286" w:lineRule="auto"/>
        <w:rPr>
          <w:sz w:val="20"/>
          <w:szCs w:val="20"/>
          <w:color w:val="auto"/>
        </w:rPr>
      </w:pPr>
      <w:r>
        <w:rPr>
          <w:rFonts w:ascii="Arial" w:cs="Arial" w:eastAsia="Arial" w:hAnsi="Arial"/>
          <w:sz w:val="17"/>
          <w:szCs w:val="17"/>
          <w:color w:val="auto"/>
        </w:rPr>
        <w:t>The Home Improvement Research Institute forecasts a decrease in repair/remodel projects of 3% to $176 billion in 2008. A decline is forecasted due to a decrease in consumer spending, a continued decline in housing market activity, and tight credit conditions in 2008. The Consumer Confidence Index fell to 88.6 in December, down from 110.2 at the beginning of the year.</w:t>
      </w:r>
    </w:p>
    <w:p>
      <w:pPr>
        <w:spacing w:after="0" w:line="125" w:lineRule="exact"/>
        <w:rPr>
          <w:sz w:val="20"/>
          <w:szCs w:val="20"/>
          <w:color w:val="auto"/>
        </w:rPr>
      </w:pPr>
    </w:p>
    <w:p>
      <w:pPr>
        <w:jc w:val="both"/>
        <w:ind w:left="8" w:right="179"/>
        <w:spacing w:after="0" w:line="342" w:lineRule="auto"/>
        <w:rPr>
          <w:sz w:val="20"/>
          <w:szCs w:val="20"/>
          <w:color w:val="auto"/>
        </w:rPr>
      </w:pPr>
      <w:r>
        <w:rPr>
          <w:rFonts w:ascii="Arial" w:cs="Arial" w:eastAsia="Arial" w:hAnsi="Arial"/>
          <w:sz w:val="16"/>
          <w:szCs w:val="16"/>
          <w:color w:val="auto"/>
        </w:rPr>
        <w:t>In 2008, we believe we will maintain market share gained with certain “big box” home improvement and other retailers, but will continue to be impacted by the soft market conditions discussed above. On a long-term basis, it is our goal to achieve sales growth by:</w:t>
      </w:r>
    </w:p>
    <w:p>
      <w:pPr>
        <w:spacing w:after="0" w:line="83" w:lineRule="exact"/>
        <w:rPr>
          <w:sz w:val="20"/>
          <w:szCs w:val="20"/>
          <w:color w:val="auto"/>
        </w:rPr>
      </w:pPr>
    </w:p>
    <w:p>
      <w:pPr>
        <w:ind w:left="388" w:right="179" w:hanging="388"/>
        <w:spacing w:after="0" w:line="340" w:lineRule="auto"/>
        <w:tabs>
          <w:tab w:leader="none" w:pos="388"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Increasing our market share of value-added wood products and preservative-treated products as a result of our national presence, service capabilities that meet stringent customer requirements, diversified product offering, and purchasing leverage.</w:t>
      </w:r>
    </w:p>
    <w:p>
      <w:pPr>
        <w:spacing w:after="0" w:line="5" w:lineRule="exact"/>
        <w:rPr>
          <w:rFonts w:ascii="Arial" w:cs="Arial" w:eastAsia="Arial" w:hAnsi="Arial"/>
          <w:sz w:val="16"/>
          <w:szCs w:val="16"/>
          <w:b w:val="1"/>
          <w:bCs w:val="1"/>
          <w:color w:val="auto"/>
        </w:rPr>
      </w:pPr>
    </w:p>
    <w:p>
      <w:pPr>
        <w:jc w:val="both"/>
        <w:ind w:left="388" w:right="159" w:hanging="388"/>
        <w:spacing w:after="0" w:line="312" w:lineRule="auto"/>
        <w:tabs>
          <w:tab w:leader="none" w:pos="388"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Increasing our sales of wood alternative products such as composite wood decking, which continues to take market share from preservative-treated products. Although we expect this trend to continue to some extent, we believe wood products will continue to maintain a dominant market share for the foreseeable future as a result of its cost advantages over wood alternative products.</w:t>
      </w:r>
    </w:p>
    <w:p>
      <w:pPr>
        <w:spacing w:after="0" w:line="25" w:lineRule="exact"/>
        <w:rPr>
          <w:rFonts w:ascii="Arial" w:cs="Arial" w:eastAsia="Arial" w:hAnsi="Arial"/>
          <w:sz w:val="16"/>
          <w:szCs w:val="16"/>
          <w:b w:val="1"/>
          <w:bCs w:val="1"/>
          <w:color w:val="auto"/>
        </w:rPr>
      </w:pPr>
    </w:p>
    <w:p>
      <w:pPr>
        <w:jc w:val="both"/>
        <w:ind w:left="388" w:right="179" w:hanging="388"/>
        <w:spacing w:after="0" w:line="264" w:lineRule="auto"/>
        <w:tabs>
          <w:tab w:leader="none" w:pos="38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Increasing our market penetration of products distributed by our newly formed Consumer Products Division, including decorative balusters, accessories, and post caps, plastic lattice and other proprietary plastic products which have greatly enhanced our deck and fencing product lines.</w:t>
      </w:r>
    </w:p>
    <w:p>
      <w:pPr>
        <w:spacing w:after="0" w:line="59" w:lineRule="exact"/>
        <w:rPr>
          <w:rFonts w:ascii="Arial" w:cs="Arial" w:eastAsia="Arial" w:hAnsi="Arial"/>
          <w:sz w:val="18"/>
          <w:szCs w:val="18"/>
          <w:b w:val="1"/>
          <w:bCs w:val="1"/>
          <w:color w:val="auto"/>
        </w:rPr>
      </w:pPr>
    </w:p>
    <w:p>
      <w:pPr>
        <w:ind w:left="388" w:hanging="388"/>
        <w:spacing w:after="0"/>
        <w:tabs>
          <w:tab w:leader="none" w:pos="38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Developing new value-added products and services for this market through our Consumer Products Division.</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Adding capacity or new markets through strategic business acquisitions.</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8" w:name="page59"/>
    <w:bookmarkEnd w:id="58"/>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SITE-BUILT CONSTRUCTION MARKET</w:t>
      </w:r>
    </w:p>
    <w:p>
      <w:pPr>
        <w:spacing w:after="0" w:line="189"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Mortgage Bankers Association of America</w:t>
      </w:r>
      <w:r>
        <w:rPr>
          <w:rFonts w:ascii="Arial" w:cs="Arial" w:eastAsia="Arial" w:hAnsi="Arial"/>
          <w:sz w:val="18"/>
          <w:szCs w:val="18"/>
          <w:color w:val="auto"/>
        </w:rPr>
        <w:t xml:space="preserve"> forecasts a 26% decline in single-family housing starts to an estimated 0.8 million starts in 2008 as the industry continues to recover from excess inventory levels of single-family homes, tighter credit conditions, and an increase in foreclosures associated with sub-prime lending practices.</w:t>
      </w:r>
    </w:p>
    <w:p>
      <w:pPr>
        <w:spacing w:after="0" w:line="141" w:lineRule="exact"/>
        <w:rPr>
          <w:sz w:val="20"/>
          <w:szCs w:val="20"/>
          <w:color w:val="auto"/>
        </w:rPr>
      </w:pPr>
    </w:p>
    <w:p>
      <w:pPr>
        <w:jc w:val="both"/>
        <w:ind w:left="8" w:right="159"/>
        <w:spacing w:after="0" w:line="259" w:lineRule="auto"/>
        <w:rPr>
          <w:sz w:val="20"/>
          <w:szCs w:val="20"/>
          <w:color w:val="auto"/>
        </w:rPr>
      </w:pPr>
      <w:r>
        <w:rPr>
          <w:rFonts w:ascii="Arial" w:cs="Arial" w:eastAsia="Arial" w:hAnsi="Arial"/>
          <w:sz w:val="18"/>
          <w:szCs w:val="18"/>
          <w:color w:val="auto"/>
        </w:rPr>
        <w:t>In 2008, we believe the decline in single-family housing starts will continue to impact our sales and gross margins. Our strategy during this downturn is to continue to gain market share as a result of our cost advantages over smaller competitors and by increasing our market share in the multi-family and light commercial construction markets and continuing to offer framing services to provide a “turn-key” offering to customers.</w:t>
      </w:r>
    </w:p>
    <w:p>
      <w:pPr>
        <w:spacing w:after="0" w:line="160" w:lineRule="exact"/>
        <w:rPr>
          <w:sz w:val="20"/>
          <w:szCs w:val="20"/>
          <w:color w:val="auto"/>
        </w:rPr>
      </w:pPr>
    </w:p>
    <w:p>
      <w:pPr>
        <w:jc w:val="both"/>
        <w:ind w:left="8" w:right="179"/>
        <w:spacing w:after="0" w:line="277" w:lineRule="auto"/>
        <w:rPr>
          <w:sz w:val="20"/>
          <w:szCs w:val="20"/>
          <w:color w:val="auto"/>
        </w:rPr>
      </w:pPr>
      <w:r>
        <w:rPr>
          <w:rFonts w:ascii="Arial" w:cs="Arial" w:eastAsia="Arial" w:hAnsi="Arial"/>
          <w:sz w:val="18"/>
          <w:szCs w:val="18"/>
          <w:color w:val="auto"/>
        </w:rPr>
        <w:t>On a long-term basis, we anticipate growth in our sales to the site-built construction market as market conditions improve and as a result of market share gains achieved through:</w:t>
      </w:r>
    </w:p>
    <w:p>
      <w:pPr>
        <w:spacing w:after="0" w:line="130" w:lineRule="exact"/>
        <w:rPr>
          <w:sz w:val="20"/>
          <w:szCs w:val="20"/>
          <w:color w:val="auto"/>
        </w:rPr>
      </w:pPr>
    </w:p>
    <w:p>
      <w:pPr>
        <w:jc w:val="both"/>
        <w:ind w:left="388" w:right="179" w:hanging="388"/>
        <w:spacing w:after="0" w:line="264" w:lineRule="auto"/>
        <w:tabs>
          <w:tab w:leader="none" w:pos="38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Acquisitions of component manufacturers and framing service providers. We believe the trend whereby customers prefer to purchase a combination of components and framing services will continue. Therefore, our acquisition strategy includes targeted markets for framing operations.</w:t>
      </w:r>
    </w:p>
    <w:p>
      <w:pPr>
        <w:spacing w:after="0" w:line="59"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Greater customer acceptance of engineered wood components, particularly wall panels and floor systems, because of the benefits these products provide builders over traditional carpentry methods employed on the job site.</w:t>
      </w:r>
    </w:p>
    <w:p>
      <w:pPr>
        <w:spacing w:after="0" w:line="48" w:lineRule="exact"/>
        <w:rPr>
          <w:rFonts w:ascii="Arial" w:cs="Arial" w:eastAsia="Arial" w:hAnsi="Arial"/>
          <w:sz w:val="18"/>
          <w:szCs w:val="18"/>
          <w:b w:val="1"/>
          <w:bCs w:val="1"/>
          <w:color w:val="auto"/>
        </w:rPr>
      </w:pPr>
    </w:p>
    <w:p>
      <w:pPr>
        <w:ind w:left="388" w:right="179" w:hanging="388"/>
        <w:spacing w:after="0" w:line="277" w:lineRule="auto"/>
        <w:tabs>
          <w:tab w:leader="none" w:pos="388"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Industry consolidation toward large production-oriented builders, which tend to prefer the use of engineered products and who desire suppliers with a national presence.</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MANUFACTURED HOUSING MARKET</w:t>
      </w:r>
    </w:p>
    <w:p>
      <w:pPr>
        <w:spacing w:after="0" w:line="202"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It is our goal to maintain our current market share of trusses produced for the HUD code market, which increased as a result of our acquisition of Banks in November 2006. On a long-term basis we believe the HUD code market will regain a greater share of the single-family market as credit conditions normalize and as consumers seek more affordable housing alternatives.</w:t>
      </w:r>
    </w:p>
    <w:p>
      <w:pPr>
        <w:spacing w:after="0" w:line="125" w:lineRule="exact"/>
        <w:rPr>
          <w:sz w:val="20"/>
          <w:szCs w:val="20"/>
          <w:color w:val="auto"/>
        </w:rPr>
      </w:pPr>
    </w:p>
    <w:p>
      <w:pPr>
        <w:jc w:val="both"/>
        <w:ind w:left="8" w:right="159"/>
        <w:spacing w:after="0" w:line="257" w:lineRule="auto"/>
        <w:rPr>
          <w:sz w:val="20"/>
          <w:szCs w:val="20"/>
          <w:color w:val="auto"/>
        </w:rPr>
      </w:pPr>
      <w:r>
        <w:rPr>
          <w:rFonts w:ascii="Arial" w:cs="Arial" w:eastAsia="Arial" w:hAnsi="Arial"/>
          <w:sz w:val="18"/>
          <w:szCs w:val="18"/>
          <w:color w:val="auto"/>
        </w:rPr>
        <w:t>Sales of modular homes are expected to be impacted by the oversupply of single-family housing and tight credit conditions. It is our goal to maintain our market share of trusses produced for the modular market as a result of our strong relationships with modular builders, design services and proprietary products, and successful integration of Banks. On a long-term basis, we anticipate modular housing will gain additional share of the single-family market as a result of more developers adopting the controlled building environment of modular construction as a method of cost control.</w:t>
      </w:r>
    </w:p>
    <w:p>
      <w:pPr>
        <w:spacing w:after="0" w:line="200" w:lineRule="exact"/>
        <w:rPr>
          <w:sz w:val="20"/>
          <w:szCs w:val="20"/>
          <w:color w:val="auto"/>
        </w:rPr>
      </w:pPr>
    </w:p>
    <w:p>
      <w:pPr>
        <w:spacing w:after="0" w:line="35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9" w:name="page60"/>
    <w:bookmarkEnd w:id="59"/>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INDUSTRIAL MARKET</w:t>
      </w:r>
    </w:p>
    <w:p>
      <w:pPr>
        <w:spacing w:after="0" w:line="189" w:lineRule="exact"/>
        <w:rPr>
          <w:sz w:val="20"/>
          <w:szCs w:val="20"/>
          <w:color w:val="auto"/>
        </w:rPr>
      </w:pPr>
    </w:p>
    <w:p>
      <w:pPr>
        <w:jc w:val="both"/>
        <w:ind w:left="8" w:right="159"/>
        <w:spacing w:after="0" w:line="270" w:lineRule="auto"/>
        <w:rPr>
          <w:sz w:val="20"/>
          <w:szCs w:val="20"/>
          <w:color w:val="auto"/>
        </w:rPr>
      </w:pPr>
      <w:r>
        <w:rPr>
          <w:rFonts w:ascii="Arial" w:cs="Arial" w:eastAsia="Arial" w:hAnsi="Arial"/>
          <w:sz w:val="17"/>
          <w:szCs w:val="17"/>
          <w:color w:val="auto"/>
        </w:rPr>
        <w:t>One of our key strategic objectives is to increase our sales of wood packaging products to industrial users. We believe the vast amount of hardwood and softwood lumber consumed for industrial applications, combined with the highly fragmented nature of this market provides us with significant growth opportunities as a result of our competitive cost advantages in manufacturing, purchasing, and material utilization. To take advantage of these opportunities, we plan to continue to obtain market share through an internal growth strategy utilizing our current manufacturing capabilities and dedicated industrial sales force. On a long-term basis, we also plan to evaluate strategic acquisition opportunities and continue to gain market share with concrete forming customers. On February 5, 2008, one of our subsidiaries acquired International Wood Industries, a manufacturer of industrial products that sells specialty packaging and shipping products such as agriculture boxes for shipping food; moving boxes for the U.S. military; and crating, pallets and skids for a variety of industrial customers.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GROSS PROFIT</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believe the following factors may impact our gross profits and margins in 2008:</w:t>
      </w:r>
    </w:p>
    <w:p>
      <w:pPr>
        <w:spacing w:after="0" w:line="185" w:lineRule="exact"/>
        <w:rPr>
          <w:sz w:val="20"/>
          <w:szCs w:val="20"/>
          <w:color w:val="auto"/>
        </w:rPr>
      </w:pPr>
    </w:p>
    <w:p>
      <w:pPr>
        <w:jc w:val="both"/>
        <w:ind w:left="388" w:right="179" w:hanging="388"/>
        <w:spacing w:after="0" w:line="264" w:lineRule="auto"/>
        <w:tabs>
          <w:tab w:leader="none" w:pos="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Our ability to maintain sales and gross margins on products sold to our largest customers. We believe our level of service, geographic diversity, and quality of products provides an added value to our customers. If our customers are unwilling to pay for these advantages, our sales and gross margins may be reduced.</w:t>
      </w:r>
    </w:p>
    <w:p>
      <w:pPr>
        <w:spacing w:after="0" w:line="59" w:lineRule="exact"/>
        <w:rPr>
          <w:rFonts w:ascii="Arial" w:cs="Arial" w:eastAsia="Arial" w:hAnsi="Arial"/>
          <w:sz w:val="18"/>
          <w:szCs w:val="18"/>
          <w:b w:val="1"/>
          <w:bCs w:val="1"/>
          <w:color w:val="auto"/>
        </w:rPr>
      </w:pPr>
    </w:p>
    <w:p>
      <w:pPr>
        <w:jc w:val="both"/>
        <w:ind w:left="388" w:right="159" w:hanging="388"/>
        <w:spacing w:after="0" w:line="264" w:lineRule="auto"/>
        <w:tabs>
          <w:tab w:leader="none" w:pos="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In the first half of 2008 we expect to continue to experience challenging market conditions that caused a decline in our gross margins in the second half of 2007. These conditions resulted in more intense price competition and a reduction in sales of some products, particularly those for site-built construction.</w:t>
      </w:r>
    </w:p>
    <w:p>
      <w:pPr>
        <w:spacing w:after="0" w:line="59"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Fluctuations in the relative level of the Lumber Market and the trend in the market price of lumber. (See “Impact of the Lumber Market on our Operating Results.”)</w:t>
      </w:r>
    </w:p>
    <w:p>
      <w:pPr>
        <w:spacing w:after="0" w:line="48"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Our ability to gain market share and the relative strength of our end markets will impact our sales prices, capacity utilization, and profitability.</w:t>
      </w:r>
    </w:p>
    <w:p>
      <w:pPr>
        <w:spacing w:after="0" w:line="48" w:lineRule="exact"/>
        <w:rPr>
          <w:rFonts w:ascii="Arial" w:cs="Arial" w:eastAsia="Arial" w:hAnsi="Arial"/>
          <w:sz w:val="18"/>
          <w:szCs w:val="18"/>
          <w:b w:val="1"/>
          <w:bCs w:val="1"/>
          <w:color w:val="auto"/>
        </w:rPr>
      </w:pPr>
    </w:p>
    <w:p>
      <w:pPr>
        <w:ind w:left="388" w:right="159" w:hanging="388"/>
        <w:spacing w:after="0" w:line="277" w:lineRule="auto"/>
        <w:tabs>
          <w:tab w:leader="none" w:pos="388"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Our ability to continue to achieve planned cost reductions through plant consolidations and our Continuous Improvement initiative.</w:t>
      </w:r>
    </w:p>
    <w:p>
      <w:pPr>
        <w:spacing w:after="0" w:line="48" w:lineRule="exact"/>
        <w:rPr>
          <w:rFonts w:ascii="Arial" w:cs="Arial" w:eastAsia="Arial" w:hAnsi="Arial"/>
          <w:sz w:val="18"/>
          <w:szCs w:val="18"/>
          <w:b w:val="1"/>
          <w:bCs w:val="1"/>
          <w:color w:val="auto"/>
        </w:rPr>
      </w:pPr>
    </w:p>
    <w:p>
      <w:pPr>
        <w:jc w:val="both"/>
        <w:ind w:left="388" w:right="159" w:hanging="388"/>
        <w:spacing w:after="0" w:line="286" w:lineRule="auto"/>
        <w:tabs>
          <w:tab w:leader="none" w:pos="388"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We have a long-term goal of continuing to increase our ratio of value-added sales to total sales, which in turn should increase gross margins. Our acquisition and internal sales growth strategies will help us continue to make progress toward this objective. However, achievement of this goal is dependent, in part, upon certain factors that are beyond our control.</w:t>
      </w:r>
    </w:p>
    <w:p>
      <w:pPr>
        <w:spacing w:after="0" w:line="200" w:lineRule="exact"/>
        <w:rPr>
          <w:sz w:val="20"/>
          <w:szCs w:val="20"/>
          <w:color w:val="auto"/>
        </w:rPr>
      </w:pPr>
    </w:p>
    <w:p>
      <w:pPr>
        <w:spacing w:after="0" w:line="3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0" w:name="page61"/>
    <w:bookmarkEnd w:id="60"/>
    <w:p>
      <w:pPr>
        <w:jc w:val="center"/>
        <w:ind w:right="211"/>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left="8" w:right="159"/>
        <w:spacing w:after="0" w:line="272" w:lineRule="auto"/>
        <w:rPr>
          <w:sz w:val="20"/>
          <w:szCs w:val="20"/>
          <w:color w:val="auto"/>
        </w:rPr>
      </w:pPr>
      <w:r>
        <w:rPr>
          <w:rFonts w:ascii="Arial" w:cs="Arial" w:eastAsia="Arial" w:hAnsi="Arial"/>
          <w:sz w:val="17"/>
          <w:szCs w:val="17"/>
          <w:color w:val="auto"/>
        </w:rPr>
        <w:t>In the third quarter of 2007, as a result of deteriorating market conditions, we took actions to reduce our headcount and certain overhead costs. In 2007, we also experienced a decline in accrued bonus expense, which is tied to operating profits and return on investment. We expect that these factors will continue to favorably impact our SG&amp;A expenses in 2008. Additionally, in the fourth quarter of 2007 we closed certain facilities and consolidated others into existing locations to better align our manufacturing capacity with the current business environment. We anticipate these actions will also result in a reduction to our SG&amp;A expenses in 2008. The decreases mentioned above are expected to be offset by a stock grant made on February 8, 2008. We estimate that we will recognize total expense of approximately $1.3 million for each of the next three years for this grant.</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198" w:lineRule="exact"/>
        <w:rPr>
          <w:sz w:val="20"/>
          <w:szCs w:val="20"/>
          <w:color w:val="auto"/>
        </w:rPr>
      </w:pPr>
    </w:p>
    <w:p>
      <w:pPr>
        <w:ind w:left="388" w:right="159" w:hanging="388"/>
        <w:spacing w:after="0" w:line="277" w:lineRule="auto"/>
        <w:tabs>
          <w:tab w:leader="none" w:pos="38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Our growth in sales to the industrial market and, when industry conditions improve, the site-built construction market. Our sales to these markets require a higher ratio of SG&amp;A costs due, in part, to product design requirements.</w:t>
      </w:r>
    </w:p>
    <w:p>
      <w:pPr>
        <w:spacing w:after="0" w:line="48" w:lineRule="exact"/>
        <w:rPr>
          <w:rFonts w:ascii="Arial" w:cs="Arial" w:eastAsia="Arial" w:hAnsi="Arial"/>
          <w:sz w:val="18"/>
          <w:szCs w:val="18"/>
          <w:b w:val="1"/>
          <w:bCs w:val="1"/>
          <w:color w:val="auto"/>
        </w:rPr>
      </w:pPr>
    </w:p>
    <w:p>
      <w:pPr>
        <w:ind w:left="388" w:hanging="388"/>
        <w:spacing w:after="0"/>
        <w:tabs>
          <w:tab w:leader="none" w:pos="38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Our incentive compensation program discussed above.</w:t>
      </w:r>
    </w:p>
    <w:p>
      <w:pPr>
        <w:spacing w:after="0" w:line="103" w:lineRule="exact"/>
        <w:rPr>
          <w:rFonts w:ascii="Arial" w:cs="Arial" w:eastAsia="Arial" w:hAnsi="Arial"/>
          <w:sz w:val="18"/>
          <w:szCs w:val="18"/>
          <w:b w:val="1"/>
          <w:bCs w:val="1"/>
          <w:color w:val="auto"/>
        </w:rPr>
      </w:pPr>
    </w:p>
    <w:p>
      <w:pPr>
        <w:ind w:left="388" w:hanging="388"/>
        <w:spacing w:after="0"/>
        <w:tabs>
          <w:tab w:leader="none" w:pos="388"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Our growth and success in achieving Continuous Improvement objectives.</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8" w:right="159"/>
        <w:spacing w:after="0" w:line="264" w:lineRule="auto"/>
        <w:rPr>
          <w:sz w:val="20"/>
          <w:szCs w:val="20"/>
          <w:color w:val="auto"/>
        </w:rPr>
      </w:pPr>
      <w:r>
        <w:rPr>
          <w:rFonts w:ascii="Arial" w:cs="Arial" w:eastAsia="Arial" w:hAnsi="Arial"/>
          <w:sz w:val="18"/>
          <w:szCs w:val="18"/>
          <w:color w:val="auto"/>
        </w:rPr>
        <w:t>Our cash cycle will continue to be impacted in the future based on our mix of sales by market. Sales to the site-built construction and industrial markets require a greater investment in working capital (inventory and accounts receivable) than our sales to the DIY/retail and manufactured housing markets.</w:t>
      </w:r>
    </w:p>
    <w:p>
      <w:pPr>
        <w:spacing w:after="0" w:line="154" w:lineRule="exact"/>
        <w:rPr>
          <w:sz w:val="20"/>
          <w:szCs w:val="20"/>
          <w:color w:val="auto"/>
        </w:rPr>
      </w:pPr>
    </w:p>
    <w:p>
      <w:pPr>
        <w:jc w:val="both"/>
        <w:ind w:left="8" w:right="179"/>
        <w:spacing w:after="0" w:line="264" w:lineRule="auto"/>
        <w:rPr>
          <w:sz w:val="20"/>
          <w:szCs w:val="20"/>
          <w:color w:val="auto"/>
        </w:rPr>
      </w:pPr>
      <w:r>
        <w:rPr>
          <w:rFonts w:ascii="Arial" w:cs="Arial" w:eastAsia="Arial" w:hAnsi="Arial"/>
          <w:sz w:val="18"/>
          <w:szCs w:val="18"/>
          <w:color w:val="auto"/>
        </w:rPr>
        <w:t>Management expects to spend between $20 million and $25 million on capital expenditures in 2008 and incur depreciation and amortization of intangible assets of approximately $49 million. On December 29, 2007, we had outstanding purchase commitments on capital projects of approximately $2.2 million.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We have no present intention to change our dividend policy, which is currently $0.06 per share paid semi-annually.</w:t>
      </w:r>
    </w:p>
    <w:p>
      <w:pPr>
        <w:spacing w:after="0" w:line="185"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Our Board of Directors has approved a share repurchase program under which we have authorization to buy back approximately 1.2 million shares as of December 29, 2007. In the past, we have repurchased shares in order to offset the effect of issuances resulting from our employee benefit plans and at times when our stock price falls to a pre-determined level.</w:t>
      </w:r>
    </w:p>
    <w:p>
      <w:pPr>
        <w:spacing w:after="0" w:line="139" w:lineRule="exact"/>
        <w:rPr>
          <w:sz w:val="20"/>
          <w:szCs w:val="20"/>
          <w:color w:val="auto"/>
        </w:rPr>
      </w:pPr>
    </w:p>
    <w:p>
      <w:pPr>
        <w:jc w:val="both"/>
        <w:ind w:left="8" w:right="159"/>
        <w:spacing w:after="0" w:line="286" w:lineRule="auto"/>
        <w:rPr>
          <w:sz w:val="20"/>
          <w:szCs w:val="20"/>
          <w:color w:val="auto"/>
        </w:rPr>
      </w:pPr>
      <w:r>
        <w:rPr>
          <w:rFonts w:ascii="Arial" w:cs="Arial" w:eastAsia="Arial" w:hAnsi="Arial"/>
          <w:sz w:val="17"/>
          <w:szCs w:val="17"/>
          <w:color w:val="auto"/>
        </w:rPr>
        <w:t>The Series 1998-A Senior Notes totaling $78.5 million are due December 21, 2008, however we intend to refinance them on a long-term basis. Currently, we have the ability to finance the obligation with the revolving credit facility due February 12, 2012. We are also obligated to pay additional amounts due on long-term debt totaling approximately $0.9 million in 2008.</w:t>
      </w:r>
    </w:p>
    <w:p>
      <w:pPr>
        <w:spacing w:after="0" w:line="200" w:lineRule="exact"/>
        <w:rPr>
          <w:sz w:val="20"/>
          <w:szCs w:val="20"/>
          <w:color w:val="auto"/>
        </w:rPr>
      </w:pPr>
    </w:p>
    <w:p>
      <w:pPr>
        <w:spacing w:after="0" w:line="31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61" w:name="page62"/>
    <w:bookmarkEnd w:id="61"/>
    <w:p>
      <w:pPr>
        <w:jc w:val="center"/>
        <w:ind w:right="219"/>
        <w:spacing w:after="0" w:line="275" w:lineRule="auto"/>
        <w:rPr>
          <w:sz w:val="20"/>
          <w:szCs w:val="20"/>
          <w:color w:val="auto"/>
        </w:rPr>
      </w:pPr>
      <w:r>
        <w:rPr>
          <w:rFonts w:ascii="Arial" w:cs="Arial" w:eastAsia="Arial" w:hAnsi="Arial"/>
          <w:sz w:val="18"/>
          <w:szCs w:val="18"/>
          <w:b w:val="1"/>
          <w:bCs w:val="1"/>
          <w:color w:val="auto"/>
        </w:rPr>
        <w:t>UNIVERSAL FOREST PRODUCTS, INC. MANAGEMENT’S DISCUSSION AND ANALYSIS OF FINANCIAL CONDITION AND RESULTS OF OPERATIONS</w:t>
      </w:r>
    </w:p>
    <w:p>
      <w:pPr>
        <w:spacing w:after="0" w:line="367"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On January 24, 2008 we sold the vacant land we acquired as part our acquisition of Aljoma. The net sales price was approximately $24.2 million.</w:t>
      </w:r>
    </w:p>
    <w:p>
      <w:pPr>
        <w:spacing w:after="0" w:line="130"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On February 5, 2008, one of our subsidiaries acquired International Wood Industries (IWI), a manufacturer of industrial products headquartered in Turlock, CA with annual sales for the year ended December 31, 2007 of approximately $40 million. IWI sells specialty packaging and shipping products such as agriculture boxes for shipping food; moving boxes for the U.S. military; and crating, pallets and skids for a variety of industrial customers. The purchase price for the stock was approximately $14 million.</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2" w:name="page63"/>
    <w:bookmarkEnd w:id="62"/>
    <w:p>
      <w:pPr>
        <w:jc w:val="center"/>
        <w:ind w:right="15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management of Universal Forest Products, Inc.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141" w:lineRule="exact"/>
        <w:rPr>
          <w:sz w:val="20"/>
          <w:szCs w:val="20"/>
          <w:color w:val="auto"/>
        </w:rPr>
      </w:pPr>
    </w:p>
    <w:p>
      <w:pPr>
        <w:jc w:val="both"/>
        <w:ind w:right="179"/>
        <w:spacing w:after="0" w:line="308" w:lineRule="auto"/>
        <w:rPr>
          <w:sz w:val="20"/>
          <w:szCs w:val="20"/>
          <w:color w:val="auto"/>
        </w:rPr>
      </w:pPr>
      <w:r>
        <w:rPr>
          <w:rFonts w:ascii="Arial" w:cs="Arial" w:eastAsia="Arial" w:hAnsi="Arial"/>
          <w:sz w:val="17"/>
          <w:szCs w:val="17"/>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06"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 xml:space="preserve">We assessed the effectiveness of our internal control over financial reporting as of December 29, 2007.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Based on our assessment, management has concluded that as of December 29, 2007, our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31"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has been audited by Ernst &amp; Young LLP, an independent registered public accounting firm, as stated in their report, which follows our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2008</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3" w:name="page64"/>
    <w:bookmarkEnd w:id="63"/>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Universal Forest Products, Inc.</w:t>
      </w:r>
    </w:p>
    <w:p>
      <w:pPr>
        <w:spacing w:after="0" w:line="189"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We have audited Universal Forest Products, Inc. and subsidiaries’ (the “Company”) internal control over financial reporting as of December 29, 2007, based on criteria established in Internal Control—Integrated Framework issued by the Committee of Sponsoring Organizations of the Treadway Commission (the COSO criteria). Universal Forest Product,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Universal Forest Products, Inc. and subsidiaries’ internal control over financial reporting based on our audit.</w:t>
      </w:r>
    </w:p>
    <w:p>
      <w:pPr>
        <w:spacing w:after="0" w:line="149" w:lineRule="exact"/>
        <w:rPr>
          <w:sz w:val="20"/>
          <w:szCs w:val="20"/>
          <w:color w:val="auto"/>
        </w:rPr>
      </w:pPr>
    </w:p>
    <w:p>
      <w:pPr>
        <w:jc w:val="both"/>
        <w:ind w:right="15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1"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5"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In our opinion, Universal Forest Products, Inc. and subsidiaries maintained, in all material respects, effective internal control over financial reporting as of December 29, 2007, based on the COSO criteria</w:t>
      </w:r>
      <w:r>
        <w:rPr>
          <w:rFonts w:ascii="Arial" w:cs="Arial" w:eastAsia="Arial" w:hAnsi="Arial"/>
          <w:sz w:val="18"/>
          <w:szCs w:val="18"/>
          <w:b w:val="1"/>
          <w:bCs w:val="1"/>
          <w:color w:val="auto"/>
        </w:rPr>
        <w:t>.</w:t>
      </w:r>
    </w:p>
    <w:p>
      <w:pPr>
        <w:spacing w:after="0" w:line="143"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Universal Forest Products, Inc. and subsidiaries as of December 29, 2007 and December 30, 2006, and the related consolidated statements of earnings, shareholders’ equity, and cash flows for each of the three years in the period ended December 29, 2007 of Universal Forest Products, Inc. and subsidiaries and our report dated February 13, 2008 expressed an unqualified opinion thereon.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2008</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4" w:name="page65"/>
    <w:bookmarkEnd w:id="64"/>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Shareholders of Universal Forest Products, Inc.</w:t>
      </w:r>
    </w:p>
    <w:p>
      <w:pPr>
        <w:spacing w:after="0" w:line="189" w:lineRule="exact"/>
        <w:rPr>
          <w:sz w:val="20"/>
          <w:szCs w:val="20"/>
          <w:color w:val="auto"/>
        </w:rPr>
      </w:pPr>
    </w:p>
    <w:p>
      <w:pPr>
        <w:jc w:val="both"/>
        <w:ind w:right="159"/>
        <w:spacing w:after="0" w:line="279" w:lineRule="auto"/>
        <w:rPr>
          <w:sz w:val="20"/>
          <w:szCs w:val="20"/>
          <w:color w:val="auto"/>
        </w:rPr>
      </w:pPr>
      <w:r>
        <w:rPr>
          <w:rFonts w:ascii="Arial" w:cs="Arial" w:eastAsia="Arial" w:hAnsi="Arial"/>
          <w:sz w:val="17"/>
          <w:szCs w:val="17"/>
          <w:color w:val="auto"/>
        </w:rPr>
        <w:t>We have audited the accompanying consolidated balance sheets of Universal Forest Products, Inc. and subsidiaries as of December 29, 2007 and December 30, 2006, and the related consolidated statements of earnings, shareholders’ equity, and cash flows for each of the three years in the period ended December 29, 2007. These financial statements are the responsibility of the Company’s management. Our responsibility is to express an opinion on these financial statements based on our audits.</w:t>
      </w:r>
    </w:p>
    <w:p>
      <w:pPr>
        <w:spacing w:after="0" w:line="131" w:lineRule="exact"/>
        <w:rPr>
          <w:sz w:val="20"/>
          <w:szCs w:val="20"/>
          <w:color w:val="auto"/>
        </w:rPr>
      </w:pPr>
    </w:p>
    <w:p>
      <w:pPr>
        <w:jc w:val="both"/>
        <w:ind w:right="159"/>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1"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Universal Forest Products, Inc. and subsidiaries at December 29, 2007 and December 30, 2006, and the consolidated results of their operations and their cash flows for each of the three years in the period ended December 29, 2007, in conformity with U.S. generally accepted accounting principles.</w:t>
      </w:r>
    </w:p>
    <w:p>
      <w:pPr>
        <w:spacing w:after="0" w:line="146" w:lineRule="exact"/>
        <w:rPr>
          <w:sz w:val="20"/>
          <w:szCs w:val="20"/>
          <w:color w:val="auto"/>
        </w:rPr>
      </w:pPr>
    </w:p>
    <w:p>
      <w:pPr>
        <w:jc w:val="both"/>
        <w:ind w:right="179"/>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effectiveness of Universal Forest Products, Inc. and subsidiaries’ internal control over financial reporting as of December 29, 2007, based on criteria established in Internal Control—Integrated Framework issued by the Committee of Sponsoring Organizations of the Treadway Commission and our report dated February 13, 2008 expressed an unqualified opinion thereon.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2008</w:t>
      </w: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5" w:name="page66"/>
    <w:bookmarkEnd w:id="65"/>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(in thousands, except share data)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rPr>
              <w:t>December 29,</w:t>
            </w:r>
          </w:p>
        </w:tc>
        <w:tc>
          <w:tcPr>
            <w:tcW w:w="16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December 30,</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43,605</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51,108</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142,562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148,242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128,621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116,497</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21,754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15,239</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475,135</w:t>
            </w: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8,094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INDEFINITE-LIVED INTANGIBLE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155,177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23,849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25,390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Land and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64,754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71,366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 and improvements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153,369</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Machinery, equipment and office furniture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293,579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234,741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513,003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(238,743)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(215,686)</w:t>
            </w:r>
          </w:p>
        </w:tc>
        <w:tc>
          <w:tcPr>
            <w:tcW w:w="0" w:type="dxa"/>
            <w:vAlign w:val="bottom"/>
          </w:tcPr>
          <w:p>
            <w:pPr>
              <w:spacing w:after="0"/>
              <w:rPr>
                <w:sz w:val="1"/>
                <w:szCs w:val="1"/>
                <w:color w:val="auto"/>
              </w:rPr>
            </w:pPr>
          </w:p>
        </w:tc>
      </w:tr>
      <w:tr>
        <w:trPr>
          <w:trHeight w:val="230"/>
        </w:trPr>
        <w:tc>
          <w:tcPr>
            <w:tcW w:w="7080" w:type="dxa"/>
            <w:vAlign w:val="bottom"/>
          </w:tcPr>
          <w:p>
            <w:pPr>
              <w:ind w:left="60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957,000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913,441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83,505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94,441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00"/>
              <w:spacing w:after="0"/>
              <w:rPr>
                <w:sz w:val="20"/>
                <w:szCs w:val="20"/>
                <w:color w:val="auto"/>
              </w:rPr>
            </w:pPr>
            <w:r>
              <w:rPr>
                <w:rFonts w:ascii="Arial" w:cs="Arial" w:eastAsia="Arial" w:hAnsi="Arial"/>
                <w:sz w:val="18"/>
                <w:szCs w:val="18"/>
                <w:color w:val="auto"/>
              </w:rPr>
              <w:t>Compensation and benefits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49,558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71,990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25,111</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Current portion of long-term debt and capital lease obligations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192,222</w:t>
            </w:r>
          </w:p>
        </w:tc>
        <w:tc>
          <w:tcPr>
            <w:tcW w:w="0" w:type="dxa"/>
            <w:vAlign w:val="bottom"/>
          </w:tcPr>
          <w:p>
            <w:pPr>
              <w:spacing w:after="0"/>
              <w:rPr>
                <w:sz w:val="1"/>
                <w:szCs w:val="1"/>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8"/>
                <w:szCs w:val="18"/>
                <w:color w:val="auto"/>
              </w:rPr>
              <w:t>LONG-TERM DEBT AND CAPITAL LEASE OBLIGATIONS, less current portion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169,417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10,376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13,544</w:t>
            </w:r>
          </w:p>
        </w:tc>
        <w:tc>
          <w:tcPr>
            <w:tcW w:w="0" w:type="dxa"/>
            <w:vAlign w:val="bottom"/>
          </w:tcPr>
          <w:p>
            <w:pPr>
              <w:spacing w:after="0"/>
              <w:rPr>
                <w:sz w:val="1"/>
                <w:szCs w:val="1"/>
                <w:color w:val="auto"/>
              </w:rPr>
            </w:pPr>
          </w:p>
        </w:tc>
      </w:tr>
      <w:tr>
        <w:trPr>
          <w:trHeight w:val="224"/>
        </w:trPr>
        <w:tc>
          <w:tcPr>
            <w:tcW w:w="70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w w:val="96"/>
              </w:rPr>
              <w:t>Preferred stock, no par value; shares authorized 1,000,000; issued and outstanding, none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no par value; shares authorized 40,000,000; issued and outstanding,</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18,907,841 and 18,858,892</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18,908</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123,368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113,754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380,931</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Accumulated other comprehensive 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515,995</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Arial" w:cs="Arial" w:eastAsia="Arial" w:hAnsi="Arial"/>
                <w:sz w:val="18"/>
                <w:szCs w:val="18"/>
                <w:color w:val="auto"/>
              </w:rPr>
              <w:t>Employee stock notes receivable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514,742</w:t>
            </w:r>
          </w:p>
        </w:tc>
        <w:tc>
          <w:tcPr>
            <w:tcW w:w="0" w:type="dxa"/>
            <w:vAlign w:val="bottom"/>
          </w:tcPr>
          <w:p>
            <w:pPr>
              <w:spacing w:after="0"/>
              <w:rPr>
                <w:sz w:val="1"/>
                <w:szCs w:val="1"/>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913,441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802" w:gutter="0" w:footer="0" w:header="0"/>
        </w:sectPr>
      </w:pPr>
    </w:p>
    <w:bookmarkStart w:id="66" w:name="page67"/>
    <w:bookmarkEnd w:id="66"/>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94"/>
              </w:rPr>
              <w:t>Year Ended</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5"/>
        </w:trPr>
        <w:tc>
          <w:tcPr>
            <w:tcW w:w="5860" w:type="dxa"/>
            <w:vAlign w:val="bottom"/>
          </w:tcPr>
          <w:p>
            <w:pPr>
              <w:spacing w:after="0"/>
              <w:rPr>
                <w:sz w:val="16"/>
                <w:szCs w:val="16"/>
                <w:color w:val="auto"/>
              </w:rPr>
            </w:pPr>
          </w:p>
        </w:tc>
        <w:tc>
          <w:tcPr>
            <w:tcW w:w="122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380" w:type="dxa"/>
            <w:vAlign w:val="bottom"/>
            <w:gridSpan w:val="4"/>
          </w:tcPr>
          <w:p>
            <w:pPr>
              <w:ind w:left="160"/>
              <w:spacing w:after="0" w:line="195" w:lineRule="exact"/>
              <w:rPr>
                <w:sz w:val="20"/>
                <w:szCs w:val="20"/>
                <w:color w:val="auto"/>
              </w:rPr>
            </w:pPr>
            <w:r>
              <w:rPr>
                <w:rFonts w:ascii="Arial" w:cs="Arial" w:eastAsia="Arial" w:hAnsi="Arial"/>
                <w:sz w:val="18"/>
                <w:szCs w:val="18"/>
                <w:color w:val="auto"/>
              </w:rPr>
              <w:t>December 30,</w:t>
            </w:r>
          </w:p>
        </w:tc>
        <w:tc>
          <w:tcPr>
            <w:tcW w:w="11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6"/>
                <w:szCs w:val="16"/>
                <w:color w:val="auto"/>
              </w:rPr>
            </w:pPr>
          </w:p>
        </w:tc>
      </w:tr>
      <w:tr>
        <w:trPr>
          <w:trHeight w:val="230"/>
        </w:trPr>
        <w:tc>
          <w:tcPr>
            <w:tcW w:w="5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2,513,178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2,664,572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2,691,522</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2,204,149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2,282,890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2,332,266</w:t>
            </w:r>
          </w:p>
        </w:tc>
      </w:tr>
      <w:tr>
        <w:trPr>
          <w:trHeight w:val="223"/>
        </w:trPr>
        <w:tc>
          <w:tcPr>
            <w:tcW w:w="5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309,029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381,682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359,256</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255,537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257,937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234,411</w:t>
            </w:r>
          </w:p>
        </w:tc>
      </w:tr>
      <w:tr>
        <w:trPr>
          <w:trHeight w:val="223"/>
        </w:trPr>
        <w:tc>
          <w:tcPr>
            <w:tcW w:w="5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124,845</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17,033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14,053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15,171</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r>
      <w:tr>
        <w:trPr>
          <w:trHeight w:val="223"/>
        </w:trPr>
        <w:tc>
          <w:tcPr>
            <w:tcW w:w="58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14,073</w:t>
            </w:r>
          </w:p>
        </w:tc>
        <w:tc>
          <w:tcPr>
            <w:tcW w:w="100" w:type="dxa"/>
            <w:vAlign w:val="bottom"/>
          </w:tcPr>
          <w:p>
            <w:pPr>
              <w:spacing w:after="0"/>
              <w:rPr>
                <w:sz w:val="19"/>
                <w:szCs w:val="19"/>
                <w:color w:val="auto"/>
              </w:rPr>
            </w:pPr>
          </w:p>
        </w:tc>
      </w:tr>
      <w:tr>
        <w:trPr>
          <w:trHeight w:val="223"/>
        </w:trPr>
        <w:tc>
          <w:tcPr>
            <w:tcW w:w="5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110,772</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15,396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38,760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41,050</w:t>
            </w:r>
          </w:p>
        </w:tc>
      </w:tr>
      <w:tr>
        <w:trPr>
          <w:trHeight w:val="223"/>
        </w:trPr>
        <w:tc>
          <w:tcPr>
            <w:tcW w:w="5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69,722</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MINORITY INTEREST</w:t>
            </w:r>
          </w:p>
        </w:tc>
        <w:tc>
          <w:tcPr>
            <w:tcW w:w="2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(2,168)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r>
      <w:tr>
        <w:trPr>
          <w:trHeight w:val="223"/>
        </w:trPr>
        <w:tc>
          <w:tcPr>
            <w:tcW w:w="5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70,125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67,373</w:t>
            </w: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19,056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18,820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18,374</w:t>
            </w:r>
          </w:p>
        </w:tc>
      </w:tr>
      <w:tr>
        <w:trPr>
          <w:trHeight w:val="216"/>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OUTSTANDING WITH COMMON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EQUIVALENTS</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19,362</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7" w:name="page68"/>
    <w:bookmarkEnd w:id="67"/>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4"/>
                <w:szCs w:val="14"/>
                <w:color w:val="auto"/>
                <w:w w:val="95"/>
              </w:rPr>
              <w:t>Deferred</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color w:val="auto"/>
                <w:w w:val="95"/>
              </w:rPr>
              <w:t>Deferred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color w:val="auto"/>
                <w:w w:val="97"/>
              </w:rPr>
              <w:t>Accumulat-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1"/>
              </w:rPr>
              <w:t>Stock</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rPr>
              <w:t>Compensa-</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ed Other</w:t>
            </w: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2"/>
              </w:rPr>
              <w:t>Employees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5"/>
              </w:rPr>
              <w:t>Common</w:t>
            </w:r>
          </w:p>
        </w:tc>
        <w:tc>
          <w:tcPr>
            <w:tcW w:w="8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4"/>
              </w:rPr>
              <w:t>Paid-In</w:t>
            </w: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Compensa-</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tion Rabbi</w:t>
            </w:r>
          </w:p>
        </w:tc>
        <w:tc>
          <w:tcPr>
            <w:tcW w:w="12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2"/>
              </w:rPr>
              <w:t>Retained</w:t>
            </w:r>
          </w:p>
        </w:tc>
        <w:tc>
          <w:tcPr>
            <w:tcW w:w="10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Comprehen-</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Stock Notes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Stock</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w w:val="91"/>
              </w:rPr>
              <w:t>Capital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48"/>
              <w:spacing w:after="0"/>
              <w:rPr>
                <w:sz w:val="20"/>
                <w:szCs w:val="20"/>
                <w:color w:val="auto"/>
              </w:rPr>
            </w:pPr>
            <w:r>
              <w:rPr>
                <w:rFonts w:ascii="Arial" w:cs="Arial" w:eastAsia="Arial" w:hAnsi="Arial"/>
                <w:sz w:val="14"/>
                <w:szCs w:val="14"/>
                <w:color w:val="auto"/>
              </w:rPr>
              <w:t>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68"/>
              <w:spacing w:after="0"/>
              <w:rPr>
                <w:sz w:val="20"/>
                <w:szCs w:val="20"/>
                <w:color w:val="auto"/>
              </w:rPr>
            </w:pPr>
            <w:r>
              <w:rPr>
                <w:rFonts w:ascii="Arial" w:cs="Arial" w:eastAsia="Arial" w:hAnsi="Arial"/>
                <w:sz w:val="14"/>
                <w:szCs w:val="14"/>
                <w:color w:val="auto"/>
                <w:w w:val="93"/>
              </w:rPr>
              <w:t>Trust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sive Earnings</w:t>
            </w: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w w:val="92"/>
              </w:rPr>
              <w:t>Receivable</w:t>
            </w:r>
          </w:p>
        </w:tc>
        <w:tc>
          <w:tcPr>
            <w:tcW w:w="1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2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25, 2004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rPr>
              <w:t>18,002</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rPr>
              <w:t>89,269</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b w:val="1"/>
                <w:bCs w:val="1"/>
                <w:color w:val="auto"/>
              </w:rPr>
              <w:t>3,423</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(1,331)</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$ 247,427</w:t>
            </w:r>
          </w:p>
        </w:tc>
        <w:tc>
          <w:tcPr>
            <w:tcW w:w="20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b w:val="1"/>
                <w:bCs w:val="1"/>
                <w:color w:val="auto"/>
              </w:rPr>
              <w:t>1,525</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(1,546)</w:t>
            </w:r>
          </w:p>
        </w:tc>
        <w:tc>
          <w:tcPr>
            <w:tcW w:w="8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$ 356,769</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2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883</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68,256</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Cash dividends - $.105 per 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(1,922)</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411,245 shares under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plans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4,781</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5,192</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w w:val="93"/>
              </w:rPr>
              <w:t>Issuance of 3,713 shares under stock grant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162</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33,074 shares under deferred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w w:val="93"/>
              </w:rPr>
              <w:t>Received 49,244 shares for the exercise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(1,856)</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(1,905)</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4,021</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4,021</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975</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1,605 shares in exchange for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304</w:t>
            </w: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18,403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97,372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4,212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(2,117)</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$ 312,878</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2,408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(1,304)</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$ 431,852</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70,125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2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43</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70,168</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Cash dividends - $.110 per 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(2,072)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(2,072)</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Reversal of deferred compensation upon</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adoption of SFAS 123(R)</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2,095</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Issuance of 349,644 shares under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employee stock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5,678</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6,028</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Issuance of 3,467 shares under stock grant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197</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w w:val="93"/>
              </w:rPr>
              <w:t>Issuance of 101,278 shares under deferred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Received 1,367 shares for the exercise of</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(90)</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4,376</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4,376</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972</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3,056</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3,056</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3,222 shares in exchange for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255</w:t>
            </w: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30, 2006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18,859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113,754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$ 380,931</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2,451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(1,253)</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$ 514,742</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Comprehensive earnings: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20" w:type="dxa"/>
            <w:vAlign w:val="bottom"/>
          </w:tcPr>
          <w:p>
            <w:pPr>
              <w:ind w:left="200"/>
              <w:spacing w:after="0" w:line="130" w:lineRule="exact"/>
              <w:rPr>
                <w:sz w:val="20"/>
                <w:szCs w:val="20"/>
                <w:color w:val="auto"/>
              </w:rPr>
            </w:pPr>
            <w:r>
              <w:rPr>
                <w:rFonts w:ascii="Arial" w:cs="Arial" w:eastAsia="Arial" w:hAnsi="Arial"/>
                <w:sz w:val="14"/>
                <w:szCs w:val="14"/>
                <w:color w:val="auto"/>
              </w:rPr>
              <w:t>Foreign currency translation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400"/>
              <w:spacing w:after="0"/>
              <w:rPr>
                <w:sz w:val="20"/>
                <w:szCs w:val="20"/>
                <w:color w:val="auto"/>
              </w:rPr>
            </w:pPr>
            <w:r>
              <w:rPr>
                <w:rFonts w:ascii="Arial" w:cs="Arial" w:eastAsia="Arial" w:hAnsi="Arial"/>
                <w:sz w:val="14"/>
                <w:szCs w:val="14"/>
                <w:color w:val="auto"/>
              </w:rPr>
              <w:t>adjustment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2,253</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comprehensive earnings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23,298</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Cash dividends - $.115 per share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(2,185)</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220,345 shares under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plans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3,683</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3,903</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w w:val="93"/>
              </w:rPr>
              <w:t>Issuance of 3,961 shares under stock grant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174</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69,777 shares under deferred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Repurchase of 239,400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(8,777)</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Received 15,866 shares for the exercise of</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(782)</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Tax benefits from non-qualified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options exercised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1,867</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1,867</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arrangements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505</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Accrued expense under deferred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compensation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3,733</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3,733</w:t>
            </w: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Issuance of 10,132 shares in exchange for</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employee stock notes receivable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Payments received on employee 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520" w:type="dxa"/>
            <w:vAlign w:val="bottom"/>
          </w:tcPr>
          <w:p>
            <w:pPr>
              <w:ind w:left="200"/>
              <w:spacing w:after="0"/>
              <w:rPr>
                <w:sz w:val="20"/>
                <w:szCs w:val="20"/>
                <w:color w:val="auto"/>
              </w:rPr>
            </w:pPr>
            <w:r>
              <w:rPr>
                <w:rFonts w:ascii="Arial" w:cs="Arial" w:eastAsia="Arial" w:hAnsi="Arial"/>
                <w:sz w:val="14"/>
                <w:szCs w:val="14"/>
                <w:color w:val="auto"/>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190</w:t>
            </w:r>
          </w:p>
        </w:tc>
      </w:tr>
      <w:tr>
        <w:trPr>
          <w:trHeight w:val="27"/>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29, 2007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18,908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123,368</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$ 391,253</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4,704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(1,565)</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$ 536,668</w:t>
            </w: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8" w:name="page69"/>
    <w:bookmarkEnd w:id="68"/>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color w:val="auto"/>
                <w:w w:val="88"/>
              </w:rPr>
              <w:t>Year Ended</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22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380" w:type="dxa"/>
            <w:vAlign w:val="bottom"/>
            <w:gridSpan w:val="4"/>
          </w:tcPr>
          <w:p>
            <w:pPr>
              <w:jc w:val="center"/>
              <w:ind w:right="40"/>
              <w:spacing w:after="0" w:line="195" w:lineRule="exact"/>
              <w:rPr>
                <w:sz w:val="20"/>
                <w:szCs w:val="20"/>
                <w:color w:val="auto"/>
              </w:rPr>
            </w:pPr>
            <w:r>
              <w:rPr>
                <w:rFonts w:ascii="Arial" w:cs="Arial" w:eastAsia="Arial" w:hAnsi="Arial"/>
                <w:sz w:val="18"/>
                <w:szCs w:val="18"/>
                <w:color w:val="auto"/>
                <w:w w:val="90"/>
              </w:rPr>
              <w:t>December 30,</w:t>
            </w:r>
          </w:p>
        </w:tc>
        <w:tc>
          <w:tcPr>
            <w:tcW w:w="1160" w:type="dxa"/>
            <w:vAlign w:val="bottom"/>
            <w:gridSpan w:val="3"/>
          </w:tcPr>
          <w:p>
            <w:pPr>
              <w:ind w:left="160"/>
              <w:spacing w:after="0" w:line="195"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earnings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21,045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70,125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earnings to net cash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39,547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33,771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31,311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Notes receivable written off to expense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 associated with share-based compensation arrangements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Expense associated with stock grant plans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Tax benefits from non-qualified stock options exercised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Gain on sale of interest in subsidiary</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(gain) on sale or impairment of property, plant and equipment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Changes in: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27,795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22,262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(36,501)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(23,885)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(6,385)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20,790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152,322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74,132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(39,360)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(43,504)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(40,233)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received</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Proceeds from sale of interest in subsidiary</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Advances on notes receivable</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Collections on notes receivable</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Insurance proceeds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5860" w:type="dxa"/>
            <w:vAlign w:val="bottom"/>
          </w:tcPr>
          <w:p>
            <w:pPr>
              <w:ind w:left="20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(55,409)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borrowings (repayments) under revolving credit facilities</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34,648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(37,700)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5,938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4,487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minority shareholders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Investment received from minority shareholder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 arrangements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(7,503)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4,893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20,941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43,605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51,108</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46,215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860" w:type="dxa"/>
            <w:vAlign w:val="bottom"/>
            <w:vMerge w:val="restart"/>
          </w:tcPr>
          <w:p>
            <w:pPr>
              <w:ind w:left="4760"/>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9" w:name="page70"/>
    <w:bookmarkEnd w:id="69"/>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CASH FLOWS -</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color w:val="auto"/>
                <w:w w:val="88"/>
              </w:rPr>
              <w:t>Year Ended</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5860" w:type="dxa"/>
            <w:vAlign w:val="bottom"/>
          </w:tcPr>
          <w:p>
            <w:pPr>
              <w:spacing w:after="0"/>
              <w:rPr>
                <w:sz w:val="16"/>
                <w:szCs w:val="16"/>
                <w:color w:val="auto"/>
              </w:rPr>
            </w:pPr>
          </w:p>
        </w:tc>
        <w:tc>
          <w:tcPr>
            <w:tcW w:w="120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380" w:type="dxa"/>
            <w:vAlign w:val="bottom"/>
            <w:gridSpan w:val="4"/>
          </w:tcPr>
          <w:p>
            <w:pPr>
              <w:jc w:val="center"/>
              <w:spacing w:after="0" w:line="195" w:lineRule="exact"/>
              <w:rPr>
                <w:sz w:val="20"/>
                <w:szCs w:val="20"/>
                <w:color w:val="auto"/>
              </w:rPr>
            </w:pPr>
            <w:r>
              <w:rPr>
                <w:rFonts w:ascii="Arial" w:cs="Arial" w:eastAsia="Arial" w:hAnsi="Arial"/>
                <w:sz w:val="18"/>
                <w:szCs w:val="18"/>
                <w:color w:val="auto"/>
                <w:w w:val="90"/>
              </w:rPr>
              <w:t>December 30,</w:t>
            </w:r>
          </w:p>
        </w:tc>
        <w:tc>
          <w:tcPr>
            <w:tcW w:w="1180" w:type="dxa"/>
            <w:vAlign w:val="bottom"/>
            <w:gridSpan w:val="3"/>
          </w:tcPr>
          <w:p>
            <w:pPr>
              <w:ind w:left="180"/>
              <w:spacing w:after="0" w:line="195"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6"/>
                <w:szCs w:val="16"/>
                <w:color w:val="auto"/>
              </w:rPr>
            </w:pPr>
          </w:p>
        </w:tc>
      </w:tr>
      <w:tr>
        <w:trPr>
          <w:trHeight w:val="230"/>
        </w:trPr>
        <w:tc>
          <w:tcPr>
            <w:tcW w:w="5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CASH FLOW INFORMATION:</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paid (refunded) during the period for: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14,637</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14,179</w:t>
            </w:r>
          </w:p>
        </w:tc>
      </w:tr>
      <w:tr>
        <w:trPr>
          <w:trHeight w:val="230"/>
        </w:trPr>
        <w:tc>
          <w:tcPr>
            <w:tcW w:w="58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52,335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43,303</w:t>
            </w:r>
          </w:p>
        </w:tc>
      </w:tr>
      <w:tr>
        <w:trPr>
          <w:trHeight w:val="202"/>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Accounts receivable exchanged for note receivable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purchase price of acquisition exchanged for current payable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Deferred purchase price of acquisition exchanged for long-term liability</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Property, plant and equipment exchanged for long-term debt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exchanged for property, plant and equipment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Stock acquired through employees’ stock notes receivable</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02"/>
        </w:trPr>
        <w:tc>
          <w:tcPr>
            <w:tcW w:w="5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Common stock issued under deferred compensation plans</w:t>
            </w: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 received for the exercise of stock options, net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0" w:name="page71"/>
    <w:bookmarkEnd w:id="70"/>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0" w:lineRule="exact"/>
        <w:rPr>
          <w:sz w:val="20"/>
          <w:szCs w:val="20"/>
          <w:color w:val="auto"/>
        </w:rPr>
      </w:pPr>
    </w:p>
    <w:p>
      <w:pPr>
        <w:ind w:left="388" w:right="4819" w:hanging="388"/>
        <w:spacing w:after="0" w:line="362" w:lineRule="auto"/>
        <w:tabs>
          <w:tab w:leader="none" w:pos="38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jc w:val="both"/>
        <w:ind w:left="388" w:right="159"/>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We market, manufacture and engineer wood and wood-alternative products for the do-it-yourself/retail (“D-I-Y/retail”) market, structural lumber products for the manufactured housing market, engineered wood components for the site-built construction market, and specialty wood packaging for various markets. We also provide framing services for the site-built construction market and various forms for concrete construction. Our principal products include preservative-treated wood, remanufactured lumber, lattice, fence panels, deck components, specialty packaging, engineered trusses, wall panels, and other building products.</w:t>
      </w:r>
    </w:p>
    <w:p>
      <w:pPr>
        <w:spacing w:after="0" w:line="3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107"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50% owned entities over which we exercise control. Intercompany transactions and balances have been eliminated.</w:t>
      </w:r>
    </w:p>
    <w:p>
      <w:pPr>
        <w:spacing w:after="0" w:line="55"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 IN SUBSIDIARIES</w:t>
      </w:r>
    </w:p>
    <w:p>
      <w:pPr>
        <w:spacing w:after="0" w:line="107" w:lineRule="exact"/>
        <w:rPr>
          <w:rFonts w:ascii="Arial" w:cs="Arial" w:eastAsia="Arial" w:hAnsi="Arial"/>
          <w:sz w:val="18"/>
          <w:szCs w:val="18"/>
          <w:b w:val="1"/>
          <w:bCs w:val="1"/>
          <w:color w:val="auto"/>
        </w:rPr>
      </w:pPr>
    </w:p>
    <w:p>
      <w:pPr>
        <w:jc w:val="both"/>
        <w:ind w:left="388" w:right="1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Minority interest in results of operations of consolidated subsidiaries represents the minority shareholders’ share of the income or loss of various consolidated subsidiaries. The minority interest reflects the original investment by these minority shareholders combined with their proportional share of the earnings or losses of these subsidiaries, net of distributions paid.</w:t>
      </w:r>
    </w:p>
    <w:p>
      <w:pPr>
        <w:spacing w:after="0" w:line="39"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107" w:lineRule="exact"/>
        <w:rPr>
          <w:rFonts w:ascii="Arial" w:cs="Arial" w:eastAsia="Arial" w:hAnsi="Arial"/>
          <w:sz w:val="18"/>
          <w:szCs w:val="18"/>
          <w:b w:val="1"/>
          <w:bCs w:val="1"/>
          <w:color w:val="auto"/>
        </w:rPr>
      </w:pPr>
    </w:p>
    <w:p>
      <w:pPr>
        <w:jc w:val="both"/>
        <w:ind w:left="388" w:right="1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fiscal year is a 52 or 53 week period, ending on the last Saturday of December. Unless otherwise stated, references to 2007, 2006, and 2005 relate to the fiscal years ended December 29, 2007, December 30, 2006, and December 31, 2005, respectively. Fiscal years 2006 and 2007 were comprised of 52 weeks, 2005 was comprised of 53 weeks.</w:t>
      </w:r>
    </w:p>
    <w:p>
      <w:pPr>
        <w:spacing w:after="0" w:line="39"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 OF FINANCIAL INSTRUMENTS</w:t>
      </w:r>
    </w:p>
    <w:p>
      <w:pPr>
        <w:spacing w:after="0" w:line="107" w:lineRule="exact"/>
        <w:rPr>
          <w:rFonts w:ascii="Arial" w:cs="Arial" w:eastAsia="Arial" w:hAnsi="Arial"/>
          <w:sz w:val="18"/>
          <w:szCs w:val="18"/>
          <w:b w:val="1"/>
          <w:bCs w:val="1"/>
          <w:color w:val="auto"/>
        </w:rPr>
      </w:pPr>
    </w:p>
    <w:p>
      <w:pPr>
        <w:jc w:val="both"/>
        <w:ind w:left="388" w:right="1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The estimated fair values of financial instruments have been determined in accordance with Statement of Financial Accounting Standards (“SFAS”) No. 107, </w:t>
      </w:r>
      <w:r>
        <w:rPr>
          <w:rFonts w:ascii="Arial" w:cs="Arial" w:eastAsia="Arial" w:hAnsi="Arial"/>
          <w:sz w:val="17"/>
          <w:szCs w:val="17"/>
          <w:i w:val="1"/>
          <w:iCs w:val="1"/>
          <w:color w:val="auto"/>
        </w:rPr>
        <w:t>Disclosures about Fair Value of Financial Instruments.</w:t>
      </w:r>
      <w:r>
        <w:rPr>
          <w:rFonts w:ascii="Arial" w:cs="Arial" w:eastAsia="Arial" w:hAnsi="Arial"/>
          <w:sz w:val="17"/>
          <w:szCs w:val="17"/>
          <w:color w:val="auto"/>
        </w:rPr>
        <w:t xml:space="preserve"> Significant differences in fair market values and recorded values are disclosed in Note D. The estimated fair value amounts have been determined using available market information and appropriate valuation methodologies. However, considerable judgment is required in interpreting market data to develop the estimates of fair value. Accordingly, the estimates presented herein are not necessarily indicative of the amounts that we could realize in a current market exchange. The use of different market assumptions and/or estimation methodologies may have a material effect on the estimated fair value amounts.</w:t>
      </w:r>
    </w:p>
    <w:p>
      <w:pPr>
        <w:spacing w:after="0" w:line="200" w:lineRule="exact"/>
        <w:rPr>
          <w:sz w:val="20"/>
          <w:szCs w:val="20"/>
          <w:color w:val="auto"/>
        </w:rPr>
      </w:pPr>
    </w:p>
    <w:p>
      <w:pPr>
        <w:spacing w:after="0" w:line="32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71" w:name="page72"/>
    <w:bookmarkEnd w:id="71"/>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December 29, 2007. Although we are not aware of any factors that would significantly affect the estimated fair value amounts, such amounts have not been comprehensively revalued for purposes of these financial statements since that date, and current estimates of fair value may differ significantly from the amounts presented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Cash and cash equivalents consist of cash and highly-liquid investments purchased with an original maturity of three months or less. Cash equivalents totaled approximately $33.8 million and $28.1 million as of December 29, 2007 and December 30, 2006, respectively.</w:t>
      </w:r>
    </w:p>
    <w:p>
      <w:pPr>
        <w:spacing w:after="0" w:line="15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As a result of our cash management system, checks issued but not presented to our bank for payment create negative cash balances. These negative balances are included in accounts payable and accrued liabilities and totaled $21.3 million and $20.8 million as of December 29, 2007 and December 30, 2006,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jc w:val="both"/>
        <w:ind w:right="159"/>
        <w:spacing w:after="0" w:line="342" w:lineRule="auto"/>
        <w:rPr>
          <w:sz w:val="20"/>
          <w:szCs w:val="20"/>
          <w:color w:val="auto"/>
        </w:rPr>
      </w:pPr>
      <w:r>
        <w:rPr>
          <w:rFonts w:ascii="Arial" w:cs="Arial" w:eastAsia="Arial" w:hAnsi="Arial"/>
          <w:sz w:val="16"/>
          <w:szCs w:val="16"/>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189" w:lineRule="exact"/>
        <w:rPr>
          <w:sz w:val="20"/>
          <w:szCs w:val="20"/>
          <w:color w:val="auto"/>
        </w:rPr>
      </w:pPr>
    </w:p>
    <w:p>
      <w:pPr>
        <w:jc w:val="both"/>
        <w:ind w:right="159"/>
        <w:spacing w:after="0" w:line="302" w:lineRule="auto"/>
        <w:rPr>
          <w:sz w:val="20"/>
          <w:szCs w:val="20"/>
          <w:color w:val="auto"/>
        </w:rPr>
      </w:pPr>
      <w:r>
        <w:rPr>
          <w:rFonts w:ascii="Arial" w:cs="Arial" w:eastAsia="Arial" w:hAnsi="Arial"/>
          <w:sz w:val="16"/>
          <w:szCs w:val="16"/>
          <w:color w:val="auto"/>
        </w:rPr>
        <w:t>We base our allowances related to receivables on historical credit and collections experience, and the specific identification of other potential problems, including the economic climate. Actual collections can differ, requiring adjustments to the allowances. Individual accounts receivable balances are evaluated on a monthly basis, and those balances considered uncollectible are charged to the allowance. Collections of amounts previously written off are recorded as an increase to the allowance.</w:t>
      </w:r>
    </w:p>
    <w:p>
      <w:pPr>
        <w:spacing w:after="0" w:line="200" w:lineRule="exact"/>
        <w:rPr>
          <w:sz w:val="20"/>
          <w:szCs w:val="20"/>
          <w:color w:val="auto"/>
        </w:rPr>
      </w:pPr>
    </w:p>
    <w:p>
      <w:pPr>
        <w:spacing w:after="0" w:line="31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2" w:right="1440" w:bottom="1440" w:gutter="0" w:footer="0" w:header="0"/>
        </w:sectPr>
      </w:pPr>
    </w:p>
    <w:bookmarkStart w:id="72" w:name="page73"/>
    <w:bookmarkEnd w:id="72"/>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20" w:type="dxa"/>
            <w:vAlign w:val="bottom"/>
            <w:gridSpan w:val="11"/>
          </w:tcPr>
          <w:p>
            <w:pPr>
              <w:ind w:left="380"/>
              <w:spacing w:after="0"/>
              <w:rPr>
                <w:sz w:val="20"/>
                <w:szCs w:val="20"/>
                <w:color w:val="auto"/>
              </w:rPr>
            </w:pPr>
            <w:r>
              <w:rPr>
                <w:rFonts w:ascii="Arial" w:cs="Arial" w:eastAsia="Arial" w:hAnsi="Arial"/>
                <w:sz w:val="18"/>
                <w:szCs w:val="18"/>
                <w:color w:val="auto"/>
                <w:w w:val="92"/>
              </w:rPr>
              <w:t>The following table presents the activity in our accounts receivable allowances (in thousands):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Additions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Recovery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Charged to</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4"/>
              </w:rPr>
              <w:t>of Amounts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Beginning</w:t>
            </w:r>
          </w:p>
        </w:tc>
        <w:tc>
          <w:tcPr>
            <w:tcW w:w="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Costs and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Previously</w:t>
            </w: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Ending</w:t>
            </w:r>
          </w:p>
        </w:tc>
      </w:tr>
      <w:tr>
        <w:trPr>
          <w:trHeight w:val="230"/>
        </w:trPr>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Expenses</w:t>
            </w:r>
          </w:p>
        </w:tc>
        <w:tc>
          <w:tcPr>
            <w:tcW w:w="180" w:type="dxa"/>
            <w:vAlign w:val="bottom"/>
          </w:tcPr>
          <w:p>
            <w:pPr>
              <w:spacing w:after="0"/>
              <w:rPr>
                <w:sz w:val="20"/>
                <w:szCs w:val="20"/>
                <w:color w:val="auto"/>
              </w:rPr>
            </w:pP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w w:val="94"/>
              </w:rPr>
              <w:t>Deductions*</w:t>
            </w:r>
          </w:p>
        </w:tc>
        <w:tc>
          <w:tcPr>
            <w:tcW w:w="1340" w:type="dxa"/>
            <w:vAlign w:val="bottom"/>
            <w:gridSpan w:val="3"/>
          </w:tcPr>
          <w:p>
            <w:pPr>
              <w:jc w:val="center"/>
              <w:ind w:right="380"/>
              <w:spacing w:after="0"/>
              <w:rPr>
                <w:sz w:val="20"/>
                <w:szCs w:val="20"/>
                <w:color w:val="auto"/>
              </w:rPr>
            </w:pPr>
            <w:r>
              <w:rPr>
                <w:rFonts w:ascii="Arial" w:cs="Arial" w:eastAsia="Arial" w:hAnsi="Arial"/>
                <w:sz w:val="18"/>
                <w:szCs w:val="18"/>
                <w:color w:val="auto"/>
                <w:w w:val="97"/>
              </w:rPr>
              <w:t>Written Off</w:t>
            </w: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Balance</w:t>
            </w: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2007:</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3,576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23,686</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(25,374)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515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2,403</w:t>
            </w: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30, 2006: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3,396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23,787</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3,576</w:t>
            </w:r>
          </w:p>
        </w:tc>
      </w:tr>
      <w:tr>
        <w:trPr>
          <w:trHeight w:val="216"/>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Allowance for possible losses on</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29,173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(29,531)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3,396</w:t>
            </w:r>
          </w:p>
        </w:tc>
      </w:tr>
    </w:tbl>
    <w:p>
      <w:pPr>
        <w:spacing w:after="0" w:line="161" w:lineRule="exact"/>
        <w:rPr>
          <w:sz w:val="20"/>
          <w:szCs w:val="20"/>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184" w:lineRule="exact"/>
        <w:rPr>
          <w:rFonts w:ascii="Arial" w:cs="Arial" w:eastAsia="Arial" w:hAnsi="Arial"/>
          <w:sz w:val="18"/>
          <w:szCs w:val="18"/>
          <w:color w:val="auto"/>
        </w:rPr>
      </w:pPr>
    </w:p>
    <w:p>
      <w:pPr>
        <w:ind w:left="720" w:right="1380"/>
        <w:spacing w:after="0" w:line="277" w:lineRule="auto"/>
        <w:rPr>
          <w:rFonts w:ascii="Arial" w:cs="Arial" w:eastAsia="Arial" w:hAnsi="Arial"/>
          <w:sz w:val="18"/>
          <w:szCs w:val="18"/>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13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188" w:lineRule="exact"/>
        <w:rPr>
          <w:rFonts w:ascii="Arial" w:cs="Arial" w:eastAsia="Arial" w:hAnsi="Arial"/>
          <w:sz w:val="18"/>
          <w:szCs w:val="18"/>
          <w:color w:val="auto"/>
        </w:rPr>
      </w:pPr>
    </w:p>
    <w:p>
      <w:pPr>
        <w:jc w:val="both"/>
        <w:ind w:left="720" w:right="1380"/>
        <w:spacing w:after="0" w:line="259" w:lineRule="auto"/>
        <w:rPr>
          <w:rFonts w:ascii="Arial" w:cs="Arial" w:eastAsia="Arial" w:hAnsi="Arial"/>
          <w:sz w:val="18"/>
          <w:szCs w:val="18"/>
          <w:color w:val="auto"/>
        </w:rPr>
      </w:pPr>
      <w:r>
        <w:rPr>
          <w:rFonts w:ascii="Arial" w:cs="Arial" w:eastAsia="Arial" w:hAnsi="Arial"/>
          <w:sz w:val="18"/>
          <w:szCs w:val="18"/>
          <w:color w:val="auto"/>
        </w:rPr>
        <w:t>Inventories are stated at the lower of cost or market. The cost of inventories includes raw materials, direct labor, and manufacturing overhead. Cost is determined on a first-in, first-out (FIFO) basis. Raw materials consist primarily of unfinished wood products expected to be manufactured or treated prior to sale, while finished goods represent various manufactured and treated wood products ready for sale.</w:t>
      </w:r>
    </w:p>
    <w:p>
      <w:pPr>
        <w:spacing w:after="0" w:line="142"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color w:val="auto"/>
        </w:rPr>
        <w:t>PROPERTY, PLANT, AND EQUIPMENT</w:t>
      </w:r>
    </w:p>
    <w:p>
      <w:pPr>
        <w:spacing w:after="0" w:line="202" w:lineRule="exact"/>
        <w:rPr>
          <w:rFonts w:ascii="Arial" w:cs="Arial" w:eastAsia="Arial" w:hAnsi="Arial"/>
          <w:sz w:val="18"/>
          <w:szCs w:val="18"/>
          <w:color w:val="auto"/>
        </w:rPr>
      </w:pPr>
    </w:p>
    <w:p>
      <w:pPr>
        <w:jc w:val="both"/>
        <w:ind w:left="720" w:right="1360"/>
        <w:spacing w:after="0" w:line="259" w:lineRule="auto"/>
        <w:rPr>
          <w:rFonts w:ascii="Arial" w:cs="Arial" w:eastAsia="Arial" w:hAnsi="Arial"/>
          <w:sz w:val="18"/>
          <w:szCs w:val="18"/>
          <w:color w:val="auto"/>
        </w:rPr>
      </w:pPr>
      <w:r>
        <w:rPr>
          <w:rFonts w:ascii="Arial" w:cs="Arial" w:eastAsia="Arial" w:hAnsi="Arial"/>
          <w:sz w:val="18"/>
          <w:szCs w:val="18"/>
          <w:color w:val="auto"/>
        </w:rPr>
        <w:t>Property, plant, and equipment are stated at cost. Expenditures for renewals and betterments are capitalized, and maintenance and repairs are expensed as incurred. Amortization of assets held under capital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5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 to 15 years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5820" w:type="dxa"/>
            <w:vAlign w:val="bottom"/>
          </w:tcPr>
          <w:p>
            <w:pPr>
              <w:jc w:val="right"/>
              <w:ind w:right="30"/>
              <w:spacing w:after="0"/>
              <w:rPr>
                <w:sz w:val="20"/>
                <w:szCs w:val="20"/>
                <w:color w:val="auto"/>
              </w:rPr>
            </w:pPr>
            <w:r>
              <w:rPr>
                <w:rFonts w:ascii="Arial" w:cs="Arial" w:eastAsia="Arial" w:hAnsi="Arial"/>
                <w:sz w:val="18"/>
                <w:szCs w:val="18"/>
                <w:color w:val="auto"/>
              </w:rPr>
              <w:t>15 to 31.5 years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5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 to 10 years</w:t>
            </w:r>
          </w:p>
        </w:tc>
        <w:tc>
          <w:tcPr>
            <w:tcW w:w="1360" w:type="dxa"/>
            <w:vAlign w:val="bottom"/>
          </w:tcPr>
          <w:p>
            <w:pPr>
              <w:spacing w:after="0"/>
              <w:rPr>
                <w:sz w:val="18"/>
                <w:szCs w:val="18"/>
                <w:color w:val="auto"/>
              </w:rPr>
            </w:pPr>
          </w:p>
        </w:tc>
      </w:tr>
      <w:tr>
        <w:trPr>
          <w:trHeight w:val="783"/>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20" w:type="dxa"/>
            <w:vAlign w:val="bottom"/>
          </w:tcPr>
          <w:p>
            <w:pPr>
              <w:jc w:val="right"/>
              <w:ind w:right="4690"/>
              <w:spacing w:after="0"/>
              <w:rPr>
                <w:sz w:val="20"/>
                <w:szCs w:val="20"/>
                <w:color w:val="auto"/>
              </w:rPr>
            </w:pPr>
            <w:r>
              <w:rPr>
                <w:rFonts w:ascii="Arial" w:cs="Arial" w:eastAsia="Arial" w:hAnsi="Arial"/>
                <w:sz w:val="18"/>
                <w:szCs w:val="18"/>
                <w:color w:val="auto"/>
              </w:rPr>
              <w:t>33</w:t>
            </w: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3" w:name="page74"/>
    <w:bookmarkEnd w:id="73"/>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RESERVES</w:t>
      </w:r>
    </w:p>
    <w:p>
      <w:pPr>
        <w:spacing w:after="0" w:line="202" w:lineRule="exact"/>
        <w:rPr>
          <w:sz w:val="20"/>
          <w:szCs w:val="20"/>
          <w:color w:val="auto"/>
        </w:rPr>
      </w:pPr>
    </w:p>
    <w:p>
      <w:pPr>
        <w:jc w:val="both"/>
        <w:ind w:right="159"/>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 wholly-owned insurance captive; the related assets and liabilities of which are included in the consolidated financial statements as of December 29, 2007 and December 30, 2006.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tax assets to the amounts expected to be realized. Income tax expense is the tax payable or refundable for the period plus or minus the change during the period in deferred tax assets and liabilities.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Revenue is recognized at the time the product is shipped to the customer. Generally, title passes at the time of shipment. In certain circumstances, the customer takes title when the shipment arrives at the destination. However, our shipping process is typically completed the same day.</w:t>
      </w:r>
    </w:p>
    <w:p>
      <w:pPr>
        <w:spacing w:after="0" w:line="141" w:lineRule="exact"/>
        <w:rPr>
          <w:sz w:val="20"/>
          <w:szCs w:val="20"/>
          <w:color w:val="auto"/>
        </w:rPr>
      </w:pPr>
    </w:p>
    <w:p>
      <w:pPr>
        <w:jc w:val="both"/>
        <w:ind w:right="159"/>
        <w:spacing w:after="0" w:line="270" w:lineRule="auto"/>
        <w:rPr>
          <w:sz w:val="20"/>
          <w:szCs w:val="20"/>
          <w:color w:val="auto"/>
        </w:rPr>
      </w:pPr>
      <w:r>
        <w:rPr>
          <w:rFonts w:ascii="Arial" w:cs="Arial" w:eastAsia="Arial" w:hAnsi="Arial"/>
          <w:sz w:val="17"/>
          <w:szCs w:val="17"/>
          <w:color w:val="auto"/>
        </w:rPr>
        <w:t>Earnings on construction contracts are reflected in operations using either percentage-of-completion accounting, which includes the cost to cost and units of delivery methods, or completed contract accounting, depending on the nature of the business at individual operations. Under percentage-of-completion using the cost to cost method, revenues and related earnings on construction contracts are measured by the relationships of actual costs incurred related to the total estimated costs. Under percentage-of-completion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 Under the completed contract method, revenues and related earnings are recorded when the contracted work is complete and losses are charged to operations in their entirety when such losses become apparent.</w:t>
      </w:r>
    </w:p>
    <w:p>
      <w:pPr>
        <w:spacing w:after="0" w:line="200" w:lineRule="exact"/>
        <w:rPr>
          <w:sz w:val="20"/>
          <w:szCs w:val="20"/>
          <w:color w:val="auto"/>
        </w:rPr>
      </w:pPr>
    </w:p>
    <w:p>
      <w:pPr>
        <w:spacing w:after="0" w:line="34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1" w:right="1440" w:bottom="1440" w:gutter="0" w:footer="0" w:header="0"/>
        </w:sectPr>
      </w:pPr>
    </w:p>
    <w:bookmarkStart w:id="74" w:name="page75"/>
    <w:bookmarkEnd w:id="74"/>
    <w:p>
      <w:pPr>
        <w:jc w:val="center"/>
        <w:ind w:right="1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80" w:right="179"/>
        <w:spacing w:after="0" w:line="308" w:lineRule="auto"/>
        <w:rPr>
          <w:sz w:val="20"/>
          <w:szCs w:val="20"/>
          <w:color w:val="auto"/>
        </w:rPr>
      </w:pPr>
      <w:r>
        <w:rPr>
          <w:rFonts w:ascii="Arial" w:cs="Arial" w:eastAsia="Arial" w:hAnsi="Arial"/>
          <w:sz w:val="17"/>
          <w:szCs w:val="17"/>
          <w:color w:val="auto"/>
        </w:rPr>
        <w:t>The following table presents the balances of percentage-of-completion accounts on December 29, 2007 and December 30, 2006 which are included in other current assets and other accrued liabilities, respectively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10,927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4,829</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8,568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6,236</w:t>
            </w: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SHIPPING AND HANDLING OF PRODUCT</w:t>
      </w:r>
    </w:p>
    <w:p>
      <w:pPr>
        <w:spacing w:after="0" w:line="189" w:lineRule="exact"/>
        <w:rPr>
          <w:sz w:val="20"/>
          <w:szCs w:val="20"/>
          <w:color w:val="auto"/>
        </w:rPr>
      </w:pPr>
    </w:p>
    <w:p>
      <w:pPr>
        <w:jc w:val="both"/>
        <w:ind w:left="380" w:right="179"/>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LONG-LIVED ASSETS</w:t>
      </w:r>
    </w:p>
    <w:p>
      <w:pPr>
        <w:spacing w:after="0" w:line="189" w:lineRule="exact"/>
        <w:rPr>
          <w:sz w:val="20"/>
          <w:szCs w:val="20"/>
          <w:color w:val="auto"/>
        </w:rPr>
      </w:pPr>
    </w:p>
    <w:p>
      <w:pPr>
        <w:jc w:val="both"/>
        <w:ind w:left="380" w:right="159"/>
        <w:spacing w:after="0" w:line="255" w:lineRule="auto"/>
        <w:rPr>
          <w:sz w:val="20"/>
          <w:szCs w:val="20"/>
          <w:color w:val="auto"/>
        </w:rPr>
      </w:pPr>
      <w:r>
        <w:rPr>
          <w:rFonts w:ascii="Arial" w:cs="Arial" w:eastAsia="Arial" w:hAnsi="Arial"/>
          <w:sz w:val="18"/>
          <w:szCs w:val="18"/>
          <w:color w:val="auto"/>
        </w:rPr>
        <w:t xml:space="preserve">In accordance with SFAS No. 144, </w:t>
      </w:r>
      <w:r>
        <w:rPr>
          <w:rFonts w:ascii="Arial" w:cs="Arial" w:eastAsia="Arial" w:hAnsi="Arial"/>
          <w:sz w:val="18"/>
          <w:szCs w:val="18"/>
          <w:i w:val="1"/>
          <w:iCs w:val="1"/>
          <w:color w:val="auto"/>
        </w:rPr>
        <w:t>Accounting for the Impairment and Disposal of Long-Lived Assets</w:t>
      </w:r>
      <w:r>
        <w:rPr>
          <w:rFonts w:ascii="Arial" w:cs="Arial" w:eastAsia="Arial" w:hAnsi="Arial"/>
          <w:sz w:val="18"/>
          <w:szCs w:val="18"/>
          <w:color w:val="auto"/>
        </w:rPr>
        <w:t xml:space="preserve"> (“SFAS No. 144”),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 The estimated fair value is determined by discounting the expected future cash flows at a rate that is required for a similar investment with like risks.</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EARNINGS PER SHARE</w:t>
      </w:r>
    </w:p>
    <w:p>
      <w:pPr>
        <w:spacing w:after="0" w:line="202" w:lineRule="exact"/>
        <w:rPr>
          <w:sz w:val="20"/>
          <w:szCs w:val="20"/>
          <w:color w:val="auto"/>
        </w:rPr>
      </w:pPr>
    </w:p>
    <w:p>
      <w:pPr>
        <w:jc w:val="both"/>
        <w:ind w:left="380" w:right="179"/>
        <w:spacing w:after="0" w:line="259" w:lineRule="auto"/>
        <w:rPr>
          <w:sz w:val="20"/>
          <w:szCs w:val="20"/>
          <w:color w:val="auto"/>
        </w:rPr>
      </w:pPr>
      <w:r>
        <w:rPr>
          <w:rFonts w:ascii="Arial" w:cs="Arial" w:eastAsia="Arial" w:hAnsi="Arial"/>
          <w:sz w:val="18"/>
          <w:szCs w:val="18"/>
          <w:color w:val="auto"/>
        </w:rPr>
        <w:t>Basic earnings per share (“EPS”) is calculated based on the weighted average number of common shares outstanding during the periods presented. Diluted EPS is calculated based on the weighted average number of common and common equivalent shares outstanding during the periods presented, giving effect to stock options granted (see Note I) utilizing the “treasury stock” method.</w:t>
      </w: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5" w:name="page76"/>
    <w:bookmarkEnd w:id="75"/>
    <w:p>
      <w:pPr>
        <w:jc w:val="center"/>
        <w:ind w:right="1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80" w:right="179"/>
        <w:spacing w:after="0" w:line="277" w:lineRule="auto"/>
        <w:rPr>
          <w:sz w:val="20"/>
          <w:szCs w:val="20"/>
          <w:color w:val="auto"/>
        </w:rPr>
      </w:pPr>
      <w:r>
        <w:rPr>
          <w:rFonts w:ascii="Arial" w:cs="Arial" w:eastAsia="Arial" w:hAnsi="Arial"/>
          <w:sz w:val="18"/>
          <w:szCs w:val="18"/>
          <w:color w:val="auto"/>
        </w:rPr>
        <w:t>A reconciliation of the changes in the numerator and the denominator from the calculation of basic EPS to the calculation of diluted EPS follows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2007</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2005</w:t>
            </w: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6"/>
                <w:szCs w:val="16"/>
                <w:color w:val="auto"/>
              </w:rPr>
            </w:pPr>
          </w:p>
        </w:tc>
        <w:tc>
          <w:tcPr>
            <w:tcW w:w="4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5"/>
              </w:rPr>
              <w:t>Per</w:t>
            </w:r>
          </w:p>
        </w:tc>
        <w:tc>
          <w:tcPr>
            <w:tcW w:w="300" w:type="dxa"/>
            <w:vAlign w:val="bottom"/>
          </w:tcPr>
          <w:p>
            <w:pPr>
              <w:spacing w:after="0"/>
              <w:rPr>
                <w:sz w:val="16"/>
                <w:szCs w:val="16"/>
                <w:color w:val="auto"/>
              </w:rPr>
            </w:pPr>
          </w:p>
        </w:tc>
        <w:tc>
          <w:tcPr>
            <w:tcW w:w="9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1"/>
              </w:rPr>
              <w:t>Income</w:t>
            </w:r>
          </w:p>
        </w:tc>
        <w:tc>
          <w:tcPr>
            <w:tcW w:w="940" w:type="dxa"/>
            <w:vAlign w:val="bottom"/>
            <w:gridSpan w:val="2"/>
          </w:tcPr>
          <w:p>
            <w:pPr>
              <w:jc w:val="center"/>
              <w:ind w:right="300"/>
              <w:spacing w:after="0" w:line="195" w:lineRule="exact"/>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6"/>
                <w:szCs w:val="16"/>
                <w:color w:val="auto"/>
              </w:rPr>
            </w:pPr>
          </w:p>
        </w:tc>
        <w:tc>
          <w:tcPr>
            <w:tcW w:w="4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2"/>
              </w:rPr>
              <w:t>Per</w:t>
            </w:r>
          </w:p>
        </w:tc>
        <w:tc>
          <w:tcPr>
            <w:tcW w:w="300" w:type="dxa"/>
            <w:vAlign w:val="bottom"/>
          </w:tcPr>
          <w:p>
            <w:pPr>
              <w:spacing w:after="0"/>
              <w:rPr>
                <w:sz w:val="16"/>
                <w:szCs w:val="16"/>
                <w:color w:val="auto"/>
              </w:rPr>
            </w:pPr>
          </w:p>
        </w:tc>
        <w:tc>
          <w:tcPr>
            <w:tcW w:w="900" w:type="dxa"/>
            <w:vAlign w:val="bottom"/>
            <w:gridSpan w:val="2"/>
          </w:tcPr>
          <w:p>
            <w:pPr>
              <w:jc w:val="center"/>
              <w:ind w:right="320"/>
              <w:spacing w:after="0" w:line="195" w:lineRule="exact"/>
              <w:rPr>
                <w:sz w:val="20"/>
                <w:szCs w:val="20"/>
                <w:color w:val="auto"/>
              </w:rPr>
            </w:pPr>
            <w:r>
              <w:rPr>
                <w:rFonts w:ascii="Arial" w:cs="Arial" w:eastAsia="Arial" w:hAnsi="Arial"/>
                <w:sz w:val="18"/>
                <w:szCs w:val="18"/>
                <w:color w:val="auto"/>
                <w:w w:val="91"/>
              </w:rPr>
              <w:t>Income</w:t>
            </w:r>
          </w:p>
        </w:tc>
        <w:tc>
          <w:tcPr>
            <w:tcW w:w="80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5"/>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(Num-</w:t>
            </w: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(Denom-</w:t>
            </w:r>
          </w:p>
        </w:tc>
        <w:tc>
          <w:tcPr>
            <w:tcW w:w="880" w:type="dxa"/>
            <w:vAlign w:val="bottom"/>
            <w:gridSpan w:val="3"/>
          </w:tcPr>
          <w:p>
            <w:pPr>
              <w:jc w:val="center"/>
              <w:ind w:right="280"/>
              <w:spacing w:after="0"/>
              <w:rPr>
                <w:sz w:val="20"/>
                <w:szCs w:val="20"/>
                <w:color w:val="auto"/>
              </w:rPr>
            </w:pPr>
            <w:r>
              <w:rPr>
                <w:rFonts w:ascii="Arial" w:cs="Arial" w:eastAsia="Arial" w:hAnsi="Arial"/>
                <w:sz w:val="18"/>
                <w:szCs w:val="18"/>
                <w:color w:val="auto"/>
                <w:w w:val="83"/>
              </w:rPr>
              <w:t>Share</w:t>
            </w: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(Num-</w:t>
            </w: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(Denom-</w:t>
            </w:r>
          </w:p>
        </w:tc>
        <w:tc>
          <w:tcPr>
            <w:tcW w:w="880" w:type="dxa"/>
            <w:vAlign w:val="bottom"/>
            <w:gridSpan w:val="3"/>
          </w:tcPr>
          <w:p>
            <w:pPr>
              <w:ind w:left="80"/>
              <w:spacing w:after="0"/>
              <w:rPr>
                <w:sz w:val="20"/>
                <w:szCs w:val="20"/>
                <w:color w:val="auto"/>
              </w:rPr>
            </w:pPr>
            <w:r>
              <w:rPr>
                <w:rFonts w:ascii="Arial" w:cs="Arial" w:eastAsia="Arial" w:hAnsi="Arial"/>
                <w:sz w:val="18"/>
                <w:szCs w:val="18"/>
                <w:color w:val="auto"/>
              </w:rPr>
              <w:t>Share</w:t>
            </w: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(Num-</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(Denom-</w:t>
            </w:r>
          </w:p>
        </w:tc>
        <w:tc>
          <w:tcPr>
            <w:tcW w:w="160" w:type="dxa"/>
            <w:vAlign w:val="bottom"/>
          </w:tcPr>
          <w:p>
            <w:pPr>
              <w:spacing w:after="0"/>
              <w:rPr>
                <w:sz w:val="18"/>
                <w:szCs w:val="18"/>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Share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erator)</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inator)</w:t>
            </w:r>
          </w:p>
        </w:tc>
        <w:tc>
          <w:tcPr>
            <w:tcW w:w="28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Amount</w:t>
            </w: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erator)</w:t>
            </w: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inator)</w:t>
            </w:r>
          </w:p>
        </w:tc>
        <w:tc>
          <w:tcPr>
            <w:tcW w:w="880" w:type="dxa"/>
            <w:vAlign w:val="bottom"/>
            <w:gridSpan w:val="3"/>
          </w:tcPr>
          <w:p>
            <w:pPr>
              <w:spacing w:after="0"/>
              <w:rPr>
                <w:sz w:val="20"/>
                <w:szCs w:val="20"/>
                <w:color w:val="auto"/>
              </w:rPr>
            </w:pPr>
            <w:r>
              <w:rPr>
                <w:rFonts w:ascii="Arial" w:cs="Arial" w:eastAsia="Arial" w:hAnsi="Arial"/>
                <w:sz w:val="18"/>
                <w:szCs w:val="18"/>
                <w:color w:val="auto"/>
              </w:rPr>
              <w:t>Amount</w:t>
            </w:r>
          </w:p>
        </w:tc>
        <w:tc>
          <w:tcPr>
            <w:tcW w:w="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erator)</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inator)</w:t>
            </w:r>
          </w:p>
        </w:tc>
        <w:tc>
          <w:tcPr>
            <w:tcW w:w="840" w:type="dxa"/>
            <w:vAlign w:val="bottom"/>
            <w:gridSpan w:val="4"/>
          </w:tcPr>
          <w:p>
            <w:pPr>
              <w:ind w:left="16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$21,045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$70,125</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$67,373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color w:val="auto"/>
              </w:rPr>
              <w:t>EPS - Basic</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21,045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19,056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70,125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67,373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Effect of Dilutive</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600" w:type="dxa"/>
            <w:vAlign w:val="bottom"/>
          </w:tcPr>
          <w:p>
            <w:pPr>
              <w:ind w:left="200"/>
              <w:spacing w:after="0"/>
              <w:rPr>
                <w:sz w:val="20"/>
                <w:szCs w:val="20"/>
                <w:color w:val="auto"/>
              </w:rPr>
            </w:pPr>
            <w:r>
              <w:rPr>
                <w:rFonts w:ascii="Arial" w:cs="Arial" w:eastAsia="Arial" w:hAnsi="Arial"/>
                <w:sz w:val="18"/>
                <w:szCs w:val="18"/>
                <w:b w:val="1"/>
                <w:bCs w:val="1"/>
                <w:color w:val="auto"/>
              </w:rPr>
              <w:t>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600" w:type="dxa"/>
            <w:vAlign w:val="bottom"/>
          </w:tcPr>
          <w:p>
            <w:pPr>
              <w:spacing w:after="0"/>
              <w:rPr>
                <w:sz w:val="20"/>
                <w:szCs w:val="20"/>
                <w:color w:val="auto"/>
              </w:rPr>
            </w:pPr>
            <w:r>
              <w:rPr>
                <w:rFonts w:ascii="Arial" w:cs="Arial" w:eastAsia="Arial" w:hAnsi="Arial"/>
                <w:sz w:val="18"/>
                <w:szCs w:val="18"/>
                <w:b w:val="1"/>
                <w:bCs w:val="1"/>
                <w:color w:val="auto"/>
              </w:rPr>
              <w:t>EPS - Diluted</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available to</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and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assumed options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21,045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19,362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70,125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67,373</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19,106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80" w:right="179"/>
        <w:spacing w:after="0" w:line="286" w:lineRule="auto"/>
        <w:rPr>
          <w:sz w:val="20"/>
          <w:szCs w:val="20"/>
          <w:color w:val="auto"/>
        </w:rPr>
      </w:pPr>
      <w:r>
        <w:rPr>
          <w:rFonts w:ascii="Arial" w:cs="Arial" w:eastAsia="Arial" w:hAnsi="Arial"/>
          <w:sz w:val="17"/>
          <w:szCs w:val="17"/>
          <w:color w:val="auto"/>
        </w:rPr>
        <w:t>Options to purchase 30,000 shares of common stock at exercise prices ranging from $31.11 to $36.01 were outstanding as of December 29, 2007, but were not included in the computation of diluted EPS because the options’ exercise prices were greater than the average market price of the common stock during the period and, therefore, would be antidilutive.</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 outstanding options were excluded from the computation of diluted EPS as of December 30, 2006 or December 31, 2005.</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ACCOUNTING ESTIMATES</w:t>
      </w:r>
    </w:p>
    <w:p>
      <w:pPr>
        <w:spacing w:after="0" w:line="189" w:lineRule="exact"/>
        <w:rPr>
          <w:sz w:val="20"/>
          <w:szCs w:val="20"/>
          <w:color w:val="auto"/>
        </w:rPr>
      </w:pPr>
    </w:p>
    <w:p>
      <w:pPr>
        <w:jc w:val="both"/>
        <w:ind w:left="380" w:right="159"/>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RECLASSIFICATIONS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jc w:val="both"/>
        <w:ind w:left="380" w:right="159"/>
        <w:spacing w:after="0" w:line="291"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This new standard establishes a framework for measuring the fair value of assets and liabilities. This framework is intended to provide increased consistency in how fair value determinations are made under various existing accounting standards which permit, or in some cases require, estimates of fair market value. SFAS No. 157 also expands financial statement disclosure requirements about a company’s use of fair value measurements, including the effect of such measures on earnings. We are required to adopt this new accounting guidance at the beginning of the fiscal year ending December 27, 2008. While we are currently evaluating the provisions of SFAS No. 157, the adoption is not expected to have a material impact on our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76" w:name="page77"/>
    <w:bookmarkEnd w:id="76"/>
    <w:p>
      <w:pPr>
        <w:jc w:val="center"/>
        <w:ind w:right="55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(“SFAS No. 159”). SFAS No. 159 allows companies to choose to measure certain financial instruments and certain other items at fair value. The statement requires that unrealized gains and losses are reported in earnings for items measured using the fair value option and establishes presentation and disclosure requirements. We are required to adopt this new accounting guidance at the beginning of the fiscal year ending December 27, 2008. We are currently evaluating the impact SFAS No. 159 may have on our consolidated financial statements.</w:t>
      </w:r>
    </w:p>
    <w:p>
      <w:pPr>
        <w:spacing w:after="0" w:line="153" w:lineRule="exact"/>
        <w:rPr>
          <w:sz w:val="20"/>
          <w:szCs w:val="20"/>
          <w:color w:val="auto"/>
        </w:rPr>
      </w:pPr>
    </w:p>
    <w:p>
      <w:pPr>
        <w:jc w:val="both"/>
        <w:ind w:right="159"/>
        <w:spacing w:after="0" w:line="293" w:lineRule="auto"/>
        <w:rPr>
          <w:sz w:val="20"/>
          <w:szCs w:val="20"/>
          <w:color w:val="auto"/>
        </w:rPr>
      </w:pPr>
      <w:r>
        <w:rPr>
          <w:rFonts w:ascii="Arial" w:cs="Arial" w:eastAsia="Arial" w:hAnsi="Arial"/>
          <w:sz w:val="16"/>
          <w:szCs w:val="16"/>
          <w:color w:val="auto"/>
        </w:rPr>
        <w:t xml:space="preserve">In December 2007, the FASB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replaces FAS 141. SFAS 141(R) establishes principles and requirements for how an acquirer in a business combination recognizes and measures in its financial statements the identifiable assets acquired, the liabilities assumed, and any controlling interest; recognizes and measures the goodwill acquired in the business combination or a gain from a bargain purchase; and determines what information to disclose to enable users of the financial statements to evaluate the nature and financial effects of the business combination. FAS 141(R) is effective for us for business combinations closed on or after January 1, 2009.</w:t>
      </w:r>
    </w:p>
    <w:p>
      <w:pPr>
        <w:spacing w:after="0" w:line="124" w:lineRule="exact"/>
        <w:rPr>
          <w:sz w:val="20"/>
          <w:szCs w:val="20"/>
          <w:color w:val="auto"/>
        </w:rPr>
      </w:pPr>
    </w:p>
    <w:p>
      <w:pPr>
        <w:jc w:val="both"/>
        <w:ind w:right="159"/>
        <w:spacing w:after="0" w:line="269"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Noncontrolling Interests in Consolidated Financial Statements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ARB No. 51 </w:t>
      </w:r>
      <w:r>
        <w:rPr>
          <w:rFonts w:ascii="Arial" w:cs="Arial" w:eastAsia="Arial" w:hAnsi="Arial"/>
          <w:sz w:val="17"/>
          <w:szCs w:val="17"/>
          <w:color w:val="auto"/>
        </w:rPr>
        <w:t>(“SFAS 160”). SFAS 160 establishes new accounting and reporting standards for the noncontrolling</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a subsidiary and for the deconsolidation of a subsidiary. Specifically,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SFAS 160 clarifies that changes in a parent’s ownership interest in a subsidiary that do not result in deconsolidation are equity transactions if the parent retains its controlling financial interest. In addition, this statement requires that a parent recognize a gain or loss in net income when a subsidiary is deconsolidated. Such gain or loss will be measured using the fair value of the noncontrolling equity investment on the deconsolidation date. SFAS 160 also includes expanded disclosure requirements regarding the interests of the parent and its noncontrolling interest. SFAS 160 is effective for us for the fiscal year ending December 26, 2009. We are currently evaluating the impact SFAS No. 160 may have on our consolidated financial statements.</w:t>
      </w:r>
    </w:p>
    <w:p>
      <w:pPr>
        <w:spacing w:after="0" w:line="200" w:lineRule="exact"/>
        <w:rPr>
          <w:sz w:val="20"/>
          <w:szCs w:val="20"/>
          <w:color w:val="auto"/>
        </w:rPr>
      </w:pPr>
    </w:p>
    <w:p>
      <w:pPr>
        <w:spacing w:after="0" w:line="34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1" w:right="1440" w:bottom="1440" w:gutter="0" w:footer="0" w:header="0"/>
        </w:sectPr>
      </w:pPr>
    </w:p>
    <w:bookmarkStart w:id="77" w:name="page78"/>
    <w:bookmarkEnd w:id="77"/>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720" w:hanging="388"/>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HELD FOR SALE</w:t>
      </w:r>
    </w:p>
    <w:p>
      <w:pPr>
        <w:spacing w:after="0" w:line="107" w:lineRule="exact"/>
        <w:rPr>
          <w:rFonts w:ascii="Arial" w:cs="Arial" w:eastAsia="Arial" w:hAnsi="Arial"/>
          <w:sz w:val="18"/>
          <w:szCs w:val="18"/>
          <w:b w:val="1"/>
          <w:bCs w:val="1"/>
          <w:color w:val="auto"/>
        </w:rPr>
      </w:pPr>
    </w:p>
    <w:p>
      <w:pPr>
        <w:jc w:val="both"/>
        <w:ind w:left="720" w:right="13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Included in “Assets held for sale” on our Consolidated Balance Sheets is certain property, plant and equipment totaling $33.6 million at December 29, 2007. We evaluated certain property, plant and equipment under the requirements of SFAS No. 144, which resulted in an impairment charge totaling approximately $7 million included in SG&amp;A expenses for the year ending December 29, 2007. The held for sale assets consist of certain vacant land and several facilities we closed to better align manufacturing capacity with the current business environment. The fair values were determined based on the appraisals or recent offers to acquire the assets and are included in our Eastern and Western operating segments.</w:t>
      </w:r>
    </w:p>
    <w:p>
      <w:pPr>
        <w:spacing w:after="0" w:line="52" w:lineRule="exact"/>
        <w:rPr>
          <w:rFonts w:ascii="Arial" w:cs="Arial" w:eastAsia="Arial" w:hAnsi="Arial"/>
          <w:sz w:val="18"/>
          <w:szCs w:val="18"/>
          <w:b w:val="1"/>
          <w:bCs w:val="1"/>
          <w:color w:val="auto"/>
        </w:rPr>
      </w:pPr>
    </w:p>
    <w:p>
      <w:pPr>
        <w:ind w:left="720" w:hanging="388"/>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107" w:lineRule="exact"/>
        <w:rPr>
          <w:rFonts w:ascii="Arial" w:cs="Arial" w:eastAsia="Arial" w:hAnsi="Arial"/>
          <w:sz w:val="18"/>
          <w:szCs w:val="18"/>
          <w:b w:val="1"/>
          <w:bCs w:val="1"/>
          <w:color w:val="auto"/>
        </w:rPr>
      </w:pPr>
    </w:p>
    <w:p>
      <w:pPr>
        <w:jc w:val="both"/>
        <w:ind w:left="720" w:right="13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We account for goodwill and other intangible assets in accordance with the provisions of SFAS No. 142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Goodwill and intangible assets acquired in a purchase business combination and determined to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indefinite useful life are not amortized, but instead tested for impairment at least annually or when a triggering event occurs. We tested for impairment in the fourth quarter by utilizing the discounted cash flow method, which resulted in no impairment.</w:t>
      </w:r>
    </w:p>
    <w:p>
      <w:pPr>
        <w:spacing w:after="0" w:line="49" w:lineRule="exact"/>
        <w:rPr>
          <w:rFonts w:ascii="Arial" w:cs="Arial" w:eastAsia="Arial" w:hAnsi="Arial"/>
          <w:sz w:val="18"/>
          <w:szCs w:val="18"/>
          <w:b w:val="1"/>
          <w:bCs w:val="1"/>
          <w:color w:val="auto"/>
        </w:rPr>
      </w:pPr>
    </w:p>
    <w:p>
      <w:pPr>
        <w:ind w:left="720" w:right="1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amounts were included in other intangible assets, net as of December 29, 2007 and December 30, 2006 (in thousands):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2007</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2006</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0"/>
              </w:rPr>
              <w:t>Accumulated</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spacing w:after="0" w:line="195" w:lineRule="exact"/>
              <w:rPr>
                <w:sz w:val="20"/>
                <w:szCs w:val="20"/>
                <w:color w:val="auto"/>
              </w:rPr>
            </w:pPr>
            <w:r>
              <w:rPr>
                <w:rFonts w:ascii="Arial" w:cs="Arial" w:eastAsia="Arial" w:hAnsi="Arial"/>
                <w:sz w:val="18"/>
                <w:szCs w:val="18"/>
                <w:color w:val="auto"/>
                <w:w w:val="90"/>
              </w:rPr>
              <w:t>Accumulated</w:t>
            </w:r>
          </w:p>
        </w:tc>
        <w:tc>
          <w:tcPr>
            <w:tcW w:w="100" w:type="dxa"/>
            <w:vAlign w:val="bottom"/>
          </w:tcPr>
          <w:p>
            <w:pPr>
              <w:spacing w:after="0"/>
              <w:rPr>
                <w:sz w:val="16"/>
                <w:szCs w:val="16"/>
                <w:color w:val="auto"/>
              </w:rPr>
            </w:pPr>
          </w:p>
        </w:tc>
      </w:tr>
      <w:tr>
        <w:trPr>
          <w:trHeight w:val="230"/>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w w:val="99"/>
              </w:rPr>
              <w:t>Assets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93"/>
              </w:rPr>
              <w:t>Amortization</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w w:val="96"/>
              </w:rPr>
              <w:t>Assets</w:t>
            </w:r>
          </w:p>
        </w:tc>
        <w:tc>
          <w:tcPr>
            <w:tcW w:w="38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Amortization</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20,871</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28,318</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4,050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(871)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(2,395)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(5,601)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Patents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2,980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41,715</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40,609</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1380"/>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6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 to 11 years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Licensing agreements</w:t>
            </w:r>
          </w:p>
        </w:tc>
        <w:tc>
          <w:tcPr>
            <w:tcW w:w="6420" w:type="dxa"/>
            <w:vAlign w:val="bottom"/>
          </w:tcPr>
          <w:p>
            <w:pPr>
              <w:jc w:val="right"/>
              <w:ind w:right="30"/>
              <w:spacing w:after="0"/>
              <w:rPr>
                <w:sz w:val="20"/>
                <w:szCs w:val="20"/>
                <w:color w:val="auto"/>
              </w:rPr>
            </w:pPr>
            <w:r>
              <w:rPr>
                <w:rFonts w:ascii="Arial" w:cs="Arial" w:eastAsia="Arial" w:hAnsi="Arial"/>
                <w:sz w:val="18"/>
                <w:szCs w:val="18"/>
                <w:color w:val="auto"/>
              </w:rPr>
              <w:t>3 to 5 years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w:t>
            </w:r>
          </w:p>
        </w:tc>
        <w:tc>
          <w:tcPr>
            <w:tcW w:w="6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 years</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Backlog</w:t>
            </w:r>
          </w:p>
        </w:tc>
        <w:tc>
          <w:tcPr>
            <w:tcW w:w="6420" w:type="dxa"/>
            <w:vAlign w:val="bottom"/>
          </w:tcPr>
          <w:p>
            <w:pPr>
              <w:jc w:val="right"/>
              <w:ind w:right="30"/>
              <w:spacing w:after="0"/>
              <w:rPr>
                <w:sz w:val="20"/>
                <w:szCs w:val="20"/>
                <w:color w:val="auto"/>
              </w:rPr>
            </w:pPr>
            <w:r>
              <w:rPr>
                <w:rFonts w:ascii="Arial" w:cs="Arial" w:eastAsia="Arial" w:hAnsi="Arial"/>
                <w:sz w:val="18"/>
                <w:szCs w:val="18"/>
                <w:color w:val="auto"/>
              </w:rPr>
              <w:t>1 year</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20" w:type="dxa"/>
            <w:vAlign w:val="bottom"/>
          </w:tcPr>
          <w:p>
            <w:pPr>
              <w:jc w:val="right"/>
              <w:ind w:right="4690"/>
              <w:spacing w:after="0"/>
              <w:rPr>
                <w:sz w:val="20"/>
                <w:szCs w:val="20"/>
                <w:color w:val="auto"/>
              </w:rPr>
            </w:pPr>
            <w:r>
              <w:rPr>
                <w:rFonts w:ascii="Arial" w:cs="Arial" w:eastAsia="Arial" w:hAnsi="Arial"/>
                <w:sz w:val="18"/>
                <w:szCs w:val="18"/>
                <w:color w:val="auto"/>
              </w:rPr>
              <w:t>38</w:t>
            </w: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6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8" w:name="page79"/>
    <w:bookmarkEnd w:id="78"/>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388"/>
        <w:spacing w:after="0"/>
        <w:rPr>
          <w:sz w:val="20"/>
          <w:szCs w:val="20"/>
          <w:color w:val="auto"/>
        </w:rPr>
      </w:pPr>
      <w:r>
        <w:rPr>
          <w:rFonts w:ascii="Arial" w:cs="Arial" w:eastAsia="Arial" w:hAnsi="Arial"/>
          <w:sz w:val="17"/>
          <w:szCs w:val="17"/>
          <w:color w:val="auto"/>
        </w:rPr>
        <w:t>Amortization expense of intangibles totaled $8.0 million, $5.8 million and $3.5 million in 2007, 2006, and 2005, respectively.</w:t>
      </w:r>
    </w:p>
    <w:p>
      <w:pPr>
        <w:spacing w:after="0" w:line="35" w:lineRule="exact"/>
        <w:rPr>
          <w:sz w:val="20"/>
          <w:szCs w:val="20"/>
          <w:color w:val="auto"/>
        </w:rPr>
      </w:pPr>
    </w:p>
    <w:p>
      <w:pPr>
        <w:ind w:left="388"/>
        <w:spacing w:after="0"/>
        <w:rPr>
          <w:sz w:val="20"/>
          <w:szCs w:val="20"/>
          <w:color w:val="auto"/>
        </w:rPr>
      </w:pPr>
      <w:r>
        <w:rPr>
          <w:rFonts w:ascii="Arial" w:cs="Arial" w:eastAsia="Arial" w:hAnsi="Arial"/>
          <w:sz w:val="17"/>
          <w:szCs w:val="17"/>
          <w:color w:val="auto"/>
        </w:rPr>
        <w:t>The estimated amortization expense for intangibles for each of the five succeeding fiscal years is as follows (in thousands):</w:t>
      </w:r>
    </w:p>
    <w:p>
      <w:pPr>
        <w:spacing w:after="0" w:line="237"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7,817</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6,329</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5,366</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2011</w:t>
            </w: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3,155</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r>
      <w:tr>
        <w:trPr>
          <w:trHeight w:val="27"/>
        </w:trPr>
        <w:tc>
          <w:tcPr>
            <w:tcW w:w="8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23,849</w:t>
            </w:r>
          </w:p>
        </w:tc>
      </w:tr>
      <w:tr>
        <w:trPr>
          <w:trHeight w:val="20"/>
        </w:trPr>
        <w:tc>
          <w:tcPr>
            <w:tcW w:w="8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8" w:right="179"/>
        <w:spacing w:after="0" w:line="277" w:lineRule="auto"/>
        <w:rPr>
          <w:sz w:val="20"/>
          <w:szCs w:val="20"/>
          <w:color w:val="auto"/>
        </w:rPr>
      </w:pPr>
      <w:r>
        <w:rPr>
          <w:rFonts w:ascii="Arial" w:cs="Arial" w:eastAsia="Arial" w:hAnsi="Arial"/>
          <w:sz w:val="18"/>
          <w:szCs w:val="18"/>
          <w:color w:val="auto"/>
        </w:rPr>
        <w:t>The changes in the net carrying amount of goodwill and indefinite-lived intangible assets for the years ended December 29, 2007 and December 30, 2006, are as follows (in thousands):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Indefinite-</w:t>
            </w:r>
          </w:p>
        </w:tc>
      </w:t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Lived</w:t>
            </w:r>
          </w:p>
        </w:tc>
      </w:tr>
      <w:tr>
        <w:trPr>
          <w:trHeight w:val="216"/>
        </w:trPr>
        <w:tc>
          <w:tcPr>
            <w:tcW w:w="7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Intangible</w:t>
            </w:r>
          </w:p>
        </w:tc>
      </w:tr>
      <w:tr>
        <w:trPr>
          <w:trHeight w:val="230"/>
        </w:trPr>
        <w:tc>
          <w:tcPr>
            <w:tcW w:w="7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Assets</w:t>
            </w:r>
          </w:p>
        </w:tc>
        <w:tc>
          <w:tcPr>
            <w:tcW w:w="120" w:type="dxa"/>
            <w:vAlign w:val="bottom"/>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131,556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2,340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Final purchase price allocations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w:t>
            </w: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Final purchase price allocations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Translation adjustment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29, 2007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147,932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w:t>
            </w:r>
          </w:p>
        </w:tc>
      </w:tr>
      <w:tr>
        <w:trPr>
          <w:trHeight w:val="20"/>
        </w:trPr>
        <w:tc>
          <w:tcPr>
            <w:tcW w:w="7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388" w:hanging="388"/>
        <w:spacing w:after="0"/>
        <w:tabs>
          <w:tab w:leader="none" w:pos="388"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107" w:lineRule="exact"/>
        <w:rPr>
          <w:rFonts w:ascii="Arial" w:cs="Arial" w:eastAsia="Arial" w:hAnsi="Arial"/>
          <w:sz w:val="18"/>
          <w:szCs w:val="18"/>
          <w:b w:val="1"/>
          <w:bCs w:val="1"/>
          <w:color w:val="auto"/>
        </w:rPr>
      </w:pPr>
    </w:p>
    <w:p>
      <w:pPr>
        <w:jc w:val="both"/>
        <w:ind w:left="388" w:right="159"/>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February 12, 2007, we completed a five-year, $300 million unsecured revolving credit facility, which includes amounts reserved for letters of credit and replaces our $250 million facility. Cash borrowings are charged interest based upon an index equal to the Eurodollar rate (in the case of borrowings in US Dollars) or the bankers’ acceptance rate quoted (in the case of borrowings in Canadian Dollars), plus a margin (ranging from 27 to 90 basis points, based upon our financial performance). We are also charged an annual facility fee on the entire amount of the lending commitment (ranging from 8 to 25 basis points, based upon our performance), and a usage premium (ranging from 5 to 12.5 basis points, based upon our performance) at times when borrowings in US Dollars exceed $140 million. The average borrowing rate on this facility was 5.5% in 2007. The amount outstanding on the revolving credit facility is included in the long-term debt summary below. The revolving credit facility supports letters of credit totaling approximately $31.3 million on December 29, 2007.</w:t>
      </w:r>
    </w:p>
    <w:p>
      <w:pPr>
        <w:spacing w:after="0" w:line="60"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20, 2004, we completed a five-year, $250 million unsecured revolving credit facility, which included amounts reserved for letters of credit. The average borrowing rate on this facility was 4.9% in 2006. The amount outstanding on the revolving credit facility is included in the long-term debt summary below.</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79" w:name="page80"/>
    <w:bookmarkEnd w:id="79"/>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20" w:right="1360"/>
        <w:spacing w:after="0" w:line="293" w:lineRule="auto"/>
        <w:rPr>
          <w:sz w:val="20"/>
          <w:szCs w:val="20"/>
          <w:color w:val="auto"/>
        </w:rPr>
      </w:pPr>
      <w:r>
        <w:rPr>
          <w:rFonts w:ascii="Arial" w:cs="Arial" w:eastAsia="Arial" w:hAnsi="Arial"/>
          <w:sz w:val="16"/>
          <w:szCs w:val="16"/>
          <w:color w:val="auto"/>
        </w:rPr>
        <w:t>Outstanding letters of credit extended on our behalf aggregated $33.7 million on December 29, 2007, which includes approximately $16.1 million related to industrial development revenue bonds. Outstanding letters of credit extended on our behalf aggregated $39.2 million on December 30, 2006, which includes approximately $18.5 million related to industrial development revenue bonds. Letters of credit have terms ranging from one to three years, and include an automatic renewal clause. The letters of credit are charged an annual interest rate ranging from 27 to 90 basis points in 2007 under the $300 million facility and 42.5 to 107.5 basis points in 2006 under the $250 million facility, based upon our financial performance.</w:t>
      </w:r>
    </w:p>
    <w:p>
      <w:pPr>
        <w:spacing w:after="0" w:line="43" w:lineRule="exact"/>
        <w:rPr>
          <w:sz w:val="20"/>
          <w:szCs w:val="20"/>
          <w:color w:val="auto"/>
        </w:rPr>
      </w:pPr>
    </w:p>
    <w:p>
      <w:pPr>
        <w:jc w:val="both"/>
        <w:ind w:left="720" w:right="1380"/>
        <w:spacing w:after="0" w:line="277" w:lineRule="auto"/>
        <w:rPr>
          <w:sz w:val="20"/>
          <w:szCs w:val="20"/>
          <w:color w:val="auto"/>
        </w:rPr>
      </w:pPr>
      <w:r>
        <w:rPr>
          <w:rFonts w:ascii="Arial" w:cs="Arial" w:eastAsia="Arial" w:hAnsi="Arial"/>
          <w:sz w:val="18"/>
          <w:szCs w:val="18"/>
          <w:color w:val="auto"/>
        </w:rPr>
        <w:t>Long-term debt and capital lease obligations are summarized as follows on December 29, 2007 and December 30, 2006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71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Series 1998-A Senior Notes Tranche B, due on December 21, 2008, interest payable semi-</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annually at 6.98%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59,500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w w:val="98"/>
              </w:rPr>
              <w:t>Series 1998-A Senior Notes Tranche C, due on December 21, 2008, interest payable semi-</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annually at 6.98%</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19,000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2002-A Senior Notes Tranche A, due on December 18, 2009, interest payable semi-</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annually at 5.63%</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w w:val="98"/>
              </w:rPr>
              <w:t>Series 2002-A Senior Notes Tranche B, due on December 18, 2012, interest payable semi-</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annually at 6.16%</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Revolving credit facility totaling $300 million due on February 12, 2012, interest due monthly</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a floating rate (4.80% on December 29, 2007)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54,614</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15,883</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rPr>
              <w:t>Series 1998 Industrial Development Revenue Bonds, due on December 1, 2018, interest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payable monthly at a floating rate (3.91% on December 29, 2007)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1999 Industrial Development Revenue Bonds, due on July 1, 2029, interest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monthly at a floating rate</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w w:val="95"/>
              </w:rPr>
              <w:t>Series 1999 Industrial Development Revenue Bonds, due on August 1, 2029, interest payable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monthly at a floating rate (3.68% on December 29, 2007)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3,300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2000 Industrial Development Revenue Bonds, due on October 1, 2020, interest payable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monthly at a floating rate (3.87% on December 29, 2007)</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rPr>
              <w:t>Series 2000 Industrial Development Revenue Bonds, due on November 1, 2020, interest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payable monthly at a floating rate (3.87% on December 29, 2007)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2001 Industrial Development Revenue Bonds, due on November 1, 2021, interest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monthly at a floating rate (3.87% on December 29, 2007)</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140" w:type="dxa"/>
            <w:vAlign w:val="bottom"/>
          </w:tcPr>
          <w:p>
            <w:pPr>
              <w:spacing w:after="0" w:line="201" w:lineRule="exact"/>
              <w:rPr>
                <w:sz w:val="20"/>
                <w:szCs w:val="20"/>
                <w:color w:val="auto"/>
              </w:rPr>
            </w:pPr>
            <w:r>
              <w:rPr>
                <w:rFonts w:ascii="Arial" w:cs="Arial" w:eastAsia="Arial" w:hAnsi="Arial"/>
                <w:sz w:val="18"/>
                <w:szCs w:val="18"/>
                <w:color w:val="auto"/>
              </w:rPr>
              <w:t>Series 2002 Industrial Development Revenue Bonds, due on December 1, 2022, interest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payable monthly at a floating rate (3.85% on December 29, 2007)</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3,700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interest imputed at 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1,512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680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205,126</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40" w:type="dxa"/>
            <w:vAlign w:val="bottom"/>
            <w:vMerge w:val="restart"/>
          </w:tcPr>
          <w:p>
            <w:pPr>
              <w:ind w:left="4760"/>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0" w:name="page81"/>
    <w:bookmarkEnd w:id="80"/>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a minimum net worth requirement, minimum interest coverage tests, and a maximum leverage ratio. The agreements also restrict the amount of additional indebtedness we may incur and the amount of assets which may be sold. We were within all of our lending requirements on December 29, 2007.</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On December 29, 2007, the principal maturities of long-term debt and capital lease obligations are as follows (in thousands):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945</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15,317</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173,384</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15,900</w:t>
            </w:r>
          </w:p>
        </w:tc>
      </w:tr>
      <w:tr>
        <w:trPr>
          <w:trHeight w:val="27"/>
        </w:trPr>
        <w:tc>
          <w:tcPr>
            <w:tcW w:w="8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206,071</w:t>
            </w:r>
          </w:p>
        </w:tc>
      </w:tr>
      <w:tr>
        <w:trPr>
          <w:trHeight w:val="20"/>
        </w:trPr>
        <w:tc>
          <w:tcPr>
            <w:tcW w:w="8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20" w:right="1380"/>
        <w:spacing w:after="0" w:line="342" w:lineRule="auto"/>
        <w:rPr>
          <w:sz w:val="20"/>
          <w:szCs w:val="20"/>
          <w:color w:val="auto"/>
        </w:rPr>
      </w:pPr>
      <w:r>
        <w:rPr>
          <w:rFonts w:ascii="Arial" w:cs="Arial" w:eastAsia="Arial" w:hAnsi="Arial"/>
          <w:sz w:val="16"/>
          <w:szCs w:val="16"/>
          <w:color w:val="auto"/>
        </w:rPr>
        <w:t>The Series 1998-A Senior Notes totaling $78,500 are due December 21, 2008, however we intend to refinance them on a long-term basis. Currently, we have the ability to finance the obligation with the revolving credit facility due February 12, 2012.</w:t>
      </w:r>
    </w:p>
    <w:p>
      <w:pPr>
        <w:spacing w:after="0" w:line="2" w:lineRule="exact"/>
        <w:rPr>
          <w:sz w:val="20"/>
          <w:szCs w:val="20"/>
          <w:color w:val="auto"/>
        </w:rPr>
      </w:pPr>
    </w:p>
    <w:p>
      <w:pPr>
        <w:jc w:val="both"/>
        <w:ind w:left="720" w:right="1360"/>
        <w:spacing w:after="0" w:line="264" w:lineRule="auto"/>
        <w:rPr>
          <w:sz w:val="20"/>
          <w:szCs w:val="20"/>
          <w:color w:val="auto"/>
        </w:rPr>
      </w:pPr>
      <w:r>
        <w:rPr>
          <w:rFonts w:ascii="Arial" w:cs="Arial" w:eastAsia="Arial" w:hAnsi="Arial"/>
          <w:sz w:val="18"/>
          <w:szCs w:val="18"/>
          <w:color w:val="auto"/>
        </w:rPr>
        <w:t>On December 29, 2007, the estimated fair value of our long-term debt, including the current portion, was $207.6 million, which was $1.5 million greater than the carrying value. The estimated fair value is based on rates anticipated to be available to us for debt with similar terms and maturities.</w:t>
      </w:r>
    </w:p>
    <w:p>
      <w:pPr>
        <w:spacing w:after="0" w:line="56" w:lineRule="exact"/>
        <w:rPr>
          <w:sz w:val="20"/>
          <w:szCs w:val="20"/>
          <w:color w:val="auto"/>
        </w:rPr>
      </w:pPr>
    </w:p>
    <w:p>
      <w:pPr>
        <w:ind w:left="720" w:hanging="388"/>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0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color w:val="auto"/>
        </w:rPr>
        <w:t>Leased property included in the balance sheet on December 29, 2007 and December 30, 2006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640" w:type="dxa"/>
            <w:vAlign w:val="bottom"/>
            <w:vMerge w:val="restart"/>
          </w:tcPr>
          <w:p>
            <w:pPr>
              <w:jc w:val="right"/>
              <w:ind w:right="2110"/>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1" w:name="page82"/>
    <w:bookmarkEnd w:id="81"/>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88" w:right="159"/>
        <w:spacing w:after="0" w:line="302" w:lineRule="auto"/>
        <w:rPr>
          <w:sz w:val="20"/>
          <w:szCs w:val="20"/>
          <w:color w:val="auto"/>
        </w:rPr>
      </w:pPr>
      <w:r>
        <w:rPr>
          <w:rFonts w:ascii="Arial" w:cs="Arial" w:eastAsia="Arial" w:hAnsi="Arial"/>
          <w:sz w:val="16"/>
          <w:szCs w:val="16"/>
          <w:color w:val="auto"/>
        </w:rPr>
        <w:t>We lease certain real estate under operating and capital lease agreements with original terms ranging from one to ten years. We are required to pay real estate taxes and other occupancy costs under these leases. Certain leases carry renewal options of five to fifteen years. We also lease motor vehicles, equipment, and aircrafts under operating lease agreements for periods of one to ten years. Future minimum payments under non-cancelable leases on December 29, 2007 are as follows (in thousands):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Operating</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Leases</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2"/>
              </w:rPr>
              <w:t>Leases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17,844</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2009</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13,488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2011</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6,188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3,271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53,231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54,133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8"/>
        <w:spacing w:after="0"/>
        <w:rPr>
          <w:sz w:val="20"/>
          <w:szCs w:val="20"/>
          <w:color w:val="auto"/>
        </w:rPr>
      </w:pPr>
      <w:r>
        <w:rPr>
          <w:rFonts w:ascii="Arial" w:cs="Arial" w:eastAsia="Arial" w:hAnsi="Arial"/>
          <w:sz w:val="17"/>
          <w:szCs w:val="17"/>
          <w:color w:val="auto"/>
        </w:rPr>
        <w:t>Rent expense was approximately $24.0 million, $25.8 million, and $21.9 million in 2007, 2006, and 2005, respectively.</w:t>
      </w:r>
    </w:p>
    <w:p>
      <w:pPr>
        <w:spacing w:after="0" w:line="111" w:lineRule="exact"/>
        <w:rPr>
          <w:sz w:val="20"/>
          <w:szCs w:val="20"/>
          <w:color w:val="auto"/>
        </w:rPr>
      </w:pPr>
    </w:p>
    <w:p>
      <w:pPr>
        <w:ind w:left="388" w:hanging="388"/>
        <w:spacing w:after="0"/>
        <w:tabs>
          <w:tab w:leader="none" w:pos="38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107" w:lineRule="exact"/>
        <w:rPr>
          <w:rFonts w:ascii="Arial" w:cs="Arial" w:eastAsia="Arial" w:hAnsi="Arial"/>
          <w:sz w:val="18"/>
          <w:szCs w:val="18"/>
          <w:b w:val="1"/>
          <w:bCs w:val="1"/>
          <w:color w:val="auto"/>
        </w:rPr>
      </w:pPr>
    </w:p>
    <w:p>
      <w:pPr>
        <w:jc w:val="both"/>
        <w:ind w:left="388" w:right="159"/>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We have a program whereby certain executives irrevocably elected to defer receipt of certain compensation in 1985 through 1988. Deferred compensation payments to these executives will commence upon their retirement. We purchased life insurance on such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The deferred compensation liabilities and related cash surrender value of life insurance policies are included in “Other Liabilities” and “Other Assets,” respectively.</w:t>
      </w:r>
    </w:p>
    <w:p>
      <w:pPr>
        <w:spacing w:after="0" w:line="45" w:lineRule="exact"/>
        <w:rPr>
          <w:rFonts w:ascii="Arial" w:cs="Arial" w:eastAsia="Arial" w:hAnsi="Arial"/>
          <w:sz w:val="18"/>
          <w:szCs w:val="18"/>
          <w:b w:val="1"/>
          <w:bCs w:val="1"/>
          <w:color w:val="auto"/>
        </w:rPr>
      </w:pPr>
    </w:p>
    <w:p>
      <w:pPr>
        <w:jc w:val="both"/>
        <w:ind w:left="388" w:right="159"/>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$4.7 million and $4.0 million on December 29, 2007 and December 30, 2006, respectively, and are included in “Other Assets.” Related liabilities totaled $10.5 million and $8.3 million on December 29, 2007 and December 30, 2006, respectively, and are included in “Other Liabilities” and “Shareholders’ Equity.” Assets of the Plan are recorded at fair market value. The related liabilities are recorded at fair market value, with the exception of obligations associated with investments in our stock which are recorded at the market value on the date of deferral.</w:t>
      </w:r>
    </w:p>
    <w:p>
      <w:pPr>
        <w:spacing w:after="0" w:line="44"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February 23, 2007, we established a non-qualified deferred stock bonus plan (“the 2007 Plan”) to reward key employees for extraordinary performance. The 2007 Plan is invested in our stock, funded by the issuance of shares to a Rabbi trust, and may only be distributed in kind. The related liability is recorded at the market value of the stock on the date of deferral, totaling $1.9 million on December 29, 2007 and is included in “Shareholders’ Equity.”</w:t>
      </w:r>
    </w:p>
    <w:p>
      <w:pPr>
        <w:spacing w:after="0" w:line="200" w:lineRule="exact"/>
        <w:rPr>
          <w:sz w:val="20"/>
          <w:szCs w:val="20"/>
          <w:color w:val="auto"/>
        </w:rPr>
      </w:pPr>
    </w:p>
    <w:p>
      <w:pPr>
        <w:spacing w:after="0" w:line="3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2" w:name="page83"/>
    <w:bookmarkEnd w:id="82"/>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720" w:hanging="388"/>
        <w:spacing w:after="0"/>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ACCOUNTS RECEIVABLE</w:t>
      </w:r>
    </w:p>
    <w:p>
      <w:pPr>
        <w:spacing w:after="0" w:line="107" w:lineRule="exact"/>
        <w:rPr>
          <w:rFonts w:ascii="Arial" w:cs="Arial" w:eastAsia="Arial" w:hAnsi="Arial"/>
          <w:sz w:val="18"/>
          <w:szCs w:val="18"/>
          <w:b w:val="1"/>
          <w:bCs w:val="1"/>
          <w:color w:val="auto"/>
        </w:rPr>
      </w:pPr>
    </w:p>
    <w:p>
      <w:pPr>
        <w:jc w:val="both"/>
        <w:ind w:left="720" w:right="1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March 8, 2006, we entered into an accounts receivable sale arrangement with a bank. The terms of this agreement are substantially the same as the agreement that was in place in the first six months of 2005 and subsequently canceled on October 25, 2005. Under the terms of these agreements:</w:t>
      </w:r>
    </w:p>
    <w:p>
      <w:pPr>
        <w:spacing w:after="0" w:line="140" w:lineRule="exact"/>
        <w:rPr>
          <w:rFonts w:ascii="Arial" w:cs="Arial" w:eastAsia="Arial" w:hAnsi="Arial"/>
          <w:sz w:val="18"/>
          <w:szCs w:val="18"/>
          <w:b w:val="1"/>
          <w:bCs w:val="1"/>
          <w:color w:val="auto"/>
        </w:rPr>
      </w:pPr>
    </w:p>
    <w:p>
      <w:pPr>
        <w:ind w:left="1080" w:hanging="370"/>
        <w:spacing w:after="0"/>
        <w:tabs>
          <w:tab w:leader="none" w:pos="108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We sell specific receivables to the bank at an agreed-upon price at terms ranging from one month to one year.</w:t>
      </w:r>
    </w:p>
    <w:p>
      <w:pPr>
        <w:spacing w:after="0" w:line="103" w:lineRule="exact"/>
        <w:rPr>
          <w:rFonts w:ascii="Arial" w:cs="Arial" w:eastAsia="Arial" w:hAnsi="Arial"/>
          <w:sz w:val="18"/>
          <w:szCs w:val="18"/>
          <w:b w:val="1"/>
          <w:bCs w:val="1"/>
          <w:color w:val="auto"/>
        </w:rPr>
      </w:pPr>
    </w:p>
    <w:p>
      <w:pPr>
        <w:ind w:left="1080" w:hanging="370"/>
        <w:spacing w:after="0"/>
        <w:tabs>
          <w:tab w:leader="none" w:pos="108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We service the receivables sold and outstanding on behalf of the bank at a rate of 0.50% per annum.</w:t>
      </w:r>
    </w:p>
    <w:p>
      <w:pPr>
        <w:spacing w:after="0" w:line="103" w:lineRule="exact"/>
        <w:rPr>
          <w:rFonts w:ascii="Arial" w:cs="Arial" w:eastAsia="Arial" w:hAnsi="Arial"/>
          <w:sz w:val="18"/>
          <w:szCs w:val="18"/>
          <w:b w:val="1"/>
          <w:bCs w:val="1"/>
          <w:color w:val="auto"/>
        </w:rPr>
      </w:pPr>
    </w:p>
    <w:p>
      <w:pPr>
        <w:jc w:val="both"/>
        <w:ind w:left="1080" w:right="1360" w:hanging="370"/>
        <w:spacing w:after="0" w:line="264" w:lineRule="auto"/>
        <w:tabs>
          <w:tab w:leader="none" w:pos="108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We receive an incentive servicing fee, which we account for as a retained interest in the receivables sold. Our retained interest is determined based on the fair market value of anticipated collections in excess of the Agreed Base Value of the receivables sold. Appropriate valuation allowances are recorded against the retained interest.</w:t>
      </w:r>
    </w:p>
    <w:p>
      <w:pPr>
        <w:spacing w:after="0" w:line="59" w:lineRule="exact"/>
        <w:rPr>
          <w:rFonts w:ascii="Arial" w:cs="Arial" w:eastAsia="Arial" w:hAnsi="Arial"/>
          <w:sz w:val="18"/>
          <w:szCs w:val="18"/>
          <w:b w:val="1"/>
          <w:bCs w:val="1"/>
          <w:color w:val="auto"/>
        </w:rPr>
      </w:pPr>
    </w:p>
    <w:p>
      <w:pPr>
        <w:ind w:left="1080" w:right="1380" w:hanging="370"/>
        <w:spacing w:after="0" w:line="277" w:lineRule="auto"/>
        <w:tabs>
          <w:tab w:leader="none" w:pos="1080"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maximum amount of receivables, net of retained interest, which may be sold and outstanding at any point in time under this arrangement is $50 million.</w:t>
      </w:r>
    </w:p>
    <w:p>
      <w:pPr>
        <w:spacing w:after="0" w:line="130"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On December 29, 2007, $29.0 million of receivables were sold and outstanding, and we recorded $2.2 million of retained interest in other current assets. On December 30, 2006 $29.1 million of receivables were sold and outstanding, and we recorded $2.2 million of retained interest in other current assets. A summary of the transactions we completed in 2007, 2006, and 2005 is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sold</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624,448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460,859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401,431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Retained interest in receivables</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(1,982)</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(6,649)</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Expense from sale</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Servicing fee received</w:t>
            </w:r>
          </w:p>
        </w:tc>
        <w:tc>
          <w:tcPr>
            <w:tcW w:w="2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620,049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452,513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40" w:type="dxa"/>
            <w:vAlign w:val="bottom"/>
            <w:vMerge w:val="restart"/>
          </w:tcPr>
          <w:p>
            <w:pPr>
              <w:jc w:val="right"/>
              <w:ind w:right="910"/>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3" w:name="page84"/>
    <w:bookmarkEnd w:id="83"/>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88" w:hanging="388"/>
        <w:spacing w:after="0"/>
        <w:tabs>
          <w:tab w:leader="none" w:pos="38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107" w:lineRule="exact"/>
        <w:rPr>
          <w:rFonts w:ascii="Arial" w:cs="Arial" w:eastAsia="Arial" w:hAnsi="Arial"/>
          <w:sz w:val="18"/>
          <w:szCs w:val="18"/>
          <w:b w:val="1"/>
          <w:bCs w:val="1"/>
          <w:color w:val="auto"/>
        </w:rPr>
      </w:pPr>
    </w:p>
    <w:p>
      <w:pPr>
        <w:jc w:val="both"/>
        <w:ind w:left="388" w:right="17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June 1, 1993, our shareholders approved the Incentive Stock Option Plan (the “Plan”) for our officers. Options for the purchase of all 1,200,000 shares of our common stock authorized under the Plan have been granted. The Plan provides that the options are exercisable only if the officer is employed by us at the time of exercise and holds at least seventy-five percent of the individuals’ shares held on April 1, 1993. The Plan also requires the option shares to be held for periods of six months to three years. The remaining options are exercisable within thirty days of the anniversary of the Plan in 2008.</w:t>
      </w:r>
    </w:p>
    <w:p>
      <w:pPr>
        <w:spacing w:after="0" w:line="50"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1994, the Employee Stock Gift Program was approved by the Board of Directors which allows us to gift shares of stock to eligible employees based on length of service. We gifted shares of stock under this Plan in 2007, 2006, and 2005, and recognized the market value of the shares at the date of issuance as an expense totaling approximately $68,000, $55,000, and $55,000, respectively.</w:t>
      </w:r>
    </w:p>
    <w:p>
      <w:pPr>
        <w:spacing w:after="0" w:line="65" w:lineRule="exact"/>
        <w:rPr>
          <w:rFonts w:ascii="Arial" w:cs="Arial" w:eastAsia="Arial" w:hAnsi="Arial"/>
          <w:sz w:val="18"/>
          <w:szCs w:val="18"/>
          <w:b w:val="1"/>
          <w:bCs w:val="1"/>
          <w:color w:val="auto"/>
        </w:rPr>
      </w:pPr>
    </w:p>
    <w:p>
      <w:pPr>
        <w:jc w:val="both"/>
        <w:ind w:left="388" w:right="1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 April 1994, our shareholders approved the Employee Stock Purchase Plan (“Stock Purchase Plan”). In April 2002, our shareholders approved the 2002 Employee Stock Purchase Plan (“2002 Stock Purchase Plan”) to succeed the Stock Purchase Plan. The plans allow eligible employees to purchase shares of our stock at a share price equal to 85% of fair market value on the purchase date. In 2007, 2006, and 2005, shares were issued under this Plan for amounts totaling approximately $617,000, $811,000, and $511,000, respectively. The weighted average discounted fair value of these shares was $30.75, $48.36, and $36.92, respectively. Upon adoption of FASB Statement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(“SFAS 123(R)”), we have expensed the fair value associated with these awards, which approximates the discount.</w:t>
      </w:r>
    </w:p>
    <w:p>
      <w:pPr>
        <w:spacing w:after="0" w:line="56"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April 1994, our shareholders approved the Directors’ Retainer Stock Plan (“Stock Retainer Plan”). The Stock Retainer Plan allows eligible members of the Board of Directors to defer their retainer fees and receive shares of our stock at the time of their retirement, disability or death. The number of shares to be received is equal to the amount of the retainer fee deferred multiplied by 110% divided by the fair market value of a share of our stock at the time of deferral, is increased for dividends declared and may only be distributed in kind. We have accrued, in shareholders’ equity, approximately $1.1 million and $818,000 on December 29, 2007 and December 30, 2006, respectively, for obligations incurred under this Plan. There were no distributions in 2007 or 2006.</w:t>
      </w:r>
    </w:p>
    <w:p>
      <w:pPr>
        <w:spacing w:after="0" w:line="67"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1997, we instituted a Directors’ Stock Grant Program. In lieu of a cash increase in the amount of Director fees, each outside Director receives 100 shares of stock for each board meeting attended up to a maximum of 400 shares per year. In 2007, 2006, and 2005, we issued shares and recognized the market value of the shares on the date of issuance as an expense totaling approximately $106,000, $142,000, and $107,000, respectively.</w:t>
      </w:r>
    </w:p>
    <w:p>
      <w:pPr>
        <w:spacing w:after="0" w:line="65" w:lineRule="exact"/>
        <w:rPr>
          <w:rFonts w:ascii="Arial" w:cs="Arial" w:eastAsia="Arial" w:hAnsi="Arial"/>
          <w:sz w:val="18"/>
          <w:szCs w:val="18"/>
          <w:b w:val="1"/>
          <w:bCs w:val="1"/>
          <w:color w:val="auto"/>
        </w:rPr>
      </w:pPr>
    </w:p>
    <w:p>
      <w:pPr>
        <w:jc w:val="both"/>
        <w:ind w:left="388" w:right="1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April 28, 1999, our shareholders approved the Long Term Stock Incentive Plan (the “1999 Plan”). The 1999 Plan reserves a maximum of 1,000,000 shares, plus an annual increase of no more than 200,000 shares which may be added on the date of the annual meeting of shareholders each year. The 1999 Plan provides for the granting of stock options, reload options, stock appreciation rights, restricted stock, performance shares and other stock-based awards. The term of the 1999 Plan is ten years. No options were granted in 2007 and 2006.</w:t>
      </w:r>
    </w:p>
    <w:p>
      <w:pPr>
        <w:spacing w:after="0" w:line="200" w:lineRule="exact"/>
        <w:rPr>
          <w:sz w:val="20"/>
          <w:szCs w:val="20"/>
          <w:color w:val="auto"/>
        </w:rPr>
      </w:pPr>
    </w:p>
    <w:p>
      <w:pPr>
        <w:spacing w:after="0" w:line="33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4" w:name="page85"/>
    <w:bookmarkEnd w:id="84"/>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720" w:right="1380"/>
        <w:spacing w:after="0" w:line="259" w:lineRule="auto"/>
        <w:rPr>
          <w:sz w:val="20"/>
          <w:szCs w:val="20"/>
          <w:color w:val="auto"/>
        </w:rPr>
      </w:pPr>
      <w:r>
        <w:rPr>
          <w:rFonts w:ascii="Arial" w:cs="Arial" w:eastAsia="Arial" w:hAnsi="Arial"/>
          <w:sz w:val="18"/>
          <w:szCs w:val="18"/>
          <w:color w:val="auto"/>
        </w:rPr>
        <w:t>On April 17, 2002, under the 1999 Plan, a Conditional Share Grant Agreement was executed which will grant our former Chief Executive Officer 10,000 shares of common stock immediately upon the satisfaction of the terms and conditions set forth in the Agreement. We have accrued in shareholders’ equity approximately $135,000 and $112,000 on December 29, 2007 and December 30, 2006 respectively, for this grant.</w:t>
      </w:r>
    </w:p>
    <w:p>
      <w:pPr>
        <w:spacing w:after="0" w:line="65"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On February 3, 2006, under the 1999 Plan, Conditional Share Grant Agreements were executed which will grant certain employees a total of approximately 38,000 shares of common stock immediately upon the satisfaction of the terms and conditions set forth in the Agreement. We have accrued in shareholders’ equity approximately $2.1 million on December 29, 2007 for this grant.</w:t>
      </w:r>
    </w:p>
    <w:p>
      <w:pPr>
        <w:spacing w:after="0" w:line="65" w:lineRule="exact"/>
        <w:rPr>
          <w:sz w:val="20"/>
          <w:szCs w:val="20"/>
          <w:color w:val="auto"/>
        </w:rPr>
      </w:pPr>
    </w:p>
    <w:p>
      <w:pPr>
        <w:jc w:val="both"/>
        <w:ind w:left="720" w:right="1360"/>
        <w:spacing w:after="0" w:line="286" w:lineRule="auto"/>
        <w:rPr>
          <w:sz w:val="20"/>
          <w:szCs w:val="20"/>
          <w:color w:val="auto"/>
        </w:rPr>
      </w:pPr>
      <w:r>
        <w:rPr>
          <w:rFonts w:ascii="Arial" w:cs="Arial" w:eastAsia="Arial" w:hAnsi="Arial"/>
          <w:sz w:val="17"/>
          <w:szCs w:val="17"/>
          <w:color w:val="auto"/>
        </w:rPr>
        <w:t>On January 16, 2007, under the 1999 Plan, Conditional Share Grant Agreements were executed which will grant certain employees 500 shares each of common stock immediately upon the satisfaction of the terms and conditions set forth in the Agreement. We have accrued in shareholders’ equity approximately $16,000 on December 29, 2007 for this grant.</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of December 29, 2007, a total of approximately 1.9 million shares are reserved for issuance under the plans mentioned above.</w:t>
      </w:r>
    </w:p>
    <w:p>
      <w:pPr>
        <w:spacing w:after="0" w:line="104"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On November 14, 2001, the Board of Directors approved a share repurchase program (which succeeded a previous program) allowing us to repurchase up to 2,500,000 shares of our common stock. In 2007, we repurchased 239,400 shares under this program. As of December 29, 2007, cumulative total authorized shares available for repurchase is approximately 1.2 million shares.</w:t>
      </w:r>
    </w:p>
    <w:p>
      <w:pPr>
        <w:spacing w:after="0" w:line="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Common stock activity for 2007, 2006 and 2005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Note</w:t>
            </w:r>
          </w:p>
        </w:tc>
        <w:tc>
          <w:tcPr>
            <w:tcW w:w="2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plan:</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Employee Stock Purchase</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H</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20,079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16,763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I</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200,266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332,881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Employee stock plans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220,345</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349,644</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411,245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gift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H</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Directors’ Stock Grant</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H</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2,300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2,500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 grant plans</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Deferred compensation</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F</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69,777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101,278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Directors’ Stock Retainer</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H</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40" w:type="dxa"/>
            <w:vAlign w:val="bottom"/>
            <w:gridSpan w:val="2"/>
          </w:tcPr>
          <w:p>
            <w:pPr>
              <w:ind w:left="400"/>
              <w:spacing w:after="0"/>
              <w:rPr>
                <w:sz w:val="20"/>
                <w:szCs w:val="20"/>
                <w:color w:val="auto"/>
              </w:rPr>
            </w:pPr>
            <w:r>
              <w:rPr>
                <w:rFonts w:ascii="Arial" w:cs="Arial" w:eastAsia="Arial" w:hAnsi="Arial"/>
                <w:sz w:val="18"/>
                <w:szCs w:val="18"/>
                <w:color w:val="auto"/>
              </w:rPr>
              <w:t>Deferred compensation plans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69,777</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101,278</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33,074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notes receivable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10,132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Shares received for exercise of stock options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(15,866)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(1,367)</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(49,244)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H</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(239,400)</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48,949</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456,244</w:t>
            </w:r>
          </w:p>
        </w:tc>
        <w:tc>
          <w:tcPr>
            <w:tcW w:w="3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400,393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common stock outstanding</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18,858,892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18,402,648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18,002,255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Ending common stock outstanding</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18,907,841</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18,858,892</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18,402,648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340" w:type="dxa"/>
            <w:vAlign w:val="bottom"/>
            <w:gridSpan w:val="2"/>
            <w:vMerge w:val="restart"/>
          </w:tcPr>
          <w:p>
            <w:pPr>
              <w:ind w:left="47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53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5" w:name="page86"/>
    <w:bookmarkEnd w:id="85"/>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388" w:hanging="388"/>
        <w:spacing w:after="0"/>
        <w:tabs>
          <w:tab w:leader="none" w:pos="388"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107" w:lineRule="exact"/>
        <w:rPr>
          <w:rFonts w:ascii="Arial" w:cs="Arial" w:eastAsia="Arial" w:hAnsi="Arial"/>
          <w:sz w:val="18"/>
          <w:szCs w:val="18"/>
          <w:b w:val="1"/>
          <w:bCs w:val="1"/>
          <w:color w:val="auto"/>
        </w:rPr>
      </w:pPr>
    </w:p>
    <w:p>
      <w:pPr>
        <w:jc w:val="both"/>
        <w:ind w:left="388" w:right="159"/>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Prior to January 1, 2006, we accounted for our stock option plans and our Employee Stock Purchase Plan using the intrinsic value method of accounting provided under the recognition and measurement provisions of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(“APB 25”) and related Interpretations, as permitted by Financial Accounting Standards Board (“FASB”) Statement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(“SFAS 123”) under which no compensation expense was recognized for stock option grants and issuance of stock pursuant to the Employee Stock Purchase Plan. Accordingly, share-based compensation was included as a pro forma disclosure in the financial statement footnotes and continues to be provided for the period prior to fiscal 2006.</w:t>
      </w:r>
    </w:p>
    <w:p>
      <w:pPr>
        <w:spacing w:after="0" w:line="56" w:lineRule="exact"/>
        <w:rPr>
          <w:rFonts w:ascii="Arial" w:cs="Arial" w:eastAsia="Arial" w:hAnsi="Arial"/>
          <w:sz w:val="18"/>
          <w:szCs w:val="18"/>
          <w:b w:val="1"/>
          <w:bCs w:val="1"/>
          <w:color w:val="auto"/>
        </w:rPr>
      </w:pPr>
    </w:p>
    <w:p>
      <w:pPr>
        <w:jc w:val="both"/>
        <w:ind w:left="388" w:right="159"/>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Prior to the adoption of SFAS 123(R), we presented all tax benefits of deductions resulting from the exercise of stock options as operating cash flows in the Consolidated Statements of Cash Flows. SFAS 123(R) requires the cash flows resulting from the tax benefits resulting from the tax deductions in excess of the compensation cost recognized for those options (“excess tax benefits from share-based compensation arrangements”) to be classified as financing cash flows. The $0.8 million and $4.0 million excess tax benefit from share-based compensation arrangements classified as a financing cash inflow for 2007 and 2006, respectively, would have been classified as an operating cash inflow if we had not adopted SFAS 123(R).</w:t>
      </w:r>
    </w:p>
    <w:p>
      <w:pPr>
        <w:spacing w:after="0" w:line="43"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provide compensation benefits to employees and non-employee directors under several share-based payment arrangements including various employee stock plans, the 2002 Employee Stock Purchase Plan, the Directors’ Retainer Stock Plan, the Directors’ Stock Grant Program and the Employee Stock Gift Program.</w:t>
      </w:r>
    </w:p>
    <w:p>
      <w:pPr>
        <w:spacing w:after="0" w:line="59"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Stock Option Plans</w:t>
      </w:r>
    </w:p>
    <w:p>
      <w:pPr>
        <w:spacing w:after="0" w:line="103"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To date, other than the Conditional Share Grant Agreements, we have only issued options under the 1999 plan.</w:t>
      </w:r>
    </w:p>
    <w:p>
      <w:pPr>
        <w:spacing w:after="0" w:line="103" w:lineRule="exact"/>
        <w:rPr>
          <w:rFonts w:ascii="Arial" w:cs="Arial" w:eastAsia="Arial" w:hAnsi="Arial"/>
          <w:sz w:val="18"/>
          <w:szCs w:val="18"/>
          <w:b w:val="1"/>
          <w:bCs w:val="1"/>
          <w:color w:val="auto"/>
        </w:rPr>
      </w:pPr>
    </w:p>
    <w:p>
      <w:pPr>
        <w:ind w:left="388" w:right="179"/>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Vesting requirements for awards under this plan will vary by individual grant and, as to outstanding awards, and are subject to time-based vesting. The contractual life of all of the options granted under this plan is no greater than 15 years.</w:t>
      </w:r>
    </w:p>
    <w:p>
      <w:pPr>
        <w:spacing w:after="0" w:line="200" w:lineRule="exact"/>
        <w:rPr>
          <w:sz w:val="20"/>
          <w:szCs w:val="20"/>
          <w:color w:val="auto"/>
        </w:rPr>
      </w:pPr>
    </w:p>
    <w:p>
      <w:pPr>
        <w:spacing w:after="0" w:line="311"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86" w:name="page87"/>
    <w:bookmarkEnd w:id="86"/>
    <w:p>
      <w:pPr>
        <w:jc w:val="center"/>
        <w:ind w:right="1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80" w:right="159"/>
        <w:spacing w:after="0" w:line="273" w:lineRule="auto"/>
        <w:rPr>
          <w:sz w:val="20"/>
          <w:szCs w:val="20"/>
          <w:color w:val="auto"/>
        </w:rPr>
      </w:pPr>
      <w:r>
        <w:rPr>
          <w:rFonts w:ascii="Arial" w:cs="Arial" w:eastAsia="Arial" w:hAnsi="Arial"/>
          <w:sz w:val="17"/>
          <w:szCs w:val="17"/>
          <w:color w:val="auto"/>
        </w:rPr>
        <w:t>The fair value of each option award is estimated as of the date of grant using the Black-Scholes option pricing model. Expected volatility assumptions used were based on historical volatility of our stock. We utilize historical data to estimate option exercise and employee termination behavior within the valuation model; separate groups of employees that have similar historical exercise behavior are considered separately for valuation purposes. The risk-free rate for the expected term of the option award was based on the U.S. Treasury yield curve in effect at the time of the grant. No new option awards were granted in 2007 and therefore no specific valuation assumptions are presented.</w:t>
      </w:r>
    </w:p>
    <w:p>
      <w:pPr>
        <w:spacing w:after="0" w:line="57" w:lineRule="exact"/>
        <w:rPr>
          <w:sz w:val="20"/>
          <w:szCs w:val="20"/>
          <w:color w:val="auto"/>
        </w:rPr>
      </w:pPr>
    </w:p>
    <w:p>
      <w:pPr>
        <w:jc w:val="both"/>
        <w:ind w:left="380" w:right="179"/>
        <w:spacing w:after="0" w:line="277" w:lineRule="auto"/>
        <w:rPr>
          <w:sz w:val="20"/>
          <w:szCs w:val="20"/>
          <w:color w:val="auto"/>
        </w:rPr>
      </w:pPr>
      <w:r>
        <w:rPr>
          <w:rFonts w:ascii="Arial" w:cs="Arial" w:eastAsia="Arial" w:hAnsi="Arial"/>
          <w:sz w:val="18"/>
          <w:szCs w:val="18"/>
          <w:color w:val="auto"/>
        </w:rPr>
        <w:t>The following summary presents information regarding outstanding options as of December 29, 2007 and changes during the period then ended with regard to options under all stock option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Stock</w:t>
            </w:r>
          </w:p>
        </w:tc>
        <w:tc>
          <w:tcPr>
            <w:tcW w:w="12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Under</w:t>
            </w:r>
          </w:p>
        </w:tc>
        <w:tc>
          <w:tcPr>
            <w:tcW w:w="1400" w:type="dxa"/>
            <w:vAlign w:val="bottom"/>
            <w:gridSpan w:val="3"/>
          </w:tcPr>
          <w:p>
            <w:pPr>
              <w:spacing w:after="0"/>
              <w:rPr>
                <w:sz w:val="20"/>
                <w:szCs w:val="20"/>
                <w:color w:val="auto"/>
              </w:rPr>
            </w:pPr>
            <w:r>
              <w:rPr>
                <w:rFonts w:ascii="Arial" w:cs="Arial" w:eastAsia="Arial" w:hAnsi="Arial"/>
                <w:sz w:val="18"/>
                <w:szCs w:val="18"/>
                <w:color w:val="auto"/>
              </w:rPr>
              <w:t>Exercise Price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Per Share</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25, 2004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1,877,259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17.42</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(397,406)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11.78</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16.81</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Outstanding at December 31, 2005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1,384,879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19.08</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(332,881)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15.56</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Forfeited or expired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20.87</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30, 2006</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1,036,284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20.18</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(200,266)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16.21</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(39,541)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23.65</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Outstanding at December 29, 2007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796,477</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20.92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4.27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7,388,252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29, 2007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21.98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3,967,160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at December 29, 2007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323,477</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84"/>
              </w:rPr>
              <w:t>19.47</w:t>
            </w:r>
          </w:p>
        </w:tc>
        <w:tc>
          <w:tcPr>
            <w:tcW w:w="3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80" w:right="1099"/>
        <w:spacing w:after="0" w:line="461" w:lineRule="auto"/>
        <w:rPr>
          <w:sz w:val="20"/>
          <w:szCs w:val="20"/>
          <w:color w:val="auto"/>
        </w:rPr>
      </w:pPr>
      <w:r>
        <w:rPr>
          <w:rFonts w:ascii="Arial" w:cs="Arial" w:eastAsia="Arial" w:hAnsi="Arial"/>
          <w:sz w:val="18"/>
          <w:szCs w:val="18"/>
          <w:color w:val="auto"/>
        </w:rPr>
        <w:t xml:space="preserve">The total intrinsic value of options exercised during 2007 and 2006 was $6.5 million and $16.9 million, respectively. </w:t>
      </w:r>
      <w:r>
        <w:rPr>
          <w:rFonts w:ascii="Arial" w:cs="Arial" w:eastAsia="Arial" w:hAnsi="Arial"/>
          <w:sz w:val="18"/>
          <w:szCs w:val="18"/>
          <w:i w:val="1"/>
          <w:iCs w:val="1"/>
          <w:color w:val="auto"/>
        </w:rPr>
        <w:t>Employee Stock Purchase Plan</w:t>
      </w:r>
    </w:p>
    <w:p>
      <w:pPr>
        <w:spacing w:after="0" w:line="2" w:lineRule="exact"/>
        <w:rPr>
          <w:sz w:val="20"/>
          <w:szCs w:val="20"/>
          <w:color w:val="auto"/>
        </w:rPr>
      </w:pPr>
    </w:p>
    <w:p>
      <w:pPr>
        <w:jc w:val="both"/>
        <w:ind w:left="380" w:right="159"/>
        <w:spacing w:after="0" w:line="312" w:lineRule="auto"/>
        <w:rPr>
          <w:sz w:val="20"/>
          <w:szCs w:val="20"/>
          <w:color w:val="auto"/>
        </w:rPr>
      </w:pPr>
      <w:r>
        <w:rPr>
          <w:rFonts w:ascii="Arial" w:cs="Arial" w:eastAsia="Arial" w:hAnsi="Arial"/>
          <w:sz w:val="16"/>
          <w:szCs w:val="16"/>
          <w:color w:val="auto"/>
        </w:rPr>
        <w:t>In 2007 and 2006, we issued shares under this plan totaling 20,079 and 16,763, respectively. In 2007 and 2006, the weighted average fair values per share of employee stock purchase rights pursuant to this plan were $5.42 and $8.26, respectively. The fair value of the stock purchase rights approximated the difference between the stock price and the employee purchase price.</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Directors’ Retainer Stock Plan</w:t>
      </w:r>
    </w:p>
    <w:p>
      <w:pPr>
        <w:spacing w:after="0" w:line="185" w:lineRule="exact"/>
        <w:rPr>
          <w:sz w:val="20"/>
          <w:szCs w:val="20"/>
          <w:color w:val="auto"/>
        </w:rPr>
      </w:pPr>
    </w:p>
    <w:p>
      <w:pPr>
        <w:jc w:val="both"/>
        <w:ind w:left="380" w:right="179"/>
        <w:spacing w:after="0" w:line="286" w:lineRule="auto"/>
        <w:rPr>
          <w:sz w:val="20"/>
          <w:szCs w:val="20"/>
          <w:color w:val="auto"/>
        </w:rPr>
      </w:pPr>
      <w:r>
        <w:rPr>
          <w:rFonts w:ascii="Arial" w:cs="Arial" w:eastAsia="Arial" w:hAnsi="Arial"/>
          <w:sz w:val="17"/>
          <w:szCs w:val="17"/>
          <w:color w:val="auto"/>
        </w:rPr>
        <w:t>We recognized the fair market value of the shares issued under this plan, calculated using the number of shares issued and the stock price on the issuance date, as expense and recorded the related obligation in shareholders’ equity. In 2007 and 2006, we recognized approximately $281,000 and $259,000, respectively, in expense for shares issued under this program.</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87" w:name="page88"/>
    <w:bookmarkEnd w:id="87"/>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Directors’ Stock Grant Program</w:t>
      </w:r>
    </w:p>
    <w:p>
      <w:pPr>
        <w:spacing w:after="0" w:line="185" w:lineRule="exact"/>
        <w:rPr>
          <w:sz w:val="20"/>
          <w:szCs w:val="20"/>
          <w:color w:val="auto"/>
        </w:rPr>
      </w:pPr>
    </w:p>
    <w:p>
      <w:pPr>
        <w:jc w:val="both"/>
        <w:ind w:left="720" w:right="1360"/>
        <w:spacing w:after="0" w:line="342" w:lineRule="auto"/>
        <w:rPr>
          <w:sz w:val="20"/>
          <w:szCs w:val="20"/>
          <w:color w:val="auto"/>
        </w:rPr>
      </w:pPr>
      <w:r>
        <w:rPr>
          <w:rFonts w:ascii="Arial" w:cs="Arial" w:eastAsia="Arial" w:hAnsi="Arial"/>
          <w:sz w:val="16"/>
          <w:szCs w:val="16"/>
          <w:color w:val="auto"/>
        </w:rPr>
        <w:t>In 2007 and 2006, we recognized the fair market value of the shares issued under this plan, calculated using the number of shares issued and the stock price on the issuance date, as an expense totaling approximately $106,000 and $142,000, respectively.</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Conditional Share Grant Agreements</w:t>
      </w:r>
    </w:p>
    <w:p>
      <w:pPr>
        <w:spacing w:after="0" w:line="198" w:lineRule="exact"/>
        <w:rPr>
          <w:sz w:val="20"/>
          <w:szCs w:val="20"/>
          <w:color w:val="auto"/>
        </w:rPr>
      </w:pPr>
    </w:p>
    <w:p>
      <w:pPr>
        <w:jc w:val="both"/>
        <w:ind w:left="720" w:right="1360"/>
        <w:spacing w:after="0" w:line="277" w:lineRule="auto"/>
        <w:rPr>
          <w:sz w:val="20"/>
          <w:szCs w:val="20"/>
          <w:color w:val="auto"/>
        </w:rPr>
      </w:pPr>
      <w:r>
        <w:rPr>
          <w:rFonts w:ascii="Arial" w:cs="Arial" w:eastAsia="Arial" w:hAnsi="Arial"/>
          <w:sz w:val="18"/>
          <w:szCs w:val="18"/>
          <w:color w:val="auto"/>
        </w:rPr>
        <w:t>In 2007 and 2006, we recognized the fair value of the award estimated as of the date of grant. We recognized approximately $39,000 and $112,000, respectively, in expense for shares issuable under this program.</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All Share-Based Payment Arrangements</w:t>
      </w:r>
    </w:p>
    <w:p>
      <w:pPr>
        <w:spacing w:after="0" w:line="185" w:lineRule="exact"/>
        <w:rPr>
          <w:sz w:val="20"/>
          <w:szCs w:val="20"/>
          <w:color w:val="auto"/>
        </w:rPr>
      </w:pPr>
    </w:p>
    <w:p>
      <w:pPr>
        <w:jc w:val="both"/>
        <w:ind w:left="720" w:right="1360"/>
        <w:spacing w:after="0" w:line="259" w:lineRule="auto"/>
        <w:rPr>
          <w:sz w:val="20"/>
          <w:szCs w:val="20"/>
          <w:color w:val="auto"/>
        </w:rPr>
      </w:pPr>
      <w:r>
        <w:rPr>
          <w:rFonts w:ascii="Arial" w:cs="Arial" w:eastAsia="Arial" w:hAnsi="Arial"/>
          <w:sz w:val="18"/>
          <w:szCs w:val="18"/>
          <w:color w:val="auto"/>
        </w:rPr>
        <w:t>The total share-based compensation cost and the related total income tax benefit that has been recognized in results of operations was approximately $0.9 million and $299,000, respectively in 2007. The total share-based compensation cost and the related total income tax benefit that has been recognized in results of operations was approximately $1.4 million and $481,000, respectively in 2006.</w:t>
      </w:r>
    </w:p>
    <w:p>
      <w:pPr>
        <w:spacing w:after="0" w:line="160" w:lineRule="exact"/>
        <w:rPr>
          <w:sz w:val="20"/>
          <w:szCs w:val="20"/>
          <w:color w:val="auto"/>
        </w:rPr>
      </w:pPr>
    </w:p>
    <w:p>
      <w:pPr>
        <w:jc w:val="both"/>
        <w:ind w:left="720" w:right="1360"/>
        <w:spacing w:after="0" w:line="277" w:lineRule="auto"/>
        <w:rPr>
          <w:sz w:val="20"/>
          <w:szCs w:val="20"/>
          <w:color w:val="auto"/>
        </w:rPr>
      </w:pPr>
      <w:r>
        <w:rPr>
          <w:rFonts w:ascii="Arial" w:cs="Arial" w:eastAsia="Arial" w:hAnsi="Arial"/>
          <w:sz w:val="18"/>
          <w:szCs w:val="18"/>
          <w:color w:val="auto"/>
        </w:rPr>
        <w:t>As of December 29, 2007, there was $0.9 million of total unrecognized compensation cost related to share-based compensation arrangements. That cost is expected to be recognized over a weighted average period of 2.78 years.</w:t>
      </w:r>
    </w:p>
    <w:p>
      <w:pPr>
        <w:spacing w:after="0" w:line="130" w:lineRule="exact"/>
        <w:rPr>
          <w:sz w:val="20"/>
          <w:szCs w:val="20"/>
          <w:color w:val="auto"/>
        </w:rPr>
      </w:pPr>
    </w:p>
    <w:p>
      <w:pPr>
        <w:jc w:val="both"/>
        <w:ind w:left="720" w:right="1360"/>
        <w:spacing w:after="0" w:line="264" w:lineRule="auto"/>
        <w:rPr>
          <w:sz w:val="20"/>
          <w:szCs w:val="20"/>
          <w:color w:val="auto"/>
        </w:rPr>
      </w:pPr>
      <w:r>
        <w:rPr>
          <w:rFonts w:ascii="Arial" w:cs="Arial" w:eastAsia="Arial" w:hAnsi="Arial"/>
          <w:sz w:val="18"/>
          <w:szCs w:val="18"/>
          <w:color w:val="auto"/>
        </w:rPr>
        <w:t>In 2007 and 2006, cash received from option exercises and share issuances under the Stock Purchase Plan was $3.5 million and $5.9 million, respectively. The actual tax benefit realized in 2007 and 2006 for the tax deductions from option exercises totaled $1.9 million and $4.4 million, respectively.</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Pro Forma Net Earnings</w:t>
      </w:r>
    </w:p>
    <w:p>
      <w:pPr>
        <w:spacing w:after="0" w:line="198" w:lineRule="exact"/>
        <w:rPr>
          <w:sz w:val="20"/>
          <w:szCs w:val="20"/>
          <w:color w:val="auto"/>
        </w:rPr>
      </w:pPr>
    </w:p>
    <w:p>
      <w:pPr>
        <w:jc w:val="both"/>
        <w:ind w:left="720" w:right="1380"/>
        <w:spacing w:after="0" w:line="277" w:lineRule="auto"/>
        <w:rPr>
          <w:sz w:val="20"/>
          <w:szCs w:val="20"/>
          <w:color w:val="auto"/>
        </w:rPr>
      </w:pPr>
      <w:r>
        <w:rPr>
          <w:rFonts w:ascii="Arial" w:cs="Arial" w:eastAsia="Arial" w:hAnsi="Arial"/>
          <w:sz w:val="18"/>
          <w:szCs w:val="18"/>
          <w:color w:val="auto"/>
        </w:rPr>
        <w:t>The following table provides pro forma net earnings and earnings per share had we applied the fair value method of SFAS 123 for 2005 (in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4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67,373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Deduct: Compensation expense - fair value method</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w:t>
            </w:r>
          </w:p>
        </w:tc>
        <w:tc>
          <w:tcPr>
            <w:tcW w:w="136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4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EPS - Basic:</w:t>
            </w:r>
          </w:p>
        </w:tc>
        <w:tc>
          <w:tcPr>
            <w:tcW w:w="4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As Reported</w:t>
            </w:r>
          </w:p>
        </w:tc>
        <w:tc>
          <w:tcPr>
            <w:tcW w:w="4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4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c>
          <w:tcPr>
            <w:tcW w:w="136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EPS - Diluted:</w:t>
            </w: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Reported</w:t>
            </w:r>
          </w:p>
        </w:tc>
        <w:tc>
          <w:tcPr>
            <w:tcW w:w="4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4320" w:type="dxa"/>
            <w:vAlign w:val="bottom"/>
          </w:tcPr>
          <w:p>
            <w:pPr>
              <w:ind w:left="400"/>
              <w:spacing w:after="0"/>
              <w:rPr>
                <w:sz w:val="20"/>
                <w:szCs w:val="20"/>
                <w:color w:val="auto"/>
              </w:rPr>
            </w:pPr>
            <w:r>
              <w:rPr>
                <w:rFonts w:ascii="Arial" w:cs="Arial" w:eastAsia="Arial" w:hAnsi="Arial"/>
                <w:sz w:val="18"/>
                <w:szCs w:val="18"/>
                <w:color w:val="auto"/>
              </w:rPr>
              <w:t>Pro Forma</w:t>
            </w:r>
          </w:p>
        </w:tc>
        <w:tc>
          <w:tcPr>
            <w:tcW w:w="4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36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220" w:type="dxa"/>
            <w:vAlign w:val="bottom"/>
          </w:tcPr>
          <w:p>
            <w:pPr>
              <w:jc w:val="right"/>
              <w:ind w:right="351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88" w:name="page89"/>
    <w:bookmarkEnd w:id="88"/>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options were granted in 2005.</w:t>
      </w:r>
    </w:p>
    <w:p>
      <w:pPr>
        <w:spacing w:after="0" w:line="100" w:lineRule="exact"/>
        <w:rPr>
          <w:sz w:val="20"/>
          <w:szCs w:val="20"/>
          <w:color w:val="auto"/>
        </w:rPr>
      </w:pPr>
    </w:p>
    <w:p>
      <w:pPr>
        <w:ind w:left="720" w:hanging="388"/>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107" w:lineRule="exact"/>
        <w:rPr>
          <w:rFonts w:ascii="Arial" w:cs="Arial" w:eastAsia="Arial" w:hAnsi="Arial"/>
          <w:sz w:val="18"/>
          <w:szCs w:val="18"/>
          <w:b w:val="1"/>
          <w:bCs w:val="1"/>
          <w:color w:val="auto"/>
        </w:rPr>
      </w:pPr>
    </w:p>
    <w:p>
      <w:pPr>
        <w:jc w:val="both"/>
        <w:ind w:left="720" w:right="13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have a profit sharing and 401(k) plan for the benefit of substantially all of our employees, excluding the employees of certain non-wholly-owned subsidiaries. Amounts contributed to the plan are made at the discretion of the Board of Directors. We matched 50% of employee contributions in 2007, 2006, and 2005, on a discretionary basis, totaling $4.1 million, $3.9 million, and $3.7 million, respectively. The basis for matching contributions may not exceed the lesser of 6% of the employee’s annual compensation or the IRS limitation.</w:t>
      </w:r>
    </w:p>
    <w:p>
      <w:pPr>
        <w:spacing w:after="0" w:line="62" w:lineRule="exact"/>
        <w:rPr>
          <w:rFonts w:ascii="Arial" w:cs="Arial" w:eastAsia="Arial" w:hAnsi="Arial"/>
          <w:sz w:val="18"/>
          <w:szCs w:val="18"/>
          <w:b w:val="1"/>
          <w:bCs w:val="1"/>
          <w:color w:val="auto"/>
        </w:rPr>
      </w:pPr>
    </w:p>
    <w:p>
      <w:pPr>
        <w:ind w:left="720" w:hanging="388"/>
        <w:spacing w:after="0"/>
        <w:tabs>
          <w:tab w:leader="none" w:pos="7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07" w:lineRule="exact"/>
        <w:rPr>
          <w:rFonts w:ascii="Arial" w:cs="Arial" w:eastAsia="Arial" w:hAnsi="Arial"/>
          <w:sz w:val="18"/>
          <w:szCs w:val="18"/>
          <w:b w:val="1"/>
          <w:bCs w:val="1"/>
          <w:color w:val="auto"/>
        </w:rPr>
      </w:pPr>
    </w:p>
    <w:p>
      <w:pPr>
        <w:ind w:left="720" w:right="1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Income tax provisions for the years ended December 29, 2007, December 30, 2006, and December 31, 3005 are summarized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Currently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Federal</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13,725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32,288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38,250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4,947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2,824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2,649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Deferred: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15,396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38,760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vMerge w:val="restart"/>
          </w:tcPr>
          <w:p>
            <w:pPr>
              <w:spacing w:after="0"/>
              <w:rPr>
                <w:sz w:val="20"/>
                <w:szCs w:val="20"/>
                <w:color w:val="auto"/>
              </w:rPr>
            </w:pPr>
            <w:r>
              <w:rPr>
                <w:rFonts w:ascii="Arial" w:cs="Arial" w:eastAsia="Arial" w:hAnsi="Arial"/>
                <w:sz w:val="18"/>
                <w:szCs w:val="18"/>
                <w:color w:val="auto"/>
                <w:w w:val="95"/>
              </w:rPr>
              <w:t>The components of earnings before income taxes consist of the following:</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37,641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6,473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38,609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40" w:type="dxa"/>
            <w:vAlign w:val="bottom"/>
            <w:vMerge w:val="restart"/>
          </w:tcPr>
          <w:p>
            <w:pPr>
              <w:ind w:left="476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9" w:name="page90"/>
    <w:bookmarkEnd w:id="89"/>
    <w:p>
      <w:pPr>
        <w:jc w:val="center"/>
        <w:ind w:right="17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5"/>
          </w:tcPr>
          <w:p>
            <w:pPr>
              <w:ind w:left="380"/>
              <w:spacing w:after="0"/>
              <w:rPr>
                <w:sz w:val="20"/>
                <w:szCs w:val="20"/>
                <w:color w:val="auto"/>
              </w:rPr>
            </w:pPr>
            <w:r>
              <w:rPr>
                <w:rFonts w:ascii="Arial" w:cs="Arial" w:eastAsia="Arial" w:hAnsi="Arial"/>
                <w:sz w:val="18"/>
                <w:szCs w:val="18"/>
                <w:color w:val="auto"/>
                <w:w w:val="92"/>
              </w:rPr>
              <w:t>The effective income tax rates are different from the statutory federal income tax rates for the following reasons: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46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State and local taxes (net of federal benefits)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of minority owned interest in earnings of partnerships</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credits</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80" w:right="159"/>
        <w:spacing w:after="0" w:line="276" w:lineRule="auto"/>
        <w:rPr>
          <w:sz w:val="20"/>
          <w:szCs w:val="20"/>
          <w:color w:val="auto"/>
        </w:rPr>
      </w:pPr>
      <w:r>
        <w:rPr>
          <w:rFonts w:ascii="Arial" w:cs="Arial" w:eastAsia="Arial" w:hAnsi="Arial"/>
          <w:sz w:val="17"/>
          <w:szCs w:val="17"/>
          <w:color w:val="auto"/>
        </w:rPr>
        <w:t>For the year ended December 29, 2007, the effective tax rate was favorably impacted by the federal research &amp; development (“R&amp;D”) tax credits for 2007, all of which were recognized in 2007. For the year ended December 30, 2006, the effective tax rate was favorably impacted by the federal research &amp; development (“R&amp;D”) tax credits for 2001 — 2006, all of which were recognized in 2006. During 2007 and 2006, we completed a project to identify eligible expenditures for purposes of claiming R&amp;D tax credits, for which amended tax returns for 2001 — 2005 have been or will be filed.</w:t>
      </w:r>
    </w:p>
    <w:p>
      <w:pPr>
        <w:spacing w:after="0" w:line="132" w:lineRule="exact"/>
        <w:rPr>
          <w:sz w:val="20"/>
          <w:szCs w:val="20"/>
          <w:color w:val="auto"/>
        </w:rPr>
      </w:pPr>
    </w:p>
    <w:p>
      <w:pPr>
        <w:jc w:val="both"/>
        <w:ind w:left="380" w:right="159"/>
        <w:spacing w:after="0" w:line="277" w:lineRule="auto"/>
        <w:rPr>
          <w:sz w:val="20"/>
          <w:szCs w:val="20"/>
          <w:color w:val="auto"/>
        </w:rPr>
      </w:pPr>
      <w:r>
        <w:rPr>
          <w:rFonts w:ascii="Arial" w:cs="Arial" w:eastAsia="Arial" w:hAnsi="Arial"/>
          <w:sz w:val="18"/>
          <w:szCs w:val="18"/>
          <w:color w:val="auto"/>
        </w:rPr>
        <w:t>In accordance with the provisions of the American Jobs Creation Act of 2004, we recognized income tax charges of $0.1 million in 2005 related to the repatriation of $2.3 million of undistributed foreign earnings.</w:t>
      </w:r>
    </w:p>
    <w:p>
      <w:pPr>
        <w:spacing w:after="0" w:line="143" w:lineRule="exact"/>
        <w:rPr>
          <w:sz w:val="20"/>
          <w:szCs w:val="20"/>
          <w:color w:val="auto"/>
        </w:rPr>
      </w:pPr>
    </w:p>
    <w:p>
      <w:pPr>
        <w:jc w:val="both"/>
        <w:ind w:left="380" w:right="159"/>
        <w:spacing w:after="0" w:line="277" w:lineRule="auto"/>
        <w:rPr>
          <w:sz w:val="20"/>
          <w:szCs w:val="20"/>
          <w:color w:val="auto"/>
        </w:rPr>
      </w:pPr>
      <w:r>
        <w:rPr>
          <w:rFonts w:ascii="Arial" w:cs="Arial" w:eastAsia="Arial" w:hAnsi="Arial"/>
          <w:sz w:val="18"/>
          <w:szCs w:val="18"/>
          <w:color w:val="auto"/>
        </w:rPr>
        <w:t>Temporary differences which give rise to deferred tax assets and (liabilities) on December 29, 2007 and December 30, 2006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0"/>
                <w:szCs w:val="20"/>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7,711</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Foreign subsidiary net operating loss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1,991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3,782</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14,025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(1,088)</w:t>
            </w:r>
          </w:p>
        </w:tc>
      </w:tr>
      <w:tr>
        <w:trPr>
          <w:trHeight w:val="27"/>
        </w:trPr>
        <w:tc>
          <w:tcPr>
            <w:tcW w:w="7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12,937</w:t>
            </w: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(23,745)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(11,983)</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(19,569)</w:t>
            </w:r>
          </w:p>
        </w:tc>
        <w:tc>
          <w:tcPr>
            <w:tcW w:w="120" w:type="dxa"/>
            <w:vAlign w:val="bottom"/>
          </w:tcPr>
          <w:p>
            <w:pPr>
              <w:spacing w:after="0"/>
              <w:rPr>
                <w:sz w:val="20"/>
                <w:szCs w:val="20"/>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(16,501)</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(6,632)</w:t>
            </w:r>
          </w:p>
        </w:tc>
      </w:tr>
      <w:tr>
        <w:trPr>
          <w:trHeight w:val="20"/>
        </w:trPr>
        <w:tc>
          <w:tcPr>
            <w:tcW w:w="7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80" w:right="179"/>
        <w:spacing w:after="0" w:line="286" w:lineRule="auto"/>
        <w:rPr>
          <w:sz w:val="20"/>
          <w:szCs w:val="20"/>
          <w:color w:val="auto"/>
        </w:rPr>
      </w:pPr>
      <w:r>
        <w:rPr>
          <w:rFonts w:ascii="Arial" w:cs="Arial" w:eastAsia="Arial" w:hAnsi="Arial"/>
          <w:sz w:val="17"/>
          <w:szCs w:val="17"/>
          <w:color w:val="auto"/>
        </w:rPr>
        <w:t>The valuation allowance consists of a net operating loss carryforward we have for a wholly-owned subsidiary, Universal Forest Products of Canada, Inc. We do not anticipate realizing a future benefit from this loss carryforward, therefore, we established an allowance for the entire amount of the future benefit. This carryforward will expire at the end of 2027.</w:t>
      </w:r>
    </w:p>
    <w:p>
      <w:pPr>
        <w:spacing w:after="0" w:line="200" w:lineRule="exact"/>
        <w:rPr>
          <w:sz w:val="20"/>
          <w:szCs w:val="20"/>
          <w:color w:val="auto"/>
        </w:rPr>
      </w:pPr>
    </w:p>
    <w:p>
      <w:pPr>
        <w:spacing w:after="0" w:line="3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0" w:name="page91"/>
    <w:bookmarkEnd w:id="90"/>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88" w:hanging="388"/>
        <w:spacing w:after="0"/>
        <w:tabs>
          <w:tab w:leader="none" w:pos="38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107"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July 2006, the FASB issued FASB Interpretation No. 48 (“FIN 48”) “Accounting for Uncertainty in Income Taxes.” FIN 48 clarifies the accounting for income taxes by prescribing the minimum recognition threshold a tax position is required to meet before being recognized in the financial statements. FIN 48 also provides guidance on derecognition, measurement, classification, interest and penalties, and disclosure requirements. FIN 48 is effective for fiscal years beginning after December 15, 2006. Accordingly, we adopted FIN 48 beginning December 31, 2006. The implementation of FIN 48 did not have a significant impact on our financial position or results of operations.</w:t>
      </w:r>
    </w:p>
    <w:p>
      <w:pPr>
        <w:spacing w:after="0" w:line="71"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4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30, 2006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6,428</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Increase in tax positions for prior years</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positions for current year</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Settlements</w:t>
            </w:r>
          </w:p>
        </w:tc>
        <w:tc>
          <w:tcPr>
            <w:tcW w:w="3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Lapse in statute of limitations</w:t>
            </w: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Gross unrecognized tax benefits at December 29, 2007</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88" w:right="159"/>
        <w:spacing w:after="0" w:line="259" w:lineRule="auto"/>
        <w:rPr>
          <w:sz w:val="20"/>
          <w:szCs w:val="20"/>
          <w:color w:val="auto"/>
        </w:rPr>
      </w:pPr>
      <w:r>
        <w:rPr>
          <w:rFonts w:ascii="Arial" w:cs="Arial" w:eastAsia="Arial" w:hAnsi="Arial"/>
          <w:sz w:val="18"/>
          <w:szCs w:val="18"/>
          <w:color w:val="auto"/>
        </w:rPr>
        <w:t>The total amount of net unrecognized tax benefits that, if recognized, would affect the effective tax rate was $8.7 million at December 29, 2007. We recognized interest and penalties for unrecognized tax benefits in our provision for income taxes. The liability for unrecognized tax benefits included accrued interest and penalties of $0.3 million and $0.2 million at December 29, 2007 and December 30, 2006, respectively.</w:t>
      </w:r>
    </w:p>
    <w:p>
      <w:pPr>
        <w:spacing w:after="0" w:line="65" w:lineRule="exact"/>
        <w:rPr>
          <w:sz w:val="20"/>
          <w:szCs w:val="20"/>
          <w:color w:val="auto"/>
        </w:rPr>
      </w:pPr>
    </w:p>
    <w:p>
      <w:pPr>
        <w:jc w:val="both"/>
        <w:ind w:left="388" w:right="159"/>
        <w:spacing w:after="0" w:line="255" w:lineRule="auto"/>
        <w:rPr>
          <w:sz w:val="20"/>
          <w:szCs w:val="20"/>
          <w:color w:val="auto"/>
        </w:rPr>
      </w:pPr>
      <w:r>
        <w:rPr>
          <w:rFonts w:ascii="Arial" w:cs="Arial" w:eastAsia="Arial" w:hAnsi="Arial"/>
          <w:sz w:val="18"/>
          <w:szCs w:val="18"/>
          <w:color w:val="auto"/>
        </w:rPr>
        <w:t>We file income tax returns in the United States and in various state, local and foreign jurisdictions. For the majority of tax jurisdictions, we are no longer subject to income tax examinations for years before 2004. A number of state and local examinations as well as an examination by the Internal Revenue Service are currently ongoing. It is possible that these examinations may be resolved within the next twelve months. Due to the potential for resolution of Federal, state and foreign examinations, and the expiration of various statutes of limitation, it is reasonably possible that our gross unrecognized tax benefits may change within the next twelve months by a range of zero to $5.5 million.</w:t>
      </w:r>
    </w:p>
    <w:p>
      <w:pPr>
        <w:spacing w:after="0" w:line="68" w:lineRule="exact"/>
        <w:rPr>
          <w:sz w:val="20"/>
          <w:szCs w:val="20"/>
          <w:color w:val="auto"/>
        </w:rPr>
      </w:pPr>
    </w:p>
    <w:p>
      <w:pPr>
        <w:ind w:left="388" w:hanging="388"/>
        <w:spacing w:after="0"/>
        <w:tabs>
          <w:tab w:leader="none" w:pos="38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107" w:lineRule="exact"/>
        <w:rPr>
          <w:rFonts w:ascii="Arial" w:cs="Arial" w:eastAsia="Arial" w:hAnsi="Arial"/>
          <w:sz w:val="18"/>
          <w:szCs w:val="18"/>
          <w:b w:val="1"/>
          <w:bCs w:val="1"/>
          <w:color w:val="auto"/>
        </w:rPr>
      </w:pPr>
    </w:p>
    <w:p>
      <w:pPr>
        <w:jc w:val="both"/>
        <w:ind w:left="388" w:right="159"/>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We are self-insured for environmental impairment liability, including certain liabilities which are insured through a wholly-owned subsidiary, UFP Insurance Ltd., a licensed captive insurance company. 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Insurance reserves, calculated with no discount rate, have been established to cover remediation activities at our affiliates’ facilities in Stockertown, PA; Elizabeth City, NC; Auburndale, FL; Janesville, WI; Medley, FL; and Ponce, PR wood preservation facilities. In addition, a reserve was established for our affiliate’s facility in Thornton, CA to remove asbestos and certain lead containing materials which existed on the property at the time of purchase.</w:t>
      </w:r>
    </w:p>
    <w:p>
      <w:pPr>
        <w:spacing w:after="0" w:line="200" w:lineRule="exact"/>
        <w:rPr>
          <w:sz w:val="20"/>
          <w:szCs w:val="20"/>
          <w:color w:val="auto"/>
        </w:rPr>
      </w:pPr>
    </w:p>
    <w:p>
      <w:pPr>
        <w:spacing w:after="0" w:line="33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1" w:name="page92"/>
    <w:bookmarkEnd w:id="91"/>
    <w:p>
      <w:pPr>
        <w:jc w:val="center"/>
        <w:ind w:right="53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On a consolidated basis, we have reserved approximately $4.4 million on December 29, 2007 and $1.6 million on December 30, 2006, representing the estimated costs to complete future remediation efforts. These amounts have not been reduced by an insurance receivable.</w:t>
      </w:r>
    </w:p>
    <w:p>
      <w:pPr>
        <w:spacing w:after="0" w:line="60"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The manufacturers of CCA preservative voluntarily discontinued the registration of CCA for certain residential applications as of December 31, 2003. Our wood preservation facilities have been converted to alternate preservatives, either ACQ, borates or ProWood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Micro.</w:t>
      </w:r>
    </w:p>
    <w:p>
      <w:pPr>
        <w:spacing w:after="0" w:line="1" w:lineRule="exact"/>
        <w:rPr>
          <w:sz w:val="20"/>
          <w:szCs w:val="20"/>
          <w:color w:val="auto"/>
        </w:rPr>
      </w:pPr>
    </w:p>
    <w:p>
      <w:pPr>
        <w:jc w:val="both"/>
        <w:ind w:right="159"/>
        <w:spacing w:after="0" w:line="251" w:lineRule="auto"/>
        <w:rPr>
          <w:sz w:val="20"/>
          <w:szCs w:val="20"/>
          <w:color w:val="auto"/>
        </w:rPr>
      </w:pPr>
      <w:r>
        <w:rPr>
          <w:rFonts w:ascii="Arial" w:cs="Arial" w:eastAsia="Arial" w:hAnsi="Arial"/>
          <w:sz w:val="18"/>
          <w:szCs w:val="18"/>
          <w:color w:val="auto"/>
        </w:rPr>
        <w:t>In November 2003, the EPA published its report on the risks associated with the use of CCA in children’s playsets. While the study observed that the range of potential exposure to CCA increased by the continuous use of playsets, the EPA concluded that the risks were not sufficient to require removal or replacement of any CCA treated structures. The results of the EPA study are consistent with a prior Consumer Products Safety Commission (CPSC) study which reached a similar conclusion. The EPA did refer a question on the use of sealants to a scientific advisory panel. The panel issued a report which provides guidance to the EPA on the use of various sealants but does not mandate their use. The EPA was expected to issue a final report at the end of 2007.</w:t>
      </w:r>
    </w:p>
    <w:p>
      <w:pPr>
        <w:spacing w:after="0" w:line="76"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addition, various special interest environmental groups have petitioned certain states requesting restrictions on the use or disposal of CCA treated products. The wood preservation industry trade groups are working with the individual states and their regulatory agencies to provide an accurate, factual background which demonstrates that the present method of uses and disposal is scientifically supported.</w:t>
      </w:r>
    </w:p>
    <w:p>
      <w:pPr>
        <w:spacing w:after="0" w:line="65"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We have not accrued for any potential loss related to the contingencies above. However, potential liabilities of this nature are not conducive to precise estimates and are subject to change.</w:t>
      </w:r>
    </w:p>
    <w:p>
      <w:pPr>
        <w:spacing w:after="0" w:line="4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addition, on December 29, 2007, we were parties either as plaintiff or a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200" w:lineRule="exact"/>
        <w:rPr>
          <w:sz w:val="20"/>
          <w:szCs w:val="20"/>
          <w:color w:val="auto"/>
        </w:rPr>
      </w:pPr>
    </w:p>
    <w:p>
      <w:pPr>
        <w:spacing w:after="0" w:line="33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2" w:right="1440" w:bottom="1440" w:gutter="0" w:footer="0" w:header="0"/>
        </w:sectPr>
      </w:pPr>
    </w:p>
    <w:bookmarkStart w:id="92" w:name="page93"/>
    <w:bookmarkEnd w:id="92"/>
    <w:p>
      <w:pPr>
        <w:jc w:val="center"/>
        <w:ind w:right="539"/>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On December 29, 2007, we had outstanding purchase commitments on capital projects of approximately $2.2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w:t>
      </w:r>
    </w:p>
    <w:p>
      <w:pPr>
        <w:spacing w:after="0" w:line="104" w:lineRule="exact"/>
        <w:rPr>
          <w:sz w:val="20"/>
          <w:szCs w:val="20"/>
          <w:color w:val="auto"/>
        </w:rPr>
      </w:pPr>
    </w:p>
    <w:p>
      <w:pPr>
        <w:jc w:val="both"/>
        <w:ind w:right="159"/>
        <w:spacing w:after="0" w:line="255" w:lineRule="auto"/>
        <w:rPr>
          <w:sz w:val="20"/>
          <w:szCs w:val="20"/>
          <w:color w:val="auto"/>
        </w:rPr>
      </w:pPr>
      <w:r>
        <w:rPr>
          <w:rFonts w:ascii="Arial" w:cs="Arial" w:eastAsia="Arial" w:hAnsi="Arial"/>
          <w:sz w:val="18"/>
          <w:szCs w:val="18"/>
          <w:color w:val="auto"/>
        </w:rPr>
        <w:t>In certain cases we jointly bid on contracts with framing companies to supply building materials to site-built construction projects. In some of these instances we are required to post payment and performance bonds to insure the owner that the products and installation services are completed in accordance with our contractual obligations. We have agreed to indemnify the surety for claims made against the bonds. Historically, we have not had any claims for indemnity from our sureties. As of December 29, 2007, we had approximately $18.1 million in outstanding payment and performance bonds, which expire during the next two years. In addition, approximately $20.9 million in payment and performance bonds are outstanding for completed projects which are still under warranty.</w:t>
      </w:r>
    </w:p>
    <w:p>
      <w:pPr>
        <w:spacing w:after="0" w:line="68" w:lineRule="exact"/>
        <w:rPr>
          <w:sz w:val="20"/>
          <w:szCs w:val="20"/>
          <w:color w:val="auto"/>
        </w:rPr>
      </w:pPr>
    </w:p>
    <w:p>
      <w:pPr>
        <w:jc w:val="both"/>
        <w:ind w:right="159"/>
        <w:spacing w:after="0" w:line="257" w:lineRule="auto"/>
        <w:rPr>
          <w:sz w:val="20"/>
          <w:szCs w:val="20"/>
          <w:color w:val="auto"/>
        </w:rPr>
      </w:pPr>
      <w:r>
        <w:rPr>
          <w:rFonts w:ascii="Arial" w:cs="Arial" w:eastAsia="Arial" w:hAnsi="Arial"/>
          <w:sz w:val="18"/>
          <w:szCs w:val="18"/>
          <w:color w:val="auto"/>
        </w:rPr>
        <w:t>We have entered into operating leases for certain assets that include a guarantee of a portion of the residual value of the leased assets. If at the expiration of the initial lease term we do not exercise our option to purchase the leased assets and these assets are sold by the lessor for a price below a predetermined amount, we will reimburse the lessor for a certain portion of the shortfall. These operating leases will expire periodically over the next five years. The estimated maximum aggregate exposure of these guarantees is approximately $2.4 million.</w:t>
      </w:r>
    </w:p>
    <w:p>
      <w:pPr>
        <w:spacing w:after="0" w:line="67"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Under our sale of accounts receivable agreement, we guarantee that a subsidiary, as accounts servicer, will remit collections on receivables sold to the bank. (See Note G, “Sale of Accounts Receivable.”)</w:t>
      </w:r>
    </w:p>
    <w:p>
      <w:pPr>
        <w:spacing w:after="0" w:line="4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On December 29, 2007, we had outstanding letters of credit totaling $33.7 million, primarily related to certain insurance contracts, industrial development revenue bonds and commercial trade, as further described below.</w:t>
      </w:r>
    </w:p>
    <w:p>
      <w:pPr>
        <w:spacing w:after="0" w:line="49"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lieu of cash deposits, we provide irrevocable letters of credit in favor of our insurers to guarantee our performance under certain insurance contracts. We currently have irrevocable letters of credit outstanding totaling approximately $17.4 million for these types of insurance arrangements. We have reserves recorded on our balance sheet, in accrued liabilities, that reflect our expected future liabilities under these insurance arrangements.</w:t>
      </w:r>
    </w:p>
    <w:p>
      <w:pPr>
        <w:spacing w:after="0" w:line="65" w:lineRule="exact"/>
        <w:rPr>
          <w:sz w:val="20"/>
          <w:szCs w:val="20"/>
          <w:color w:val="auto"/>
        </w:rPr>
      </w:pPr>
    </w:p>
    <w:p>
      <w:pPr>
        <w:jc w:val="both"/>
        <w:ind w:right="159"/>
        <w:spacing w:after="0" w:line="302" w:lineRule="auto"/>
        <w:rPr>
          <w:sz w:val="20"/>
          <w:szCs w:val="20"/>
          <w:color w:val="auto"/>
        </w:rPr>
      </w:pPr>
      <w:r>
        <w:rPr>
          <w:rFonts w:ascii="Arial" w:cs="Arial" w:eastAsia="Arial" w:hAnsi="Arial"/>
          <w:sz w:val="16"/>
          <w:szCs w:val="16"/>
          <w:color w:val="auto"/>
        </w:rPr>
        <w:t>We are required to provide irrevocable letters of credit in favor of the bond trustees for all of the industrial development revenue bonds that we have issued. These letters of credit guarantee principal and interest payments to the bondholders. We currently have irrevocable letters of credit outstanding totaling approximately $16.1 million related to our outstanding industrial development revenue bonds. These letters of credit have varying terms but may be renewed at the option of the issuing banks.</w:t>
      </w: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499"/>
          </w:cols>
          <w:pgMar w:left="960" w:top="931" w:right="1440" w:bottom="1440" w:gutter="0" w:footer="0" w:header="0"/>
        </w:sectPr>
      </w:pPr>
    </w:p>
    <w:bookmarkStart w:id="93" w:name="page94"/>
    <w:bookmarkEnd w:id="93"/>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4" w:lineRule="exact"/>
        <w:rPr>
          <w:sz w:val="20"/>
          <w:szCs w:val="20"/>
          <w:color w:val="auto"/>
        </w:rPr>
      </w:pPr>
    </w:p>
    <w:p>
      <w:pPr>
        <w:jc w:val="both"/>
        <w:ind w:left="388" w:right="179"/>
        <w:spacing w:after="0" w:line="259" w:lineRule="auto"/>
        <w:rPr>
          <w:sz w:val="20"/>
          <w:szCs w:val="20"/>
          <w:color w:val="auto"/>
        </w:rPr>
      </w:pPr>
      <w:r>
        <w:rPr>
          <w:rFonts w:ascii="Arial" w:cs="Arial" w:eastAsia="Arial" w:hAnsi="Arial"/>
          <w:sz w:val="18"/>
          <w:szCs w:val="18"/>
          <w:color w:val="auto"/>
        </w:rPr>
        <w:t>Certain wholly-owned domestic subsidiaries have guaranteed the indebtedness of Universal Forest Products, Inc. in certain debt agreements, including the Series 1998-A Senior Notes, Series 2002-A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65" w:lineRule="exact"/>
        <w:rPr>
          <w:sz w:val="20"/>
          <w:szCs w:val="20"/>
          <w:color w:val="auto"/>
        </w:rPr>
      </w:pPr>
    </w:p>
    <w:p>
      <w:pPr>
        <w:jc w:val="both"/>
        <w:ind w:left="388" w:right="159"/>
        <w:spacing w:after="0" w:line="272" w:lineRule="auto"/>
        <w:rPr>
          <w:sz w:val="20"/>
          <w:szCs w:val="20"/>
          <w:color w:val="auto"/>
        </w:rPr>
      </w:pPr>
      <w:r>
        <w:rPr>
          <w:rFonts w:ascii="Arial" w:cs="Arial" w:eastAsia="Arial" w:hAnsi="Arial"/>
          <w:sz w:val="17"/>
          <w:szCs w:val="17"/>
          <w:color w:val="auto"/>
        </w:rPr>
        <w:t>Our treating operations utilize “Subpart W” drip pads, defined as hazardous waste management units by the EPA. The rules regulating drip pads require that the pad be “closed” at the point that it is no longer used to manage hazardous waste. Closure involves identification and disposal of contamination which requires removal from the wood treating operations. The ultimate cost of closure is dependent upon a number of factors including, but not limited to, identification and removal of contamination, cleanup standards that vary from state to state, and the time period over which the cleanup would be completed. Based on our present knowledge of existing circumstances, it is considered probable that these costs will approximate $0.4 million. As a result, this amount is recorded in other long-term liabilities on December 29, 2007.</w:t>
      </w:r>
    </w:p>
    <w:p>
      <w:pPr>
        <w:spacing w:after="0" w:line="56" w:lineRule="exact"/>
        <w:rPr>
          <w:sz w:val="20"/>
          <w:szCs w:val="20"/>
          <w:color w:val="auto"/>
        </w:rPr>
      </w:pPr>
    </w:p>
    <w:p>
      <w:pPr>
        <w:jc w:val="both"/>
        <w:ind w:left="388" w:right="179"/>
        <w:spacing w:after="0" w:line="277" w:lineRule="auto"/>
        <w:rPr>
          <w:sz w:val="20"/>
          <w:szCs w:val="20"/>
          <w:color w:val="auto"/>
        </w:rPr>
      </w:pPr>
      <w:r>
        <w:rPr>
          <w:rFonts w:ascii="Arial" w:cs="Arial" w:eastAsia="Arial" w:hAnsi="Arial"/>
          <w:sz w:val="18"/>
          <w:szCs w:val="18"/>
          <w:color w:val="auto"/>
        </w:rPr>
        <w:t>We did not enter into any new guarantee arrangements during 2007 which would require us to recognize a liability on our balance sheet.</w:t>
      </w:r>
    </w:p>
    <w:p>
      <w:pPr>
        <w:spacing w:after="0" w:line="45" w:lineRule="exact"/>
        <w:rPr>
          <w:sz w:val="20"/>
          <w:szCs w:val="20"/>
          <w:color w:val="auto"/>
        </w:rPr>
      </w:pPr>
    </w:p>
    <w:p>
      <w:pPr>
        <w:ind w:left="388" w:hanging="388"/>
        <w:spacing w:after="0"/>
        <w:tabs>
          <w:tab w:leader="none" w:pos="38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CONSULTING &amp; NON-COMPETE AGREEMENTS AND SEVERANCE</w:t>
      </w:r>
    </w:p>
    <w:p>
      <w:pPr>
        <w:spacing w:after="0" w:line="107" w:lineRule="exact"/>
        <w:rPr>
          <w:rFonts w:ascii="Arial" w:cs="Arial" w:eastAsia="Arial" w:hAnsi="Arial"/>
          <w:sz w:val="18"/>
          <w:szCs w:val="18"/>
          <w:b w:val="1"/>
          <w:bCs w:val="1"/>
          <w:color w:val="auto"/>
        </w:rPr>
      </w:pPr>
    </w:p>
    <w:p>
      <w:pPr>
        <w:jc w:val="both"/>
        <w:ind w:left="388" w:right="15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On December 17, 2007 we entered into a consulting and non-compete agreement with our former CEO which provides for monthly payments for a term of three years that will begin upon retirement from Universal Forest Products, Inc. The present value of the vested portion of the non-compete payments totaling approximately $0.3 million is accrued in other liabilities.</w:t>
      </w:r>
    </w:p>
    <w:p>
      <w:pPr>
        <w:spacing w:after="0" w:line="43" w:lineRule="exact"/>
        <w:rPr>
          <w:rFonts w:ascii="Arial" w:cs="Arial" w:eastAsia="Arial" w:hAnsi="Arial"/>
          <w:sz w:val="18"/>
          <w:szCs w:val="18"/>
          <w:b w:val="1"/>
          <w:bCs w:val="1"/>
          <w:color w:val="auto"/>
        </w:rPr>
      </w:pPr>
    </w:p>
    <w:p>
      <w:pPr>
        <w:jc w:val="both"/>
        <w:ind w:left="388" w:right="15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December 31, 2007 the former President of Universal Forest Products Western Division, Inc. retired as an employee of Universal Forest Products, Inc., and we entered into an agreement with him which provides for monthly payments for a term of three years. The present value of these payments totaling approximately $1.0 million has been recorded in other liabilities.</w:t>
      </w:r>
    </w:p>
    <w:p>
      <w:pPr>
        <w:spacing w:after="0" w:line="25" w:lineRule="exact"/>
        <w:rPr>
          <w:rFonts w:ascii="Arial" w:cs="Arial" w:eastAsia="Arial" w:hAnsi="Arial"/>
          <w:sz w:val="18"/>
          <w:szCs w:val="18"/>
          <w:b w:val="1"/>
          <w:bCs w:val="1"/>
          <w:color w:val="auto"/>
        </w:rPr>
      </w:pPr>
    </w:p>
    <w:p>
      <w:pPr>
        <w:ind w:left="388"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severances expenses totaling approximately $1.4 million were recorded in 2007 primarily related to plant closures and terminations associated with challenging market conditions.</w:t>
      </w:r>
    </w:p>
    <w:p>
      <w:pPr>
        <w:spacing w:after="0" w:line="200" w:lineRule="exact"/>
        <w:rPr>
          <w:sz w:val="20"/>
          <w:szCs w:val="20"/>
          <w:color w:val="auto"/>
        </w:rPr>
      </w:pPr>
    </w:p>
    <w:p>
      <w:pPr>
        <w:spacing w:after="0" w:line="32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4" w:name="page95"/>
    <w:bookmarkEnd w:id="94"/>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80" w:lineRule="exact"/>
        <w:rPr>
          <w:sz w:val="20"/>
          <w:szCs w:val="20"/>
          <w:color w:val="auto"/>
        </w:rPr>
      </w:pPr>
    </w:p>
    <w:p>
      <w:pPr>
        <w:ind w:left="388" w:hanging="388"/>
        <w:spacing w:after="0"/>
        <w:tabs>
          <w:tab w:leader="none" w:pos="38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07" w:lineRule="exact"/>
        <w:rPr>
          <w:rFonts w:ascii="Arial" w:cs="Arial" w:eastAsia="Arial" w:hAnsi="Arial"/>
          <w:sz w:val="18"/>
          <w:szCs w:val="18"/>
          <w:b w:val="1"/>
          <w:bCs w:val="1"/>
          <w:color w:val="auto"/>
        </w:rPr>
      </w:pPr>
    </w:p>
    <w:p>
      <w:pPr>
        <w:jc w:val="both"/>
        <w:ind w:left="388" w:right="159"/>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SFAS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(“SFAS 131”) defines operating segments as components of an enterprise about which separate financial information is available that is evaluated regularly by the chief operating decision maker in deciding how to allocate resources and in assessing performance. Under the definition of a segment, our Eastern, Western and Consumer Products Divisions may be considered an operating segment of our business. Under SFAS 131, segments may be aggregated if the segments have similar economic characteristics and if the nature of the products, distribution methods, customers and regulatory environments are similar. Based on this criteria, we have aggregated our Eastern and Western divisions into one reporting segment. Our Consumer Products Division, which was formed in 2006, is included in the “All Other” column in the table below. Our divisions operate manufacturing and treating facilities throughout North America.</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900" w:type="dxa"/>
            <w:vAlign w:val="bottom"/>
          </w:tcPr>
          <w:p>
            <w:pPr>
              <w:spacing w:after="0"/>
              <w:rPr>
                <w:sz w:val="16"/>
                <w:szCs w:val="16"/>
                <w:color w:val="auto"/>
              </w:rPr>
            </w:pPr>
          </w:p>
        </w:tc>
        <w:tc>
          <w:tcPr>
            <w:tcW w:w="120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86"/>
              </w:rPr>
              <w:t>Eastern</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6"/>
              </w:rPr>
              <w:t>Eastern</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9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and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and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Western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Western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Divisions</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 Other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Divisions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All Other</w:t>
            </w:r>
          </w:p>
        </w:tc>
        <w:tc>
          <w:tcPr>
            <w:tcW w:w="380" w:type="dxa"/>
            <w:vAlign w:val="bottom"/>
          </w:tcPr>
          <w:p>
            <w:pPr>
              <w:spacing w:after="0"/>
              <w:rPr>
                <w:sz w:val="20"/>
                <w:szCs w:val="20"/>
                <w:color w:val="auto"/>
              </w:rPr>
            </w:pPr>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$2,405,830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$ 107,348</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$2,513,178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$2,605,087</w:t>
            </w:r>
          </w:p>
        </w:tc>
        <w:tc>
          <w:tcPr>
            <w:tcW w:w="1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59,485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$2,664,572</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24,126</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24,126</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0</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17,974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17,974</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17,018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17,033</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14,040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14,053</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Amortization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5,331</w:t>
            </w: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2,703</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8,034</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3,071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2,680</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5,751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36,347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39,547</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31,081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33,771</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48,399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5,093</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53,492</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118,942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4,803</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123,745</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864,546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92,454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957,000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831,160</w:t>
            </w: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82,281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913,441</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37,571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1,789</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39,360</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40,908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2,596</w:t>
            </w:r>
          </w:p>
        </w:tc>
        <w:tc>
          <w:tcPr>
            <w:tcW w:w="3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43,504</w:t>
            </w:r>
          </w:p>
        </w:tc>
      </w:tr>
    </w:tbl>
    <w:p>
      <w:pPr>
        <w:spacing w:after="0" w:line="147" w:lineRule="exact"/>
        <w:rPr>
          <w:sz w:val="20"/>
          <w:szCs w:val="20"/>
          <w:color w:val="auto"/>
        </w:rPr>
      </w:pPr>
    </w:p>
    <w:p>
      <w:pPr>
        <w:ind w:left="388"/>
        <w:spacing w:after="0"/>
        <w:rPr>
          <w:sz w:val="20"/>
          <w:szCs w:val="20"/>
          <w:color w:val="auto"/>
        </w:rPr>
      </w:pPr>
      <w:r>
        <w:rPr>
          <w:rFonts w:ascii="Arial" w:cs="Arial" w:eastAsia="Arial" w:hAnsi="Arial"/>
          <w:sz w:val="18"/>
          <w:szCs w:val="18"/>
          <w:color w:val="auto"/>
        </w:rPr>
        <w:t>In 2007, 2006, and 2005, 26%, 22%, and 22% of net sales, respectively, were to a single customer.</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225"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2007</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2006</w:t>
            </w:r>
          </w:p>
        </w:tc>
        <w:tc>
          <w:tcPr>
            <w:tcW w:w="7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2005</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w w:val="94"/>
              </w:rPr>
              <w:t>Long-Lived</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w w:val="94"/>
              </w:rPr>
              <w:t>Long-Lived</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spacing w:after="0" w:line="195" w:lineRule="exact"/>
              <w:rPr>
                <w:sz w:val="20"/>
                <w:szCs w:val="20"/>
                <w:color w:val="auto"/>
              </w:rPr>
            </w:pPr>
            <w:r>
              <w:rPr>
                <w:rFonts w:ascii="Arial" w:cs="Arial" w:eastAsia="Arial" w:hAnsi="Arial"/>
                <w:sz w:val="18"/>
                <w:szCs w:val="18"/>
                <w:color w:val="auto"/>
                <w:w w:val="94"/>
              </w:rPr>
              <w:t>Long-Lived</w:t>
            </w:r>
          </w:p>
        </w:tc>
        <w:tc>
          <w:tcPr>
            <w:tcW w:w="100" w:type="dxa"/>
            <w:vAlign w:val="bottom"/>
          </w:tcPr>
          <w:p>
            <w:pPr>
              <w:spacing w:after="0"/>
              <w:rPr>
                <w:sz w:val="16"/>
                <w:szCs w:val="16"/>
                <w:color w:val="auto"/>
              </w:rPr>
            </w:pPr>
          </w:p>
        </w:tc>
      </w:tr>
      <w:tr>
        <w:trPr>
          <w:trHeight w:val="216"/>
        </w:trPr>
        <w:tc>
          <w:tcPr>
            <w:tcW w:w="2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Tangible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Tangible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Tangible</w:t>
            </w:r>
          </w:p>
        </w:tc>
      </w:tr>
      <w:tr>
        <w:trPr>
          <w:trHeight w:val="230"/>
        </w:trPr>
        <w:tc>
          <w:tcPr>
            <w:tcW w:w="274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Net Sales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Assets</w:t>
            </w: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Net Sales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Assets</w:t>
            </w:r>
          </w:p>
        </w:tc>
        <w:tc>
          <w:tcPr>
            <w:tcW w:w="36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Net Sales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5"/>
              </w:rPr>
              <w:t>Assets</w:t>
            </w:r>
          </w:p>
        </w:tc>
        <w:tc>
          <w:tcPr>
            <w:tcW w:w="100" w:type="dxa"/>
            <w:vAlign w:val="bottom"/>
          </w:tcPr>
          <w:p>
            <w:pPr>
              <w:spacing w:after="0"/>
              <w:rPr>
                <w:sz w:val="20"/>
                <w:szCs w:val="20"/>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$2,442,676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309,778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$2,590,951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234,362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$2,621,443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207,334</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Foreign</w:t>
            </w:r>
          </w:p>
        </w:tc>
        <w:tc>
          <w:tcPr>
            <w:tcW w:w="820" w:type="dxa"/>
            <w:vAlign w:val="bottom"/>
          </w:tcPr>
          <w:p>
            <w:pPr>
              <w:jc w:val="right"/>
              <w:spacing w:after="0"/>
              <w:rPr>
                <w:sz w:val="20"/>
                <w:szCs w:val="20"/>
                <w:color w:val="auto"/>
              </w:rPr>
            </w:pPr>
            <w:r>
              <w:rPr>
                <w:rFonts w:ascii="Arial" w:cs="Arial" w:eastAsia="Arial" w:hAnsi="Arial"/>
                <w:sz w:val="18"/>
                <w:szCs w:val="18"/>
                <w:color w:val="auto"/>
              </w:rPr>
              <w:t>70,502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21,277</w:t>
            </w:r>
          </w:p>
        </w:tc>
        <w:tc>
          <w:tcPr>
            <w:tcW w:w="820" w:type="dxa"/>
            <w:vAlign w:val="bottom"/>
          </w:tcPr>
          <w:p>
            <w:pPr>
              <w:jc w:val="right"/>
              <w:spacing w:after="0"/>
              <w:rPr>
                <w:sz w:val="20"/>
                <w:szCs w:val="20"/>
                <w:color w:val="auto"/>
              </w:rPr>
            </w:pPr>
            <w:r>
              <w:rPr>
                <w:rFonts w:ascii="Arial" w:cs="Arial" w:eastAsia="Arial" w:hAnsi="Arial"/>
                <w:sz w:val="18"/>
                <w:szCs w:val="18"/>
                <w:color w:val="auto"/>
              </w:rPr>
              <w:t>73,621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23,377</w:t>
            </w:r>
          </w:p>
        </w:tc>
        <w:tc>
          <w:tcPr>
            <w:tcW w:w="840" w:type="dxa"/>
            <w:vAlign w:val="bottom"/>
          </w:tcPr>
          <w:p>
            <w:pPr>
              <w:jc w:val="right"/>
              <w:spacing w:after="0"/>
              <w:rPr>
                <w:sz w:val="20"/>
                <w:szCs w:val="20"/>
                <w:color w:val="auto"/>
              </w:rPr>
            </w:pPr>
            <w:r>
              <w:rPr>
                <w:rFonts w:ascii="Arial" w:cs="Arial" w:eastAsia="Arial" w:hAnsi="Arial"/>
                <w:sz w:val="18"/>
                <w:szCs w:val="18"/>
                <w:color w:val="auto"/>
              </w:rPr>
              <w:t>70,079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24,886</w:t>
            </w:r>
          </w:p>
        </w:tc>
      </w:tr>
      <w:tr>
        <w:trPr>
          <w:trHeight w:val="27"/>
        </w:trPr>
        <w:tc>
          <w:tcPr>
            <w:tcW w:w="2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2,513,178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331,055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2,664,572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257,739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2,691,522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232,220</w:t>
            </w: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88"/>
        <w:spacing w:after="0"/>
        <w:rPr>
          <w:sz w:val="20"/>
          <w:szCs w:val="20"/>
          <w:color w:val="auto"/>
        </w:rPr>
      </w:pPr>
      <w:r>
        <w:rPr>
          <w:rFonts w:ascii="Arial" w:cs="Arial" w:eastAsia="Arial" w:hAnsi="Arial"/>
          <w:sz w:val="18"/>
          <w:szCs w:val="18"/>
          <w:color w:val="auto"/>
        </w:rPr>
        <w:t>Sales generated in Canada and Mexico are primarily to customers in the United States of America.</w:t>
      </w:r>
    </w:p>
    <w:p>
      <w:pPr>
        <w:spacing w:after="0" w:line="185" w:lineRule="exact"/>
        <w:rPr>
          <w:sz w:val="20"/>
          <w:szCs w:val="20"/>
          <w:color w:val="auto"/>
        </w:rPr>
      </w:pPr>
    </w:p>
    <w:p>
      <w:pPr>
        <w:ind w:left="388"/>
        <w:spacing w:after="0"/>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95" w:name="page96"/>
    <w:bookmarkEnd w:id="95"/>
    <w:p>
      <w:pPr>
        <w:jc w:val="center"/>
        <w:ind w:right="1040"/>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Value-Added</w:t>
            </w:r>
          </w:p>
        </w:tc>
        <w:tc>
          <w:tcPr>
            <w:tcW w:w="4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Commodity-Based</w:t>
            </w:r>
          </w:p>
        </w:tc>
        <w:tc>
          <w:tcPr>
            <w:tcW w:w="180" w:type="dxa"/>
            <w:vAlign w:val="bottom"/>
          </w:tcPr>
          <w:p>
            <w:pPr>
              <w:spacing w:after="0"/>
              <w:rPr>
                <w:sz w:val="20"/>
                <w:szCs w:val="20"/>
                <w:color w:val="auto"/>
              </w:rPr>
            </w:pPr>
          </w:p>
        </w:tc>
      </w:tr>
      <w:tr>
        <w:trPr>
          <w:trHeight w:val="210"/>
        </w:trPr>
        <w:tc>
          <w:tcPr>
            <w:tcW w:w="6760" w:type="dxa"/>
            <w:vAlign w:val="bottom"/>
            <w:shd w:val="clear" w:color="auto" w:fill="CCEEFF"/>
          </w:tcPr>
          <w:p>
            <w:pPr>
              <w:jc w:val="right"/>
              <w:ind w:right="6310"/>
              <w:spacing w:after="0"/>
              <w:rPr>
                <w:sz w:val="20"/>
                <w:szCs w:val="20"/>
                <w:color w:val="auto"/>
              </w:rPr>
            </w:pPr>
            <w:r>
              <w:rPr>
                <w:rFonts w:ascii="Arial" w:cs="Arial" w:eastAsia="Arial" w:hAnsi="Arial"/>
                <w:sz w:val="18"/>
                <w:szCs w:val="18"/>
                <w:color w:val="auto"/>
                <w:w w:val="84"/>
              </w:rPr>
              <w:t>2007</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6760" w:type="dxa"/>
            <w:vAlign w:val="bottom"/>
          </w:tcPr>
          <w:p>
            <w:pPr>
              <w:jc w:val="right"/>
              <w:ind w:right="6310"/>
              <w:spacing w:after="0"/>
              <w:rPr>
                <w:sz w:val="20"/>
                <w:szCs w:val="20"/>
                <w:color w:val="auto"/>
              </w:rPr>
            </w:pPr>
            <w:r>
              <w:rPr>
                <w:rFonts w:ascii="Arial" w:cs="Arial" w:eastAsia="Arial" w:hAnsi="Arial"/>
                <w:sz w:val="18"/>
                <w:szCs w:val="18"/>
                <w:color w:val="auto"/>
                <w:w w:val="84"/>
              </w:rPr>
              <w:t>2006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62.7%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r>
      <w:tr>
        <w:trPr>
          <w:trHeight w:val="216"/>
        </w:trPr>
        <w:tc>
          <w:tcPr>
            <w:tcW w:w="6760" w:type="dxa"/>
            <w:vAlign w:val="bottom"/>
            <w:shd w:val="clear" w:color="auto" w:fill="CCEEFF"/>
          </w:tcPr>
          <w:p>
            <w:pPr>
              <w:jc w:val="right"/>
              <w:ind w:right="6310"/>
              <w:spacing w:after="0"/>
              <w:rPr>
                <w:sz w:val="20"/>
                <w:szCs w:val="20"/>
                <w:color w:val="auto"/>
              </w:rPr>
            </w:pPr>
            <w:r>
              <w:rPr>
                <w:rFonts w:ascii="Arial" w:cs="Arial" w:eastAsia="Arial" w:hAnsi="Arial"/>
                <w:sz w:val="18"/>
                <w:szCs w:val="18"/>
                <w:color w:val="auto"/>
                <w:w w:val="84"/>
              </w:rPr>
              <w:t>2005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w:t>
            </w:r>
          </w:p>
        </w:tc>
      </w:tr>
    </w:tbl>
    <w:p>
      <w:pPr>
        <w:spacing w:after="0" w:line="1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Note: In the third quarter of 2007, we reviewed the classification of our product codes and made certain reclassifications.</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Historical information has been restated to reflect these reclassifications.</w:t>
      </w:r>
    </w:p>
    <w:p>
      <w:pPr>
        <w:spacing w:after="0" w:line="170" w:lineRule="exact"/>
        <w:rPr>
          <w:sz w:val="20"/>
          <w:szCs w:val="20"/>
          <w:color w:val="auto"/>
        </w:rPr>
      </w:pPr>
    </w:p>
    <w:p>
      <w:pPr>
        <w:jc w:val="both"/>
        <w:ind w:left="720" w:right="1380"/>
        <w:spacing w:after="0" w:line="297" w:lineRule="auto"/>
        <w:rPr>
          <w:sz w:val="20"/>
          <w:szCs w:val="20"/>
          <w:color w:val="auto"/>
        </w:rPr>
      </w:pPr>
      <w:r>
        <w:rPr>
          <w:rFonts w:ascii="Arial" w:cs="Arial" w:eastAsia="Arial" w:hAnsi="Arial"/>
          <w:sz w:val="16"/>
          <w:szCs w:val="16"/>
          <w:color w:val="auto"/>
        </w:rPr>
        <w:t>Value-added product sales consist of fencing, decking, lattice, and other specialty products sold to the DIY/retail market, industrial packaging, engineered wood components used in site-built construction, and “wood alternative” products. Wood alternative products consist primarily of composite wood and plastics. Although we consider the treatment of dimensional lumber with certain chemical preservatives a value-added process, treated lumber is not presently included in the value-added sales totals. Commodity-based product sales consist primarily of remanufactured lumber and preservative treated lumber.</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presents, for the periods indicated, our gross sales (in thousands) by major product classification.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6"/>
              </w:rPr>
              <w:t>Years Ended</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gridSpan w:val="3"/>
          </w:tcPr>
          <w:p>
            <w:pPr>
              <w:spacing w:after="0" w:line="195" w:lineRule="exact"/>
              <w:rPr>
                <w:sz w:val="20"/>
                <w:szCs w:val="20"/>
                <w:color w:val="auto"/>
              </w:rPr>
            </w:pPr>
            <w:r>
              <w:rPr>
                <w:rFonts w:ascii="Arial" w:cs="Arial" w:eastAsia="Arial" w:hAnsi="Arial"/>
                <w:sz w:val="18"/>
                <w:szCs w:val="18"/>
                <w:color w:val="auto"/>
              </w:rPr>
              <w:t>December 29,</w:t>
            </w:r>
          </w:p>
        </w:tc>
        <w:tc>
          <w:tcPr>
            <w:tcW w:w="1380" w:type="dxa"/>
            <w:vAlign w:val="bottom"/>
            <w:gridSpan w:val="4"/>
          </w:tcPr>
          <w:p>
            <w:pPr>
              <w:jc w:val="center"/>
              <w:spacing w:after="0" w:line="195" w:lineRule="exact"/>
              <w:rPr>
                <w:sz w:val="20"/>
                <w:szCs w:val="20"/>
                <w:color w:val="auto"/>
              </w:rPr>
            </w:pPr>
            <w:r>
              <w:rPr>
                <w:rFonts w:ascii="Arial" w:cs="Arial" w:eastAsia="Arial" w:hAnsi="Arial"/>
                <w:sz w:val="18"/>
                <w:szCs w:val="18"/>
                <w:color w:val="auto"/>
                <w:w w:val="90"/>
              </w:rPr>
              <w:t>December 30,</w:t>
            </w:r>
          </w:p>
        </w:tc>
        <w:tc>
          <w:tcPr>
            <w:tcW w:w="1180" w:type="dxa"/>
            <w:vAlign w:val="bottom"/>
            <w:gridSpan w:val="3"/>
          </w:tcPr>
          <w:p>
            <w:pPr>
              <w:ind w:left="180"/>
              <w:spacing w:after="0" w:line="195" w:lineRule="exact"/>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69"/>
        </w:trPr>
        <w:tc>
          <w:tcPr>
            <w:tcW w:w="340" w:type="dxa"/>
            <w:vAlign w:val="bottom"/>
          </w:tcPr>
          <w:p>
            <w:pPr>
              <w:spacing w:after="0"/>
              <w:rPr>
                <w:sz w:val="14"/>
                <w:szCs w:val="14"/>
                <w:color w:val="auto"/>
              </w:rPr>
            </w:pPr>
          </w:p>
        </w:tc>
        <w:tc>
          <w:tcPr>
            <w:tcW w:w="47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Value-Added Sales</w:t>
            </w: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r>
      <w:tr>
        <w:trPr>
          <w:trHeight w:val="21"/>
        </w:trPr>
        <w:tc>
          <w:tcPr>
            <w:tcW w:w="340" w:type="dxa"/>
            <w:vAlign w:val="bottom"/>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Trusses – site-built, modular &amp; manufactured housing</w:t>
            </w:r>
          </w:p>
        </w:tc>
        <w:tc>
          <w:tcPr>
            <w:tcW w:w="13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394,806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504,296</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542,669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Fencing</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199,511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158,075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Decking and railing – composite , wood &amp; other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179,654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172,957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164,013</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Turn-key framing and installed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179,065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220,799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146,876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Industrial packaging &amp; components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107,160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93,620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76,772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Engineered wood products (eg. LVL; i-joist)</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99,002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107,921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Manufactured brite &amp; other lumber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82,784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89,891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99,856</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 panels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96,314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Outdoor DIY products (eg. stakes; landscape ties)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53,012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47,860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38,022</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Construction and building materials (eg. door packages; drywall)</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46,761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Lattice – plastic &amp; wood</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46,523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27,412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17,791</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Manufactured brite &amp; other panels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Siding, trim and moulding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38,090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46,349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Hardware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Manufactured treated lumber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7,947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6,178</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Manufactured treated panels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6,937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c>
          <w:tcPr>
            <w:tcW w:w="1360" w:type="dxa"/>
            <w:vAlign w:val="bottom"/>
          </w:tcPr>
          <w:p>
            <w:pPr>
              <w:spacing w:after="0"/>
              <w:rPr>
                <w:sz w:val="18"/>
                <w:szCs w:val="18"/>
                <w:color w:val="auto"/>
              </w:rPr>
            </w:pPr>
          </w:p>
        </w:tc>
      </w:tr>
      <w:tr>
        <w:trPr>
          <w:trHeight w:val="27"/>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Value-Added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1,549,081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1,697,036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1,619,721</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40" w:type="dxa"/>
            <w:vAlign w:val="bottom"/>
          </w:tcPr>
          <w:p>
            <w:pPr>
              <w:jc w:val="right"/>
              <w:ind w:right="830"/>
              <w:spacing w:after="0"/>
              <w:rPr>
                <w:sz w:val="20"/>
                <w:szCs w:val="20"/>
                <w:color w:val="auto"/>
              </w:rPr>
            </w:pPr>
            <w:r>
              <w:rPr>
                <w:rFonts w:ascii="Arial" w:cs="Arial" w:eastAsia="Arial" w:hAnsi="Arial"/>
                <w:sz w:val="18"/>
                <w:szCs w:val="18"/>
                <w:color w:val="auto"/>
                <w:w w:val="99"/>
              </w:rPr>
              <w:t>56</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6" w:name="page97"/>
    <w:bookmarkEnd w:id="96"/>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6"/>
              </w:rPr>
              <w:t>Years Ended</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2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w w:val="88"/>
              </w:rPr>
              <w:t>December 29,</w:t>
            </w:r>
          </w:p>
        </w:tc>
        <w:tc>
          <w:tcPr>
            <w:tcW w:w="1380" w:type="dxa"/>
            <w:vAlign w:val="bottom"/>
            <w:gridSpan w:val="3"/>
          </w:tcPr>
          <w:p>
            <w:pPr>
              <w:jc w:val="center"/>
              <w:ind w:right="40"/>
              <w:spacing w:after="0" w:line="195" w:lineRule="exact"/>
              <w:rPr>
                <w:sz w:val="20"/>
                <w:szCs w:val="20"/>
                <w:color w:val="auto"/>
              </w:rPr>
            </w:pPr>
            <w:r>
              <w:rPr>
                <w:rFonts w:ascii="Arial" w:cs="Arial" w:eastAsia="Arial" w:hAnsi="Arial"/>
                <w:sz w:val="18"/>
                <w:szCs w:val="18"/>
                <w:color w:val="auto"/>
                <w:w w:val="90"/>
              </w:rPr>
              <w:t>December 30,</w:t>
            </w:r>
          </w:p>
        </w:tc>
        <w:tc>
          <w:tcPr>
            <w:tcW w:w="11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Commodity-Based Sales</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16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0"/>
                <w:szCs w:val="20"/>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60" w:type="dxa"/>
            <w:vAlign w:val="bottom"/>
            <w:gridSpan w:val="2"/>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78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Non-manufactured brite &amp; other lumber</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454,560</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470,569</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500,730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Non-manufactured treated lumber</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378,240</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361,688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398,668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Non-manufactured brite &amp; other panels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149,652</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152,568</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189,491</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Non-manufactured treated panels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24,934</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18,537</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21,826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5,018</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6,637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Total Commodity-Based Sales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1,012,404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1,009,999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2,561,485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2,707,035</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2,734,304</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(48,307)</w:t>
            </w: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(42,463)</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(42,782)</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2,513,178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2,664,572</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2,691,522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88" w:hanging="388"/>
        <w:spacing w:after="0"/>
        <w:tabs>
          <w:tab w:leader="none" w:pos="38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GAIN ON INSURANCE SETTLEMENT</w:t>
      </w:r>
    </w:p>
    <w:p>
      <w:pPr>
        <w:spacing w:after="0" w:line="107" w:lineRule="exact"/>
        <w:rPr>
          <w:rFonts w:ascii="Arial" w:cs="Arial" w:eastAsia="Arial" w:hAnsi="Arial"/>
          <w:sz w:val="18"/>
          <w:szCs w:val="18"/>
          <w:b w:val="1"/>
          <w:bCs w:val="1"/>
          <w:color w:val="auto"/>
        </w:rPr>
      </w:pPr>
    </w:p>
    <w:p>
      <w:pPr>
        <w:jc w:val="both"/>
        <w:ind w:left="388" w:right="1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April 2004, our plant in Thorndale, Ontario was destroyed by a fire. In accordance with FIN 30, </w:t>
      </w:r>
      <w:r>
        <w:rPr>
          <w:rFonts w:ascii="Arial" w:cs="Arial" w:eastAsia="Arial" w:hAnsi="Arial"/>
          <w:sz w:val="17"/>
          <w:szCs w:val="17"/>
          <w:i w:val="1"/>
          <w:iCs w:val="1"/>
          <w:color w:val="auto"/>
        </w:rPr>
        <w:t>Accounting for Involuntary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Conversions of Non-Monetary Assets to Monetary Assets, </w:t>
      </w:r>
      <w:r>
        <w:rPr>
          <w:rFonts w:ascii="Arial" w:cs="Arial" w:eastAsia="Arial" w:hAnsi="Arial"/>
          <w:sz w:val="17"/>
          <w:szCs w:val="17"/>
          <w:color w:val="auto"/>
        </w:rPr>
        <w:t>we wrote off the net book value of the destroyed inventory and</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totaling $3.6 million. The insured value of the property exceeded its net book value by approximately $1.4 million, which was recorded as a gain on insurance settlement. As of December 25, 2004, we had collected $2.0 million of insurance proceeds. In 2005, we collected the remaining insurance proceeds of $3.0 million.</w:t>
      </w:r>
    </w:p>
    <w:p>
      <w:pPr>
        <w:spacing w:after="0" w:line="46" w:lineRule="exact"/>
        <w:rPr>
          <w:rFonts w:ascii="Arial" w:cs="Arial" w:eastAsia="Arial" w:hAnsi="Arial"/>
          <w:sz w:val="18"/>
          <w:szCs w:val="18"/>
          <w:b w:val="1"/>
          <w:bCs w:val="1"/>
          <w:color w:val="auto"/>
        </w:rPr>
      </w:pPr>
    </w:p>
    <w:p>
      <w:pPr>
        <w:ind w:left="388" w:hanging="388"/>
        <w:spacing w:after="0"/>
        <w:tabs>
          <w:tab w:leader="none" w:pos="38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107" w:lineRule="exact"/>
        <w:rPr>
          <w:rFonts w:ascii="Arial" w:cs="Arial" w:eastAsia="Arial" w:hAnsi="Arial"/>
          <w:sz w:val="18"/>
          <w:szCs w:val="18"/>
          <w:b w:val="1"/>
          <w:bCs w:val="1"/>
          <w:color w:val="auto"/>
        </w:rPr>
      </w:pPr>
    </w:p>
    <w:p>
      <w:pPr>
        <w:ind w:left="388"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selected financial information for all of the quarters, each consisting of 13 weeks) during the years ended December 29, 2007 and December 30, 2006 (in thousands, except per share data):</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4"/>
          </w:tcPr>
          <w:p>
            <w:pPr>
              <w:ind w:left="700"/>
              <w:spacing w:after="0"/>
              <w:rPr>
                <w:sz w:val="20"/>
                <w:szCs w:val="20"/>
                <w:color w:val="auto"/>
              </w:rPr>
            </w:pPr>
            <w:r>
              <w:rPr>
                <w:rFonts w:ascii="Arial" w:cs="Arial" w:eastAsia="Arial" w:hAnsi="Arial"/>
                <w:sz w:val="18"/>
                <w:szCs w:val="18"/>
                <w:color w:val="auto"/>
              </w:rPr>
              <w:t>First</w:t>
            </w:r>
          </w:p>
        </w:tc>
        <w:tc>
          <w:tcPr>
            <w:tcW w:w="160" w:type="dxa"/>
            <w:vAlign w:val="bottom"/>
          </w:tcPr>
          <w:p>
            <w:pPr>
              <w:spacing w:after="0"/>
              <w:rPr>
                <w:sz w:val="20"/>
                <w:szCs w:val="20"/>
                <w:color w:val="auto"/>
              </w:rPr>
            </w:pPr>
          </w:p>
        </w:tc>
        <w:tc>
          <w:tcPr>
            <w:tcW w:w="1860" w:type="dxa"/>
            <w:vAlign w:val="bottom"/>
            <w:gridSpan w:val="4"/>
          </w:tcPr>
          <w:p>
            <w:pPr>
              <w:ind w:left="580"/>
              <w:spacing w:after="0"/>
              <w:rPr>
                <w:sz w:val="20"/>
                <w:szCs w:val="20"/>
                <w:color w:val="auto"/>
              </w:rPr>
            </w:pPr>
            <w:r>
              <w:rPr>
                <w:rFonts w:ascii="Arial" w:cs="Arial" w:eastAsia="Arial" w:hAnsi="Arial"/>
                <w:sz w:val="18"/>
                <w:szCs w:val="18"/>
                <w:color w:val="auto"/>
              </w:rPr>
              <w:t>Second</w:t>
            </w:r>
          </w:p>
        </w:tc>
        <w:tc>
          <w:tcPr>
            <w:tcW w:w="160" w:type="dxa"/>
            <w:vAlign w:val="bottom"/>
          </w:tcPr>
          <w:p>
            <w:pPr>
              <w:spacing w:after="0"/>
              <w:rPr>
                <w:sz w:val="20"/>
                <w:szCs w:val="20"/>
                <w:color w:val="auto"/>
              </w:rPr>
            </w:pPr>
          </w:p>
        </w:tc>
        <w:tc>
          <w:tcPr>
            <w:tcW w:w="1860" w:type="dxa"/>
            <w:vAlign w:val="bottom"/>
            <w:gridSpan w:val="4"/>
          </w:tcPr>
          <w:p>
            <w:pPr>
              <w:jc w:val="right"/>
              <w:ind w:right="800"/>
              <w:spacing w:after="0"/>
              <w:rPr>
                <w:sz w:val="20"/>
                <w:szCs w:val="20"/>
                <w:color w:val="auto"/>
              </w:rPr>
            </w:pPr>
            <w:r>
              <w:rPr>
                <w:rFonts w:ascii="Arial" w:cs="Arial" w:eastAsia="Arial" w:hAnsi="Arial"/>
                <w:sz w:val="18"/>
                <w:szCs w:val="18"/>
                <w:color w:val="auto"/>
              </w:rPr>
              <w:t>Third</w:t>
            </w:r>
          </w:p>
        </w:tc>
        <w:tc>
          <w:tcPr>
            <w:tcW w:w="160" w:type="dxa"/>
            <w:vAlign w:val="bottom"/>
          </w:tcPr>
          <w:p>
            <w:pPr>
              <w:spacing w:after="0"/>
              <w:rPr>
                <w:sz w:val="20"/>
                <w:szCs w:val="20"/>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8"/>
                <w:szCs w:val="18"/>
                <w:color w:val="auto"/>
              </w:rPr>
              <w:t>Fourth</w:t>
            </w:r>
          </w:p>
        </w:tc>
      </w:tr>
      <w:tr>
        <w:trPr>
          <w:trHeight w:val="210"/>
        </w:trPr>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r>
      <w:tr>
        <w:trPr>
          <w:trHeight w:val="21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$549,038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$665,609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$773,105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$826,847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$678,398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$672,873</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$512,637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$499,243</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73,520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94,311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101,705</w:t>
            </w:r>
          </w:p>
        </w:tc>
        <w:tc>
          <w:tcPr>
            <w:tcW w:w="3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120,418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82,165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98,825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51,639</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68,128</w:t>
            </w: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3,886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15,866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16,800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17,705</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(10,980)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9,240</w:t>
            </w:r>
          </w:p>
        </w:tc>
      </w:tr>
      <w:tr>
        <w:trPr>
          <w:trHeight w:val="202"/>
        </w:trPr>
        <w:tc>
          <w:tcPr>
            <w:tcW w:w="1640" w:type="dxa"/>
            <w:vAlign w:val="bottom"/>
          </w:tcPr>
          <w:p>
            <w:pPr>
              <w:spacing w:after="0" w:line="201" w:lineRule="exact"/>
              <w:rPr>
                <w:sz w:val="20"/>
                <w:szCs w:val="20"/>
                <w:color w:val="auto"/>
              </w:rPr>
            </w:pPr>
            <w:r>
              <w:rPr>
                <w:rFonts w:ascii="Arial" w:cs="Arial" w:eastAsia="Arial" w:hAnsi="Arial"/>
                <w:sz w:val="18"/>
                <w:szCs w:val="18"/>
                <w:color w:val="auto"/>
              </w:rPr>
              <w:t>Basic earnings per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640" w:type="dxa"/>
            <w:vAlign w:val="bottom"/>
          </w:tcPr>
          <w:p>
            <w:pPr>
              <w:ind w:left="200"/>
              <w:spacing w:after="0"/>
              <w:rPr>
                <w:sz w:val="20"/>
                <w:szCs w:val="20"/>
                <w:color w:val="auto"/>
              </w:rPr>
            </w:pPr>
            <w:r>
              <w:rPr>
                <w:rFonts w:ascii="Arial" w:cs="Arial" w:eastAsia="Arial" w:hAnsi="Arial"/>
                <w:sz w:val="18"/>
                <w:szCs w:val="18"/>
                <w:color w:val="auto"/>
              </w:rPr>
              <w:t>share</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0.20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0.88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0.59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0.94</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(0.58)</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0.49</w:t>
            </w: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earnings per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w:t>
            </w: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r>
    </w:tbl>
    <w:p>
      <w:pPr>
        <w:spacing w:after="0" w:line="157" w:lineRule="exact"/>
        <w:rPr>
          <w:sz w:val="20"/>
          <w:szCs w:val="20"/>
          <w:color w:val="auto"/>
        </w:rPr>
      </w:pPr>
    </w:p>
    <w:p>
      <w:pPr>
        <w:ind w:left="388" w:hanging="388"/>
        <w:spacing w:after="0"/>
        <w:tabs>
          <w:tab w:leader="none" w:pos="38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107" w:lineRule="exact"/>
        <w:rPr>
          <w:rFonts w:ascii="Arial" w:cs="Arial" w:eastAsia="Arial" w:hAnsi="Arial"/>
          <w:sz w:val="18"/>
          <w:szCs w:val="18"/>
          <w:b w:val="1"/>
          <w:bCs w:val="1"/>
          <w:color w:val="auto"/>
        </w:rPr>
      </w:pPr>
    </w:p>
    <w:p>
      <w:pPr>
        <w:ind w:left="388"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24, 2008 we sold the vacant land we acquired as part our acquisition of Aljoma. The net sales price was approximately $24.2 million.</w:t>
      </w:r>
    </w:p>
    <w:p>
      <w:pPr>
        <w:spacing w:after="0" w:line="48" w:lineRule="exact"/>
        <w:rPr>
          <w:rFonts w:ascii="Arial" w:cs="Arial" w:eastAsia="Arial" w:hAnsi="Arial"/>
          <w:sz w:val="18"/>
          <w:szCs w:val="18"/>
          <w:b w:val="1"/>
          <w:bCs w:val="1"/>
          <w:color w:val="auto"/>
        </w:rPr>
      </w:pPr>
    </w:p>
    <w:p>
      <w:pPr>
        <w:jc w:val="both"/>
        <w:ind w:left="388" w:right="1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5, 2008, one of our subsidiaries acquired International Wood Industries (“IWI”), a manufacturer of industrial products headquartered in Turlock, CA with annual sales for the year ended December 31, 2007 of approximately $40 million. IWI sells specialty packaging and shipping products such as agriculture boxes for shipping food; moving boxes for the U.S. military; and crating, pallets and skids for a variety of industrial customers. The purchase price for the stock was approximately $14 million.</w:t>
      </w:r>
    </w:p>
    <w:p>
      <w:pPr>
        <w:spacing w:after="0" w:line="66" w:lineRule="exact"/>
        <w:rPr>
          <w:rFonts w:ascii="Arial" w:cs="Arial" w:eastAsia="Arial" w:hAnsi="Arial"/>
          <w:sz w:val="18"/>
          <w:szCs w:val="18"/>
          <w:b w:val="1"/>
          <w:bCs w:val="1"/>
          <w:color w:val="auto"/>
        </w:rPr>
      </w:pPr>
    </w:p>
    <w:p>
      <w:pPr>
        <w:jc w:val="both"/>
        <w:ind w:left="388" w:right="17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February 8, 2008, a stock grant was made for eligible salaried employees which will grant shares of common stock immediately upon the satisfaction of certain terms and conditions. We estimate that we will recognize total expense of approximately $1.3 million for each of the next three years for this grant.</w:t>
      </w:r>
    </w:p>
    <w:p>
      <w:pPr>
        <w:spacing w:after="0" w:line="200" w:lineRule="exact"/>
        <w:rPr>
          <w:sz w:val="20"/>
          <w:szCs w:val="20"/>
          <w:color w:val="auto"/>
        </w:rPr>
      </w:pPr>
    </w:p>
    <w:p>
      <w:pPr>
        <w:spacing w:after="0" w:line="34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7" w:name="page98"/>
    <w:bookmarkEnd w:id="97"/>
    <w:p>
      <w:pPr>
        <w:jc w:val="center"/>
        <w:ind w:right="159"/>
        <w:spacing w:after="0"/>
        <w:rPr>
          <w:sz w:val="20"/>
          <w:szCs w:val="20"/>
          <w:color w:val="auto"/>
        </w:rPr>
      </w:pPr>
      <w:r>
        <w:rPr>
          <w:rFonts w:ascii="Arial" w:cs="Arial" w:eastAsia="Arial" w:hAnsi="Arial"/>
          <w:sz w:val="18"/>
          <w:szCs w:val="18"/>
          <w:b w:val="1"/>
          <w:bCs w:val="1"/>
          <w:color w:val="auto"/>
        </w:rPr>
        <w:t>PRICE RANGE OF COMMON STOCK AND DIVIDENDS</w:t>
      </w:r>
    </w:p>
    <w:p>
      <w:pPr>
        <w:spacing w:after="0" w:line="18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Our common stock trades on The Nasdaq Stock Market (“NASDAQ”) under the symbol UFPI. The following table sets forth the range of high and low sales prices as reported by NASDAQ.</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2007</w:t>
            </w:r>
          </w:p>
        </w:tc>
        <w:tc>
          <w:tcPr>
            <w:tcW w:w="2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20"/>
                <w:szCs w:val="20"/>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20"/>
                <w:szCs w:val="20"/>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27.93</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44.90</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29.51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41.94</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54.61</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44.90</w:t>
            </w:r>
          </w:p>
        </w:tc>
      </w:tr>
      <w:tr>
        <w:trPr>
          <w:trHeight w:val="418"/>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Fiscal 2006</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24"/>
                <w:szCs w:val="24"/>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24"/>
                <w:szCs w:val="24"/>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52.39</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43.61</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Third Quarter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64.16</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46.89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80.28</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58.02</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First Quarter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64.94</w:t>
            </w:r>
          </w:p>
        </w:tc>
        <w:tc>
          <w:tcPr>
            <w:tcW w:w="1560" w:type="dxa"/>
            <w:vAlign w:val="bottom"/>
            <w:gridSpan w:val="3"/>
          </w:tcPr>
          <w:p>
            <w:pPr>
              <w:jc w:val="right"/>
              <w:ind w:right="120"/>
              <w:spacing w:after="0"/>
              <w:rPr>
                <w:sz w:val="20"/>
                <w:szCs w:val="20"/>
                <w:color w:val="auto"/>
              </w:rPr>
            </w:pPr>
            <w:r>
              <w:rPr>
                <w:rFonts w:ascii="Arial" w:cs="Arial" w:eastAsia="Arial" w:hAnsi="Arial"/>
                <w:sz w:val="18"/>
                <w:szCs w:val="18"/>
                <w:color w:val="auto"/>
              </w:rPr>
              <w:t>53.39</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1,150 shareholders of record as of January 31, 2008.</w:t>
      </w:r>
    </w:p>
    <w:p>
      <w:pPr>
        <w:spacing w:after="0" w:line="198"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 2007, we paid dividends on our common stock of $.055 per share in June and $.060 per share in December. In 2006, we paid dividends on our common stock of $.055 per share in June and $.055 per share in December. We intend to continue with our current semi-annual dividend policy for the foreseeable future.</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98" w:name="page99"/>
    <w:bookmarkEnd w:id="98"/>
    <w:p>
      <w:pPr>
        <w:jc w:val="center"/>
        <w:ind w:right="159"/>
        <w:spacing w:after="0"/>
        <w:rPr>
          <w:sz w:val="20"/>
          <w:szCs w:val="20"/>
          <w:color w:val="auto"/>
        </w:rPr>
      </w:pPr>
      <w:r>
        <w:rPr>
          <w:rFonts w:ascii="Arial" w:cs="Arial" w:eastAsia="Arial" w:hAnsi="Arial"/>
          <w:sz w:val="18"/>
          <w:szCs w:val="18"/>
          <w:b w:val="1"/>
          <w:bCs w:val="1"/>
          <w:color w:val="auto"/>
        </w:rPr>
        <w:t>STOCK PERFORMANCE GRAPH</w:t>
      </w:r>
    </w:p>
    <w:p>
      <w:pPr>
        <w:spacing w:after="0" w:line="202"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The following graph depicts the cumulative total return on the our common stock compared to the cumulative total return on the indices for The Nasdaq Stock Market (all U.S. companies) and an industry peer group we selected. The graph assumes an investment of $100 on December 28, 2002,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6285865" cy="55314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85865" cy="553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BlueLinx Holdings, Inc.</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Builders First Source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Building Materials Holding Co.</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Champion Enterprises, Inc.</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Louisiana Pacific Corp.</w:t>
      </w:r>
    </w:p>
    <w:p>
      <w:pPr>
        <w:spacing w:after="0" w:line="17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tcPr>
          <w:p>
            <w:pPr>
              <w:ind w:left="400"/>
              <w:spacing w:after="0"/>
              <w:rPr>
                <w:sz w:val="20"/>
                <w:szCs w:val="20"/>
                <w:color w:val="auto"/>
              </w:rPr>
            </w:pPr>
            <w:r>
              <w:rPr>
                <w:rFonts w:ascii="Arial" w:cs="Arial" w:eastAsia="Arial" w:hAnsi="Arial"/>
                <w:sz w:val="18"/>
                <w:szCs w:val="18"/>
                <w:b w:val="1"/>
                <w:bCs w:val="1"/>
                <w:color w:val="auto"/>
              </w:rPr>
              <w:t>Directors and Executive Officers</w:t>
            </w:r>
          </w:p>
        </w:tc>
      </w:tr>
      <w:tr>
        <w:trPr>
          <w:trHeight w:val="432"/>
        </w:trPr>
        <w:tc>
          <w:tcPr>
            <w:tcW w:w="3540" w:type="dxa"/>
            <w:vAlign w:val="bottom"/>
          </w:tcPr>
          <w:p>
            <w:pPr>
              <w:ind w:left="340"/>
              <w:spacing w:after="0"/>
              <w:rPr>
                <w:sz w:val="20"/>
                <w:szCs w:val="20"/>
                <w:color w:val="auto"/>
              </w:rPr>
            </w:pPr>
            <w:r>
              <w:rPr>
                <w:rFonts w:ascii="Arial" w:cs="Arial" w:eastAsia="Arial" w:hAnsi="Arial"/>
                <w:sz w:val="18"/>
                <w:szCs w:val="18"/>
                <w:b w:val="1"/>
                <w:bCs w:val="1"/>
                <w:color w:val="auto"/>
              </w:rPr>
              <w:t>BOARD OF DIRECTORS</w:t>
            </w:r>
          </w:p>
        </w:tc>
        <w:tc>
          <w:tcPr>
            <w:tcW w:w="7880" w:type="dxa"/>
            <w:vAlign w:val="bottom"/>
          </w:tcPr>
          <w:p>
            <w:pPr>
              <w:ind w:left="1660"/>
              <w:spacing w:after="0"/>
              <w:rPr>
                <w:sz w:val="20"/>
                <w:szCs w:val="20"/>
                <w:color w:val="auto"/>
              </w:rPr>
            </w:pPr>
            <w:r>
              <w:rPr>
                <w:rFonts w:ascii="Arial" w:cs="Arial" w:eastAsia="Arial" w:hAnsi="Arial"/>
                <w:sz w:val="18"/>
                <w:szCs w:val="18"/>
                <w:b w:val="1"/>
                <w:bCs w:val="1"/>
                <w:color w:val="auto"/>
              </w:rPr>
              <w:t>EXECUTIVE OFFICERS</w:t>
            </w: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Peter F. Secchia</w:t>
            </w:r>
          </w:p>
        </w:tc>
        <w:tc>
          <w:tcPr>
            <w:tcW w:w="7880" w:type="dxa"/>
            <w:vAlign w:val="bottom"/>
          </w:tcPr>
          <w:p>
            <w:pPr>
              <w:ind w:left="1660"/>
              <w:spacing w:after="0"/>
              <w:rPr>
                <w:sz w:val="20"/>
                <w:szCs w:val="20"/>
                <w:color w:val="auto"/>
              </w:rPr>
            </w:pPr>
            <w:r>
              <w:rPr>
                <w:rFonts w:ascii="Arial" w:cs="Arial" w:eastAsia="Arial" w:hAnsi="Arial"/>
                <w:sz w:val="18"/>
                <w:szCs w:val="18"/>
                <w:color w:val="auto"/>
              </w:rPr>
              <w:t>William G. Currie</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Chairman Emeritus</w:t>
            </w:r>
          </w:p>
        </w:tc>
        <w:tc>
          <w:tcPr>
            <w:tcW w:w="7880" w:type="dxa"/>
            <w:vAlign w:val="bottom"/>
          </w:tcPr>
          <w:p>
            <w:pPr>
              <w:ind w:left="1660"/>
              <w:spacing w:after="0"/>
              <w:rPr>
                <w:sz w:val="20"/>
                <w:szCs w:val="20"/>
                <w:color w:val="auto"/>
              </w:rPr>
            </w:pPr>
            <w:r>
              <w:rPr>
                <w:rFonts w:ascii="Arial" w:cs="Arial" w:eastAsia="Arial" w:hAnsi="Arial"/>
                <w:sz w:val="18"/>
                <w:szCs w:val="18"/>
                <w:color w:val="auto"/>
              </w:rPr>
              <w:t>Executive Chairman</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William G. Currie</w:t>
            </w:r>
          </w:p>
        </w:tc>
        <w:tc>
          <w:tcPr>
            <w:tcW w:w="7880" w:type="dxa"/>
            <w:vAlign w:val="bottom"/>
          </w:tcPr>
          <w:p>
            <w:pPr>
              <w:ind w:left="1660"/>
              <w:spacing w:after="0"/>
              <w:rPr>
                <w:sz w:val="20"/>
                <w:szCs w:val="20"/>
                <w:color w:val="auto"/>
              </w:rPr>
            </w:pPr>
            <w:r>
              <w:rPr>
                <w:rFonts w:ascii="Arial" w:cs="Arial" w:eastAsia="Arial" w:hAnsi="Arial"/>
                <w:sz w:val="18"/>
                <w:szCs w:val="18"/>
                <w:color w:val="auto"/>
              </w:rPr>
              <w:t>Michael B. Glenn</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Executive Chairman</w:t>
            </w:r>
          </w:p>
        </w:tc>
        <w:tc>
          <w:tcPr>
            <w:tcW w:w="7880" w:type="dxa"/>
            <w:vAlign w:val="bottom"/>
          </w:tcPr>
          <w:p>
            <w:pPr>
              <w:ind w:left="166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Michael B. Glenn</w:t>
            </w:r>
          </w:p>
        </w:tc>
        <w:tc>
          <w:tcPr>
            <w:tcW w:w="7880" w:type="dxa"/>
            <w:vAlign w:val="bottom"/>
          </w:tcPr>
          <w:p>
            <w:pPr>
              <w:ind w:left="1660"/>
              <w:spacing w:after="0"/>
              <w:rPr>
                <w:sz w:val="20"/>
                <w:szCs w:val="20"/>
                <w:color w:val="auto"/>
              </w:rPr>
            </w:pPr>
            <w:r>
              <w:rPr>
                <w:rFonts w:ascii="Arial" w:cs="Arial" w:eastAsia="Arial" w:hAnsi="Arial"/>
                <w:sz w:val="18"/>
                <w:szCs w:val="18"/>
                <w:color w:val="auto"/>
              </w:rPr>
              <w:t>Michael R. Cole</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7880" w:type="dxa"/>
            <w:vAlign w:val="bottom"/>
          </w:tcPr>
          <w:p>
            <w:pPr>
              <w:ind w:left="166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Universal Forest Products, Inc.</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Dan M. Dutton</w:t>
            </w:r>
          </w:p>
        </w:tc>
        <w:tc>
          <w:tcPr>
            <w:tcW w:w="7880" w:type="dxa"/>
            <w:vAlign w:val="bottom"/>
          </w:tcPr>
          <w:p>
            <w:pPr>
              <w:ind w:left="1660"/>
              <w:spacing w:after="0"/>
              <w:rPr>
                <w:sz w:val="20"/>
                <w:szCs w:val="20"/>
                <w:color w:val="auto"/>
              </w:rPr>
            </w:pPr>
            <w:r>
              <w:rPr>
                <w:rFonts w:ascii="Arial" w:cs="Arial" w:eastAsia="Arial" w:hAnsi="Arial"/>
                <w:sz w:val="18"/>
                <w:szCs w:val="18"/>
                <w:color w:val="auto"/>
              </w:rPr>
              <w:t>Robert D. Coleman</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Chairman of the Board</w:t>
            </w:r>
          </w:p>
        </w:tc>
        <w:tc>
          <w:tcPr>
            <w:tcW w:w="7880" w:type="dxa"/>
            <w:vAlign w:val="bottom"/>
          </w:tcPr>
          <w:p>
            <w:pPr>
              <w:ind w:left="1660"/>
              <w:spacing w:after="0"/>
              <w:rPr>
                <w:sz w:val="20"/>
                <w:szCs w:val="20"/>
                <w:color w:val="auto"/>
              </w:rPr>
            </w:pPr>
            <w:r>
              <w:rPr>
                <w:rFonts w:ascii="Arial" w:cs="Arial" w:eastAsia="Arial" w:hAnsi="Arial"/>
                <w:sz w:val="18"/>
                <w:szCs w:val="18"/>
                <w:color w:val="auto"/>
              </w:rPr>
              <w:t>Executive Vice President Manufacturing</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Stimson Lumber Co.</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John M. Engler</w:t>
            </w:r>
          </w:p>
        </w:tc>
        <w:tc>
          <w:tcPr>
            <w:tcW w:w="7880" w:type="dxa"/>
            <w:vAlign w:val="bottom"/>
          </w:tcPr>
          <w:p>
            <w:pPr>
              <w:ind w:left="1660"/>
              <w:spacing w:after="0"/>
              <w:rPr>
                <w:sz w:val="20"/>
                <w:szCs w:val="20"/>
                <w:color w:val="auto"/>
              </w:rPr>
            </w:pPr>
            <w:r>
              <w:rPr>
                <w:rFonts w:ascii="Arial" w:cs="Arial" w:eastAsia="Arial" w:hAnsi="Arial"/>
                <w:sz w:val="18"/>
                <w:szCs w:val="18"/>
                <w:color w:val="auto"/>
              </w:rPr>
              <w:t>C. Scott Greene</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President and Chief Executive Officer</w:t>
            </w:r>
          </w:p>
        </w:tc>
        <w:tc>
          <w:tcPr>
            <w:tcW w:w="7880" w:type="dxa"/>
            <w:vAlign w:val="bottom"/>
          </w:tcPr>
          <w:p>
            <w:pPr>
              <w:ind w:left="1660"/>
              <w:spacing w:after="0"/>
              <w:rPr>
                <w:sz w:val="20"/>
                <w:szCs w:val="20"/>
                <w:color w:val="auto"/>
              </w:rPr>
            </w:pPr>
            <w:r>
              <w:rPr>
                <w:rFonts w:ascii="Arial" w:cs="Arial" w:eastAsia="Arial" w:hAnsi="Arial"/>
                <w:sz w:val="18"/>
                <w:szCs w:val="18"/>
                <w:color w:val="auto"/>
              </w:rPr>
              <w:t>President</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National Association of Manufacturers</w:t>
            </w:r>
          </w:p>
        </w:tc>
        <w:tc>
          <w:tcPr>
            <w:tcW w:w="7880" w:type="dxa"/>
            <w:vAlign w:val="bottom"/>
          </w:tcPr>
          <w:p>
            <w:pPr>
              <w:ind w:left="1660"/>
              <w:spacing w:after="0"/>
              <w:rPr>
                <w:sz w:val="20"/>
                <w:szCs w:val="20"/>
                <w:color w:val="auto"/>
              </w:rPr>
            </w:pPr>
            <w:r>
              <w:rPr>
                <w:rFonts w:ascii="Arial" w:cs="Arial" w:eastAsia="Arial" w:hAnsi="Arial"/>
                <w:sz w:val="18"/>
                <w:szCs w:val="18"/>
                <w:color w:val="auto"/>
              </w:rPr>
              <w:t>Universal Forest Products Eastern Division, Inc.</w:t>
            </w: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John W. Garside</w:t>
            </w:r>
          </w:p>
        </w:tc>
        <w:tc>
          <w:tcPr>
            <w:tcW w:w="7880" w:type="dxa"/>
            <w:vAlign w:val="bottom"/>
          </w:tcPr>
          <w:p>
            <w:pPr>
              <w:ind w:left="1660"/>
              <w:spacing w:after="0"/>
              <w:rPr>
                <w:sz w:val="20"/>
                <w:szCs w:val="20"/>
                <w:color w:val="auto"/>
              </w:rPr>
            </w:pPr>
            <w:r>
              <w:rPr>
                <w:rFonts w:ascii="Arial" w:cs="Arial" w:eastAsia="Arial" w:hAnsi="Arial"/>
                <w:sz w:val="18"/>
                <w:szCs w:val="18"/>
                <w:color w:val="auto"/>
              </w:rPr>
              <w:t>Patrick M. Webster</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President and Treasurer</w:t>
            </w:r>
          </w:p>
        </w:tc>
        <w:tc>
          <w:tcPr>
            <w:tcW w:w="7880" w:type="dxa"/>
            <w:vAlign w:val="bottom"/>
          </w:tcPr>
          <w:p>
            <w:pPr>
              <w:ind w:left="1660"/>
              <w:spacing w:after="0"/>
              <w:rPr>
                <w:sz w:val="20"/>
                <w:szCs w:val="20"/>
                <w:color w:val="auto"/>
              </w:rPr>
            </w:pPr>
            <w:r>
              <w:rPr>
                <w:rFonts w:ascii="Arial" w:cs="Arial" w:eastAsia="Arial" w:hAnsi="Arial"/>
                <w:sz w:val="18"/>
                <w:szCs w:val="18"/>
                <w:color w:val="auto"/>
              </w:rPr>
              <w:t>President</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Woodruff Coal Company</w:t>
            </w:r>
          </w:p>
        </w:tc>
        <w:tc>
          <w:tcPr>
            <w:tcW w:w="7880" w:type="dxa"/>
            <w:vAlign w:val="bottom"/>
          </w:tcPr>
          <w:p>
            <w:pPr>
              <w:ind w:left="1660"/>
              <w:spacing w:after="0"/>
              <w:rPr>
                <w:sz w:val="20"/>
                <w:szCs w:val="20"/>
                <w:color w:val="auto"/>
              </w:rPr>
            </w:pPr>
            <w:r>
              <w:rPr>
                <w:rFonts w:ascii="Arial" w:cs="Arial" w:eastAsia="Arial" w:hAnsi="Arial"/>
                <w:sz w:val="18"/>
                <w:szCs w:val="18"/>
                <w:color w:val="auto"/>
              </w:rPr>
              <w:t>Universal Forest Products Western Division, Inc.</w:t>
            </w: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Gary F. Goode, CPA</w:t>
            </w:r>
          </w:p>
        </w:tc>
        <w:tc>
          <w:tcPr>
            <w:tcW w:w="7880" w:type="dxa"/>
            <w:vAlign w:val="bottom"/>
          </w:tcPr>
          <w:p>
            <w:pPr>
              <w:ind w:left="1660"/>
              <w:spacing w:after="0"/>
              <w:rPr>
                <w:sz w:val="20"/>
                <w:szCs w:val="20"/>
                <w:color w:val="auto"/>
              </w:rPr>
            </w:pPr>
            <w:r>
              <w:rPr>
                <w:rFonts w:ascii="Arial" w:cs="Arial" w:eastAsia="Arial" w:hAnsi="Arial"/>
                <w:sz w:val="18"/>
                <w:szCs w:val="18"/>
                <w:color w:val="auto"/>
              </w:rPr>
              <w:t>Ronald G. Klyn</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Chairman</w:t>
            </w:r>
          </w:p>
        </w:tc>
        <w:tc>
          <w:tcPr>
            <w:tcW w:w="7880" w:type="dxa"/>
            <w:vAlign w:val="bottom"/>
          </w:tcPr>
          <w:p>
            <w:pPr>
              <w:ind w:left="1660"/>
              <w:spacing w:after="0"/>
              <w:rPr>
                <w:sz w:val="20"/>
                <w:szCs w:val="20"/>
                <w:color w:val="auto"/>
              </w:rPr>
            </w:pPr>
            <w:r>
              <w:rPr>
                <w:rFonts w:ascii="Arial" w:cs="Arial" w:eastAsia="Arial" w:hAnsi="Arial"/>
                <w:sz w:val="18"/>
                <w:szCs w:val="18"/>
                <w:color w:val="auto"/>
              </w:rPr>
              <w:t>Chief Information Officer</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Titan Sales &amp; Consulting, LLC</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Mark A. Murray</w:t>
            </w:r>
          </w:p>
        </w:tc>
        <w:tc>
          <w:tcPr>
            <w:tcW w:w="7880" w:type="dxa"/>
            <w:vAlign w:val="bottom"/>
          </w:tcPr>
          <w:p>
            <w:pPr>
              <w:ind w:left="1660"/>
              <w:spacing w:after="0"/>
              <w:rPr>
                <w:sz w:val="20"/>
                <w:szCs w:val="20"/>
                <w:color w:val="auto"/>
              </w:rPr>
            </w:pPr>
            <w:r>
              <w:rPr>
                <w:rFonts w:ascii="Arial" w:cs="Arial" w:eastAsia="Arial" w:hAnsi="Arial"/>
                <w:sz w:val="18"/>
                <w:szCs w:val="18"/>
                <w:color w:val="auto"/>
              </w:rPr>
              <w:t>Matthew J. Missad</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President</w:t>
            </w:r>
          </w:p>
        </w:tc>
        <w:tc>
          <w:tcPr>
            <w:tcW w:w="7880" w:type="dxa"/>
            <w:vAlign w:val="bottom"/>
          </w:tcPr>
          <w:p>
            <w:pPr>
              <w:ind w:left="1660"/>
              <w:spacing w:after="0"/>
              <w:rPr>
                <w:sz w:val="20"/>
                <w:szCs w:val="20"/>
                <w:color w:val="auto"/>
              </w:rPr>
            </w:pPr>
            <w:r>
              <w:rPr>
                <w:rFonts w:ascii="Arial" w:cs="Arial" w:eastAsia="Arial" w:hAnsi="Arial"/>
                <w:sz w:val="18"/>
                <w:szCs w:val="18"/>
                <w:color w:val="auto"/>
              </w:rPr>
              <w:t>Executive Vice President and Secretary</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Meijer, Inc.</w:t>
            </w:r>
          </w:p>
        </w:tc>
        <w:tc>
          <w:tcPr>
            <w:tcW w:w="7880" w:type="dxa"/>
            <w:vAlign w:val="bottom"/>
          </w:tcPr>
          <w:p>
            <w:pPr>
              <w:spacing w:after="0"/>
              <w:rPr>
                <w:sz w:val="20"/>
                <w:szCs w:val="20"/>
                <w:color w:val="auto"/>
              </w:rPr>
            </w:pPr>
          </w:p>
        </w:tc>
      </w:tr>
      <w:tr>
        <w:trPr>
          <w:trHeight w:val="418"/>
        </w:trPr>
        <w:tc>
          <w:tcPr>
            <w:tcW w:w="3540" w:type="dxa"/>
            <w:vAlign w:val="bottom"/>
          </w:tcPr>
          <w:p>
            <w:pPr>
              <w:ind w:left="340"/>
              <w:spacing w:after="0"/>
              <w:rPr>
                <w:sz w:val="20"/>
                <w:szCs w:val="20"/>
                <w:color w:val="auto"/>
              </w:rPr>
            </w:pPr>
            <w:r>
              <w:rPr>
                <w:rFonts w:ascii="Arial" w:cs="Arial" w:eastAsia="Arial" w:hAnsi="Arial"/>
                <w:sz w:val="18"/>
                <w:szCs w:val="18"/>
                <w:color w:val="auto"/>
              </w:rPr>
              <w:t>Louis A. Smith</w:t>
            </w:r>
          </w:p>
        </w:tc>
        <w:tc>
          <w:tcPr>
            <w:tcW w:w="7880" w:type="dxa"/>
            <w:vAlign w:val="bottom"/>
          </w:tcPr>
          <w:p>
            <w:pPr>
              <w:ind w:left="1660"/>
              <w:spacing w:after="0"/>
              <w:rPr>
                <w:sz w:val="20"/>
                <w:szCs w:val="20"/>
                <w:color w:val="auto"/>
              </w:rPr>
            </w:pPr>
            <w:r>
              <w:rPr>
                <w:rFonts w:ascii="Arial" w:cs="Arial" w:eastAsia="Arial" w:hAnsi="Arial"/>
                <w:sz w:val="18"/>
                <w:szCs w:val="18"/>
                <w:color w:val="auto"/>
              </w:rPr>
              <w:t>Joseph F. Granger</w:t>
            </w:r>
          </w:p>
        </w:tc>
      </w:tr>
      <w:tr>
        <w:trPr>
          <w:trHeight w:val="216"/>
        </w:trPr>
        <w:tc>
          <w:tcPr>
            <w:tcW w:w="3540" w:type="dxa"/>
            <w:vAlign w:val="bottom"/>
          </w:tcPr>
          <w:p>
            <w:pPr>
              <w:ind w:left="340"/>
              <w:spacing w:after="0"/>
              <w:rPr>
                <w:sz w:val="20"/>
                <w:szCs w:val="20"/>
                <w:color w:val="auto"/>
              </w:rPr>
            </w:pPr>
            <w:r>
              <w:rPr>
                <w:rFonts w:ascii="Arial" w:cs="Arial" w:eastAsia="Arial" w:hAnsi="Arial"/>
                <w:sz w:val="18"/>
                <w:szCs w:val="18"/>
                <w:color w:val="auto"/>
              </w:rPr>
              <w:t>President</w:t>
            </w:r>
          </w:p>
        </w:tc>
        <w:tc>
          <w:tcPr>
            <w:tcW w:w="7880" w:type="dxa"/>
            <w:vAlign w:val="bottom"/>
          </w:tcPr>
          <w:p>
            <w:pPr>
              <w:ind w:left="1660"/>
              <w:spacing w:after="0"/>
              <w:rPr>
                <w:sz w:val="20"/>
                <w:szCs w:val="20"/>
                <w:color w:val="auto"/>
              </w:rPr>
            </w:pPr>
            <w:r>
              <w:rPr>
                <w:rFonts w:ascii="Arial" w:cs="Arial" w:eastAsia="Arial" w:hAnsi="Arial"/>
                <w:sz w:val="18"/>
                <w:szCs w:val="18"/>
                <w:color w:val="auto"/>
              </w:rPr>
              <w:t>Executive Vice President of Sales and Marketing</w:t>
            </w:r>
          </w:p>
        </w:tc>
      </w:tr>
      <w:tr>
        <w:trPr>
          <w:trHeight w:val="230"/>
        </w:trPr>
        <w:tc>
          <w:tcPr>
            <w:tcW w:w="3540" w:type="dxa"/>
            <w:vAlign w:val="bottom"/>
          </w:tcPr>
          <w:p>
            <w:pPr>
              <w:ind w:left="340"/>
              <w:spacing w:after="0"/>
              <w:rPr>
                <w:sz w:val="20"/>
                <w:szCs w:val="20"/>
                <w:color w:val="auto"/>
              </w:rPr>
            </w:pPr>
            <w:r>
              <w:rPr>
                <w:rFonts w:ascii="Arial" w:cs="Arial" w:eastAsia="Arial" w:hAnsi="Arial"/>
                <w:sz w:val="18"/>
                <w:szCs w:val="18"/>
                <w:color w:val="auto"/>
              </w:rPr>
              <w:t>Smith and Johnson, Attorneys, P.C.</w:t>
            </w:r>
          </w:p>
        </w:tc>
        <w:tc>
          <w:tcPr>
            <w:tcW w:w="7880" w:type="dxa"/>
            <w:vAlign w:val="bottom"/>
          </w:tcPr>
          <w:p>
            <w:pPr>
              <w:spacing w:after="0"/>
              <w:rPr>
                <w:sz w:val="20"/>
                <w:szCs w:val="20"/>
                <w:color w:val="auto"/>
              </w:rPr>
            </w:pPr>
          </w:p>
        </w:tc>
      </w:tr>
      <w:tr>
        <w:trPr>
          <w:trHeight w:val="797"/>
        </w:trPr>
        <w:tc>
          <w:tcPr>
            <w:tcW w:w="3540" w:type="dxa"/>
            <w:vAlign w:val="bottom"/>
          </w:tcPr>
          <w:p>
            <w:pPr>
              <w:spacing w:after="0"/>
              <w:rPr>
                <w:sz w:val="24"/>
                <w:szCs w:val="24"/>
                <w:color w:val="auto"/>
              </w:rPr>
            </w:pPr>
          </w:p>
        </w:tc>
        <w:tc>
          <w:tcPr>
            <w:tcW w:w="7880" w:type="dxa"/>
            <w:vAlign w:val="bottom"/>
          </w:tcPr>
          <w:p>
            <w:pPr>
              <w:ind w:left="1560"/>
              <w:spacing w:after="0"/>
              <w:rPr>
                <w:sz w:val="20"/>
                <w:szCs w:val="20"/>
                <w:color w:val="auto"/>
              </w:rPr>
            </w:pPr>
            <w:r>
              <w:rPr>
                <w:rFonts w:ascii="Arial" w:cs="Arial" w:eastAsia="Arial" w:hAnsi="Arial"/>
                <w:sz w:val="18"/>
                <w:szCs w:val="18"/>
                <w:color w:val="auto"/>
              </w:rPr>
              <w:t>60</w:t>
            </w:r>
          </w:p>
        </w:tc>
      </w:tr>
      <w:tr>
        <w:trPr>
          <w:trHeight w:val="226"/>
        </w:trPr>
        <w:tc>
          <w:tcPr>
            <w:tcW w:w="3540" w:type="dxa"/>
            <w:vAlign w:val="bottom"/>
            <w:tcBorders>
              <w:bottom w:val="single" w:sz="8" w:color="808080"/>
            </w:tcBorders>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jc w:val="center"/>
        <w:ind w:right="179"/>
        <w:spacing w:after="0"/>
        <w:rPr>
          <w:sz w:val="20"/>
          <w:szCs w:val="20"/>
          <w:color w:val="auto"/>
        </w:rPr>
      </w:pPr>
      <w:r>
        <w:rPr>
          <w:rFonts w:ascii="Arial" w:cs="Arial" w:eastAsia="Arial" w:hAnsi="Arial"/>
          <w:sz w:val="18"/>
          <w:szCs w:val="18"/>
          <w:b w:val="1"/>
          <w:bCs w:val="1"/>
          <w:color w:val="auto"/>
        </w:rPr>
        <w:t>Shareholder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89"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The annual meeting of Universal Forest Products, Inc., will be held at 8:30 a.m. on April 16, 2008, at 2880 East Beltline Lane NE, Grand Rapids, MI 49525.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02" w:lineRule="exact"/>
        <w:rPr>
          <w:sz w:val="20"/>
          <w:szCs w:val="20"/>
          <w:color w:val="auto"/>
        </w:rPr>
      </w:pPr>
    </w:p>
    <w:p>
      <w:pPr>
        <w:jc w:val="both"/>
        <w:ind w:right="179"/>
        <w:spacing w:after="0" w:line="264" w:lineRule="auto"/>
        <w:rPr>
          <w:sz w:val="20"/>
          <w:szCs w:val="20"/>
          <w:color w:val="auto"/>
        </w:rPr>
      </w:pPr>
      <w:r>
        <w:rPr>
          <w:rFonts w:ascii="Arial" w:cs="Arial" w:eastAsia="Arial" w:hAnsi="Arial"/>
          <w:sz w:val="18"/>
          <w:szCs w:val="18"/>
          <w:color w:val="auto"/>
        </w:rPr>
        <w:t>Shares of the Company’s stock are traded under the symbol UFPI on the NASDAQ Stock Market. The Company’s 10-K report, filed with the Securities and Exchange Commission, will be provided free of charge to any shareholder upon written request. For more information contact: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Universal Forest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w:t>
      </w:r>
      <w:r>
        <w:rPr>
          <w:rFonts w:ascii="Arial" w:cs="Arial" w:eastAsia="Arial" w:hAnsi="Arial"/>
          <w:sz w:val="18"/>
          <w:szCs w:val="18"/>
          <w:u w:val="single" w:color="auto"/>
          <w:color w:val="auto"/>
        </w:rPr>
        <w:t>www.ufpi.com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COUNSEL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Varnum, Riddering, Schmidt &amp; Howlett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ACCOUNTANTS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AGENT/SHAREHOLDER INQUIRIES</w:t>
      </w:r>
    </w:p>
    <w:p>
      <w:pPr>
        <w:spacing w:after="0" w:line="189" w:lineRule="exact"/>
        <w:rPr>
          <w:sz w:val="20"/>
          <w:szCs w:val="20"/>
          <w:color w:val="auto"/>
        </w:rPr>
      </w:pPr>
    </w:p>
    <w:p>
      <w:pPr>
        <w:ind w:right="179"/>
        <w:spacing w:after="0" w:line="308" w:lineRule="auto"/>
        <w:rPr>
          <w:sz w:val="20"/>
          <w:szCs w:val="20"/>
          <w:color w:val="auto"/>
        </w:rPr>
      </w:pPr>
      <w:r>
        <w:rPr>
          <w:rFonts w:ascii="Arial" w:cs="Arial" w:eastAsia="Arial" w:hAnsi="Arial"/>
          <w:sz w:val="17"/>
          <w:szCs w:val="17"/>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(718) 921-8210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 CORPORATE HEADQUARTERS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UNIVERSAL FOREST PRODUCTS</w:t>
            </w:r>
            <w:r>
              <w:rPr>
                <w:rFonts w:ascii="Arial" w:cs="Arial" w:eastAsia="Arial" w:hAnsi="Arial"/>
                <w:sz w:val="15"/>
                <w:szCs w:val="15"/>
                <w:b w:val="1"/>
                <w:bCs w:val="1"/>
                <w:color w:val="auto"/>
              </w:rPr>
              <w:t>®</w:t>
            </w:r>
            <w:r>
              <w:rPr>
                <w:rFonts w:ascii="Arial" w:cs="Arial" w:eastAsia="Arial" w:hAnsi="Arial"/>
                <w:sz w:val="18"/>
                <w:szCs w:val="18"/>
                <w:b w:val="1"/>
                <w:bCs w:val="1"/>
                <w:color w:val="auto"/>
              </w:rPr>
              <w:t>, INC., AND ITS AFFILIATES</w:t>
            </w:r>
          </w:p>
        </w:tc>
        <w:tc>
          <w:tcPr>
            <w:tcW w:w="2940" w:type="dxa"/>
            <w:vAlign w:val="bottom"/>
          </w:tcPr>
          <w:p>
            <w:pPr>
              <w:spacing w:after="0"/>
              <w:rPr>
                <w:sz w:val="20"/>
                <w:szCs w:val="20"/>
                <w:color w:val="auto"/>
              </w:rPr>
            </w:pPr>
          </w:p>
        </w:tc>
      </w:tr>
      <w:tr>
        <w:trPr>
          <w:trHeight w:val="405"/>
        </w:trPr>
        <w:tc>
          <w:tcPr>
            <w:tcW w:w="2640" w:type="dxa"/>
            <w:vAlign w:val="bottom"/>
          </w:tcPr>
          <w:p>
            <w:pPr>
              <w:spacing w:after="0"/>
              <w:rPr>
                <w:sz w:val="20"/>
                <w:szCs w:val="20"/>
                <w:color w:val="auto"/>
              </w:rPr>
            </w:pPr>
            <w:r>
              <w:rPr>
                <w:rFonts w:ascii="Arial" w:cs="Arial" w:eastAsia="Arial" w:hAnsi="Arial"/>
                <w:sz w:val="18"/>
                <w:szCs w:val="18"/>
                <w:b w:val="1"/>
                <w:bCs w:val="1"/>
                <w:color w:val="auto"/>
              </w:rPr>
              <w:t>Locations:</w:t>
            </w:r>
          </w:p>
        </w:tc>
        <w:tc>
          <w:tcPr>
            <w:tcW w:w="33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18"/>
        </w:trPr>
        <w:tc>
          <w:tcPr>
            <w:tcW w:w="2640" w:type="dxa"/>
            <w:vAlign w:val="bottom"/>
          </w:tcPr>
          <w:p>
            <w:pPr>
              <w:spacing w:after="0"/>
              <w:rPr>
                <w:sz w:val="20"/>
                <w:szCs w:val="20"/>
                <w:color w:val="auto"/>
              </w:rPr>
            </w:pPr>
            <w:r>
              <w:rPr>
                <w:rFonts w:ascii="Arial" w:cs="Arial" w:eastAsia="Arial" w:hAnsi="Arial"/>
                <w:sz w:val="18"/>
                <w:szCs w:val="18"/>
                <w:color w:val="auto"/>
              </w:rPr>
              <w:t>Ashburn, GA</w:t>
            </w:r>
          </w:p>
        </w:tc>
        <w:tc>
          <w:tcPr>
            <w:tcW w:w="3380" w:type="dxa"/>
            <w:vAlign w:val="bottom"/>
          </w:tcPr>
          <w:p>
            <w:pPr>
              <w:ind w:left="680"/>
              <w:spacing w:after="0"/>
              <w:rPr>
                <w:sz w:val="20"/>
                <w:szCs w:val="20"/>
                <w:color w:val="auto"/>
              </w:rPr>
            </w:pPr>
            <w:r>
              <w:rPr>
                <w:rFonts w:ascii="Arial" w:cs="Arial" w:eastAsia="Arial" w:hAnsi="Arial"/>
                <w:sz w:val="18"/>
                <w:szCs w:val="18"/>
                <w:color w:val="auto"/>
              </w:rPr>
              <w:t>Indianapolis, IN</w:t>
            </w:r>
          </w:p>
        </w:tc>
        <w:tc>
          <w:tcPr>
            <w:tcW w:w="2940" w:type="dxa"/>
            <w:vAlign w:val="bottom"/>
          </w:tcPr>
          <w:p>
            <w:pPr>
              <w:ind w:left="640"/>
              <w:spacing w:after="0"/>
              <w:rPr>
                <w:sz w:val="20"/>
                <w:szCs w:val="20"/>
                <w:color w:val="auto"/>
              </w:rPr>
            </w:pPr>
            <w:r>
              <w:rPr>
                <w:rFonts w:ascii="Arial" w:cs="Arial" w:eastAsia="Arial" w:hAnsi="Arial"/>
                <w:sz w:val="18"/>
                <w:szCs w:val="18"/>
                <w:color w:val="auto"/>
              </w:rPr>
              <w:t>Springfield, IL</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Auburn, NY</w:t>
            </w:r>
          </w:p>
        </w:tc>
        <w:tc>
          <w:tcPr>
            <w:tcW w:w="3380" w:type="dxa"/>
            <w:vAlign w:val="bottom"/>
          </w:tcPr>
          <w:p>
            <w:pPr>
              <w:ind w:left="680"/>
              <w:spacing w:after="0"/>
              <w:rPr>
                <w:sz w:val="20"/>
                <w:szCs w:val="20"/>
                <w:color w:val="auto"/>
              </w:rPr>
            </w:pPr>
            <w:r>
              <w:rPr>
                <w:rFonts w:ascii="Arial" w:cs="Arial" w:eastAsia="Arial" w:hAnsi="Arial"/>
                <w:sz w:val="18"/>
                <w:szCs w:val="18"/>
                <w:color w:val="auto"/>
              </w:rPr>
              <w:t>Jacksonville, FL</w:t>
            </w:r>
          </w:p>
        </w:tc>
        <w:tc>
          <w:tcPr>
            <w:tcW w:w="2940" w:type="dxa"/>
            <w:vAlign w:val="bottom"/>
          </w:tcPr>
          <w:p>
            <w:pPr>
              <w:ind w:left="640"/>
              <w:spacing w:after="0"/>
              <w:rPr>
                <w:sz w:val="20"/>
                <w:szCs w:val="20"/>
                <w:color w:val="auto"/>
              </w:rPr>
            </w:pPr>
            <w:r>
              <w:rPr>
                <w:rFonts w:ascii="Arial" w:cs="Arial" w:eastAsia="Arial" w:hAnsi="Arial"/>
                <w:sz w:val="18"/>
                <w:szCs w:val="18"/>
                <w:color w:val="auto"/>
              </w:rPr>
              <w:t>Stanfield, NC</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Auburndale, FL (2)</w:t>
            </w:r>
          </w:p>
        </w:tc>
        <w:tc>
          <w:tcPr>
            <w:tcW w:w="3380" w:type="dxa"/>
            <w:vAlign w:val="bottom"/>
          </w:tcPr>
          <w:p>
            <w:pPr>
              <w:ind w:left="680"/>
              <w:spacing w:after="0"/>
              <w:rPr>
                <w:sz w:val="20"/>
                <w:szCs w:val="20"/>
                <w:color w:val="auto"/>
              </w:rPr>
            </w:pPr>
            <w:r>
              <w:rPr>
                <w:rFonts w:ascii="Arial" w:cs="Arial" w:eastAsia="Arial" w:hAnsi="Arial"/>
                <w:sz w:val="18"/>
                <w:szCs w:val="18"/>
                <w:color w:val="auto"/>
              </w:rPr>
              <w:t>Janesville, WI</w:t>
            </w:r>
          </w:p>
        </w:tc>
        <w:tc>
          <w:tcPr>
            <w:tcW w:w="2940" w:type="dxa"/>
            <w:vAlign w:val="bottom"/>
          </w:tcPr>
          <w:p>
            <w:pPr>
              <w:ind w:left="640"/>
              <w:spacing w:after="0"/>
              <w:rPr>
                <w:sz w:val="20"/>
                <w:szCs w:val="20"/>
                <w:color w:val="auto"/>
              </w:rPr>
            </w:pPr>
            <w:r>
              <w:rPr>
                <w:rFonts w:ascii="Arial" w:cs="Arial" w:eastAsia="Arial" w:hAnsi="Arial"/>
                <w:sz w:val="18"/>
                <w:szCs w:val="18"/>
                <w:color w:val="auto"/>
              </w:rPr>
              <w:t>Stockertown, PA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Belchertown, MA</w:t>
            </w:r>
          </w:p>
        </w:tc>
        <w:tc>
          <w:tcPr>
            <w:tcW w:w="3380" w:type="dxa"/>
            <w:vAlign w:val="bottom"/>
          </w:tcPr>
          <w:p>
            <w:pPr>
              <w:ind w:left="680"/>
              <w:spacing w:after="0"/>
              <w:rPr>
                <w:sz w:val="20"/>
                <w:szCs w:val="20"/>
                <w:color w:val="auto"/>
              </w:rPr>
            </w:pPr>
            <w:r>
              <w:rPr>
                <w:rFonts w:ascii="Arial" w:cs="Arial" w:eastAsia="Arial" w:hAnsi="Arial"/>
                <w:sz w:val="18"/>
                <w:szCs w:val="18"/>
                <w:color w:val="auto"/>
              </w:rPr>
              <w:t>Jefferson, GA</w:t>
            </w:r>
          </w:p>
        </w:tc>
        <w:tc>
          <w:tcPr>
            <w:tcW w:w="2940" w:type="dxa"/>
            <w:vAlign w:val="bottom"/>
          </w:tcPr>
          <w:p>
            <w:pPr>
              <w:ind w:left="640"/>
              <w:spacing w:after="0"/>
              <w:rPr>
                <w:sz w:val="20"/>
                <w:szCs w:val="20"/>
                <w:color w:val="auto"/>
              </w:rPr>
            </w:pPr>
            <w:r>
              <w:rPr>
                <w:rFonts w:ascii="Arial" w:cs="Arial" w:eastAsia="Arial" w:hAnsi="Arial"/>
                <w:sz w:val="18"/>
                <w:szCs w:val="18"/>
                <w:color w:val="auto"/>
              </w:rPr>
              <w:t>Tampa, FL</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Berlin, NJ</w:t>
            </w:r>
          </w:p>
        </w:tc>
        <w:tc>
          <w:tcPr>
            <w:tcW w:w="3380" w:type="dxa"/>
            <w:vAlign w:val="bottom"/>
          </w:tcPr>
          <w:p>
            <w:pPr>
              <w:ind w:left="680"/>
              <w:spacing w:after="0"/>
              <w:rPr>
                <w:sz w:val="20"/>
                <w:szCs w:val="20"/>
                <w:color w:val="auto"/>
              </w:rPr>
            </w:pPr>
            <w:r>
              <w:rPr>
                <w:rFonts w:ascii="Arial" w:cs="Arial" w:eastAsia="Arial" w:hAnsi="Arial"/>
                <w:sz w:val="18"/>
                <w:szCs w:val="18"/>
                <w:color w:val="auto"/>
              </w:rPr>
              <w:t>Kyle, TX</w:t>
            </w:r>
          </w:p>
        </w:tc>
        <w:tc>
          <w:tcPr>
            <w:tcW w:w="2940" w:type="dxa"/>
            <w:vAlign w:val="bottom"/>
          </w:tcPr>
          <w:p>
            <w:pPr>
              <w:ind w:left="640"/>
              <w:spacing w:after="0"/>
              <w:rPr>
                <w:sz w:val="20"/>
                <w:szCs w:val="20"/>
                <w:color w:val="auto"/>
              </w:rPr>
            </w:pPr>
            <w:r>
              <w:rPr>
                <w:rFonts w:ascii="Arial" w:cs="Arial" w:eastAsia="Arial" w:hAnsi="Arial"/>
                <w:sz w:val="18"/>
                <w:szCs w:val="18"/>
                <w:color w:val="auto"/>
                <w:w w:val="91"/>
              </w:rPr>
              <w:t>Tecate, Baja California, Mexico</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Blanchester, OH</w:t>
            </w:r>
          </w:p>
        </w:tc>
        <w:tc>
          <w:tcPr>
            <w:tcW w:w="3380" w:type="dxa"/>
            <w:vAlign w:val="bottom"/>
          </w:tcPr>
          <w:p>
            <w:pPr>
              <w:ind w:left="680"/>
              <w:spacing w:after="0"/>
              <w:rPr>
                <w:sz w:val="20"/>
                <w:szCs w:val="20"/>
                <w:color w:val="auto"/>
              </w:rPr>
            </w:pPr>
            <w:r>
              <w:rPr>
                <w:rFonts w:ascii="Arial" w:cs="Arial" w:eastAsia="Arial" w:hAnsi="Arial"/>
                <w:sz w:val="18"/>
                <w:szCs w:val="18"/>
                <w:color w:val="auto"/>
              </w:rPr>
              <w:t>Lacolle, Quebec, Canada</w:t>
            </w:r>
          </w:p>
        </w:tc>
        <w:tc>
          <w:tcPr>
            <w:tcW w:w="2940" w:type="dxa"/>
            <w:vAlign w:val="bottom"/>
          </w:tcPr>
          <w:p>
            <w:pPr>
              <w:ind w:left="640"/>
              <w:spacing w:after="0"/>
              <w:rPr>
                <w:sz w:val="20"/>
                <w:szCs w:val="20"/>
                <w:color w:val="auto"/>
              </w:rPr>
            </w:pPr>
            <w:r>
              <w:rPr>
                <w:rFonts w:ascii="Arial" w:cs="Arial" w:eastAsia="Arial" w:hAnsi="Arial"/>
                <w:sz w:val="18"/>
                <w:szCs w:val="18"/>
                <w:color w:val="auto"/>
              </w:rPr>
              <w:t>Thorndale, Ontario, Canada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Bunn, NC</w:t>
            </w:r>
          </w:p>
        </w:tc>
        <w:tc>
          <w:tcPr>
            <w:tcW w:w="3380" w:type="dxa"/>
            <w:vAlign w:val="bottom"/>
          </w:tcPr>
          <w:p>
            <w:pPr>
              <w:ind w:left="680"/>
              <w:spacing w:after="0"/>
              <w:rPr>
                <w:sz w:val="20"/>
                <w:szCs w:val="20"/>
                <w:color w:val="auto"/>
              </w:rPr>
            </w:pPr>
            <w:r>
              <w:rPr>
                <w:rFonts w:ascii="Arial" w:cs="Arial" w:eastAsia="Arial" w:hAnsi="Arial"/>
                <w:sz w:val="18"/>
                <w:szCs w:val="18"/>
                <w:color w:val="auto"/>
              </w:rPr>
              <w:t>Lafayette, CO</w:t>
            </w:r>
          </w:p>
        </w:tc>
        <w:tc>
          <w:tcPr>
            <w:tcW w:w="2940" w:type="dxa"/>
            <w:vAlign w:val="bottom"/>
          </w:tcPr>
          <w:p>
            <w:pPr>
              <w:ind w:left="640"/>
              <w:spacing w:after="0"/>
              <w:rPr>
                <w:sz w:val="20"/>
                <w:szCs w:val="20"/>
                <w:color w:val="auto"/>
              </w:rPr>
            </w:pPr>
            <w:r>
              <w:rPr>
                <w:rFonts w:ascii="Arial" w:cs="Arial" w:eastAsia="Arial" w:hAnsi="Arial"/>
                <w:sz w:val="18"/>
                <w:szCs w:val="18"/>
                <w:color w:val="auto"/>
              </w:rPr>
              <w:t>Thornton, CA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Burleson, TX</w:t>
            </w:r>
          </w:p>
        </w:tc>
        <w:tc>
          <w:tcPr>
            <w:tcW w:w="3380" w:type="dxa"/>
            <w:vAlign w:val="bottom"/>
          </w:tcPr>
          <w:p>
            <w:pPr>
              <w:ind w:left="680"/>
              <w:spacing w:after="0"/>
              <w:rPr>
                <w:sz w:val="20"/>
                <w:szCs w:val="20"/>
                <w:color w:val="auto"/>
              </w:rPr>
            </w:pPr>
            <w:r>
              <w:rPr>
                <w:rFonts w:ascii="Arial" w:cs="Arial" w:eastAsia="Arial" w:hAnsi="Arial"/>
                <w:sz w:val="18"/>
                <w:szCs w:val="18"/>
                <w:color w:val="auto"/>
              </w:rPr>
              <w:t>Lancaster, PA</w:t>
            </w:r>
          </w:p>
        </w:tc>
        <w:tc>
          <w:tcPr>
            <w:tcW w:w="2940" w:type="dxa"/>
            <w:vAlign w:val="bottom"/>
          </w:tcPr>
          <w:p>
            <w:pPr>
              <w:ind w:left="640"/>
              <w:spacing w:after="0"/>
              <w:rPr>
                <w:sz w:val="20"/>
                <w:szCs w:val="20"/>
                <w:color w:val="auto"/>
              </w:rPr>
            </w:pPr>
            <w:r>
              <w:rPr>
                <w:rFonts w:ascii="Arial" w:cs="Arial" w:eastAsia="Arial" w:hAnsi="Arial"/>
                <w:sz w:val="18"/>
                <w:szCs w:val="18"/>
                <w:color w:val="auto"/>
              </w:rPr>
              <w:t>Union City, GA</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Burlington, NC</w:t>
            </w:r>
          </w:p>
        </w:tc>
        <w:tc>
          <w:tcPr>
            <w:tcW w:w="3380" w:type="dxa"/>
            <w:vAlign w:val="bottom"/>
          </w:tcPr>
          <w:p>
            <w:pPr>
              <w:ind w:left="680"/>
              <w:spacing w:after="0"/>
              <w:rPr>
                <w:sz w:val="20"/>
                <w:szCs w:val="20"/>
                <w:color w:val="auto"/>
              </w:rPr>
            </w:pPr>
            <w:r>
              <w:rPr>
                <w:rFonts w:ascii="Arial" w:cs="Arial" w:eastAsia="Arial" w:hAnsi="Arial"/>
                <w:sz w:val="18"/>
                <w:szCs w:val="18"/>
                <w:color w:val="auto"/>
              </w:rPr>
              <w:t>Lansing, MI</w:t>
            </w:r>
          </w:p>
        </w:tc>
        <w:tc>
          <w:tcPr>
            <w:tcW w:w="2940" w:type="dxa"/>
            <w:vAlign w:val="bottom"/>
          </w:tcPr>
          <w:p>
            <w:pPr>
              <w:ind w:left="640"/>
              <w:spacing w:after="0"/>
              <w:rPr>
                <w:sz w:val="20"/>
                <w:szCs w:val="20"/>
                <w:color w:val="auto"/>
              </w:rPr>
            </w:pPr>
            <w:r>
              <w:rPr>
                <w:rFonts w:ascii="Arial" w:cs="Arial" w:eastAsia="Arial" w:hAnsi="Arial"/>
                <w:sz w:val="18"/>
                <w:szCs w:val="18"/>
                <w:color w:val="auto"/>
              </w:rPr>
              <w:t>Vero Beach, FL</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Chaffee, NY</w:t>
            </w:r>
          </w:p>
        </w:tc>
        <w:tc>
          <w:tcPr>
            <w:tcW w:w="3380" w:type="dxa"/>
            <w:vAlign w:val="bottom"/>
          </w:tcPr>
          <w:p>
            <w:pPr>
              <w:ind w:left="680"/>
              <w:spacing w:after="0"/>
              <w:rPr>
                <w:sz w:val="20"/>
                <w:szCs w:val="20"/>
                <w:color w:val="auto"/>
              </w:rPr>
            </w:pPr>
            <w:r>
              <w:rPr>
                <w:rFonts w:ascii="Arial" w:cs="Arial" w:eastAsia="Arial" w:hAnsi="Arial"/>
                <w:sz w:val="18"/>
                <w:szCs w:val="18"/>
                <w:color w:val="auto"/>
              </w:rPr>
              <w:t>Las Vegas, NV (2)</w:t>
            </w:r>
          </w:p>
        </w:tc>
        <w:tc>
          <w:tcPr>
            <w:tcW w:w="2940" w:type="dxa"/>
            <w:vAlign w:val="bottom"/>
          </w:tcPr>
          <w:p>
            <w:pPr>
              <w:ind w:left="640"/>
              <w:spacing w:after="0"/>
              <w:rPr>
                <w:sz w:val="20"/>
                <w:szCs w:val="20"/>
                <w:color w:val="auto"/>
              </w:rPr>
            </w:pPr>
            <w:r>
              <w:rPr>
                <w:rFonts w:ascii="Arial" w:cs="Arial" w:eastAsia="Arial" w:hAnsi="Arial"/>
                <w:sz w:val="18"/>
                <w:szCs w:val="18"/>
                <w:color w:val="auto"/>
              </w:rPr>
              <w:t>Warrens, WI</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Chandler, AZ</w:t>
            </w:r>
          </w:p>
        </w:tc>
        <w:tc>
          <w:tcPr>
            <w:tcW w:w="3380" w:type="dxa"/>
            <w:vAlign w:val="bottom"/>
          </w:tcPr>
          <w:p>
            <w:pPr>
              <w:ind w:left="680"/>
              <w:spacing w:after="0"/>
              <w:rPr>
                <w:sz w:val="20"/>
                <w:szCs w:val="20"/>
                <w:color w:val="auto"/>
              </w:rPr>
            </w:pPr>
            <w:r>
              <w:rPr>
                <w:rFonts w:ascii="Arial" w:cs="Arial" w:eastAsia="Arial" w:hAnsi="Arial"/>
                <w:sz w:val="18"/>
                <w:szCs w:val="18"/>
                <w:color w:val="auto"/>
              </w:rPr>
              <w:t>Liberty, NC</w:t>
            </w:r>
          </w:p>
        </w:tc>
        <w:tc>
          <w:tcPr>
            <w:tcW w:w="2940" w:type="dxa"/>
            <w:vAlign w:val="bottom"/>
          </w:tcPr>
          <w:p>
            <w:pPr>
              <w:ind w:left="640"/>
              <w:spacing w:after="0"/>
              <w:rPr>
                <w:sz w:val="20"/>
                <w:szCs w:val="20"/>
                <w:color w:val="auto"/>
              </w:rPr>
            </w:pPr>
            <w:r>
              <w:rPr>
                <w:rFonts w:ascii="Arial" w:cs="Arial" w:eastAsia="Arial" w:hAnsi="Arial"/>
                <w:sz w:val="18"/>
                <w:szCs w:val="18"/>
                <w:color w:val="auto"/>
              </w:rPr>
              <w:t>White Bear Lake, MN</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Chesapeake, VA</w:t>
            </w:r>
          </w:p>
        </w:tc>
        <w:tc>
          <w:tcPr>
            <w:tcW w:w="3380" w:type="dxa"/>
            <w:vAlign w:val="bottom"/>
          </w:tcPr>
          <w:p>
            <w:pPr>
              <w:ind w:left="680"/>
              <w:spacing w:after="0"/>
              <w:rPr>
                <w:sz w:val="20"/>
                <w:szCs w:val="20"/>
                <w:color w:val="auto"/>
              </w:rPr>
            </w:pPr>
            <w:r>
              <w:rPr>
                <w:rFonts w:ascii="Arial" w:cs="Arial" w:eastAsia="Arial" w:hAnsi="Arial"/>
                <w:sz w:val="18"/>
                <w:szCs w:val="18"/>
                <w:color w:val="auto"/>
              </w:rPr>
              <w:t>Lodi, OH</w:t>
            </w:r>
          </w:p>
        </w:tc>
        <w:tc>
          <w:tcPr>
            <w:tcW w:w="2940" w:type="dxa"/>
            <w:vAlign w:val="bottom"/>
          </w:tcPr>
          <w:p>
            <w:pPr>
              <w:ind w:left="640"/>
              <w:spacing w:after="0"/>
              <w:rPr>
                <w:sz w:val="20"/>
                <w:szCs w:val="20"/>
                <w:color w:val="auto"/>
              </w:rPr>
            </w:pPr>
            <w:r>
              <w:rPr>
                <w:rFonts w:ascii="Arial" w:cs="Arial" w:eastAsia="Arial" w:hAnsi="Arial"/>
                <w:sz w:val="18"/>
                <w:szCs w:val="18"/>
                <w:color w:val="auto"/>
              </w:rPr>
              <w:t>White Pigeon, MI</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Clinton, NY</w:t>
            </w:r>
          </w:p>
        </w:tc>
        <w:tc>
          <w:tcPr>
            <w:tcW w:w="3380" w:type="dxa"/>
            <w:vAlign w:val="bottom"/>
          </w:tcPr>
          <w:p>
            <w:pPr>
              <w:ind w:left="680"/>
              <w:spacing w:after="0"/>
              <w:rPr>
                <w:sz w:val="20"/>
                <w:szCs w:val="20"/>
                <w:color w:val="auto"/>
              </w:rPr>
            </w:pPr>
            <w:r>
              <w:rPr>
                <w:rFonts w:ascii="Arial" w:cs="Arial" w:eastAsia="Arial" w:hAnsi="Arial"/>
                <w:sz w:val="18"/>
                <w:szCs w:val="18"/>
                <w:color w:val="auto"/>
              </w:rPr>
              <w:t>Longs, SC</w:t>
            </w:r>
          </w:p>
        </w:tc>
        <w:tc>
          <w:tcPr>
            <w:tcW w:w="2940" w:type="dxa"/>
            <w:vAlign w:val="bottom"/>
          </w:tcPr>
          <w:p>
            <w:pPr>
              <w:ind w:left="640"/>
              <w:spacing w:after="0"/>
              <w:rPr>
                <w:sz w:val="20"/>
                <w:szCs w:val="20"/>
                <w:color w:val="auto"/>
              </w:rPr>
            </w:pPr>
            <w:r>
              <w:rPr>
                <w:rFonts w:ascii="Arial" w:cs="Arial" w:eastAsia="Arial" w:hAnsi="Arial"/>
                <w:sz w:val="18"/>
                <w:szCs w:val="18"/>
                <w:color w:val="auto"/>
              </w:rPr>
              <w:t>Windsor, CO</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Conway, SC</w:t>
            </w:r>
          </w:p>
        </w:tc>
        <w:tc>
          <w:tcPr>
            <w:tcW w:w="3380" w:type="dxa"/>
            <w:vAlign w:val="bottom"/>
          </w:tcPr>
          <w:p>
            <w:pPr>
              <w:ind w:left="680"/>
              <w:spacing w:after="0"/>
              <w:rPr>
                <w:sz w:val="20"/>
                <w:szCs w:val="20"/>
                <w:color w:val="auto"/>
              </w:rPr>
            </w:pPr>
            <w:r>
              <w:rPr>
                <w:rFonts w:ascii="Arial" w:cs="Arial" w:eastAsia="Arial" w:hAnsi="Arial"/>
                <w:sz w:val="18"/>
                <w:szCs w:val="18"/>
                <w:color w:val="auto"/>
              </w:rPr>
              <w:t>Medley, FL</w:t>
            </w:r>
          </w:p>
        </w:tc>
        <w:tc>
          <w:tcPr>
            <w:tcW w:w="2940" w:type="dxa"/>
            <w:vAlign w:val="bottom"/>
          </w:tcPr>
          <w:p>
            <w:pPr>
              <w:ind w:left="640"/>
              <w:spacing w:after="0"/>
              <w:rPr>
                <w:sz w:val="20"/>
                <w:szCs w:val="20"/>
                <w:color w:val="auto"/>
              </w:rPr>
            </w:pPr>
            <w:r>
              <w:rPr>
                <w:rFonts w:ascii="Arial" w:cs="Arial" w:eastAsia="Arial" w:hAnsi="Arial"/>
                <w:sz w:val="18"/>
                <w:szCs w:val="18"/>
                <w:color w:val="auto"/>
              </w:rPr>
              <w:t>Winthrop, ME</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Crestwood, MO</w:t>
            </w:r>
          </w:p>
        </w:tc>
        <w:tc>
          <w:tcPr>
            <w:tcW w:w="3380" w:type="dxa"/>
            <w:vAlign w:val="bottom"/>
          </w:tcPr>
          <w:p>
            <w:pPr>
              <w:ind w:left="680"/>
              <w:spacing w:after="0"/>
              <w:rPr>
                <w:sz w:val="20"/>
                <w:szCs w:val="20"/>
                <w:color w:val="auto"/>
              </w:rPr>
            </w:pPr>
            <w:r>
              <w:rPr>
                <w:rFonts w:ascii="Arial" w:cs="Arial" w:eastAsia="Arial" w:hAnsi="Arial"/>
                <w:sz w:val="18"/>
                <w:szCs w:val="18"/>
                <w:color w:val="auto"/>
              </w:rPr>
              <w:t>Minneota, MN</w:t>
            </w:r>
          </w:p>
        </w:tc>
        <w:tc>
          <w:tcPr>
            <w:tcW w:w="2940" w:type="dxa"/>
            <w:vAlign w:val="bottom"/>
          </w:tcPr>
          <w:p>
            <w:pPr>
              <w:ind w:left="640"/>
              <w:spacing w:after="0"/>
              <w:rPr>
                <w:sz w:val="20"/>
                <w:szCs w:val="20"/>
                <w:color w:val="auto"/>
              </w:rPr>
            </w:pPr>
            <w:r>
              <w:rPr>
                <w:rFonts w:ascii="Arial" w:cs="Arial" w:eastAsia="Arial" w:hAnsi="Arial"/>
                <w:sz w:val="18"/>
                <w:szCs w:val="18"/>
                <w:color w:val="auto"/>
              </w:rPr>
              <w:t>Woodburn, OR</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Dallas, NC</w:t>
            </w:r>
          </w:p>
        </w:tc>
        <w:tc>
          <w:tcPr>
            <w:tcW w:w="3380" w:type="dxa"/>
            <w:vAlign w:val="bottom"/>
          </w:tcPr>
          <w:p>
            <w:pPr>
              <w:ind w:left="680"/>
              <w:spacing w:after="0"/>
              <w:rPr>
                <w:sz w:val="20"/>
                <w:szCs w:val="20"/>
                <w:color w:val="auto"/>
              </w:rPr>
            </w:pPr>
            <w:r>
              <w:rPr>
                <w:rFonts w:ascii="Arial" w:cs="Arial" w:eastAsia="Arial" w:hAnsi="Arial"/>
                <w:sz w:val="18"/>
                <w:szCs w:val="18"/>
                <w:color w:val="auto"/>
              </w:rPr>
              <w:t>Morristown, TN</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Dallas, TX</w:t>
            </w:r>
          </w:p>
        </w:tc>
        <w:tc>
          <w:tcPr>
            <w:tcW w:w="3380" w:type="dxa"/>
            <w:vAlign w:val="bottom"/>
          </w:tcPr>
          <w:p>
            <w:pPr>
              <w:ind w:left="680"/>
              <w:spacing w:after="0"/>
              <w:rPr>
                <w:sz w:val="20"/>
                <w:szCs w:val="20"/>
                <w:color w:val="auto"/>
              </w:rPr>
            </w:pPr>
            <w:r>
              <w:rPr>
                <w:rFonts w:ascii="Arial" w:cs="Arial" w:eastAsia="Arial" w:hAnsi="Arial"/>
                <w:sz w:val="18"/>
                <w:szCs w:val="18"/>
                <w:color w:val="auto"/>
              </w:rPr>
              <w:t>Moultrie, GA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Durango, Durango, Mexico</w:t>
            </w:r>
          </w:p>
        </w:tc>
        <w:tc>
          <w:tcPr>
            <w:tcW w:w="3380" w:type="dxa"/>
            <w:vAlign w:val="bottom"/>
          </w:tcPr>
          <w:p>
            <w:pPr>
              <w:ind w:left="680"/>
              <w:spacing w:after="0"/>
              <w:rPr>
                <w:sz w:val="20"/>
                <w:szCs w:val="20"/>
                <w:color w:val="auto"/>
              </w:rPr>
            </w:pPr>
            <w:r>
              <w:rPr>
                <w:rFonts w:ascii="Arial" w:cs="Arial" w:eastAsia="Arial" w:hAnsi="Arial"/>
                <w:sz w:val="18"/>
                <w:szCs w:val="18"/>
                <w:color w:val="auto"/>
              </w:rPr>
              <w:t>Muscle Shoals, AL</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Earlysville, VA</w:t>
            </w:r>
          </w:p>
        </w:tc>
        <w:tc>
          <w:tcPr>
            <w:tcW w:w="3380" w:type="dxa"/>
            <w:vAlign w:val="bottom"/>
          </w:tcPr>
          <w:p>
            <w:pPr>
              <w:ind w:left="680"/>
              <w:spacing w:after="0"/>
              <w:rPr>
                <w:sz w:val="20"/>
                <w:szCs w:val="20"/>
                <w:color w:val="auto"/>
              </w:rPr>
            </w:pPr>
            <w:r>
              <w:rPr>
                <w:rFonts w:ascii="Arial" w:cs="Arial" w:eastAsia="Arial" w:hAnsi="Arial"/>
                <w:sz w:val="18"/>
                <w:szCs w:val="18"/>
                <w:color w:val="auto"/>
              </w:rPr>
              <w:t>Naugatuck, CT</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Eatonton, GA</w:t>
            </w:r>
          </w:p>
        </w:tc>
        <w:tc>
          <w:tcPr>
            <w:tcW w:w="3380" w:type="dxa"/>
            <w:vAlign w:val="bottom"/>
          </w:tcPr>
          <w:p>
            <w:pPr>
              <w:ind w:left="680"/>
              <w:spacing w:after="0"/>
              <w:rPr>
                <w:sz w:val="20"/>
                <w:szCs w:val="20"/>
                <w:color w:val="auto"/>
              </w:rPr>
            </w:pPr>
            <w:r>
              <w:rPr>
                <w:rFonts w:ascii="Arial" w:cs="Arial" w:eastAsia="Arial" w:hAnsi="Arial"/>
                <w:sz w:val="18"/>
                <w:szCs w:val="18"/>
                <w:color w:val="auto"/>
              </w:rPr>
              <w:t>New London, NC</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Eduardsburg, MI</w:t>
            </w:r>
          </w:p>
        </w:tc>
        <w:tc>
          <w:tcPr>
            <w:tcW w:w="3380" w:type="dxa"/>
            <w:vAlign w:val="bottom"/>
          </w:tcPr>
          <w:p>
            <w:pPr>
              <w:ind w:left="680"/>
              <w:spacing w:after="0"/>
              <w:rPr>
                <w:sz w:val="20"/>
                <w:szCs w:val="20"/>
                <w:color w:val="auto"/>
              </w:rPr>
            </w:pPr>
            <w:r>
              <w:rPr>
                <w:rFonts w:ascii="Arial" w:cs="Arial" w:eastAsia="Arial" w:hAnsi="Arial"/>
                <w:sz w:val="18"/>
                <w:szCs w:val="18"/>
                <w:color w:val="auto"/>
              </w:rPr>
              <w:t>New Waverly, TX</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Elizabeth City, NC</w:t>
            </w:r>
          </w:p>
        </w:tc>
        <w:tc>
          <w:tcPr>
            <w:tcW w:w="3380" w:type="dxa"/>
            <w:vAlign w:val="bottom"/>
          </w:tcPr>
          <w:p>
            <w:pPr>
              <w:ind w:left="680"/>
              <w:spacing w:after="0"/>
              <w:rPr>
                <w:sz w:val="20"/>
                <w:szCs w:val="20"/>
                <w:color w:val="auto"/>
              </w:rPr>
            </w:pPr>
            <w:r>
              <w:rPr>
                <w:rFonts w:ascii="Arial" w:cs="Arial" w:eastAsia="Arial" w:hAnsi="Arial"/>
                <w:sz w:val="18"/>
                <w:szCs w:val="18"/>
                <w:color w:val="auto"/>
              </w:rPr>
              <w:t>New Windsor, MD</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Elkhart, IN (2)</w:t>
            </w:r>
          </w:p>
        </w:tc>
        <w:tc>
          <w:tcPr>
            <w:tcW w:w="3380" w:type="dxa"/>
            <w:vAlign w:val="bottom"/>
          </w:tcPr>
          <w:p>
            <w:pPr>
              <w:ind w:left="680"/>
              <w:spacing w:after="0"/>
              <w:rPr>
                <w:sz w:val="20"/>
                <w:szCs w:val="20"/>
                <w:color w:val="auto"/>
              </w:rPr>
            </w:pPr>
            <w:r>
              <w:rPr>
                <w:rFonts w:ascii="Arial" w:cs="Arial" w:eastAsia="Arial" w:hAnsi="Arial"/>
                <w:sz w:val="18"/>
                <w:szCs w:val="18"/>
                <w:color w:val="auto"/>
              </w:rPr>
              <w:t>Ocala, FL</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Emlenton, PA</w:t>
            </w:r>
          </w:p>
        </w:tc>
        <w:tc>
          <w:tcPr>
            <w:tcW w:w="3380" w:type="dxa"/>
            <w:vAlign w:val="bottom"/>
          </w:tcPr>
          <w:p>
            <w:pPr>
              <w:ind w:left="680"/>
              <w:spacing w:after="0"/>
              <w:rPr>
                <w:sz w:val="20"/>
                <w:szCs w:val="20"/>
                <w:color w:val="auto"/>
              </w:rPr>
            </w:pPr>
            <w:r>
              <w:rPr>
                <w:rFonts w:ascii="Arial" w:cs="Arial" w:eastAsia="Arial" w:hAnsi="Arial"/>
                <w:sz w:val="18"/>
                <w:szCs w:val="18"/>
                <w:color w:val="auto"/>
              </w:rPr>
              <w:t>Ooltewah, TN</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Englewood, CO</w:t>
            </w:r>
          </w:p>
        </w:tc>
        <w:tc>
          <w:tcPr>
            <w:tcW w:w="3380" w:type="dxa"/>
            <w:vAlign w:val="bottom"/>
          </w:tcPr>
          <w:p>
            <w:pPr>
              <w:ind w:left="680"/>
              <w:spacing w:after="0"/>
              <w:rPr>
                <w:sz w:val="20"/>
                <w:szCs w:val="20"/>
                <w:color w:val="auto"/>
              </w:rPr>
            </w:pPr>
            <w:r>
              <w:rPr>
                <w:rFonts w:ascii="Arial" w:cs="Arial" w:eastAsia="Arial" w:hAnsi="Arial"/>
                <w:sz w:val="18"/>
                <w:szCs w:val="18"/>
                <w:color w:val="auto"/>
              </w:rPr>
              <w:t>Parker, PA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Fishersville, VA</w:t>
            </w:r>
          </w:p>
        </w:tc>
        <w:tc>
          <w:tcPr>
            <w:tcW w:w="3380" w:type="dxa"/>
            <w:vAlign w:val="bottom"/>
          </w:tcPr>
          <w:p>
            <w:pPr>
              <w:ind w:left="680"/>
              <w:spacing w:after="0"/>
              <w:rPr>
                <w:sz w:val="20"/>
                <w:szCs w:val="20"/>
                <w:color w:val="auto"/>
              </w:rPr>
            </w:pPr>
            <w:r>
              <w:rPr>
                <w:rFonts w:ascii="Arial" w:cs="Arial" w:eastAsia="Arial" w:hAnsi="Arial"/>
                <w:sz w:val="18"/>
                <w:szCs w:val="18"/>
                <w:color w:val="auto"/>
              </w:rPr>
              <w:t>Pearisburg, VA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Folkston, GA</w:t>
            </w:r>
          </w:p>
        </w:tc>
        <w:tc>
          <w:tcPr>
            <w:tcW w:w="3380" w:type="dxa"/>
            <w:vAlign w:val="bottom"/>
          </w:tcPr>
          <w:p>
            <w:pPr>
              <w:ind w:left="680"/>
              <w:spacing w:after="0"/>
              <w:rPr>
                <w:sz w:val="20"/>
                <w:szCs w:val="20"/>
                <w:color w:val="auto"/>
              </w:rPr>
            </w:pPr>
            <w:r>
              <w:rPr>
                <w:rFonts w:ascii="Arial" w:cs="Arial" w:eastAsia="Arial" w:hAnsi="Arial"/>
                <w:sz w:val="18"/>
                <w:szCs w:val="18"/>
                <w:color w:val="auto"/>
              </w:rPr>
              <w:t>Plainville, MA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Fontana, CA</w:t>
            </w:r>
          </w:p>
        </w:tc>
        <w:tc>
          <w:tcPr>
            <w:tcW w:w="3380" w:type="dxa"/>
            <w:vAlign w:val="bottom"/>
          </w:tcPr>
          <w:p>
            <w:pPr>
              <w:ind w:left="680"/>
              <w:spacing w:after="0"/>
              <w:rPr>
                <w:sz w:val="20"/>
                <w:szCs w:val="20"/>
                <w:color w:val="auto"/>
              </w:rPr>
            </w:pPr>
            <w:r>
              <w:rPr>
                <w:rFonts w:ascii="Arial" w:cs="Arial" w:eastAsia="Arial" w:hAnsi="Arial"/>
                <w:sz w:val="18"/>
                <w:szCs w:val="18"/>
                <w:color w:val="auto"/>
              </w:rPr>
              <w:t>Prairie du Chien, WI</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Georgetown, DE</w:t>
            </w:r>
          </w:p>
        </w:tc>
        <w:tc>
          <w:tcPr>
            <w:tcW w:w="3380" w:type="dxa"/>
            <w:vAlign w:val="bottom"/>
          </w:tcPr>
          <w:p>
            <w:pPr>
              <w:ind w:left="680"/>
              <w:spacing w:after="0"/>
              <w:rPr>
                <w:sz w:val="20"/>
                <w:szCs w:val="20"/>
                <w:color w:val="auto"/>
              </w:rPr>
            </w:pPr>
            <w:r>
              <w:rPr>
                <w:rFonts w:ascii="Arial" w:cs="Arial" w:eastAsia="Arial" w:hAnsi="Arial"/>
                <w:sz w:val="18"/>
                <w:szCs w:val="18"/>
                <w:color w:val="auto"/>
              </w:rPr>
              <w:t>Ranson, WV</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Gordon, PA</w:t>
            </w:r>
          </w:p>
        </w:tc>
        <w:tc>
          <w:tcPr>
            <w:tcW w:w="3380" w:type="dxa"/>
            <w:vAlign w:val="bottom"/>
          </w:tcPr>
          <w:p>
            <w:pPr>
              <w:ind w:left="680"/>
              <w:spacing w:after="0"/>
              <w:rPr>
                <w:sz w:val="20"/>
                <w:szCs w:val="20"/>
                <w:color w:val="auto"/>
              </w:rPr>
            </w:pPr>
            <w:r>
              <w:rPr>
                <w:rFonts w:ascii="Arial" w:cs="Arial" w:eastAsia="Arial" w:hAnsi="Arial"/>
                <w:sz w:val="18"/>
                <w:szCs w:val="18"/>
                <w:color w:val="auto"/>
              </w:rPr>
              <w:t>Riverbank, CA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Grandview, TX</w:t>
            </w:r>
          </w:p>
        </w:tc>
        <w:tc>
          <w:tcPr>
            <w:tcW w:w="3380" w:type="dxa"/>
            <w:vAlign w:val="bottom"/>
          </w:tcPr>
          <w:p>
            <w:pPr>
              <w:ind w:left="680"/>
              <w:spacing w:after="0"/>
              <w:rPr>
                <w:sz w:val="20"/>
                <w:szCs w:val="20"/>
                <w:color w:val="auto"/>
              </w:rPr>
            </w:pPr>
            <w:r>
              <w:rPr>
                <w:rFonts w:ascii="Arial" w:cs="Arial" w:eastAsia="Arial" w:hAnsi="Arial"/>
                <w:sz w:val="18"/>
                <w:szCs w:val="18"/>
                <w:color w:val="auto"/>
              </w:rPr>
              <w:t>Riverside, CA</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Grand Rapids, MI</w:t>
            </w:r>
          </w:p>
        </w:tc>
        <w:tc>
          <w:tcPr>
            <w:tcW w:w="3380" w:type="dxa"/>
            <w:vAlign w:val="bottom"/>
          </w:tcPr>
          <w:p>
            <w:pPr>
              <w:ind w:left="680"/>
              <w:spacing w:after="0"/>
              <w:rPr>
                <w:sz w:val="20"/>
                <w:szCs w:val="20"/>
                <w:color w:val="auto"/>
              </w:rPr>
            </w:pPr>
            <w:r>
              <w:rPr>
                <w:rFonts w:ascii="Arial" w:cs="Arial" w:eastAsia="Arial" w:hAnsi="Arial"/>
                <w:sz w:val="18"/>
                <w:szCs w:val="18"/>
                <w:color w:val="auto"/>
              </w:rPr>
              <w:t>Saginaw, TX</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Granger, IN</w:t>
            </w:r>
          </w:p>
        </w:tc>
        <w:tc>
          <w:tcPr>
            <w:tcW w:w="3380" w:type="dxa"/>
            <w:vAlign w:val="bottom"/>
          </w:tcPr>
          <w:p>
            <w:pPr>
              <w:ind w:left="680"/>
              <w:spacing w:after="0"/>
              <w:rPr>
                <w:sz w:val="20"/>
                <w:szCs w:val="20"/>
                <w:color w:val="auto"/>
              </w:rPr>
            </w:pPr>
            <w:r>
              <w:rPr>
                <w:rFonts w:ascii="Arial" w:cs="Arial" w:eastAsia="Arial" w:hAnsi="Arial"/>
                <w:sz w:val="18"/>
                <w:szCs w:val="18"/>
                <w:color w:val="auto"/>
              </w:rPr>
              <w:t>Salisbury, NC</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Haleyville, AL</w:t>
            </w:r>
          </w:p>
        </w:tc>
        <w:tc>
          <w:tcPr>
            <w:tcW w:w="3380" w:type="dxa"/>
            <w:vAlign w:val="bottom"/>
          </w:tcPr>
          <w:p>
            <w:pPr>
              <w:ind w:left="680"/>
              <w:spacing w:after="0"/>
              <w:rPr>
                <w:sz w:val="20"/>
                <w:szCs w:val="20"/>
                <w:color w:val="auto"/>
              </w:rPr>
            </w:pPr>
            <w:r>
              <w:rPr>
                <w:rFonts w:ascii="Arial" w:cs="Arial" w:eastAsia="Arial" w:hAnsi="Arial"/>
                <w:sz w:val="18"/>
                <w:szCs w:val="18"/>
                <w:color w:val="auto"/>
              </w:rPr>
              <w:t>Saint Louis, MO</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Hamilton, OH</w:t>
            </w:r>
          </w:p>
        </w:tc>
        <w:tc>
          <w:tcPr>
            <w:tcW w:w="3380" w:type="dxa"/>
            <w:vAlign w:val="bottom"/>
          </w:tcPr>
          <w:p>
            <w:pPr>
              <w:ind w:left="680"/>
              <w:spacing w:after="0"/>
              <w:rPr>
                <w:sz w:val="20"/>
                <w:szCs w:val="20"/>
                <w:color w:val="auto"/>
              </w:rPr>
            </w:pPr>
            <w:r>
              <w:rPr>
                <w:rFonts w:ascii="Arial" w:cs="Arial" w:eastAsia="Arial" w:hAnsi="Arial"/>
                <w:sz w:val="18"/>
                <w:szCs w:val="18"/>
                <w:color w:val="auto"/>
              </w:rPr>
              <w:t>San Antonio, TX</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Harrisonville, MO</w:t>
            </w:r>
          </w:p>
        </w:tc>
        <w:tc>
          <w:tcPr>
            <w:tcW w:w="3380" w:type="dxa"/>
            <w:vAlign w:val="bottom"/>
          </w:tcPr>
          <w:p>
            <w:pPr>
              <w:ind w:left="680"/>
              <w:spacing w:after="0"/>
              <w:rPr>
                <w:sz w:val="20"/>
                <w:szCs w:val="20"/>
                <w:color w:val="auto"/>
              </w:rPr>
            </w:pPr>
            <w:r>
              <w:rPr>
                <w:rFonts w:ascii="Arial" w:cs="Arial" w:eastAsia="Arial" w:hAnsi="Arial"/>
                <w:sz w:val="18"/>
                <w:szCs w:val="18"/>
                <w:color w:val="auto"/>
              </w:rPr>
              <w:t>Sanford, NC</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Hastings, MN</w:t>
            </w:r>
          </w:p>
        </w:tc>
        <w:tc>
          <w:tcPr>
            <w:tcW w:w="3380" w:type="dxa"/>
            <w:vAlign w:val="bottom"/>
          </w:tcPr>
          <w:p>
            <w:pPr>
              <w:ind w:left="680"/>
              <w:spacing w:after="0"/>
              <w:rPr>
                <w:sz w:val="20"/>
                <w:szCs w:val="20"/>
                <w:color w:val="auto"/>
              </w:rPr>
            </w:pPr>
            <w:r>
              <w:rPr>
                <w:rFonts w:ascii="Arial" w:cs="Arial" w:eastAsia="Arial" w:hAnsi="Arial"/>
                <w:sz w:val="18"/>
                <w:szCs w:val="18"/>
                <w:color w:val="auto"/>
              </w:rPr>
              <w:t>Santee, SC</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Hillsboro, TX</w:t>
            </w:r>
          </w:p>
        </w:tc>
        <w:tc>
          <w:tcPr>
            <w:tcW w:w="3380" w:type="dxa"/>
            <w:vAlign w:val="bottom"/>
          </w:tcPr>
          <w:p>
            <w:pPr>
              <w:ind w:left="680"/>
              <w:spacing w:after="0"/>
              <w:rPr>
                <w:sz w:val="20"/>
                <w:szCs w:val="20"/>
                <w:color w:val="auto"/>
              </w:rPr>
            </w:pPr>
            <w:r>
              <w:rPr>
                <w:rFonts w:ascii="Arial" w:cs="Arial" w:eastAsia="Arial" w:hAnsi="Arial"/>
                <w:sz w:val="18"/>
                <w:szCs w:val="18"/>
                <w:color w:val="auto"/>
              </w:rPr>
              <w:t>Schertz, TX</w:t>
            </w:r>
          </w:p>
        </w:tc>
        <w:tc>
          <w:tcPr>
            <w:tcW w:w="2940" w:type="dxa"/>
            <w:vAlign w:val="bottom"/>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Houston, TX</w:t>
            </w:r>
          </w:p>
        </w:tc>
        <w:tc>
          <w:tcPr>
            <w:tcW w:w="3380" w:type="dxa"/>
            <w:vAlign w:val="bottom"/>
          </w:tcPr>
          <w:p>
            <w:pPr>
              <w:ind w:left="680"/>
              <w:spacing w:after="0"/>
              <w:rPr>
                <w:sz w:val="20"/>
                <w:szCs w:val="20"/>
                <w:color w:val="auto"/>
              </w:rPr>
            </w:pPr>
            <w:r>
              <w:rPr>
                <w:rFonts w:ascii="Arial" w:cs="Arial" w:eastAsia="Arial" w:hAnsi="Arial"/>
                <w:sz w:val="18"/>
                <w:szCs w:val="18"/>
                <w:color w:val="auto"/>
              </w:rPr>
              <w:t>Sidney, NY</w:t>
            </w:r>
          </w:p>
        </w:tc>
        <w:tc>
          <w:tcPr>
            <w:tcW w:w="294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Hudson, NY</w:t>
            </w:r>
          </w:p>
        </w:tc>
        <w:tc>
          <w:tcPr>
            <w:tcW w:w="3380" w:type="dxa"/>
            <w:vAlign w:val="bottom"/>
          </w:tcPr>
          <w:p>
            <w:pPr>
              <w:ind w:left="680"/>
              <w:spacing w:after="0"/>
              <w:rPr>
                <w:sz w:val="20"/>
                <w:szCs w:val="20"/>
                <w:color w:val="auto"/>
              </w:rPr>
            </w:pPr>
            <w:r>
              <w:rPr>
                <w:rFonts w:ascii="Arial" w:cs="Arial" w:eastAsia="Arial" w:hAnsi="Arial"/>
                <w:sz w:val="18"/>
                <w:szCs w:val="18"/>
                <w:color w:val="auto"/>
              </w:rPr>
              <w:t>Silsbee, TX</w:t>
            </w:r>
          </w:p>
        </w:tc>
        <w:tc>
          <w:tcPr>
            <w:tcW w:w="2940" w:type="dxa"/>
            <w:vAlign w:val="bottom"/>
          </w:tcPr>
          <w:p>
            <w:pPr>
              <w:spacing w:after="0"/>
              <w:rPr>
                <w:sz w:val="20"/>
                <w:szCs w:val="20"/>
                <w:color w:val="auto"/>
              </w:rPr>
            </w:pPr>
          </w:p>
        </w:tc>
      </w:tr>
      <w:tr>
        <w:trPr>
          <w:trHeight w:val="783"/>
        </w:trPr>
        <w:tc>
          <w:tcPr>
            <w:tcW w:w="2640" w:type="dxa"/>
            <w:vAlign w:val="bottom"/>
          </w:tcPr>
          <w:p>
            <w:pPr>
              <w:spacing w:after="0"/>
              <w:rPr>
                <w:sz w:val="24"/>
                <w:szCs w:val="24"/>
                <w:color w:val="auto"/>
              </w:rPr>
            </w:pPr>
          </w:p>
        </w:tc>
        <w:tc>
          <w:tcPr>
            <w:tcW w:w="3380" w:type="dxa"/>
            <w:vAlign w:val="bottom"/>
          </w:tcPr>
          <w:p>
            <w:pPr>
              <w:ind w:left="2120"/>
              <w:spacing w:after="0"/>
              <w:rPr>
                <w:sz w:val="20"/>
                <w:szCs w:val="20"/>
                <w:color w:val="auto"/>
              </w:rPr>
            </w:pPr>
            <w:r>
              <w:rPr>
                <w:rFonts w:ascii="Arial" w:cs="Arial" w:eastAsia="Arial" w:hAnsi="Arial"/>
                <w:sz w:val="18"/>
                <w:szCs w:val="18"/>
                <w:color w:val="auto"/>
              </w:rPr>
              <w:t>62</w:t>
            </w:r>
          </w:p>
        </w:tc>
        <w:tc>
          <w:tcPr>
            <w:tcW w:w="2940" w:type="dxa"/>
            <w:vAlign w:val="bottom"/>
          </w:tcPr>
          <w:p>
            <w:pPr>
              <w:spacing w:after="0"/>
              <w:rPr>
                <w:sz w:val="24"/>
                <w:szCs w:val="24"/>
                <w:color w:val="auto"/>
              </w:rPr>
            </w:pPr>
          </w:p>
        </w:tc>
      </w:tr>
    </w:tbl>
    <w:p>
      <w:pPr>
        <w:sectPr>
          <w:pgSz w:w="11900" w:h="16838" w:orient="portrait"/>
          <w:cols w:equalWidth="0" w:num="1">
            <w:col w:w="9879"/>
          </w:cols>
          <w:pgMar w:left="580" w:top="932"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 21</w:t>
            </w:r>
          </w:p>
        </w:tc>
      </w:tr>
      <w:tr>
        <w:trPr>
          <w:trHeight w:val="385"/>
        </w:trPr>
        <w:tc>
          <w:tcPr>
            <w:tcW w:w="220" w:type="dxa"/>
            <w:vAlign w:val="bottom"/>
          </w:tcPr>
          <w:p>
            <w:pPr>
              <w:spacing w:after="0"/>
              <w:rPr>
                <w:sz w:val="24"/>
                <w:szCs w:val="24"/>
                <w:color w:val="auto"/>
              </w:rPr>
            </w:pPr>
          </w:p>
        </w:tc>
        <w:tc>
          <w:tcPr>
            <w:tcW w:w="8000" w:type="dxa"/>
            <w:vAlign w:val="bottom"/>
            <w:gridSpan w:val="3"/>
          </w:tcPr>
          <w:p>
            <w:pPr>
              <w:ind w:left="216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Subsidiary</w:t>
            </w:r>
          </w:p>
        </w:tc>
        <w:tc>
          <w:tcPr>
            <w:tcW w:w="496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Jurisdiction</w:t>
            </w:r>
          </w:p>
        </w:tc>
        <w:tc>
          <w:tcPr>
            <w:tcW w:w="20" w:type="dxa"/>
            <w:vAlign w:val="bottom"/>
          </w:tcPr>
          <w:p>
            <w:pPr>
              <w:spacing w:after="0"/>
              <w:rPr>
                <w:sz w:val="24"/>
                <w:szCs w:val="24"/>
                <w:color w:val="auto"/>
              </w:rPr>
            </w:pPr>
          </w:p>
        </w:tc>
      </w:tr>
      <w:tr>
        <w:trPr>
          <w:trHeight w:val="210"/>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Advanced Component Systems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Aljoma Holding Company,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Aljoma Lumber,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Atlantic Building Professionals,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D &amp; L Framing, LLC (100% owned) </w:t>
            </w:r>
            <w:r>
              <w:rPr>
                <w:rFonts w:ascii="Arial" w:cs="Arial" w:eastAsia="Arial" w:hAnsi="Arial"/>
                <w:sz w:val="15"/>
                <w:szCs w:val="15"/>
                <w:color w:val="auto"/>
              </w:rPr>
              <w:t>1</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Nevada</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 xml:space="preserve">D&amp;R Framing Contractors, L.L.C. (50% owned) </w:t>
            </w:r>
            <w:r>
              <w:rPr>
                <w:rFonts w:ascii="Arial" w:cs="Arial" w:eastAsia="Arial" w:hAnsi="Arial"/>
                <w:sz w:val="15"/>
                <w:szCs w:val="15"/>
                <w:color w:val="auto"/>
              </w:rPr>
              <w:t>1</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Euro-Pacific Building Materials,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Euro-Pacific International Corp</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Oregon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Gulf Coast Components, LLC (50% owned) </w:t>
            </w:r>
            <w:r>
              <w:rPr>
                <w:rFonts w:ascii="Arial" w:cs="Arial" w:eastAsia="Arial" w:hAnsi="Arial"/>
                <w:sz w:val="15"/>
                <w:szCs w:val="15"/>
                <w:color w:val="auto"/>
              </w:rPr>
              <w:t>1</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Indianapolis Real Estate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Maine Ornamental,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Midwest Framing,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Pinelli Universal TKT, S. de R.L. de C.V. (50% owned) </w:t>
            </w:r>
            <w:r>
              <w:rPr>
                <w:rFonts w:ascii="Arial" w:cs="Arial" w:eastAsia="Arial" w:hAnsi="Arial"/>
                <w:sz w:val="15"/>
                <w:szCs w:val="15"/>
                <w:color w:val="auto"/>
              </w:rPr>
              <w:t>1</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 xml:space="preserve">Pinelli Universal, S. de R.L. de C.V. (50% owned) </w:t>
            </w:r>
            <w:r>
              <w:rPr>
                <w:rFonts w:ascii="Arial" w:cs="Arial" w:eastAsia="Arial" w:hAnsi="Arial"/>
                <w:sz w:val="15"/>
                <w:szCs w:val="15"/>
                <w:color w:val="auto"/>
              </w:rPr>
              <w:t>1</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Shawnlee Construction LLC (85% owned)</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Shepardville Construction, LLC (85% owned)</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Texas Framing,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Titan Foundations,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TKT Real Estate, S. de R.L. de C.V. (50% owned) </w:t>
            </w:r>
            <w:r>
              <w:rPr>
                <w:rFonts w:ascii="Arial" w:cs="Arial" w:eastAsia="Arial" w:hAnsi="Arial"/>
                <w:sz w:val="15"/>
                <w:szCs w:val="15"/>
                <w:color w:val="auto"/>
              </w:rPr>
              <w:t>1</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Treating Services of Minnesota,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Tresstar,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Mexico Holdings, S. de R.L. de C.V.</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Mexico</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UFP Building Supply,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Framing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UFP Framing of Florida,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Insurance Ltd.</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Bermuda</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UFP New England Building Supply,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Real Estate,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UFP Thorndale Partnership (70% owned)</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Transportation,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UFP Ventures II,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UFP Ventures,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United Lumber &amp; Reman, LLC (50% owned) </w:t>
            </w:r>
            <w:r>
              <w:rPr>
                <w:rFonts w:ascii="Arial" w:cs="Arial" w:eastAsia="Arial" w:hAnsi="Arial"/>
                <w:sz w:val="15"/>
                <w:szCs w:val="15"/>
                <w:color w:val="auto"/>
              </w:rPr>
              <w:t>1</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Consumer Products,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Forest Products Eastern Division,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Forest Products Eastern Purchasing,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Forest Products Holding Company,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Forest Products of Canada, Inc.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Forest Products of Modesto L.L.C.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Forest Products Texas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Forest Products Reclamation Center,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Forest Products RMS,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Forest Products Western Division,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Universal Forest Products Western Purchasing,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Universal Truss,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tcPr>
          <w:p>
            <w:pPr>
              <w:spacing w:after="0"/>
              <w:rPr>
                <w:sz w:val="20"/>
                <w:szCs w:val="20"/>
                <w:color w:val="auto"/>
              </w:rPr>
            </w:pPr>
            <w:r>
              <w:rPr>
                <w:rFonts w:ascii="Arial" w:cs="Arial" w:eastAsia="Arial" w:hAnsi="Arial"/>
                <w:sz w:val="18"/>
                <w:szCs w:val="18"/>
                <w:color w:val="auto"/>
              </w:rPr>
              <w:t>Western Building Professionals of California II Limited Partnership</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16"/>
        </w:trPr>
        <w:tc>
          <w:tcPr>
            <w:tcW w:w="8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Western Building Professionals of California, Inc.</w:t>
            </w:r>
          </w:p>
        </w:tc>
        <w:tc>
          <w:tcPr>
            <w:tcW w:w="15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18"/>
                <w:szCs w:val="18"/>
                <w:color w:val="auto"/>
              </w:rPr>
            </w:pPr>
          </w:p>
        </w:tc>
      </w:tr>
      <w:tr>
        <w:trPr>
          <w:trHeight w:val="230"/>
        </w:trPr>
        <w:tc>
          <w:tcPr>
            <w:tcW w:w="8220" w:type="dxa"/>
            <w:vAlign w:val="bottom"/>
            <w:gridSpan w:val="4"/>
          </w:tcPr>
          <w:p>
            <w:pPr>
              <w:spacing w:after="0"/>
              <w:rPr>
                <w:sz w:val="20"/>
                <w:szCs w:val="20"/>
                <w:color w:val="auto"/>
              </w:rPr>
            </w:pPr>
            <w:r>
              <w:rPr>
                <w:rFonts w:ascii="Arial" w:cs="Arial" w:eastAsia="Arial" w:hAnsi="Arial"/>
                <w:sz w:val="18"/>
                <w:szCs w:val="18"/>
                <w:color w:val="auto"/>
              </w:rPr>
              <w:t>Western Building Professionals, LLC</w:t>
            </w: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Michigan</w:t>
            </w:r>
          </w:p>
        </w:tc>
        <w:tc>
          <w:tcPr>
            <w:tcW w:w="20" w:type="dxa"/>
            <w:vAlign w:val="bottom"/>
          </w:tcPr>
          <w:p>
            <w:pPr>
              <w:spacing w:after="0"/>
              <w:rPr>
                <w:sz w:val="20"/>
                <w:szCs w:val="20"/>
                <w:color w:val="auto"/>
              </w:rPr>
            </w:pPr>
          </w:p>
        </w:tc>
      </w:tr>
      <w:tr>
        <w:trPr>
          <w:trHeight w:val="377"/>
        </w:trPr>
        <w:tc>
          <w:tcPr>
            <w:tcW w:w="220" w:type="dxa"/>
            <w:vAlign w:val="bottom"/>
          </w:tcPr>
          <w:p>
            <w:pPr>
              <w:spacing w:after="0"/>
              <w:rPr>
                <w:sz w:val="20"/>
                <w:szCs w:val="20"/>
                <w:color w:val="auto"/>
              </w:rPr>
            </w:pPr>
            <w:r>
              <w:rPr>
                <w:rFonts w:ascii="Arial" w:cs="Arial" w:eastAsia="Arial" w:hAnsi="Arial"/>
                <w:sz w:val="15"/>
                <w:szCs w:val="15"/>
                <w:color w:val="auto"/>
              </w:rPr>
              <w:t>1</w:t>
            </w: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Do not meet the definition of a subsidiary</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879"/>
          </w:cols>
          <w:pgMar w:left="580" w:top="918" w:right="1440" w:bottom="1440" w:gutter="0" w:footer="0" w:header="0"/>
        </w:sectPr>
      </w:pPr>
    </w:p>
    <w:bookmarkStart w:id="103" w:name="page104"/>
    <w:bookmarkEnd w:id="103"/>
    <w:p>
      <w:pPr>
        <w:jc w:val="right"/>
        <w:ind w:right="159"/>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85"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We consent to the incorporation by reference in this Form 10-K of Universal Forest Products, Inc. and subsidiaries of our reports dated February 13, 2008, with respect to the consolidated financial statements of Universal Forest Products, Inc. and subsidiaries, Universal Forest Products, Inc. and subsidiaries management’s assessment of the effectiveness of internal control over financial reporting, and the effectiveness of internal control over financial reporting of Universal Forest Products, Inc. and subsidiaries, included in the 2007 Annual Report to Shareholders of Universal Forest Products, Inc. and subsidiaries.</w:t>
      </w:r>
    </w:p>
    <w:p>
      <w:pPr>
        <w:spacing w:after="0" w:line="132" w:lineRule="exact"/>
        <w:rPr>
          <w:sz w:val="20"/>
          <w:szCs w:val="20"/>
          <w:color w:val="auto"/>
        </w:rPr>
      </w:pPr>
    </w:p>
    <w:p>
      <w:pPr>
        <w:jc w:val="both"/>
        <w:ind w:right="159"/>
        <w:spacing w:after="0" w:line="276" w:lineRule="auto"/>
        <w:rPr>
          <w:sz w:val="20"/>
          <w:szCs w:val="20"/>
          <w:color w:val="auto"/>
        </w:rPr>
      </w:pPr>
      <w:r>
        <w:rPr>
          <w:rFonts w:ascii="Arial" w:cs="Arial" w:eastAsia="Arial" w:hAnsi="Arial"/>
          <w:sz w:val="17"/>
          <w:szCs w:val="17"/>
          <w:color w:val="auto"/>
        </w:rPr>
        <w:t>We also consent to the incorporation by reference in the Registration Statement File Numbers 33-81128, 33-81116, 33-81450, 333-60630 and 333-88056 on Form S-8 and Registration File Number 333-75278 on Form S-3 of our reports dated February 13, 2008, with respect to the consolidated financial statements of Universal Forest Products, Inc. and subsidiaries and the effectiveness of internal control over financial reporting of Universal Forest Products, Inc. and subsidiaries, incorporated by reference in the Form 10-K of Universal Forest Products, Inc. and subsidiaries for the year ended December 29, 2007.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2008</w:t>
      </w:r>
    </w:p>
    <w:p>
      <w:pPr>
        <w:sectPr>
          <w:pgSz w:w="11900" w:h="16838" w:orient="portrait"/>
          <w:cols w:equalWidth="0" w:num="1">
            <w:col w:w="9879"/>
          </w:cols>
          <w:pgMar w:left="580" w:top="931" w:right="1440" w:bottom="1440" w:gutter="0" w:footer="0" w:header="0"/>
        </w:sectPr>
      </w:pPr>
    </w:p>
    <w:bookmarkStart w:id="104" w:name="page105"/>
    <w:bookmarkEnd w:id="104"/>
    <w:p>
      <w:pPr>
        <w:jc w:val="right"/>
        <w:ind w:right="159"/>
        <w:spacing w:after="0"/>
        <w:rPr>
          <w:sz w:val="20"/>
          <w:szCs w:val="20"/>
          <w:color w:val="auto"/>
        </w:rPr>
      </w:pPr>
      <w:r>
        <w:rPr>
          <w:rFonts w:ascii="Arial" w:cs="Arial" w:eastAsia="Arial" w:hAnsi="Arial"/>
          <w:sz w:val="18"/>
          <w:szCs w:val="18"/>
          <w:b w:val="1"/>
          <w:bCs w:val="1"/>
          <w:u w:val="single" w:color="auto"/>
          <w:color w:val="auto"/>
        </w:rPr>
        <w:t>EXHIBIT 31(a)</w:t>
      </w:r>
    </w:p>
    <w:p>
      <w:pPr>
        <w:spacing w:after="0" w:line="198"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B. Glenn, certify that:</w:t>
      </w:r>
    </w:p>
    <w:p>
      <w:pPr>
        <w:spacing w:after="0" w:line="198" w:lineRule="exact"/>
        <w:rPr>
          <w:sz w:val="20"/>
          <w:szCs w:val="20"/>
          <w:color w:val="auto"/>
        </w:rPr>
      </w:pPr>
    </w:p>
    <w:p>
      <w:pPr>
        <w:ind w:left="388" w:hanging="388"/>
        <w:spacing w:after="0"/>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4"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Date: February 26, 2008</w:t>
            </w:r>
          </w:p>
        </w:tc>
        <w:tc>
          <w:tcPr>
            <w:tcW w:w="3600" w:type="dxa"/>
            <w:vAlign w:val="bottom"/>
          </w:tcPr>
          <w:p>
            <w:pPr>
              <w:spacing w:after="0"/>
              <w:rPr>
                <w:sz w:val="20"/>
                <w:szCs w:val="20"/>
                <w:color w:val="auto"/>
              </w:rPr>
            </w:pPr>
            <w:r>
              <w:rPr>
                <w:rFonts w:ascii="Arial" w:cs="Arial" w:eastAsia="Arial" w:hAnsi="Arial"/>
                <w:sz w:val="18"/>
                <w:szCs w:val="18"/>
                <w:color w:val="auto"/>
              </w:rPr>
              <w:t>/s/ Michael B. Glenn</w:t>
            </w:r>
          </w:p>
        </w:tc>
      </w:tr>
      <w:tr>
        <w:trPr>
          <w:trHeight w:val="21"/>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9887"/>
          </w:cols>
          <w:pgMar w:left="572" w:top="931" w:right="1440" w:bottom="1440" w:gutter="0" w:footer="0" w:header="0"/>
        </w:sectPr>
      </w:pPr>
    </w:p>
    <w:bookmarkStart w:id="105" w:name="page106"/>
    <w:bookmarkEnd w:id="105"/>
    <w:p>
      <w:pPr>
        <w:jc w:val="right"/>
        <w:ind w:right="159"/>
        <w:spacing w:after="0"/>
        <w:rPr>
          <w:sz w:val="20"/>
          <w:szCs w:val="20"/>
          <w:color w:val="auto"/>
        </w:rPr>
      </w:pPr>
      <w:r>
        <w:rPr>
          <w:rFonts w:ascii="Arial" w:cs="Arial" w:eastAsia="Arial" w:hAnsi="Arial"/>
          <w:sz w:val="18"/>
          <w:szCs w:val="18"/>
          <w:b w:val="1"/>
          <w:bCs w:val="1"/>
          <w:u w:val="single" w:color="auto"/>
          <w:color w:val="auto"/>
        </w:rPr>
        <w:t>EXHIBIT 31(b)</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Universal Forest Products, Inc.</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388" w:hanging="388"/>
        <w:spacing w:after="0"/>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10-K of Universal Forest Products, Inc.;</w:t>
      </w:r>
    </w:p>
    <w:p>
      <w:pPr>
        <w:spacing w:after="0" w:line="103" w:lineRule="exact"/>
        <w:rPr>
          <w:rFonts w:ascii="Arial" w:cs="Arial" w:eastAsia="Arial" w:hAnsi="Arial"/>
          <w:sz w:val="18"/>
          <w:szCs w:val="18"/>
          <w:color w:val="auto"/>
        </w:rPr>
      </w:pPr>
    </w:p>
    <w:p>
      <w:pPr>
        <w:jc w:val="both"/>
        <w:ind w:left="388" w:right="159" w:hanging="388"/>
        <w:spacing w:after="0" w:line="264" w:lineRule="auto"/>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8"/>
          <w:szCs w:val="18"/>
          <w:color w:val="auto"/>
        </w:rPr>
      </w:pPr>
    </w:p>
    <w:p>
      <w:pPr>
        <w:jc w:val="both"/>
        <w:ind w:left="388" w:right="179" w:hanging="388"/>
        <w:spacing w:after="0" w:line="264" w:lineRule="auto"/>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748" w:right="179" w:hanging="370"/>
        <w:spacing w:after="0" w:line="286" w:lineRule="auto"/>
        <w:tabs>
          <w:tab w:leader="none" w:pos="748"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de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jc w:val="both"/>
        <w:ind w:left="748" w:right="159" w:hanging="370"/>
        <w:spacing w:after="0" w:line="264" w:lineRule="auto"/>
        <w:tabs>
          <w:tab w:leader="none" w:pos="7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jc w:val="both"/>
        <w:ind w:left="748" w:right="159" w:hanging="370"/>
        <w:spacing w:after="0" w:line="312" w:lineRule="auto"/>
        <w:tabs>
          <w:tab w:leader="none" w:pos="748"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jc w:val="both"/>
        <w:ind w:left="388" w:right="159" w:hanging="388"/>
        <w:spacing w:after="0" w:line="264" w:lineRule="auto"/>
        <w:tabs>
          <w:tab w:leader="none" w:pos="3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748" w:right="159" w:hanging="370"/>
        <w:spacing w:after="0" w:line="264" w:lineRule="auto"/>
        <w:tabs>
          <w:tab w:leader="none" w:pos="7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748" w:right="159" w:hanging="370"/>
        <w:spacing w:after="0" w:line="277" w:lineRule="auto"/>
        <w:tabs>
          <w:tab w:leader="none" w:pos="74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660" w:type="dxa"/>
            <w:vAlign w:val="bottom"/>
            <w:gridSpan w:val="3"/>
          </w:tcPr>
          <w:p>
            <w:pPr>
              <w:spacing w:after="0"/>
              <w:rPr>
                <w:sz w:val="20"/>
                <w:szCs w:val="20"/>
                <w:color w:val="auto"/>
              </w:rPr>
            </w:pPr>
            <w:r>
              <w:rPr>
                <w:rFonts w:ascii="Arial" w:cs="Arial" w:eastAsia="Arial" w:hAnsi="Arial"/>
                <w:sz w:val="18"/>
                <w:szCs w:val="18"/>
                <w:color w:val="auto"/>
              </w:rPr>
              <w:t>Date: February 26, 2008</w:t>
            </w:r>
          </w:p>
        </w:tc>
        <w:tc>
          <w:tcPr>
            <w:tcW w:w="360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9887"/>
          </w:cols>
          <w:pgMar w:left="572" w:top="1337" w:right="1440" w:bottom="1440" w:gutter="0" w:footer="0" w:header="0"/>
        </w:sectPr>
      </w:pPr>
    </w:p>
    <w:bookmarkStart w:id="106" w:name="page107"/>
    <w:bookmarkEnd w:id="106"/>
    <w:p>
      <w:pPr>
        <w:jc w:val="right"/>
        <w:ind w:right="159"/>
        <w:spacing w:after="0"/>
        <w:rPr>
          <w:sz w:val="20"/>
          <w:szCs w:val="20"/>
          <w:color w:val="auto"/>
        </w:rPr>
      </w:pPr>
      <w:r>
        <w:rPr>
          <w:rFonts w:ascii="Arial" w:cs="Arial" w:eastAsia="Arial" w:hAnsi="Arial"/>
          <w:sz w:val="18"/>
          <w:szCs w:val="18"/>
          <w:b w:val="1"/>
          <w:bCs w:val="1"/>
          <w:u w:val="single" w:color="auto"/>
          <w:color w:val="auto"/>
        </w:rPr>
        <w:t>EXHIBIT 32(a)</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98"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B. Glenn, Chief Executive Officer of Universal Forest Products, Inc., certify, to the best of my knowledge and belief, pursuant to Section 906 of the Sarbanes-Oxley Act of 2002 (18 U.S.C. 1350) that:</w:t>
      </w:r>
    </w:p>
    <w:p>
      <w:pPr>
        <w:spacing w:after="0" w:line="130" w:lineRule="exact"/>
        <w:rPr>
          <w:sz w:val="20"/>
          <w:szCs w:val="20"/>
          <w:color w:val="auto"/>
        </w:rPr>
      </w:pPr>
    </w:p>
    <w:p>
      <w:pPr>
        <w:ind w:right="159" w:firstLine="381"/>
        <w:spacing w:after="0" w:line="277" w:lineRule="auto"/>
        <w:tabs>
          <w:tab w:leader="none" w:pos="6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on Form 10-K for the year ended December 29, 2007,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159" w:firstLine="381"/>
        <w:spacing w:after="0" w:line="277" w:lineRule="auto"/>
        <w:tabs>
          <w:tab w:leader="none" w:pos="6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29, 2007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3140" w:type="dxa"/>
            <w:vAlign w:val="bottom"/>
            <w:gridSpan w:val="3"/>
          </w:tcPr>
          <w:p>
            <w:pPr>
              <w:spacing w:after="0"/>
              <w:rPr>
                <w:sz w:val="20"/>
                <w:szCs w:val="20"/>
                <w:color w:val="auto"/>
              </w:rPr>
            </w:pPr>
            <w:r>
              <w:rPr>
                <w:rFonts w:ascii="Arial" w:cs="Arial" w:eastAsia="Arial" w:hAnsi="Arial"/>
                <w:sz w:val="18"/>
                <w:szCs w:val="18"/>
                <w:color w:val="auto"/>
              </w:rPr>
              <w:t>Date: February 26, 2008</w:t>
            </w: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By: /s/ Michael B. Glenn</w:t>
            </w:r>
          </w:p>
        </w:tc>
      </w:tr>
      <w:tr>
        <w:trPr>
          <w:trHeight w:val="21"/>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B. Glenn</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Its: Chief Executive Officer</w:t>
            </w:r>
          </w:p>
        </w:tc>
      </w:tr>
    </w:tbl>
    <w:p>
      <w:pPr>
        <w:spacing w:after="0" w:line="391"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ectPr>
          <w:pgSz w:w="11900" w:h="16838" w:orient="portrait"/>
          <w:cols w:equalWidth="0" w:num="1">
            <w:col w:w="9879"/>
          </w:cols>
          <w:pgMar w:left="580" w:top="1337" w:right="1440" w:bottom="1440" w:gutter="0" w:footer="0" w:header="0"/>
        </w:sectPr>
      </w:pPr>
    </w:p>
    <w:bookmarkStart w:id="107" w:name="page108"/>
    <w:bookmarkEnd w:id="107"/>
    <w:p>
      <w:pPr>
        <w:jc w:val="right"/>
        <w:ind w:right="159"/>
        <w:spacing w:after="0"/>
        <w:rPr>
          <w:sz w:val="20"/>
          <w:szCs w:val="20"/>
          <w:color w:val="auto"/>
        </w:rPr>
      </w:pPr>
      <w:r>
        <w:rPr>
          <w:rFonts w:ascii="Arial" w:cs="Arial" w:eastAsia="Arial" w:hAnsi="Arial"/>
          <w:sz w:val="18"/>
          <w:szCs w:val="18"/>
          <w:b w:val="1"/>
          <w:bCs w:val="1"/>
          <w:color w:val="auto"/>
        </w:rPr>
        <w:t>EXHIBIT 32(b)</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FOREST PRODUCTS, INC.</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185" w:lineRule="exact"/>
        <w:rPr>
          <w:sz w:val="20"/>
          <w:szCs w:val="20"/>
          <w:color w:val="auto"/>
        </w:rPr>
      </w:pPr>
    </w:p>
    <w:p>
      <w:pPr>
        <w:ind w:right="159" w:firstLine="389"/>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43" w:lineRule="exact"/>
        <w:rPr>
          <w:sz w:val="20"/>
          <w:szCs w:val="20"/>
          <w:color w:val="auto"/>
        </w:rPr>
      </w:pPr>
    </w:p>
    <w:p>
      <w:pPr>
        <w:ind w:right="159" w:firstLine="381"/>
        <w:spacing w:after="0" w:line="277"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on Form 10-K for the period ended December 29, 2007, which this statement accompanies, fully complies with requirements of Section 13(a) or 15(d) of the Securities Exchange Act of 1934; and</w:t>
      </w:r>
    </w:p>
    <w:p>
      <w:pPr>
        <w:spacing w:after="0" w:line="129" w:lineRule="exact"/>
        <w:rPr>
          <w:rFonts w:ascii="Arial" w:cs="Arial" w:eastAsia="Arial" w:hAnsi="Arial"/>
          <w:sz w:val="18"/>
          <w:szCs w:val="18"/>
          <w:color w:val="auto"/>
        </w:rPr>
      </w:pPr>
    </w:p>
    <w:p>
      <w:pPr>
        <w:ind w:right="159" w:firstLine="381"/>
        <w:spacing w:after="0" w:line="277" w:lineRule="auto"/>
        <w:tabs>
          <w:tab w:leader="none" w:pos="6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this report on Form 10-K for the period ended December 29, 2007 fairly presents, in all material respects, the financial condition and results of operations of Universal Forest Products, Inc.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3140" w:type="dxa"/>
            <w:vAlign w:val="bottom"/>
            <w:gridSpan w:val="3"/>
          </w:tcPr>
          <w:p>
            <w:pPr>
              <w:spacing w:after="0"/>
              <w:rPr>
                <w:sz w:val="20"/>
                <w:szCs w:val="20"/>
                <w:color w:val="auto"/>
              </w:rPr>
            </w:pPr>
            <w:r>
              <w:rPr>
                <w:rFonts w:ascii="Arial" w:cs="Arial" w:eastAsia="Arial" w:hAnsi="Arial"/>
                <w:sz w:val="18"/>
                <w:szCs w:val="18"/>
                <w:color w:val="auto"/>
              </w:rPr>
              <w:t>Date: February 26, 2008</w:t>
            </w:r>
          </w:p>
        </w:tc>
        <w:tc>
          <w:tcPr>
            <w:tcW w:w="5160" w:type="dxa"/>
            <w:vAlign w:val="bottom"/>
            <w:gridSpan w:val="2"/>
          </w:tcPr>
          <w:p>
            <w:pPr>
              <w:ind w:left="1400"/>
              <w:spacing w:after="0"/>
              <w:rPr>
                <w:sz w:val="20"/>
                <w:szCs w:val="20"/>
                <w:color w:val="auto"/>
              </w:rPr>
            </w:pPr>
            <w:r>
              <w:rPr>
                <w:rFonts w:ascii="Arial" w:cs="Arial" w:eastAsia="Arial" w:hAnsi="Arial"/>
                <w:sz w:val="18"/>
                <w:szCs w:val="18"/>
                <w:color w:val="auto"/>
              </w:rPr>
              <w:t>By: /s/ Michael R. Cole</w:t>
            </w:r>
          </w:p>
        </w:tc>
      </w:tr>
      <w:tr>
        <w:trPr>
          <w:trHeight w:val="21"/>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r>
        <w:trPr>
          <w:trHeight w:val="195"/>
        </w:trPr>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Its: Chief Financial Officer</w:t>
            </w:r>
          </w:p>
        </w:tc>
      </w:tr>
    </w:tbl>
    <w:p>
      <w:pPr>
        <w:spacing w:after="0" w:line="377"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sectPr>
      <w:pgSz w:w="11900" w:h="16838" w:orient="portrait"/>
      <w:cols w:equalWidth="0" w:num="1">
        <w:col w:w="9879"/>
      </w:cols>
      <w:pgMar w:left="580" w:top="9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lowerLetter"/>
      <w:start w:val="1"/>
    </w:lvl>
  </w:abstractNum>
  <w:abstractNum w:abstractNumId="5">
    <w:nsid w:val="419AC241"/>
    <w:multiLevelType w:val="hybridMultilevel"/>
    <w:lvl w:ilvl="0">
      <w:lvlJc w:val="left"/>
      <w:lvlText w:val="(%1)"/>
      <w:numFmt w:val="lowerLetter"/>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3"/>
    </w:lvl>
  </w:abstractNum>
  <w:abstractNum w:abstractNumId="10">
    <w:nsid w:val="77465F01"/>
    <w:multiLevelType w:val="hybridMultilevel"/>
    <w:lvl w:ilvl="0">
      <w:lvlJc w:val="left"/>
      <w:lvlText w:val="%1"/>
      <w:numFmt w:val="lowerLetter"/>
      <w:start w:val="1"/>
    </w:lvl>
    <w:lvl w:ilvl="1">
      <w:lvlJc w:val="left"/>
      <w:lvlText w:val="%2."/>
      <w:numFmt w:val="decimal"/>
      <w:start w:val="2"/>
    </w:lvl>
  </w:abstractNum>
  <w:abstractNum w:abstractNumId="11">
    <w:nsid w:val="7724C67E"/>
    <w:multiLevelType w:val="hybridMultilevel"/>
    <w:lvl w:ilvl="0">
      <w:lvlJc w:val="left"/>
      <w:lvlText w:val="(%1)"/>
      <w:numFmt w:val="lowerLetter"/>
      <w:start w:val="2"/>
    </w:lvl>
    <w:lvl w:ilvl="1">
      <w:lvlJc w:val="left"/>
      <w:lvlText w:val="%2"/>
      <w:numFmt w:val="decimal"/>
      <w:start w:val="1"/>
    </w:lvl>
  </w:abstractNum>
  <w:abstractNum w:abstractNumId="12">
    <w:nsid w:val="5C482A97"/>
    <w:multiLevelType w:val="hybridMultilevel"/>
    <w:lvl w:ilvl="0">
      <w:lvlJc w:val="left"/>
      <w:lvlText w:val="3"/>
      <w:numFmt w:val="bullet"/>
      <w:start w:val="1"/>
    </w:lvl>
    <w:lvl w:ilvl="1">
      <w:lvlJc w:val="left"/>
      <w:lvlText w:val="(%2)"/>
      <w:numFmt w:val="lowerLetter"/>
      <w:start w:val="1"/>
    </w:lvl>
  </w:abstractNum>
  <w:abstractNum w:abstractNumId="13">
    <w:nsid w:val="2463B9EA"/>
    <w:multiLevelType w:val="hybridMultilevel"/>
    <w:lvl w:ilvl="0">
      <w:lvlJc w:val="left"/>
      <w:lvlText w:val="4"/>
      <w:numFmt w:val="bullet"/>
      <w:start w:val="1"/>
    </w:lvl>
  </w:abstractNum>
  <w:abstractNum w:abstractNumId="14">
    <w:nsid w:val="5E884ADC"/>
    <w:multiLevelType w:val="hybridMultilevel"/>
    <w:lvl w:ilvl="0">
      <w:lvlJc w:val="left"/>
      <w:lvlText w:val="(%1)"/>
      <w:numFmt w:val="lowerLetter"/>
      <w:start w:val="2"/>
    </w:lvl>
  </w:abstractNum>
  <w:abstractNum w:abstractNumId="15">
    <w:nsid w:val="51EAD36B"/>
    <w:multiLevelType w:val="hybridMultilevel"/>
    <w:lvl w:ilvl="0">
      <w:lvlJc w:val="left"/>
      <w:lvlText w:val="%1"/>
      <w:numFmt w:val="decimal"/>
      <w:start w:val="13"/>
    </w:lvl>
  </w:abstractNum>
  <w:abstractNum w:abstractNumId="16">
    <w:nsid w:val="2D517796"/>
    <w:multiLevelType w:val="hybridMultilevel"/>
    <w:lvl w:ilvl="0">
      <w:lvlJc w:val="left"/>
      <w:lvlText w:val="%1"/>
      <w:numFmt w:val="decimal"/>
      <w:start w:val="14"/>
    </w:lvl>
    <w:lvl w:ilvl="1">
      <w:lvlJc w:val="left"/>
      <w:lvlText w:val="(%2)"/>
      <w:numFmt w:val="lowerLetter"/>
      <w:start w:val="1"/>
    </w:lvl>
  </w:abstractNum>
  <w:abstractNum w:abstractNumId="17">
    <w:nsid w:val="580BD78F"/>
    <w:multiLevelType w:val="hybridMultilevel"/>
    <w:lvl w:ilvl="0">
      <w:lvlJc w:val="left"/>
      <w:lvlText w:val="%1"/>
      <w:numFmt w:val="decimal"/>
      <w:start w:val="31"/>
    </w:lvl>
    <w:lvl w:ilvl="1">
      <w:lvlJc w:val="left"/>
      <w:lvlText w:val="(%2)"/>
      <w:numFmt w:val="lowerLetter"/>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upperLetter"/>
      <w:start w:val="1"/>
    </w:lvl>
  </w:abstractNum>
  <w:abstractNum w:abstractNumId="20">
    <w:nsid w:val="70A64E2A"/>
    <w:multiLevelType w:val="hybridMultilevel"/>
    <w:lvl w:ilvl="0">
      <w:lvlJc w:val="left"/>
      <w:lvlText w:val="%1"/>
      <w:numFmt w:val="decimal"/>
      <w:start w:val="1"/>
    </w:lvl>
    <w:lvl w:ilvl="1">
      <w:lvlJc w:val="left"/>
      <w:lvlText w:val="(%2)"/>
      <w:numFmt w:val="lowerLetter"/>
      <w:start w:val="1"/>
    </w:lvl>
  </w:abstractNum>
  <w:abstractNum w:abstractNumId="21">
    <w:nsid w:val="6A2342EC"/>
    <w:multiLevelType w:val="hybridMultilevel"/>
    <w:lvl w:ilvl="0">
      <w:lvlJc w:val="left"/>
      <w:lvlText w:val="(%1)"/>
      <w:numFmt w:val="decimal"/>
      <w:start w:val="2"/>
    </w:lvl>
    <w:lvl w:ilvl="1">
      <w:lvlJc w:val="left"/>
      <w:lvlText w:val="(%2)"/>
      <w:numFmt w:val="lowerLetter"/>
      <w:start w:val="2"/>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4"/>
    </w:lvl>
  </w:abstractNum>
  <w:abstractNum w:abstractNumId="25">
    <w:nsid w:val="2CD89A32"/>
    <w:multiLevelType w:val="hybridMultilevel"/>
    <w:lvl w:ilvl="0">
      <w:lvlJc w:val="left"/>
      <w:lvlText w:val="%1."/>
      <w:numFmt w:val="decimal"/>
      <w:start w:val="1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upperLetter"/>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1."/>
      <w:numFmt w:val="upperLetter"/>
      <w:start w:val="2"/>
    </w:lvl>
  </w:abstractNum>
  <w:abstractNum w:abstractNumId="46">
    <w:nsid w:val="23F9C13C"/>
    <w:multiLevelType w:val="hybridMultilevel"/>
    <w:lvl w:ilvl="0">
      <w:lvlJc w:val="left"/>
      <w:lvlText w:val="%1."/>
      <w:numFmt w:val="upperLetter"/>
      <w:start w:val="4"/>
    </w:lvl>
  </w:abstractNum>
  <w:abstractNum w:abstractNumId="47">
    <w:nsid w:val="649BB77C"/>
    <w:multiLevelType w:val="hybridMultilevel"/>
    <w:lvl w:ilvl="0">
      <w:lvlJc w:val="left"/>
      <w:lvlText w:val="%1."/>
      <w:numFmt w:val="upperLetter"/>
      <w:start w:val="5"/>
    </w:lvl>
  </w:abstractNum>
  <w:abstractNum w:abstractNumId="48">
    <w:nsid w:val="275AC794"/>
    <w:multiLevelType w:val="hybridMultilevel"/>
    <w:lvl w:ilvl="0">
      <w:lvlJc w:val="left"/>
      <w:lvlText w:val="%1."/>
      <w:numFmt w:val="upperLetter"/>
      <w:start w:val="6"/>
    </w:lvl>
  </w:abstractNum>
  <w:abstractNum w:abstractNumId="49">
    <w:nsid w:val="39386575"/>
    <w:multiLevelType w:val="hybridMultilevel"/>
    <w:lvl w:ilvl="0">
      <w:lvlJc w:val="left"/>
      <w:lvlText w:val="%1."/>
      <w:numFmt w:val="upperLetter"/>
      <w:start w:val="7"/>
    </w:lvl>
    <w:lvl w:ilvl="1">
      <w:lvlJc w:val="left"/>
      <w:lvlText w:val="•"/>
      <w:numFmt w:val="bullet"/>
      <w:start w:val="1"/>
    </w:lvl>
  </w:abstractNum>
  <w:abstractNum w:abstractNumId="50">
    <w:nsid w:val="1CF10FD8"/>
    <w:multiLevelType w:val="hybridMultilevel"/>
    <w:lvl w:ilvl="0">
      <w:lvlJc w:val="left"/>
      <w:lvlText w:val="%1."/>
      <w:numFmt w:val="upperLetter"/>
      <w:start w:val="8"/>
    </w:lvl>
  </w:abstractNum>
  <w:abstractNum w:abstractNumId="51">
    <w:nsid w:val="180115BE"/>
    <w:multiLevelType w:val="hybridMultilevel"/>
    <w:lvl w:ilvl="0">
      <w:lvlJc w:val="left"/>
      <w:lvlText w:val="%1."/>
      <w:numFmt w:val="upperLetter"/>
      <w:start w:val="9"/>
    </w:lvl>
  </w:abstractNum>
  <w:abstractNum w:abstractNumId="52">
    <w:nsid w:val="235BA861"/>
    <w:multiLevelType w:val="hybridMultilevel"/>
    <w:lvl w:ilvl="0">
      <w:lvlJc w:val="left"/>
      <w:lvlText w:val="%1."/>
      <w:numFmt w:val="upperLetter"/>
      <w:start w:val="10"/>
    </w:lvl>
  </w:abstractNum>
  <w:abstractNum w:abstractNumId="53">
    <w:nsid w:val="47398C89"/>
    <w:multiLevelType w:val="hybridMultilevel"/>
    <w:lvl w:ilvl="0">
      <w:lvlJc w:val="left"/>
      <w:lvlText w:val="%1."/>
      <w:numFmt w:val="upperLetter"/>
      <w:start w:val="12"/>
    </w:lvl>
  </w:abstractNum>
  <w:abstractNum w:abstractNumId="54">
    <w:nsid w:val="354FE9F9"/>
    <w:multiLevelType w:val="hybridMultilevel"/>
    <w:lvl w:ilvl="0">
      <w:lvlJc w:val="left"/>
      <w:lvlText w:val="%1."/>
      <w:numFmt w:val="upperLetter"/>
      <w:start w:val="13"/>
    </w:lvl>
  </w:abstractNum>
  <w:abstractNum w:abstractNumId="55">
    <w:nsid w:val="15B5AF5C"/>
    <w:multiLevelType w:val="hybridMultilevel"/>
    <w:lvl w:ilvl="0">
      <w:lvlJc w:val="left"/>
      <w:lvlText w:val="%1."/>
      <w:numFmt w:val="upperLetter"/>
      <w:start w:val="14"/>
    </w:lvl>
  </w:abstractNum>
  <w:abstractNum w:abstractNumId="56">
    <w:nsid w:val="741226BB"/>
    <w:multiLevelType w:val="hybridMultilevel"/>
    <w:lvl w:ilvl="0">
      <w:lvlJc w:val="left"/>
      <w:lvlText w:val="%1."/>
      <w:numFmt w:val="upperLetter"/>
      <w:start w:val="15"/>
    </w:lvl>
  </w:abstractNum>
  <w:abstractNum w:abstractNumId="57">
    <w:nsid w:val="D34B6A8"/>
    <w:multiLevelType w:val="hybridMultilevel"/>
    <w:lvl w:ilvl="0">
      <w:lvlJc w:val="left"/>
      <w:lvlText w:val="%1."/>
      <w:numFmt w:val="upperLetter"/>
      <w:start w:val="16"/>
    </w:lvl>
  </w:abstractNum>
  <w:abstractNum w:abstractNumId="58">
    <w:nsid w:val="10233C99"/>
    <w:multiLevelType w:val="hybridMultilevel"/>
    <w:lvl w:ilvl="0">
      <w:lvlJc w:val="left"/>
      <w:lvlText w:val="%1."/>
      <w:numFmt w:val="upperLetter"/>
      <w:start w:val="18"/>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2019-12-14T02:14:22Z</dcterms:created>
  <dcterms:modified xsi:type="dcterms:W3CDTF">2019-12-14T02:14:22Z</dcterms:modified>
</cp:coreProperties>
</file>