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6"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25, 2021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860" w:right="1280" w:hanging="3850"/>
        <w:spacing w:after="0" w:line="397" w:lineRule="auto"/>
        <w:tabs>
          <w:tab w:leader="none" w:pos="27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UFP INDUSTRIES,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260"/>
              <w:spacing w:after="0"/>
              <w:rPr>
                <w:sz w:val="20"/>
                <w:szCs w:val="20"/>
                <w:color w:val="auto"/>
              </w:rPr>
            </w:pPr>
            <w:r>
              <w:rPr>
                <w:rFonts w:ascii="Arial" w:cs="Arial" w:eastAsia="Arial" w:hAnsi="Arial"/>
                <w:sz w:val="18"/>
                <w:szCs w:val="18"/>
                <w:color w:val="auto"/>
                <w:w w:val="97"/>
              </w:rPr>
              <w:t>Michigan</w:t>
            </w:r>
          </w:p>
        </w:tc>
        <w:tc>
          <w:tcPr>
            <w:tcW w:w="3920" w:type="dxa"/>
            <w:vAlign w:val="bottom"/>
          </w:tcPr>
          <w:p>
            <w:pPr>
              <w:jc w:val="right"/>
              <w:ind w:right="1570"/>
              <w:spacing w:after="0"/>
              <w:rPr>
                <w:sz w:val="20"/>
                <w:szCs w:val="20"/>
                <w:color w:val="auto"/>
              </w:rPr>
            </w:pPr>
            <w:r>
              <w:rPr>
                <w:rFonts w:ascii="Arial" w:cs="Arial" w:eastAsia="Arial" w:hAnsi="Arial"/>
                <w:sz w:val="18"/>
                <w:szCs w:val="18"/>
                <w:color w:val="auto"/>
              </w:rPr>
              <w:t>38-1465835</w:t>
            </w:r>
          </w:p>
        </w:tc>
      </w:tr>
      <w:tr>
        <w:trPr>
          <w:trHeight w:val="202"/>
        </w:trPr>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2801 East Beltline NE, Grand Rapids, Michigan</w:t>
            </w:r>
          </w:p>
        </w:tc>
        <w:tc>
          <w:tcPr>
            <w:tcW w:w="392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4"/>
              </w:rPr>
              <w:t>(Zip Code)</w:t>
            </w:r>
          </w:p>
        </w:tc>
      </w:tr>
      <w:tr>
        <w:trPr>
          <w:trHeight w:val="364"/>
        </w:trPr>
        <w:tc>
          <w:tcPr>
            <w:tcW w:w="5320" w:type="dxa"/>
            <w:vAlign w:val="bottom"/>
            <w:gridSpan w:val="4"/>
          </w:tcPr>
          <w:p>
            <w:pPr>
              <w:ind w:left="460"/>
              <w:spacing w:after="0"/>
              <w:rPr>
                <w:sz w:val="20"/>
                <w:szCs w:val="20"/>
                <w:color w:val="auto"/>
              </w:rPr>
            </w:pPr>
            <w:r>
              <w:rPr>
                <w:rFonts w:ascii="Arial" w:cs="Arial" w:eastAsia="Arial" w:hAnsi="Arial"/>
                <w:sz w:val="18"/>
                <w:szCs w:val="18"/>
                <w:color w:val="auto"/>
                <w:w w:val="8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92" w:right="819" w:bottom="1440" w:gutter="0" w:footer="0" w:header="0"/>
        </w:sectPr>
      </w:pPr>
    </w:p>
    <w:p>
      <w:pPr>
        <w:spacing w:after="0" w:line="56" w:lineRule="exact"/>
        <w:rPr>
          <w:sz w:val="24"/>
          <w:szCs w:val="24"/>
          <w:color w:val="auto"/>
        </w:rPr>
      </w:pPr>
    </w:p>
    <w:p>
      <w:pPr>
        <w:ind w:left="5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both"/>
        <w:ind w:right="80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Emerging Growth Company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sectPr>
          <w:pgSz w:w="11900" w:h="16838" w:orient="portrait"/>
          <w:cols w:equalWidth="0" w:num="4">
            <w:col w:w="2500" w:space="660"/>
            <w:col w:w="1440" w:space="280"/>
            <w:col w:w="1820" w:space="480"/>
            <w:col w:w="3080"/>
          </w:cols>
          <w:pgMar w:left="820" w:top="692" w:right="819" w:bottom="1440" w:gutter="0" w:footer="0" w:header="0"/>
          <w:type w:val="continuous"/>
        </w:sectPr>
      </w:pPr>
    </w:p>
    <w:p>
      <w:pPr>
        <w:ind w:left="20"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100" w:type="dxa"/>
            <w:vAlign w:val="bottom"/>
            <w:gridSpan w:val="2"/>
          </w:tcPr>
          <w:p>
            <w:pPr>
              <w:jc w:val="center"/>
              <w:ind w:right="1040"/>
              <w:spacing w:after="0"/>
              <w:rPr>
                <w:sz w:val="20"/>
                <w:szCs w:val="20"/>
                <w:color w:val="auto"/>
              </w:rPr>
            </w:pPr>
            <w:r>
              <w:rPr>
                <w:rFonts w:ascii="Arial" w:cs="Arial" w:eastAsia="Arial" w:hAnsi="Arial"/>
                <w:sz w:val="18"/>
                <w:szCs w:val="18"/>
                <w:color w:val="auto"/>
                <w:w w:val="84"/>
              </w:rPr>
              <w:t>Class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Outstanding as of September 25, 2021</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61,887,770</w:t>
            </w:r>
          </w:p>
        </w:tc>
      </w:tr>
    </w:tbl>
    <w:p>
      <w:pPr>
        <w:spacing w:after="0" w:line="1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49"/>
        </w:trPr>
        <w:tc>
          <w:tcPr>
            <w:tcW w:w="20" w:type="dxa"/>
            <w:vAlign w:val="bottom"/>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526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92"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1"/>
          </w:tcPr>
          <w:p>
            <w:pPr>
              <w:ind w:left="120"/>
              <w:spacing w:after="0"/>
              <w:rPr>
                <w:sz w:val="20"/>
                <w:szCs w:val="20"/>
                <w:color w:val="auto"/>
              </w:rPr>
            </w:pPr>
            <w:r>
              <w:rPr>
                <w:rFonts w:ascii="Arial" w:cs="Arial" w:eastAsia="Arial" w:hAnsi="Arial"/>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1"/>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rPr>
              <w:t>PART I.</w:t>
            </w:r>
          </w:p>
        </w:tc>
        <w:tc>
          <w:tcPr>
            <w:tcW w:w="6560" w:type="dxa"/>
            <w:vAlign w:val="bottom"/>
            <w:gridSpan w:val="15"/>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r>
      <w:tr>
        <w:trPr>
          <w:trHeight w:val="432"/>
        </w:trPr>
        <w:tc>
          <w:tcPr>
            <w:tcW w:w="20" w:type="dxa"/>
            <w:vAlign w:val="bottom"/>
          </w:tcPr>
          <w:p>
            <w:pPr>
              <w:spacing w:after="0"/>
              <w:rPr>
                <w:sz w:val="24"/>
                <w:szCs w:val="24"/>
                <w:color w:val="auto"/>
              </w:rPr>
            </w:pPr>
          </w:p>
        </w:tc>
        <w:tc>
          <w:tcPr>
            <w:tcW w:w="1560" w:type="dxa"/>
            <w:vAlign w:val="bottom"/>
            <w:gridSpan w:val="5"/>
          </w:tcPr>
          <w:p>
            <w:pPr>
              <w:ind w:left="820"/>
              <w:spacing w:after="0"/>
              <w:rPr>
                <w:sz w:val="20"/>
                <w:szCs w:val="20"/>
                <w:color w:val="auto"/>
              </w:rPr>
            </w:pPr>
            <w:r>
              <w:rPr>
                <w:rFonts w:ascii="Arial" w:cs="Arial" w:eastAsia="Arial" w:hAnsi="Arial"/>
                <w:sz w:val="18"/>
                <w:szCs w:val="18"/>
                <w:color w:val="auto"/>
              </w:rPr>
              <w:t>Item 1.</w:t>
            </w:r>
          </w:p>
        </w:tc>
        <w:tc>
          <w:tcPr>
            <w:tcW w:w="6560" w:type="dxa"/>
            <w:vAlign w:val="bottom"/>
            <w:gridSpan w:val="15"/>
          </w:tcPr>
          <w:p>
            <w:pPr>
              <w:ind w:left="20"/>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at September 25, 2021, December 26, 2020 and</w:t>
              </w:r>
            </w:hyperlink>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5"/>
            <w:shd w:val="clear" w:color="auto" w:fill="CCEEFF"/>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26, 2020</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Earnings and Comprehensive Income for the</w:t>
              </w:r>
            </w:hyperlink>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Nine Months Ended September 25, 2021 and September 26, 2020</w:t>
              </w:r>
            </w:hyperlink>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Shareholders’ Equity for the Three and Nine</w:t>
              </w:r>
            </w:hyperlink>
          </w:p>
        </w:tc>
        <w:tc>
          <w:tcPr>
            <w:tcW w:w="760" w:type="dxa"/>
            <w:vAlign w:val="bottom"/>
            <w:shd w:val="clear" w:color="auto" w:fill="CCEEFF"/>
          </w:tcPr>
          <w:p>
            <w:pPr>
              <w:spacing w:after="0"/>
              <w:rPr>
                <w:sz w:val="15"/>
                <w:szCs w:val="15"/>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Months Ended September 25, 2021 and September 26, 2020</w:t>
              </w:r>
            </w:hyperlink>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Cash  Flows  for  the  Nine  Months  Ended</w:t>
              </w:r>
            </w:hyperlink>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25, 2021 and September 26, 2020</w:t>
              </w:r>
            </w:hyperlink>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560" w:type="dxa"/>
            <w:vAlign w:val="bottom"/>
            <w:gridSpan w:val="15"/>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1.</w:t>
            </w:r>
          </w:p>
        </w:tc>
        <w:tc>
          <w:tcPr>
            <w:tcW w:w="656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3.</w:t>
            </w:r>
          </w:p>
        </w:tc>
        <w:tc>
          <w:tcPr>
            <w:tcW w:w="656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4.</w:t>
            </w:r>
          </w:p>
        </w:tc>
        <w:tc>
          <w:tcPr>
            <w:tcW w:w="656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6560" w:type="dxa"/>
            <w:vAlign w:val="bottom"/>
            <w:gridSpan w:val="15"/>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September 25,</w:t>
            </w:r>
          </w:p>
        </w:tc>
        <w:tc>
          <w:tcPr>
            <w:tcW w:w="220" w:type="dxa"/>
            <w:vAlign w:val="bottom"/>
          </w:tcPr>
          <w:p>
            <w:pPr>
              <w:spacing w:after="0"/>
              <w:rPr>
                <w:sz w:val="16"/>
                <w:szCs w:val="16"/>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26,</w:t>
            </w:r>
          </w:p>
        </w:tc>
        <w:tc>
          <w:tcPr>
            <w:tcW w:w="20" w:type="dxa"/>
            <w:vAlign w:val="bottom"/>
          </w:tcPr>
          <w:p>
            <w:pPr>
              <w:spacing w:after="0"/>
              <w:rPr>
                <w:sz w:val="16"/>
                <w:szCs w:val="16"/>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26,</w:t>
            </w:r>
          </w:p>
        </w:tc>
        <w:tc>
          <w:tcPr>
            <w:tcW w:w="0" w:type="dxa"/>
            <w:vAlign w:val="bottom"/>
          </w:tcPr>
          <w:p>
            <w:pPr>
              <w:spacing w:after="0"/>
              <w:rPr>
                <w:sz w:val="1"/>
                <w:szCs w:val="1"/>
                <w:color w:val="auto"/>
              </w:rPr>
            </w:pPr>
          </w:p>
        </w:tc>
      </w:tr>
      <w:tr>
        <w:trPr>
          <w:trHeight w:val="111"/>
        </w:trPr>
        <w:tc>
          <w:tcPr>
            <w:tcW w:w="4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74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138,637</w:t>
            </w:r>
          </w:p>
        </w:tc>
        <w:tc>
          <w:tcPr>
            <w:tcW w:w="42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346,154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17,592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33,723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24,308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783,959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470,504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583,079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368,185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316,481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286,418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532,480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250,813</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242,316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inventories</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900,665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567,294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528,734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34,040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33,812</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32,888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1,922,750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1,538,362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2,413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94,481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77,245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77,412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29,168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292,318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252,193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245,925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93,984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72,252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58,205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1,156,070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974,497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935,639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(603,159)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(557,335)</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(529,644)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40" w:type="dxa"/>
            <w:vAlign w:val="bottom"/>
            <w:tcBorders>
              <w:bottom w:val="single" w:sz="8" w:color="CCEEFF"/>
            </w:tcBorders>
          </w:tcPr>
          <w:p>
            <w:pPr>
              <w:ind w:left="400"/>
              <w:spacing w:after="0" w:line="135" w:lineRule="exact"/>
              <w:rPr>
                <w:sz w:val="20"/>
                <w:szCs w:val="20"/>
                <w:color w:val="auto"/>
              </w:rPr>
            </w:pPr>
            <w:r>
              <w:rPr>
                <w:rFonts w:ascii="Arial" w:cs="Arial" w:eastAsia="Arial" w:hAnsi="Arial"/>
                <w:sz w:val="14"/>
                <w:szCs w:val="14"/>
                <w:color w:val="auto"/>
              </w:rPr>
              <w:t>PROPERTY, PLANT AND EQUIPMENT, NET</w:t>
            </w:r>
          </w:p>
        </w:tc>
        <w:tc>
          <w:tcPr>
            <w:tcW w:w="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552,911</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417,162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405,995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3,014,247</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2,404,891</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2,350,620</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Cash overdraft</w:t>
            </w:r>
          </w:p>
        </w:tc>
        <w:tc>
          <w:tcPr>
            <w:tcW w:w="74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10,812</w:t>
            </w:r>
          </w:p>
        </w:tc>
        <w:tc>
          <w:tcPr>
            <w:tcW w:w="4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292,933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211,518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231,111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249,242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166,478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171,472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90,348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69,104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Arial" w:cs="Arial" w:eastAsia="Arial" w:hAnsi="Arial"/>
                <w:sz w:val="14"/>
                <w:szCs w:val="14"/>
                <w:color w:val="auto"/>
              </w:rPr>
              <w:t>Current portion of lease liability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22,242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16,549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5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2,760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ind w:left="420"/>
              <w:spacing w:after="0" w:line="135" w:lineRule="exact"/>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665,670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463,749</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493,604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310,119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311,607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LEASE LIABILITY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75,548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61,509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39,198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25,266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46,238</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59,608</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47,367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1,136,773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921,739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936,816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40" w:type="dxa"/>
            <w:vAlign w:val="bottom"/>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tcPr>
          <w:p>
            <w:pPr>
              <w:ind w:left="320"/>
              <w:spacing w:after="0"/>
              <w:rPr>
                <w:sz w:val="20"/>
                <w:szCs w:val="20"/>
                <w:color w:val="auto"/>
              </w:rPr>
            </w:pPr>
            <w:r>
              <w:rPr>
                <w:rFonts w:ascii="Arial" w:cs="Arial" w:eastAsia="Arial" w:hAnsi="Arial"/>
                <w:sz w:val="14"/>
                <w:szCs w:val="14"/>
                <w:color w:val="auto"/>
              </w:rPr>
              <w:t>outstanding, none</w:t>
            </w:r>
          </w:p>
        </w:tc>
        <w:tc>
          <w:tcPr>
            <w:tcW w:w="740" w:type="dxa"/>
            <w:vAlign w:val="bottom"/>
            <w:gridSpan w:val="2"/>
          </w:tcPr>
          <w:p>
            <w:pPr>
              <w:jc w:val="right"/>
              <w:ind w:right="7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7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5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61,887,770, 61,205,780 and 61,186,636</w:t>
            </w: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61,888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239,563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218,224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216,002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1,552,593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1,182,680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1,127,375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5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(3,278)</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(1,794)</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(6,974)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controlling interest shareholders’ equity</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1,850,766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1,460,316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1,397,590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26,708</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22,836</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1,877,474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1,483,152</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1,413,804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line="135" w:lineRule="exact"/>
              <w:rPr>
                <w:sz w:val="20"/>
                <w:szCs w:val="20"/>
                <w:color w:val="auto"/>
              </w:rPr>
            </w:pPr>
            <w:r>
              <w:rPr>
                <w:rFonts w:ascii="Arial" w:cs="Arial" w:eastAsia="Arial" w:hAnsi="Arial"/>
                <w:sz w:val="14"/>
                <w:szCs w:val="14"/>
                <w:color w:val="auto"/>
              </w:rPr>
              <w:t>TOTAL LIABILITIES AND SHAREHOLDERS’ EQUITY</w:t>
            </w:r>
          </w:p>
        </w:tc>
        <w:tc>
          <w:tcPr>
            <w:tcW w:w="540" w:type="dxa"/>
            <w:vAlign w:val="bottom"/>
          </w:tcPr>
          <w:p>
            <w:pPr>
              <w:spacing w:after="0"/>
              <w:rPr>
                <w:sz w:val="11"/>
                <w:szCs w:val="11"/>
                <w:color w:val="auto"/>
              </w:rPr>
            </w:pPr>
          </w:p>
        </w:tc>
        <w:tc>
          <w:tcPr>
            <w:tcW w:w="2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3,014,247</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2,404,891</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2,350,620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30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6"/>
                <w:szCs w:val="16"/>
                <w:color w:val="auto"/>
              </w:rPr>
            </w:pPr>
          </w:p>
        </w:tc>
        <w:tc>
          <w:tcPr>
            <w:tcW w:w="2060" w:type="dxa"/>
            <w:vAlign w:val="bottom"/>
            <w:gridSpan w:val="3"/>
            <w:vMerge w:val="restart"/>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26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1"/>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1"/>
              </w:rPr>
              <w:t>September 25,</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Pr>
          <w:p>
            <w:pPr>
              <w:spacing w:after="0"/>
              <w:rPr>
                <w:sz w:val="10"/>
                <w:szCs w:val="10"/>
                <w:color w:val="auto"/>
              </w:rPr>
            </w:pPr>
          </w:p>
        </w:tc>
        <w:tc>
          <w:tcPr>
            <w:tcW w:w="9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1"/>
              </w:rPr>
              <w:t>September 25,</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1"/>
              </w:rPr>
              <w:t>September 26,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00" w:type="dxa"/>
            <w:vAlign w:val="bottom"/>
          </w:tcPr>
          <w:p>
            <w:pPr>
              <w:spacing w:after="0"/>
              <w:rPr>
                <w:sz w:val="15"/>
                <w:szCs w:val="15"/>
                <w:color w:val="auto"/>
              </w:rPr>
            </w:pPr>
          </w:p>
        </w:tc>
        <w:tc>
          <w:tcPr>
            <w:tcW w:w="108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1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8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12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$ 2,093,784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$ 1,486,227</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$ 6,619,329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$ 3,760,290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6"/>
                <w:szCs w:val="16"/>
                <w:color w:val="auto"/>
              </w:rPr>
              <w:t>COST OF GOODS SOLD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1,766,229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1,245,153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5,583,926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3,147,049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241,074</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1,035,403</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613,241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169,467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134,649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504,104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357,770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OTHER GAINS, NET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EARNINGS FROM OPERATIONS</w:t>
            </w:r>
          </w:p>
        </w:tc>
        <w:tc>
          <w:tcPr>
            <w:tcW w:w="1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168,125</w:t>
            </w: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106,601</w:t>
            </w:r>
          </w:p>
        </w:tc>
        <w:tc>
          <w:tcPr>
            <w:tcW w:w="1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542,547</w:t>
            </w: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257,591</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6"/>
                <w:szCs w:val="16"/>
                <w:color w:val="auto"/>
              </w:rPr>
              <w:t>INTEREST AND INVESTMENT LOSS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INVESTEE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4,750</w:t>
            </w:r>
          </w:p>
        </w:tc>
        <w:tc>
          <w:tcPr>
            <w:tcW w:w="1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921</w:t>
            </w:r>
          </w:p>
        </w:tc>
        <w:tc>
          <w:tcPr>
            <w:tcW w:w="14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9,280</w:t>
            </w:r>
          </w:p>
        </w:tc>
        <w:tc>
          <w:tcPr>
            <w:tcW w:w="1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4,668</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163,375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533,267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6"/>
                <w:szCs w:val="16"/>
                <w:color w:val="auto"/>
              </w:rPr>
              <w:t>INCOME TAXES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37,628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26,819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127,909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63,798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405,358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189,125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44" w:right="1440" w:bottom="1440" w:gutter="0" w:footer="0" w:header="0"/>
        </w:sectPr>
      </w:pPr>
    </w:p>
    <w:p>
      <w:pPr>
        <w:ind w:left="60" w:right="760"/>
        <w:spacing w:after="0" w:line="260" w:lineRule="auto"/>
        <w:rPr>
          <w:sz w:val="20"/>
          <w:szCs w:val="20"/>
          <w:color w:val="auto"/>
        </w:rPr>
      </w:pPr>
      <w:r>
        <w:rPr>
          <w:rFonts w:ascii="Arial" w:cs="Arial" w:eastAsia="Arial" w:hAnsi="Arial"/>
          <w:sz w:val="16"/>
          <w:szCs w:val="16"/>
          <w:color w:val="auto"/>
        </w:rPr>
        <w:t>LESS NET EARNINGS ATTRIBUTABLE TO NONCONTROLLING INTEREST</w:t>
      </w:r>
    </w:p>
    <w:p>
      <w:pPr>
        <w:ind w:left="60"/>
        <w:spacing w:after="0" w:line="288" w:lineRule="auto"/>
        <w:rPr>
          <w:sz w:val="20"/>
          <w:szCs w:val="20"/>
          <w:color w:val="auto"/>
        </w:rPr>
      </w:pPr>
      <w:r>
        <w:rPr>
          <w:rFonts w:ascii="Arial" w:cs="Arial" w:eastAsia="Arial" w:hAnsi="Arial"/>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00"/>
        <w:spacing w:after="0"/>
        <w:tabs>
          <w:tab w:leader="none" w:pos="1500" w:val="left"/>
          <w:tab w:leader="none" w:pos="2580" w:val="left"/>
          <w:tab w:leader="none" w:pos="3700" w:val="left"/>
        </w:tabs>
        <w:rPr>
          <w:sz w:val="20"/>
          <w:szCs w:val="20"/>
          <w:color w:val="auto"/>
        </w:rPr>
      </w:pPr>
      <w:r>
        <w:rPr>
          <w:rFonts w:ascii="Arial" w:cs="Arial" w:eastAsia="Arial" w:hAnsi="Arial"/>
          <w:sz w:val="18"/>
          <w:szCs w:val="18"/>
          <w:color w:val="auto"/>
        </w:rPr>
        <w:t>(4,706)</w:t>
      </w:r>
      <w:r>
        <w:rPr>
          <w:sz w:val="20"/>
          <w:szCs w:val="20"/>
          <w:color w:val="auto"/>
        </w:rPr>
        <w:tab/>
      </w:r>
      <w:r>
        <w:rPr>
          <w:rFonts w:ascii="Arial" w:cs="Arial" w:eastAsia="Arial" w:hAnsi="Arial"/>
          <w:sz w:val="18"/>
          <w:szCs w:val="18"/>
          <w:color w:val="auto"/>
        </w:rPr>
        <w:t>(1,657)</w:t>
      </w:r>
      <w:r>
        <w:rPr>
          <w:sz w:val="20"/>
          <w:szCs w:val="20"/>
          <w:color w:val="auto"/>
        </w:rPr>
        <w:tab/>
      </w:r>
      <w:r>
        <w:rPr>
          <w:rFonts w:ascii="Arial" w:cs="Arial" w:eastAsia="Arial" w:hAnsi="Arial"/>
          <w:sz w:val="18"/>
          <w:szCs w:val="18"/>
          <w:color w:val="auto"/>
        </w:rPr>
        <w:t>(7,624)</w:t>
      </w:r>
      <w:r>
        <w:rPr>
          <w:sz w:val="20"/>
          <w:szCs w:val="20"/>
          <w:color w:val="auto"/>
        </w:rPr>
        <w:tab/>
      </w:r>
      <w:r>
        <w:rPr>
          <w:rFonts w:ascii="Arial" w:cs="Arial" w:eastAsia="Arial" w:hAnsi="Arial"/>
          <w:sz w:val="16"/>
          <w:szCs w:val="16"/>
          <w:color w:val="auto"/>
        </w:rPr>
        <w:t>(5,299)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14605</wp:posOffset>
            </wp:positionV>
            <wp:extent cx="564896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178" w:lineRule="exact"/>
        <w:rPr>
          <w:sz w:val="20"/>
          <w:szCs w:val="20"/>
          <w:color w:val="auto"/>
        </w:rPr>
      </w:pPr>
    </w:p>
    <w:p>
      <w:pPr>
        <w:spacing w:after="0"/>
        <w:tabs>
          <w:tab w:leader="none" w:pos="260" w:val="left"/>
          <w:tab w:leader="none" w:pos="1100" w:val="left"/>
          <w:tab w:leader="none" w:pos="1460" w:val="left"/>
          <w:tab w:leader="none" w:pos="2180" w:val="left"/>
          <w:tab w:leader="none" w:pos="2460" w:val="left"/>
          <w:tab w:leader="none" w:pos="3300" w:val="left"/>
          <w:tab w:leader="none" w:pos="3580" w:val="left"/>
        </w:tabs>
        <w:rPr>
          <w:sz w:val="20"/>
          <w:szCs w:val="20"/>
          <w:color w:val="auto"/>
        </w:rPr>
      </w:pPr>
      <w:r>
        <w:rPr>
          <w:rFonts w:ascii="Arial" w:cs="Arial" w:eastAsia="Arial" w:hAnsi="Arial"/>
          <w:sz w:val="18"/>
          <w:szCs w:val="18"/>
          <w:color w:val="auto"/>
        </w:rPr>
        <w:t>$</w:t>
        <w:tab/>
        <w:t>121,041</w:t>
        <w:tab/>
        <w:t>$</w:t>
        <w:tab/>
        <w:t>77,204</w:t>
        <w:tab/>
        <w:t>$</w:t>
        <w:tab/>
        <w:t>397,734</w:t>
        <w:tab/>
        <w:t>$</w:t>
      </w:r>
      <w:r>
        <w:rPr>
          <w:sz w:val="20"/>
          <w:szCs w:val="20"/>
          <w:color w:val="auto"/>
        </w:rPr>
        <w:tab/>
      </w:r>
      <w:r>
        <w:rPr>
          <w:rFonts w:ascii="Arial" w:cs="Arial" w:eastAsia="Arial" w:hAnsi="Arial"/>
          <w:sz w:val="16"/>
          <w:szCs w:val="16"/>
          <w:color w:val="auto"/>
        </w:rPr>
        <w:t>183,826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2700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3900" w:space="600"/>
            <w:col w:w="4519"/>
          </w:cols>
          <w:pgMar w:left="1440" w:top="544"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405,358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189,125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GAIN (LOSS)</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80" w:type="dxa"/>
            <w:vAlign w:val="bottom"/>
          </w:tcPr>
          <w:p>
            <w:pPr>
              <w:spacing w:after="0"/>
              <w:rPr>
                <w:sz w:val="20"/>
                <w:szCs w:val="20"/>
                <w:color w:val="auto"/>
              </w:rPr>
            </w:pPr>
            <w:r>
              <w:rPr>
                <w:rFonts w:ascii="Arial" w:cs="Arial" w:eastAsia="Arial" w:hAnsi="Arial"/>
                <w:sz w:val="16"/>
                <w:szCs w:val="16"/>
                <w:color w:val="auto"/>
              </w:rPr>
              <w:t>LESS COMPREHENSIVE INCOME ATTRIBUTABLE TO</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(4,496)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(1,922)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(7,608)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(3,354)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1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COMPREHENSIVE INCOME ATTRIBUTABLE TO</w:t>
            </w: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119,227</w:t>
            </w: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78,626</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396,250</w:t>
            </w:r>
          </w:p>
        </w:tc>
        <w:tc>
          <w:tcPr>
            <w:tcW w:w="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181,741</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CONTROLLING INTEREST</w:t>
            </w:r>
          </w:p>
        </w:tc>
        <w:tc>
          <w:tcPr>
            <w:tcW w:w="4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60" w:type="dxa"/>
        <w:tblCellMar>
          <w:top w:w="0" w:type="dxa"/>
          <w:left w:w="0" w:type="dxa"/>
          <w:bottom w:w="0" w:type="dxa"/>
          <w:right w:w="0" w:type="dxa"/>
        </w:tblCellMar>
      </w:tblPr>
      <w:tr>
        <w:trPr>
          <w:trHeight w:val="166"/>
        </w:trPr>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spacing w:after="0" w:line="159" w:lineRule="exact"/>
              <w:rPr>
                <w:sz w:val="20"/>
                <w:szCs w:val="20"/>
                <w:color w:val="auto"/>
              </w:rPr>
            </w:pPr>
            <w:r>
              <w:rPr>
                <w:rFonts w:ascii="Arial" w:cs="Arial" w:eastAsia="Arial" w:hAnsi="Arial"/>
                <w:sz w:val="14"/>
                <w:szCs w:val="14"/>
                <w:b w:val="1"/>
                <w:bCs w:val="1"/>
                <w:color w:val="auto"/>
              </w:rPr>
              <w:t>Controlling Interest Shareholders’ Equity</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Common</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Other</w:t>
            </w:r>
          </w:p>
        </w:tc>
        <w:tc>
          <w:tcPr>
            <w:tcW w:w="12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on December 26,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61,206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218,224</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$ 1,182,680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(1,794)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22,836</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1,483,152</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103,311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104,251</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(1,296)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Cash dividends - $0.15 per share - quarterly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(9,274)</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5,816 shares under employee stock</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Net issuance of 536,970 shares under stock grant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4,430</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Issuance of 89,690 shares under deferred compensation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plans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arrangements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2,936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5,795</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5,795</w:t>
            </w:r>
          </w:p>
        </w:tc>
        <w:tc>
          <w:tcPr>
            <w:tcW w:w="0" w:type="dxa"/>
            <w:vAlign w:val="bottom"/>
          </w:tcPr>
          <w:p>
            <w:pPr>
              <w:spacing w:after="0"/>
              <w:rPr>
                <w:sz w:val="1"/>
                <w:szCs w:val="1"/>
                <w:color w:val="auto"/>
              </w:rPr>
            </w:pPr>
          </w:p>
        </w:tc>
      </w:tr>
      <w:tr>
        <w:trPr>
          <w:trHeight w:val="136"/>
        </w:trPr>
        <w:tc>
          <w:tcPr>
            <w:tcW w:w="3360" w:type="dxa"/>
            <w:vAlign w:val="bottom"/>
          </w:tcPr>
          <w:p>
            <w:pPr>
              <w:spacing w:after="0" w:line="135" w:lineRule="exact"/>
              <w:rPr>
                <w:sz w:val="20"/>
                <w:szCs w:val="20"/>
                <w:color w:val="auto"/>
              </w:rPr>
            </w:pPr>
            <w:r>
              <w:rPr>
                <w:rFonts w:ascii="Arial" w:cs="Arial" w:eastAsia="Arial" w:hAnsi="Arial"/>
                <w:sz w:val="14"/>
                <w:szCs w:val="14"/>
                <w:b w:val="1"/>
                <w:bCs w:val="1"/>
                <w:color w:val="auto"/>
              </w:rPr>
              <w:t>Balance on March 27, 2021</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61,838</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231,111</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$ 1,276,722</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(3,464)</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20,336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1,586,543</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173,382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175,360</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debt securities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4"/>
                <w:szCs w:val="14"/>
                <w:color w:val="auto"/>
              </w:rPr>
              <w:t>Cash dividends - $0.15 per share - quarterly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(9,276)</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9,282 shares under employee stock plans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Net forfeitures of 5,718 shares under stock grant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8,913 shares under deferred compensation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plans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arrangements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2,728</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2,728</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1,140</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4"/>
                <w:szCs w:val="14"/>
                <w:b w:val="1"/>
                <w:bCs w:val="1"/>
                <w:color w:val="auto"/>
              </w:rPr>
              <w:t>Balance on June 26, 2021</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61,851</w:t>
            </w:r>
          </w:p>
        </w:tc>
        <w:tc>
          <w:tcPr>
            <w:tcW w:w="1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235,309</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$ 1,440,833</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(1,464)</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23,034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1,759,563</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121,041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125,747</w:t>
            </w: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(1,897)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(2,107)</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debt securities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Additional purchase and adjustment of noncontrolling</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4"/>
                <w:szCs w:val="14"/>
                <w:color w:val="auto"/>
              </w:rPr>
              <w:t>Cash dividends - $0.15 per share - quarterly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(9,281)</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Issuance of 10,008 shares under employee stock plans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Net issuance of 17,165 shares under stock grant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(115)</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9,864 shares under deferred compensation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plans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spacing w:after="0"/>
              <w:rPr>
                <w:sz w:val="20"/>
                <w:szCs w:val="20"/>
                <w:color w:val="auto"/>
              </w:rPr>
            </w:pPr>
            <w:r>
              <w:rPr>
                <w:rFonts w:ascii="Arial" w:cs="Arial" w:eastAsia="Arial" w:hAnsi="Arial"/>
                <w:sz w:val="14"/>
                <w:szCs w:val="14"/>
                <w:color w:val="auto"/>
              </w:rPr>
              <w:t>arrangements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2,657</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2,657</w:t>
            </w:r>
          </w:p>
        </w:tc>
        <w:tc>
          <w:tcPr>
            <w:tcW w:w="0" w:type="dxa"/>
            <w:vAlign w:val="bottom"/>
          </w:tcPr>
          <w:p>
            <w:pPr>
              <w:spacing w:after="0"/>
              <w:rPr>
                <w:sz w:val="1"/>
                <w:szCs w:val="1"/>
                <w:color w:val="auto"/>
              </w:rPr>
            </w:pPr>
          </w:p>
        </w:tc>
      </w:tr>
      <w:tr>
        <w:trPr>
          <w:trHeight w:val="169"/>
        </w:trPr>
        <w:tc>
          <w:tcPr>
            <w:tcW w:w="33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1,149</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4"/>
                <w:szCs w:val="14"/>
                <w:b w:val="1"/>
                <w:bCs w:val="1"/>
                <w:color w:val="auto"/>
              </w:rPr>
              <w:t>Balance on September 25,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61,888</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8"/>
              </w:rPr>
              <w:t>239,563</w:t>
            </w:r>
          </w:p>
        </w:tc>
        <w:tc>
          <w:tcPr>
            <w:tcW w:w="14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$ 1,552,593</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(3,278)</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26,708</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9"/>
              </w:rPr>
              <w:t>1,877,474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1520" w:right="580"/>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CONTINUED (Unaudited)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10"/>
          </w:tcPr>
          <w:p>
            <w:pPr>
              <w:ind w:left="20"/>
              <w:spacing w:after="0" w:line="159" w:lineRule="exact"/>
              <w:rPr>
                <w:sz w:val="20"/>
                <w:szCs w:val="20"/>
                <w:color w:val="auto"/>
              </w:rPr>
            </w:pPr>
            <w:r>
              <w:rPr>
                <w:rFonts w:ascii="Arial" w:cs="Arial" w:eastAsia="Arial" w:hAnsi="Arial"/>
                <w:sz w:val="14"/>
                <w:szCs w:val="14"/>
                <w:b w:val="1"/>
                <w:bCs w:val="1"/>
                <w:color w:val="auto"/>
              </w:rPr>
              <w:t>Controlling Interest Shareholders’ Equity</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2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December 28, 2019</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61,409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192,173</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995,022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(4,889)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14,018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1,257,733</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40,159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40,570</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(5,951)</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(2,335)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(8,286)</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Arial" w:cs="Arial" w:eastAsia="Arial" w:hAnsi="Arial"/>
                <w:sz w:val="14"/>
                <w:szCs w:val="14"/>
                <w:color w:val="auto"/>
              </w:rPr>
              <w:t>Unrealized loss on debt securities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Arial" w:cs="Arial" w:eastAsia="Arial" w:hAnsi="Arial"/>
                <w:sz w:val="14"/>
                <w:szCs w:val="14"/>
                <w:color w:val="auto"/>
              </w:rPr>
              <w:t>Additional purchase of noncontrolling interest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$0.125 per share - quarterly</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(7,730)</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(7,730)</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Arial" w:cs="Arial" w:eastAsia="Arial" w:hAnsi="Arial"/>
                <w:sz w:val="14"/>
                <w:szCs w:val="14"/>
                <w:color w:val="auto"/>
              </w:rPr>
              <w:t>Issuance of 10,549 shares under employee stock</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30"/>
        </w:trPr>
        <w:tc>
          <w:tcPr>
            <w:tcW w:w="33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issuance of 350,124 shares under stock grant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12,805</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Arial" w:cs="Arial" w:eastAsia="Arial" w:hAnsi="Arial"/>
                <w:sz w:val="14"/>
                <w:szCs w:val="14"/>
                <w:color w:val="auto"/>
              </w:rPr>
              <w:t>Issuance of 89,616 shares under deferred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756,397 shares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(28,456)</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(29,212)</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1,404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on March 28, 2020</w:t>
            </w:r>
          </w:p>
        </w:tc>
        <w:tc>
          <w:tcPr>
            <w:tcW w:w="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61,102</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211,724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998,996</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(11,110)</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11,570</w:t>
            </w:r>
          </w:p>
        </w:tc>
        <w:tc>
          <w:tcPr>
            <w:tcW w:w="140" w:type="dxa"/>
            <w:vAlign w:val="bottom"/>
          </w:tcPr>
          <w:p>
            <w:pPr>
              <w:spacing w:after="0"/>
              <w:rPr>
                <w:sz w:val="11"/>
                <w:szCs w:val="11"/>
                <w:color w:val="auto"/>
              </w:rPr>
            </w:pPr>
          </w:p>
        </w:tc>
        <w:tc>
          <w:tcPr>
            <w:tcW w:w="160" w:type="dxa"/>
            <w:vAlign w:val="bottom"/>
          </w:tcPr>
          <w:p>
            <w:pPr>
              <w:jc w:val="right"/>
              <w:ind w:right="8"/>
              <w:spacing w:after="0" w:line="135"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1,272,282</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69,694</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2,026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gain on debt securities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Arial" w:cs="Arial" w:eastAsia="Arial" w:hAnsi="Arial"/>
                <w:sz w:val="14"/>
                <w:szCs w:val="14"/>
                <w:color w:val="auto"/>
              </w:rPr>
              <w:t>Cash dividends - $0.125 per share - quarterly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(7,644)</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(7,644)</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Issuance of 9,714 shares under employee stock plans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Arial" w:cs="Arial" w:eastAsia="Arial" w:hAnsi="Arial"/>
                <w:sz w:val="14"/>
                <w:szCs w:val="14"/>
                <w:color w:val="auto"/>
              </w:rPr>
              <w:t>Net issuance of 42,880 shares under stock grant</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30"/>
        </w:trPr>
        <w:tc>
          <w:tcPr>
            <w:tcW w:w="33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14,106 shares under deferred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1,082</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on June 27, 2020</w:t>
            </w:r>
          </w:p>
        </w:tc>
        <w:tc>
          <w:tcPr>
            <w:tcW w:w="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61,169</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213,809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6"/>
              </w:rPr>
              <w:t>1,057,817</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(8,396)</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14,926</w:t>
            </w:r>
          </w:p>
        </w:tc>
        <w:tc>
          <w:tcPr>
            <w:tcW w:w="140" w:type="dxa"/>
            <w:vAlign w:val="bottom"/>
          </w:tcPr>
          <w:p>
            <w:pPr>
              <w:spacing w:after="0"/>
              <w:rPr>
                <w:sz w:val="11"/>
                <w:szCs w:val="11"/>
                <w:color w:val="auto"/>
              </w:rPr>
            </w:pPr>
          </w:p>
        </w:tc>
        <w:tc>
          <w:tcPr>
            <w:tcW w:w="160" w:type="dxa"/>
            <w:vAlign w:val="bottom"/>
          </w:tcPr>
          <w:p>
            <w:pPr>
              <w:jc w:val="right"/>
              <w:ind w:right="8"/>
              <w:spacing w:after="0" w:line="135"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1,339,325</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78,861</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Unrealized loss on debt securities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(634)</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9"/>
        </w:trPr>
        <w:tc>
          <w:tcPr>
            <w:tcW w:w="3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$0.125 per share - quarterly</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(7,646)</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Arial" w:cs="Arial" w:eastAsia="Arial" w:hAnsi="Arial"/>
                <w:sz w:val="14"/>
                <w:szCs w:val="14"/>
                <w:color w:val="auto"/>
                <w:w w:val="98"/>
              </w:rPr>
              <w:t>Issuance of 7,511 shares under employee stock plans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30"/>
        </w:trPr>
        <w:tc>
          <w:tcPr>
            <w:tcW w:w="33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forfeiture of 1,382 shares under stock grant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Arial" w:cs="Arial" w:eastAsia="Arial" w:hAnsi="Arial"/>
                <w:sz w:val="14"/>
                <w:szCs w:val="14"/>
                <w:color w:val="auto"/>
              </w:rPr>
              <w:t>Issuance of 11,326 shares under deferred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156"/>
        </w:trPr>
        <w:tc>
          <w:tcPr>
            <w:tcW w:w="33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w w:val="98"/>
              </w:rPr>
              <w:t>Accrued expense under deferred compensation plans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1,097</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48"/>
        </w:trPr>
        <w:tc>
          <w:tcPr>
            <w:tcW w:w="332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on September 26, 2020</w:t>
            </w: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61,187</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216,002</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1,127,375</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(6,974)</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16,214</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1,413,804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91"/>
              </w:rPr>
              <w:t>September 25,</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89"/>
              </w:rPr>
              <w:t>September 26,</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405,358</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189,125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Depreciation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61,741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47,226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intangibles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8,444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3,152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income taxes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Unrealized gain on investments and other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(1,756)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Equity in earnings of investee</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Net gain on sale and disposition of assets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(10,482)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(141,088)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(211,238)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(204,144)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(39,167)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53,437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85,354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60" w:type="dxa"/>
            <w:vAlign w:val="bottom"/>
            <w:tcBorders>
              <w:bottom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99,067</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105,401</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80"/>
              <w:spacing w:after="0" w:line="135" w:lineRule="exact"/>
              <w:rPr>
                <w:sz w:val="20"/>
                <w:szCs w:val="20"/>
                <w:color w:val="auto"/>
              </w:rPr>
            </w:pPr>
            <w:r>
              <w:rPr>
                <w:rFonts w:ascii="Arial" w:cs="Arial" w:eastAsia="Arial" w:hAnsi="Arial"/>
                <w:sz w:val="14"/>
                <w:szCs w:val="14"/>
                <w:color w:val="auto"/>
              </w:rPr>
              <w:t>NET CASH PROVIDED BY OPERATING ACTIVITIES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281,763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185,083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(110,092)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(67,024)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Acquisitions and purchases of non-controlling interest, net of cash received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(433,275)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(34,820)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9,857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22,281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(3,478)</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60" w:type="dxa"/>
            <w:vAlign w:val="bottom"/>
          </w:tcPr>
          <w:p>
            <w:pPr>
              <w:ind w:left="80"/>
              <w:spacing w:after="0" w:line="135" w:lineRule="exact"/>
              <w:rPr>
                <w:sz w:val="20"/>
                <w:szCs w:val="20"/>
                <w:color w:val="auto"/>
              </w:rPr>
            </w:pPr>
            <w:r>
              <w:rPr>
                <w:rFonts w:ascii="Arial" w:cs="Arial" w:eastAsia="Arial" w:hAnsi="Arial"/>
                <w:sz w:val="14"/>
                <w:szCs w:val="14"/>
                <w:color w:val="auto"/>
              </w:rPr>
              <w:t>NET CASH USED IN INVESTING ACTIVITIES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(528,257)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(100,927)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886,966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6,862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(888,335)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Contingent consideration payments and other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(2,664)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(3,087)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long-term debt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1,042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(27,831)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(23,020)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(932)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(334)</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(33,593)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95,178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(292)</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(1,122)</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(280,379)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178,212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436,608</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168,666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4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156,229</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346,878</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436,507</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168,336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4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8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436,608</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168,666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138,637</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346,154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4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17,592</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8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156,229</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346,878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paid</w:t>
            </w:r>
          </w:p>
        </w:tc>
        <w:tc>
          <w:tcPr>
            <w:tcW w:w="6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10,360</w:t>
            </w:r>
          </w:p>
        </w:tc>
        <w:tc>
          <w:tcPr>
            <w:tcW w:w="380" w:type="dxa"/>
            <w:vAlign w:val="bottom"/>
            <w:gridSpan w:val="2"/>
            <w:shd w:val="clear" w:color="auto" w:fill="CCEEFF"/>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136,893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47,301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INVESTING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Capital expenditures included in accounts payable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2,366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80"/>
              <w:spacing w:after="0"/>
              <w:rPr>
                <w:sz w:val="20"/>
                <w:szCs w:val="20"/>
                <w:color w:val="auto"/>
              </w:rPr>
            </w:pPr>
            <w:r>
              <w:rPr>
                <w:rFonts w:ascii="Arial" w:cs="Arial" w:eastAsia="Arial" w:hAnsi="Arial"/>
                <w:sz w:val="14"/>
                <w:szCs w:val="14"/>
                <w:color w:val="auto"/>
              </w:rPr>
              <w:t>Common stock issued under deferred compensation plans</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6,778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6,195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7" w:lineRule="exact"/>
        <w:rPr>
          <w:sz w:val="20"/>
          <w:szCs w:val="20"/>
          <w:color w:val="auto"/>
        </w:rPr>
      </w:pPr>
    </w:p>
    <w:p>
      <w:pPr>
        <w:ind w:left="540" w:hanging="490"/>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All intercompany transactions and balances have been eliminated. Certain prior year amounts have been reclassified to conform to the current year presentation.</w:t>
      </w:r>
    </w:p>
    <w:p>
      <w:pPr>
        <w:spacing w:after="0" w:line="195"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26, 2020.</w:t>
      </w:r>
    </w:p>
    <w:p>
      <w:pPr>
        <w:spacing w:after="0" w:line="18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26, 2020 balances in the accompanying unaudited condensed consolidated balance sheets.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25, 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26, 2020</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3,197</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Fixed income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17,983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16,522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16,770</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18,543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18,543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10,524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10,524</w:t>
            </w:r>
          </w:p>
        </w:tc>
        <w:tc>
          <w:tcPr>
            <w:tcW w:w="0" w:type="dxa"/>
            <w:vAlign w:val="bottom"/>
          </w:tcPr>
          <w:p>
            <w:pPr>
              <w:spacing w:after="0"/>
              <w:rPr>
                <w:sz w:val="1"/>
                <w:szCs w:val="1"/>
                <w:color w:val="auto"/>
              </w:rPr>
            </w:pPr>
          </w:p>
        </w:tc>
      </w:tr>
      <w:tr>
        <w:trPr>
          <w:trHeight w:val="185"/>
        </w:trPr>
        <w:tc>
          <w:tcPr>
            <w:tcW w:w="17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Alternative</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1,926</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Domestic stock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6,826</w:t>
            </w:r>
          </w:p>
        </w:tc>
        <w:tc>
          <w:tcPr>
            <w:tcW w:w="0" w:type="dxa"/>
            <w:vAlign w:val="bottom"/>
          </w:tcPr>
          <w:p>
            <w:pPr>
              <w:spacing w:after="0"/>
              <w:rPr>
                <w:sz w:val="1"/>
                <w:szCs w:val="1"/>
                <w:color w:val="auto"/>
              </w:rPr>
            </w:pPr>
          </w:p>
        </w:tc>
      </w:tr>
      <w:tr>
        <w:trPr>
          <w:trHeight w:val="185"/>
        </w:trPr>
        <w:tc>
          <w:tcPr>
            <w:tcW w:w="1760" w:type="dxa"/>
            <w:vAlign w:val="bottom"/>
          </w:tcPr>
          <w:p>
            <w:pPr>
              <w:ind w:left="120"/>
              <w:spacing w:after="0" w:line="185" w:lineRule="exact"/>
              <w:rPr>
                <w:sz w:val="20"/>
                <w:szCs w:val="20"/>
                <w:color w:val="auto"/>
              </w:rPr>
            </w:pPr>
            <w:r>
              <w:rPr>
                <w:rFonts w:ascii="Arial" w:cs="Arial" w:eastAsia="Arial" w:hAnsi="Arial"/>
                <w:sz w:val="17"/>
                <w:szCs w:val="17"/>
                <w:color w:val="auto"/>
              </w:rPr>
              <w:t>International stock</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60" w:type="dxa"/>
            <w:vAlign w:val="bottom"/>
          </w:tcPr>
          <w:p>
            <w:pPr>
              <w:ind w:left="120"/>
              <w:spacing w:after="0"/>
              <w:rPr>
                <w:sz w:val="20"/>
                <w:szCs w:val="20"/>
                <w:color w:val="auto"/>
              </w:rPr>
            </w:pPr>
            <w:r>
              <w:rPr>
                <w:rFonts w:ascii="Arial" w:cs="Arial" w:eastAsia="Arial" w:hAnsi="Arial"/>
                <w:sz w:val="17"/>
                <w:szCs w:val="17"/>
                <w:color w:val="auto"/>
              </w:rPr>
              <w:t>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1,243</w:t>
            </w:r>
          </w:p>
        </w:tc>
        <w:tc>
          <w:tcPr>
            <w:tcW w:w="0" w:type="dxa"/>
            <w:vAlign w:val="bottom"/>
          </w:tcPr>
          <w:p>
            <w:pPr>
              <w:spacing w:after="0"/>
              <w:rPr>
                <w:sz w:val="1"/>
                <w:szCs w:val="1"/>
                <w:color w:val="auto"/>
              </w:rPr>
            </w:pPr>
          </w:p>
        </w:tc>
      </w:tr>
      <w:tr>
        <w:trPr>
          <w:trHeight w:val="205"/>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Target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Bond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Alternative 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197"/>
        </w:trPr>
        <w:tc>
          <w:tcPr>
            <w:tcW w:w="1760" w:type="dxa"/>
            <w:vAlign w:val="bottom"/>
            <w:tcBorders>
              <w:top w:val="single" w:sz="8" w:color="CCEEFF"/>
              <w:bottom w:val="single" w:sz="8" w:color="CCEEFF"/>
            </w:tcBorders>
          </w:tcPr>
          <w:p>
            <w:pPr>
              <w:ind w:left="20"/>
              <w:spacing w:after="0" w:line="189" w:lineRule="exact"/>
              <w:rPr>
                <w:sz w:val="20"/>
                <w:szCs w:val="20"/>
                <w:color w:val="auto"/>
              </w:rPr>
            </w:pPr>
            <w:r>
              <w:rPr>
                <w:rFonts w:ascii="Arial" w:cs="Arial" w:eastAsia="Arial" w:hAnsi="Arial"/>
                <w:sz w:val="17"/>
                <w:szCs w:val="17"/>
                <w:color w:val="auto"/>
              </w:rPr>
              <w:t>Total mutual funds</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6"/>
              </w:rPr>
              <w:t>12,309</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2"/>
              </w:rPr>
              <w:t>12,309</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8,970</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8,970</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32,143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55,331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19,806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41,387</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Arial" w:cs="Arial" w:eastAsia="Arial" w:hAnsi="Arial"/>
                <w:sz w:val="17"/>
                <w:szCs w:val="17"/>
                <w:color w:val="auto"/>
              </w:rPr>
              <w:t>Assets at fair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32,143</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19,652</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55,331</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19,806</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19,655</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41,387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From the assets measured at fair value as of September 25, 2021, listed in the table above, $33.6 million of mutual funds, equity securities, and alternative investments are held in Investments, $0.1 million of money market funds are held in Cash and Cash Equivalents, $0.7 million of money market and mutual funds are held in Other Assets for our deferred compensation plan, and $18.3 million of fixed income funds and $2.6 million of money markets funds are held in Restricted Investments.</w:t>
      </w:r>
    </w:p>
    <w:p>
      <w:pPr>
        <w:spacing w:after="0" w:line="188"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to any of our financial instruments except for those expressly required by U.S. GAAP.</w:t>
      </w:r>
    </w:p>
    <w:p>
      <w:pPr>
        <w:spacing w:after="0" w:line="16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$52.0 million as of September 25, 2021, which has been included in the aforementioned table of total investments. This portfolio consists of domestic and international equity securities, alternative investments, and fixed income bonds.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840" w:type="dxa"/>
            <w:vAlign w:val="bottom"/>
          </w:tcPr>
          <w:p>
            <w:pPr>
              <w:spacing w:after="0"/>
              <w:rPr>
                <w:sz w:val="15"/>
                <w:szCs w:val="15"/>
                <w:color w:val="auto"/>
              </w:rPr>
            </w:pPr>
          </w:p>
        </w:tc>
        <w:tc>
          <w:tcPr>
            <w:tcW w:w="2440" w:type="dxa"/>
            <w:vAlign w:val="bottom"/>
            <w:tcBorders>
              <w:bottom w:val="single" w:sz="8" w:color="auto"/>
            </w:tcBorders>
            <w:gridSpan w:val="6"/>
          </w:tcPr>
          <w:p>
            <w:pPr>
              <w:jc w:val="right"/>
              <w:ind w:right="533"/>
              <w:spacing w:after="0"/>
              <w:rPr>
                <w:sz w:val="20"/>
                <w:szCs w:val="20"/>
                <w:color w:val="auto"/>
              </w:rPr>
            </w:pPr>
            <w:r>
              <w:rPr>
                <w:rFonts w:ascii="Arial" w:cs="Arial" w:eastAsia="Arial" w:hAnsi="Arial"/>
                <w:sz w:val="14"/>
                <w:szCs w:val="14"/>
                <w:b w:val="1"/>
                <w:bCs w:val="1"/>
                <w:color w:val="auto"/>
              </w:rPr>
              <w:t>September 25, 2021</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ind w:right="553"/>
              <w:spacing w:after="0"/>
              <w:rPr>
                <w:sz w:val="20"/>
                <w:szCs w:val="20"/>
                <w:color w:val="auto"/>
              </w:rPr>
            </w:pPr>
            <w:r>
              <w:rPr>
                <w:rFonts w:ascii="Arial" w:cs="Arial" w:eastAsia="Arial" w:hAnsi="Arial"/>
                <w:sz w:val="14"/>
                <w:szCs w:val="14"/>
                <w:b w:val="1"/>
                <w:bCs w:val="1"/>
                <w:color w:val="auto"/>
                <w:w w:val="91"/>
              </w:rPr>
              <w:t>September 26, 2020</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9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Unrealized</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w:t>
            </w:r>
          </w:p>
        </w:tc>
        <w:tc>
          <w:tcPr>
            <w:tcW w:w="8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Gain</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$ 17,293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$ 17,983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$ 15,750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$ 16,770</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700" w:type="dxa"/>
            <w:vAlign w:val="bottom"/>
          </w:tcPr>
          <w:p>
            <w:pPr>
              <w:jc w:val="right"/>
              <w:spacing w:after="0"/>
              <w:rPr>
                <w:sz w:val="20"/>
                <w:szCs w:val="20"/>
                <w:color w:val="auto"/>
              </w:rPr>
            </w:pPr>
            <w:r>
              <w:rPr>
                <w:rFonts w:ascii="Arial" w:cs="Arial" w:eastAsia="Arial" w:hAnsi="Arial"/>
                <w:sz w:val="18"/>
                <w:szCs w:val="18"/>
                <w:color w:val="auto"/>
              </w:rPr>
              <w:t>9,210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11,645</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Alternative Investments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$ 44,575</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7,442</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$ 52,017</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$ 33,980</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3,320</w:t>
            </w:r>
          </w:p>
        </w:tc>
        <w:tc>
          <w:tcPr>
            <w:tcW w:w="12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$ 37,300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unrealized gain of the portfolio was $7.4 million. Carrying amounts above are recorded in the investments and restricted investments line items within the balance sheet as of September 25, 2021 and September 26, 2020.</w:t>
      </w:r>
    </w:p>
    <w:p>
      <w:pPr>
        <w:spacing w:after="0" w:line="174" w:lineRule="exact"/>
        <w:rPr>
          <w:sz w:val="20"/>
          <w:szCs w:val="20"/>
          <w:color w:val="auto"/>
        </w:rPr>
      </w:pPr>
    </w:p>
    <w:p>
      <w:pPr>
        <w:ind w:left="540" w:hanging="490"/>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67" w:lineRule="exact"/>
        <w:rPr>
          <w:sz w:val="20"/>
          <w:szCs w:val="20"/>
          <w:color w:val="auto"/>
        </w:rPr>
      </w:pPr>
    </w:p>
    <w:p>
      <w:pPr>
        <w:jc w:val="both"/>
        <w:ind w:left="60" w:right="59" w:firstLine="492"/>
        <w:spacing w:after="0" w:line="226" w:lineRule="auto"/>
        <w:rPr>
          <w:sz w:val="20"/>
          <w:szCs w:val="20"/>
          <w:color w:val="auto"/>
        </w:rPr>
      </w:pPr>
      <w:r>
        <w:rPr>
          <w:rFonts w:ascii="Arial" w:cs="Arial" w:eastAsia="Arial" w:hAnsi="Arial"/>
          <w:sz w:val="16"/>
          <w:szCs w:val="16"/>
          <w:color w:val="auto"/>
        </w:rPr>
        <w:t>Certain customer products that we provide require installation by the Company or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Installation revenue is recognized upon completion. If the Company uses a 3</w:t>
      </w:r>
      <w:r>
        <w:rPr>
          <w:rFonts w:ascii="Arial" w:cs="Arial" w:eastAsia="Arial" w:hAnsi="Arial"/>
          <w:sz w:val="23"/>
          <w:szCs w:val="23"/>
          <w:color w:val="auto"/>
          <w:vertAlign w:val="superscript"/>
        </w:rPr>
        <w:t>rd</w:t>
      </w:r>
      <w:r>
        <w:rPr>
          <w:rFonts w:ascii="Arial" w:cs="Arial" w:eastAsia="Arial" w:hAnsi="Arial"/>
          <w:sz w:val="16"/>
          <w:szCs w:val="16"/>
          <w:color w:val="auto"/>
        </w:rPr>
        <w:t xml:space="preserve"> party for installation, the party will act as an agent to the Company until completion of the installation. Installation revenue represents an immaterial share of the Company’s total sales.</w:t>
      </w:r>
    </w:p>
    <w:p>
      <w:pPr>
        <w:spacing w:after="0" w:line="203"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92"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net sales disaggregated by revenue source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5"/>
                <w:szCs w:val="15"/>
                <w:color w:val="auto"/>
              </w:rPr>
            </w:pPr>
          </w:p>
        </w:tc>
      </w:tr>
      <w:tr>
        <w:trPr>
          <w:trHeight w:val="218"/>
        </w:trPr>
        <w:tc>
          <w:tcPr>
            <w:tcW w:w="268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w:t>
            </w: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25,</w:t>
            </w: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September 26,</w:t>
            </w:r>
          </w:p>
        </w:tc>
        <w:tc>
          <w:tcPr>
            <w:tcW w:w="660" w:type="dxa"/>
            <w:vAlign w:val="bottom"/>
          </w:tcPr>
          <w:p>
            <w:pPr>
              <w:spacing w:after="0"/>
              <w:rPr>
                <w:sz w:val="18"/>
                <w:szCs w:val="18"/>
                <w:color w:val="auto"/>
              </w:rPr>
            </w:pPr>
          </w:p>
        </w:tc>
      </w:tr>
      <w:tr>
        <w:trPr>
          <w:trHeight w:val="194"/>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Pr>
          <w:p>
            <w:pPr>
              <w:spacing w:after="0"/>
              <w:rPr>
                <w:sz w:val="16"/>
                <w:szCs w:val="16"/>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1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FOB Shipping Point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2,063,647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1,454,220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6,530,204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3,663,140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Construction Contract Revenue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32,007</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89,125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97,150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2,093,784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1,486,227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6,619,329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3,760,290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0"/>
        </w:trPr>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September 25,</w:t>
            </w: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w w:val="90"/>
              </w:rPr>
              <w:t>December 26,</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r>
      <w:tr>
        <w:trPr>
          <w:trHeight w:val="178"/>
        </w:trPr>
        <w:tc>
          <w:tcPr>
            <w:tcW w:w="5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200" w:type="dxa"/>
            <w:vAlign w:val="bottom"/>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10,373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11,530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11,264</w:t>
            </w:r>
          </w:p>
        </w:tc>
        <w:tc>
          <w:tcPr>
            <w:tcW w:w="200" w:type="dxa"/>
            <w:vAlign w:val="bottom"/>
          </w:tcPr>
          <w:p>
            <w:pPr>
              <w:spacing w:after="0"/>
              <w:rPr>
                <w:sz w:val="20"/>
                <w:szCs w:val="20"/>
                <w:color w:val="auto"/>
              </w:rPr>
            </w:pPr>
          </w:p>
        </w:tc>
      </w:tr>
    </w:tbl>
    <w:p>
      <w:pPr>
        <w:spacing w:after="0" w:line="197" w:lineRule="exact"/>
        <w:rPr>
          <w:sz w:val="20"/>
          <w:szCs w:val="20"/>
          <w:color w:val="auto"/>
        </w:rPr>
      </w:pPr>
    </w:p>
    <w:p>
      <w:pPr>
        <w:ind w:left="540" w:hanging="490"/>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1"/>
              </w:rPr>
              <w:t>September 25,</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1"/>
              </w:rPr>
              <w:t>September 26,</w:t>
            </w:r>
          </w:p>
        </w:tc>
        <w:tc>
          <w:tcPr>
            <w:tcW w:w="14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1"/>
              </w:rPr>
              <w:t>September 25,</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1"/>
              </w:rPr>
              <w:t>September 26,</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Net earnings attributable to controlling interest</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121,041</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77,204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397,734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183,826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Adjustment for earnings allocated to non-vested restricted</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earnings for calculating EPS</w:t>
            </w:r>
          </w:p>
        </w:tc>
        <w:tc>
          <w:tcPr>
            <w:tcW w:w="4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117,089</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75,009</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384,934</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178,716</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Weighted average shares outstanding</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 for non-vested restricted common stock</w:t>
            </w: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100"/>
              <w:spacing w:after="0" w:line="203" w:lineRule="exact"/>
              <w:rPr>
                <w:sz w:val="20"/>
                <w:szCs w:val="20"/>
                <w:color w:val="auto"/>
              </w:rPr>
            </w:pPr>
            <w:r>
              <w:rPr>
                <w:rFonts w:ascii="Arial" w:cs="Arial" w:eastAsia="Arial" w:hAnsi="Arial"/>
                <w:sz w:val="18"/>
                <w:szCs w:val="18"/>
                <w:color w:val="auto"/>
              </w:rPr>
              <w:t>Shares for calculating basic EPS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60,233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59,798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60,161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59,929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 of dilutive restricted common stock</w:t>
            </w: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Shares for calculating diluted EPS</w:t>
            </w:r>
          </w:p>
        </w:tc>
        <w:tc>
          <w:tcPr>
            <w:tcW w:w="4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60,401</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59,818</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60,298</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59,948</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9"/>
              </w:rPr>
              <w:t>11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In addition, on September 25, 2021,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On September 25, 2021, we had outstanding purchase commitments on commenced capital projects of approximately $44.1 million.</w:t>
      </w:r>
    </w:p>
    <w:p>
      <w:pPr>
        <w:spacing w:after="0" w:line="170"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September 25, 2021, we had approximately $39.6 million outstanding payment and performance bonds for open projects. We had approximately $2.1 million in payment and performance bonds outstanding for completed projects which are still under warranty.</w:t>
      </w:r>
    </w:p>
    <w:p>
      <w:pPr>
        <w:spacing w:after="0" w:line="19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On September 25, 2021, we had outstanding letters of credit totaling $52.6 million, primarily related to certain insurance contracts and industrial development revenue bonds described further below.</w:t>
      </w:r>
    </w:p>
    <w:p>
      <w:pPr>
        <w:spacing w:after="0" w:line="170"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As of September 25, 2021, we have irrevocable letters of credit outstanding totaling approximately $45.5 million for these types of insurance arrangements. We have reserves recorded on our balance sheet, in accrued liabilities, that reflect our expected future liabilities under these insurance arrangements.</w:t>
      </w:r>
    </w:p>
    <w:p>
      <w:pPr>
        <w:spacing w:after="0" w:line="157"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$7.1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did not enter into any new guarantee arrangements during the third quarter of 2021 which would require us to recognize a liability on our balance sheet.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00" w:hanging="450"/>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60" w:right="79" w:firstLine="492"/>
        <w:spacing w:after="0" w:line="277" w:lineRule="auto"/>
        <w:rPr>
          <w:sz w:val="20"/>
          <w:szCs w:val="20"/>
          <w:color w:val="auto"/>
        </w:rPr>
      </w:pPr>
      <w:r>
        <w:rPr>
          <w:rFonts w:ascii="Arial" w:cs="Arial" w:eastAsia="Arial" w:hAnsi="Arial"/>
          <w:sz w:val="18"/>
          <w:szCs w:val="18"/>
          <w:color w:val="auto"/>
        </w:rPr>
        <w:t>We completed the following acquisitions in 2021 and since the end of September 2020, which were accounted for using the purchase method in thousands unless otherwise noted:</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540" w:type="dxa"/>
            <w:vAlign w:val="bottom"/>
            <w:tcBorders>
              <w:top w:val="single" w:sz="8" w:color="auto"/>
              <w:left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Net</w:t>
            </w:r>
          </w:p>
        </w:tc>
        <w:tc>
          <w:tcPr>
            <w:tcW w:w="10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00" w:type="dxa"/>
            <w:vAlign w:val="bottom"/>
            <w:tcBorders>
              <w:right w:val="single" w:sz="8" w:color="auto"/>
            </w:tcBorders>
          </w:tcPr>
          <w:p>
            <w:pPr>
              <w:ind w:left="280"/>
              <w:spacing w:after="0"/>
              <w:rPr>
                <w:sz w:val="20"/>
                <w:szCs w:val="20"/>
                <w:color w:val="auto"/>
              </w:rPr>
            </w:pPr>
            <w:r>
              <w:rPr>
                <w:rFonts w:ascii="Arial" w:cs="Arial" w:eastAsia="Arial" w:hAnsi="Arial"/>
                <w:sz w:val="16"/>
                <w:szCs w:val="16"/>
                <w:b w:val="1"/>
                <w:bCs w:val="1"/>
                <w:color w:val="auto"/>
              </w:rPr>
              <w:t>Acquisition</w:t>
            </w:r>
          </w:p>
        </w:tc>
        <w:tc>
          <w:tcPr>
            <w:tcW w:w="1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Tangible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$10,108</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April 29,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7,099</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3,009</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Endurable Building Products, LLC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1"/>
              </w:rPr>
              <w:t>Based near Minneapolis, Minnesota, Endurable is a leading manufacturer of customized structural</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(Endurable)</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aluminum systems and products for exterior purposes, such as deck framing, balconies,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sunshades, railings and stairs. The company’s trademarked alumiLAST aluminum deck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balcony systems are known for their low-maintenance design and ease of installation. Endurable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serves general contractors in the multifamily market throughout the U.S. and had sales of</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approximately $15 million in 2020.</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$8,549</w:t>
            </w:r>
          </w:p>
        </w:tc>
        <w:tc>
          <w:tcPr>
            <w:tcW w:w="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April 19, 2021</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7,023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Walnut Hollow Farm, Inc.</w:t>
            </w: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Walnut Hollow Farm, located in Wisconsin, is engaged in the business of designing,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manufacturing, selling, and distributing wood products, tools, and accessories for the craft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hobby, outdoor sportsman art, personalized home décor, and hardware categories, with sales of</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approximately $11.6 million in 2020.</w:t>
            </w: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$153,462</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April 12,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153,462</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0"/>
              </w:rPr>
              <w:t>Spartanburg Forest Products, Inc.</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Headquartered in Greer, South Carolina, Spartanburg Forest Products and its affiliates are a</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premier wood treating operation in the U.S., with approximately 150 employees and operations in</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five states. Its affiliates include Appalachian Forest Products, Innovative Design Industries, Blue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Ridge Wood Preserving, Blue Ridge Wood Products, and Tidewater Wood Products and had</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36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rPr>
              <w:t>combined sales of approximately $543.0 million in 2020.</w:t>
            </w: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$4,724</w:t>
            </w:r>
          </w:p>
        </w:tc>
        <w:tc>
          <w:tcPr>
            <w:tcW w:w="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March 1, 2021</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J.C. Gilmore Pty Ltd (Gilmores)</w:t>
            </w: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tcPr>
          <w:p>
            <w:pPr>
              <w:spacing w:after="0"/>
              <w:rPr>
                <w:sz w:val="16"/>
                <w:szCs w:val="16"/>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Founded in 1988 and operating from its distribution facility in Port Melbourne, Australia,</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Gilmores is a leading distributor in the industrial and construction industries of packaging tapes,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stretch films, packaging equipment, strapping, construction protection products and other items,</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436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with 2020 sales of $15 million AUD ($10 million USD).</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$259,011</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40" w:type="dxa"/>
            <w:vAlign w:val="bottom"/>
            <w:tcBorders>
              <w:right w:val="single" w:sz="8" w:color="auto"/>
            </w:tcBorders>
            <w:shd w:val="clear" w:color="auto" w:fill="CCEBFF"/>
          </w:tcPr>
          <w:p>
            <w:pPr>
              <w:spacing w:after="0"/>
              <w:rPr>
                <w:sz w:val="16"/>
                <w:szCs w:val="16"/>
                <w:color w:val="auto"/>
              </w:rPr>
            </w:pPr>
          </w:p>
        </w:tc>
        <w:tc>
          <w:tcPr>
            <w:tcW w:w="108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December 28,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cash paid for 100% stock</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66,899</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192,112</w:t>
            </w:r>
          </w:p>
        </w:tc>
        <w:tc>
          <w:tcPr>
            <w:tcW w:w="10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6"/>
              </w:rPr>
              <w:t>Retail/Industrial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2"/>
              </w:rPr>
              <w:t>PalletOne, Inc. (PalletOne)</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40" w:type="dxa"/>
            <w:vAlign w:val="bottom"/>
            <w:tcBorders>
              <w:bottom w:val="single" w:sz="8" w:color="auto"/>
              <w:right w:val="single" w:sz="8" w:color="auto"/>
            </w:tcBorders>
            <w:shd w:val="clear" w:color="auto" w:fill="CCEBFF"/>
          </w:tcPr>
          <w:p>
            <w:pPr>
              <w:spacing w:after="0"/>
              <w:rPr>
                <w:sz w:val="18"/>
                <w:szCs w:val="18"/>
                <w:color w:val="auto"/>
              </w:rPr>
            </w:pPr>
          </w:p>
        </w:tc>
        <w:tc>
          <w:tcPr>
            <w:tcW w:w="108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Based in Bartow, Florida, PalletOne is a leading manufacturer of new pallets in the U.S., with 17</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pallet manufacturing facilities in the southern and eastern regions of the country. The company</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also supplies other specialized industrial packaging, including custom bins and crates, and its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8"/>
              </w:rPr>
              <w:t>Sunbelt Forest Products (Sunbelt) subsidiary operates five pressure-treating facilities in the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Southeastern U.S. PalletOne and its affiliates had 2019 and 2020 sales of $525 million and $698</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400" w:type="dxa"/>
            <w:vAlign w:val="bottom"/>
            <w:tcBorders>
              <w:bottom w:val="single" w:sz="8" w:color="auto"/>
              <w:right w:val="single" w:sz="8" w:color="CCEBFF"/>
            </w:tcBorders>
            <w:shd w:val="clear" w:color="auto" w:fill="CCEBFF"/>
          </w:tcPr>
          <w:p>
            <w:pPr>
              <w:spacing w:after="0"/>
              <w:rPr>
                <w:sz w:val="20"/>
                <w:szCs w:val="20"/>
                <w:color w:val="auto"/>
              </w:rPr>
            </w:pPr>
            <w:r>
              <w:rPr>
                <w:rFonts w:ascii="Arial" w:cs="Arial" w:eastAsia="Arial" w:hAnsi="Arial"/>
                <w:sz w:val="16"/>
                <w:szCs w:val="16"/>
                <w:color w:val="auto"/>
                <w:w w:val="94"/>
              </w:rPr>
              <w:t>million, respectively.</w:t>
            </w:r>
          </w:p>
        </w:tc>
        <w:tc>
          <w:tcPr>
            <w:tcW w:w="1760" w:type="dxa"/>
            <w:vAlign w:val="bottom"/>
            <w:tcBorders>
              <w:bottom w:val="single" w:sz="8" w:color="auto"/>
              <w:right w:val="single" w:sz="8" w:color="CCEBFF"/>
            </w:tcBorders>
            <w:shd w:val="clear" w:color="auto" w:fill="CCEBFF"/>
          </w:tcPr>
          <w:p>
            <w:pPr>
              <w:spacing w:after="0"/>
              <w:rPr>
                <w:sz w:val="19"/>
                <w:szCs w:val="19"/>
                <w:color w:val="auto"/>
              </w:rPr>
            </w:pPr>
          </w:p>
        </w:tc>
        <w:tc>
          <w:tcPr>
            <w:tcW w:w="8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40" w:type="dxa"/>
            <w:vAlign w:val="bottom"/>
            <w:tcBorders>
              <w:bottom w:val="single" w:sz="8" w:color="auto"/>
              <w:right w:val="single" w:sz="8" w:color="CCEBFF"/>
            </w:tcBorders>
            <w:shd w:val="clear" w:color="auto" w:fill="CCEBFF"/>
          </w:tcPr>
          <w:p>
            <w:pPr>
              <w:spacing w:after="0"/>
              <w:rPr>
                <w:sz w:val="19"/>
                <w:szCs w:val="19"/>
                <w:color w:val="auto"/>
              </w:rPr>
            </w:pPr>
          </w:p>
        </w:tc>
        <w:tc>
          <w:tcPr>
            <w:tcW w:w="108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26" w:lineRule="exact"/>
        <w:rPr>
          <w:sz w:val="20"/>
          <w:szCs w:val="20"/>
          <w:color w:val="auto"/>
        </w:rPr>
      </w:pPr>
    </w:p>
    <w:tbl>
      <w:tblPr>
        <w:tblLayout w:type="fixed"/>
        <w:tblInd w:w="50" w:type="dxa"/>
        <w:tblCellMar>
          <w:top w:w="0" w:type="dxa"/>
          <w:left w:w="0" w:type="dxa"/>
          <w:bottom w:w="0" w:type="dxa"/>
          <w:right w:w="0" w:type="dxa"/>
        </w:tblCellMar>
      </w:tblPr>
      <w:tr>
        <w:trPr>
          <w:trHeight w:val="216"/>
        </w:trPr>
        <w:tc>
          <w:tcPr>
            <w:tcW w:w="254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w:t>
            </w:r>
          </w:p>
        </w:tc>
        <w:tc>
          <w:tcPr>
            <w:tcW w:w="10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00" w:type="dxa"/>
            <w:vAlign w:val="bottom"/>
            <w:tcBorders>
              <w:right w:val="single" w:sz="8" w:color="auto"/>
            </w:tcBorders>
          </w:tcPr>
          <w:p>
            <w:pPr>
              <w:ind w:left="280"/>
              <w:spacing w:after="0"/>
              <w:rPr>
                <w:sz w:val="20"/>
                <w:szCs w:val="20"/>
                <w:color w:val="auto"/>
              </w:rPr>
            </w:pPr>
            <w:r>
              <w:rPr>
                <w:rFonts w:ascii="Arial" w:cs="Arial" w:eastAsia="Arial" w:hAnsi="Arial"/>
                <w:sz w:val="16"/>
                <w:szCs w:val="16"/>
                <w:b w:val="1"/>
                <w:bCs w:val="1"/>
                <w:color w:val="auto"/>
              </w:rPr>
              <w:t>Acquisition</w:t>
            </w:r>
          </w:p>
        </w:tc>
        <w:tc>
          <w:tcPr>
            <w:tcW w:w="1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96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Tangible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$21,268</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November 10,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11,923</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9,345</w:t>
            </w:r>
          </w:p>
        </w:tc>
        <w:tc>
          <w:tcPr>
            <w:tcW w:w="10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5"/>
              </w:rPr>
              <w:t>Atlantic Prefab, Inc.; Exterior</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8"/>
              </w:rPr>
              <w:t>purchase</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4"/>
              </w:rPr>
              <w:t>Based in Wilton, New Hampshire, Atlantic Prefab produces prefabricated steel wall panels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Designs, LLC; and Patriot Building</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light gauge metal trusses. The company’s steel component and prefinished wall panel lines are</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Systems, LLC</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new, value-added product additions for UFP Construction that help shorten project timelines.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Exterior Designs is a leading installer of siding and exterior cladding such as fiber cement, ACM</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(aluminum composite material) panels, phenolic panels, and EIFS (exterior insulation and finish</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systems). The company is based in Londonderry, New Hampshire, and serves commercial and</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multi-family clients throughout the Northeast. Also based in Londonderry, Patriot Building</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Systems provides commercial and multi-family framing services in the Northeast and will focus</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on markets not currently served by companies of UFP Industries. The companies had combined</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annual sales of approximately $28 million.</w:t>
            </w: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0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$5,936</w:t>
            </w:r>
          </w:p>
        </w:tc>
        <w:tc>
          <w:tcPr>
            <w:tcW w:w="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October 1, 2020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5,222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Fire Retardant Chemical</w:t>
            </w: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tcPr>
          <w:p>
            <w:pPr>
              <w:spacing w:after="0"/>
              <w:rPr>
                <w:sz w:val="15"/>
                <w:szCs w:val="15"/>
                <w:color w:val="auto"/>
              </w:rPr>
            </w:pPr>
          </w:p>
        </w:tc>
        <w:tc>
          <w:tcPr>
            <w:tcW w:w="6380" w:type="dxa"/>
            <w:vAlign w:val="bottom"/>
            <w:tcBorders>
              <w:right w:val="single" w:sz="8" w:color="auto"/>
            </w:tcBorders>
            <w:gridSpan w:val="7"/>
          </w:tcPr>
          <w:p>
            <w:pPr>
              <w:spacing w:after="0" w:line="176" w:lineRule="exact"/>
              <w:rPr>
                <w:sz w:val="20"/>
                <w:szCs w:val="20"/>
                <w:color w:val="auto"/>
              </w:rPr>
            </w:pPr>
            <w:r>
              <w:rPr>
                <w:rFonts w:ascii="Arial" w:cs="Arial" w:eastAsia="Arial" w:hAnsi="Arial"/>
                <w:sz w:val="16"/>
                <w:szCs w:val="16"/>
                <w:color w:val="auto"/>
                <w:w w:val="93"/>
              </w:rPr>
              <w:t>Founded in 2014 and based in Matthews, North Carolina, FRCT’s business includes a research</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Technologies, LLC (FRCT)</w:t>
            </w: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and development laboratory specializing in developing and testing a wide range of high-</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performance chemicals, including fire retardants and water repellants. The company had annual</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sales of approximately $6.4 million.</w:t>
            </w: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540" w:type="dxa"/>
            <w:vAlign w:val="bottom"/>
            <w:tcBorders>
              <w:left w:val="single" w:sz="8" w:color="auto"/>
              <w:right w:val="single" w:sz="8" w:color="auto"/>
            </w:tcBorders>
            <w:shd w:val="clear" w:color="auto" w:fill="CCEBFF"/>
          </w:tcPr>
          <w:p>
            <w:pPr>
              <w:spacing w:after="0"/>
              <w:rPr>
                <w:sz w:val="16"/>
                <w:szCs w:val="16"/>
                <w:color w:val="auto"/>
              </w:rPr>
            </w:pPr>
          </w:p>
        </w:tc>
        <w:tc>
          <w:tcPr>
            <w:tcW w:w="140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$3,475</w:t>
            </w:r>
          </w:p>
        </w:tc>
        <w:tc>
          <w:tcPr>
            <w:tcW w:w="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960" w:type="dxa"/>
            <w:vAlign w:val="bottom"/>
            <w:tcBorders>
              <w:right w:val="single" w:sz="8" w:color="auto"/>
            </w:tcBorders>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540" w:type="dxa"/>
            <w:vAlign w:val="bottom"/>
            <w:tcBorders>
              <w:left w:val="single" w:sz="8" w:color="auto"/>
              <w:right w:val="single" w:sz="8" w:color="auto"/>
            </w:tcBorders>
            <w:shd w:val="clear" w:color="auto" w:fill="CCEBFF"/>
          </w:tcPr>
          <w:p>
            <w:pPr>
              <w:spacing w:after="0"/>
              <w:rPr>
                <w:sz w:val="21"/>
                <w:szCs w:val="21"/>
                <w:color w:val="auto"/>
              </w:rPr>
            </w:pPr>
          </w:p>
        </w:tc>
        <w:tc>
          <w:tcPr>
            <w:tcW w:w="140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September 30,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cash paid for 50% stock</w:t>
            </w:r>
          </w:p>
        </w:tc>
        <w:tc>
          <w:tcPr>
            <w:tcW w:w="80" w:type="dxa"/>
            <w:vAlign w:val="bottom"/>
            <w:shd w:val="clear" w:color="auto" w:fill="CCEBFF"/>
          </w:tcPr>
          <w:p>
            <w:pPr>
              <w:jc w:val="right"/>
              <w:ind w:right="15"/>
              <w:spacing w:after="0"/>
              <w:rPr>
                <w:sz w:val="20"/>
                <w:szCs w:val="20"/>
                <w:color w:val="auto"/>
              </w:rPr>
            </w:pPr>
            <w:r>
              <w:rPr>
                <w:rFonts w:ascii="Arial" w:cs="Arial" w:eastAsia="Arial" w:hAnsi="Arial"/>
                <w:sz w:val="5"/>
                <w:szCs w:val="5"/>
                <w:color w:val="auto"/>
                <w:w w:val="70"/>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7,267</w:t>
            </w:r>
          </w:p>
        </w:tc>
        <w:tc>
          <w:tcPr>
            <w:tcW w:w="140" w:type="dxa"/>
            <w:vAlign w:val="bottom"/>
            <w:shd w:val="clear" w:color="auto" w:fill="CCEB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(1,369)</w:t>
            </w:r>
          </w:p>
        </w:tc>
        <w:tc>
          <w:tcPr>
            <w:tcW w:w="10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4"/>
              </w:rPr>
              <w:t>Other</w:t>
            </w:r>
          </w:p>
        </w:tc>
        <w:tc>
          <w:tcPr>
            <w:tcW w:w="0" w:type="dxa"/>
            <w:vAlign w:val="bottom"/>
          </w:tcPr>
          <w:p>
            <w:pPr>
              <w:spacing w:after="0"/>
              <w:rPr>
                <w:sz w:val="1"/>
                <w:szCs w:val="1"/>
                <w:color w:val="auto"/>
              </w:rPr>
            </w:pPr>
          </w:p>
        </w:tc>
      </w:tr>
      <w:tr>
        <w:trPr>
          <w:trHeight w:val="152"/>
        </w:trPr>
        <w:tc>
          <w:tcPr>
            <w:tcW w:w="2540" w:type="dxa"/>
            <w:vAlign w:val="bottom"/>
            <w:tcBorders>
              <w:left w:val="single" w:sz="8" w:color="auto"/>
              <w:right w:val="single" w:sz="8" w:color="auto"/>
            </w:tcBorders>
            <w:shd w:val="clear" w:color="auto" w:fill="CCEBFF"/>
          </w:tcPr>
          <w:p>
            <w:pPr>
              <w:spacing w:after="0"/>
              <w:rPr>
                <w:sz w:val="13"/>
                <w:szCs w:val="13"/>
                <w:color w:val="auto"/>
              </w:rPr>
            </w:pPr>
          </w:p>
        </w:tc>
        <w:tc>
          <w:tcPr>
            <w:tcW w:w="140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80" w:type="dxa"/>
            <w:vAlign w:val="bottom"/>
            <w:shd w:val="clear" w:color="auto" w:fill="CCEBFF"/>
          </w:tcPr>
          <w:p>
            <w:pPr>
              <w:spacing w:after="0"/>
              <w:rPr>
                <w:sz w:val="13"/>
                <w:szCs w:val="13"/>
                <w:color w:val="auto"/>
              </w:rPr>
            </w:pPr>
          </w:p>
        </w:tc>
        <w:tc>
          <w:tcPr>
            <w:tcW w:w="98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960" w:type="dxa"/>
            <w:vAlign w:val="bottom"/>
            <w:tcBorders>
              <w:right w:val="single" w:sz="8" w:color="auto"/>
            </w:tcBorders>
            <w:shd w:val="clear" w:color="auto" w:fill="CCEBFF"/>
          </w:tcPr>
          <w:p>
            <w:pPr>
              <w:spacing w:after="0"/>
              <w:rPr>
                <w:sz w:val="13"/>
                <w:szCs w:val="13"/>
                <w:color w:val="auto"/>
              </w:rPr>
            </w:pPr>
          </w:p>
        </w:tc>
        <w:tc>
          <w:tcPr>
            <w:tcW w:w="10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4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Enwrap Logistic &amp; Packaging S.r.l.</w:t>
            </w:r>
          </w:p>
        </w:tc>
        <w:tc>
          <w:tcPr>
            <w:tcW w:w="140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960" w:type="dxa"/>
            <w:vAlign w:val="bottom"/>
            <w:tcBorders>
              <w:bottom w:val="single" w:sz="8" w:color="auto"/>
              <w:right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4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8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8"/>
              </w:rPr>
              <w:t>Enwrap is a newly formed company dedicated to the logistics and packaging business of its</w:t>
            </w: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5"/>
              </w:rPr>
              <w:t>(Enwrap)</w:t>
            </w: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predecessor, Job Service S.p.A. Headquartered in Milan, Italy, Enwrap provides high-value,</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shd w:val="clear" w:color="auto" w:fill="CCEBFF"/>
          </w:tcPr>
          <w:p>
            <w:pPr>
              <w:spacing w:after="0"/>
              <w:rPr>
                <w:sz w:val="17"/>
                <w:szCs w:val="17"/>
                <w:color w:val="auto"/>
              </w:rPr>
            </w:pPr>
          </w:p>
        </w:tc>
        <w:tc>
          <w:tcPr>
            <w:tcW w:w="638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mixed material industrial packaging and logistics services through eight locations in Italy. These</w:t>
            </w:r>
          </w:p>
        </w:tc>
        <w:tc>
          <w:tcPr>
            <w:tcW w:w="0" w:type="dxa"/>
            <w:vAlign w:val="bottom"/>
          </w:tcPr>
          <w:p>
            <w:pPr>
              <w:spacing w:after="0"/>
              <w:rPr>
                <w:sz w:val="1"/>
                <w:szCs w:val="1"/>
                <w:color w:val="auto"/>
              </w:rPr>
            </w:pPr>
          </w:p>
        </w:tc>
      </w:tr>
      <w:tr>
        <w:trPr>
          <w:trHeight w:val="219"/>
        </w:trPr>
        <w:tc>
          <w:tcPr>
            <w:tcW w:w="254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36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w w:val="98"/>
              </w:rPr>
              <w:t>locations generated annual sales of approximately $14 million.</w:t>
            </w:r>
          </w:p>
        </w:tc>
        <w:tc>
          <w:tcPr>
            <w:tcW w:w="960" w:type="dxa"/>
            <w:vAlign w:val="bottom"/>
            <w:tcBorders>
              <w:bottom w:val="single" w:sz="8" w:color="auto"/>
              <w:right w:val="single" w:sz="8" w:color="CCEBFF"/>
            </w:tcBorders>
            <w:shd w:val="clear" w:color="auto" w:fill="CCEBFF"/>
          </w:tcPr>
          <w:p>
            <w:pPr>
              <w:spacing w:after="0"/>
              <w:rPr>
                <w:sz w:val="19"/>
                <w:szCs w:val="19"/>
                <w:color w:val="auto"/>
              </w:rPr>
            </w:pPr>
          </w:p>
        </w:tc>
        <w:tc>
          <w:tcPr>
            <w:tcW w:w="10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intangible assets for the above acquisitions have not been finalized and allocated to their respective identifiable asset and goodwill accounts. In aggregate, acquisitions completed since the end of September 2020 and not consolidated with other operations contributed approximately $903.0 million in net sales and $26.0 million in operating profits during the first nine months of 2021.</w:t>
      </w:r>
    </w:p>
    <w:p>
      <w:pPr>
        <w:spacing w:after="0" w:line="183" w:lineRule="exact"/>
        <w:rPr>
          <w:sz w:val="20"/>
          <w:szCs w:val="20"/>
          <w:color w:val="auto"/>
        </w:rPr>
      </w:pPr>
    </w:p>
    <w:p>
      <w:pPr>
        <w:ind w:left="560" w:hanging="510"/>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operates manufacturing, treating and distribution facilities internationally, but primarily in the United States. The business segments align with the following markets: UFP Retail Solutions, UFP Construction and UFP Industrial. The Company manages the operations of its individual locations primarily through a market-centered reporting structure under which each location is included in a business unit and business units are included in our Retail, Industrial, and Construction segments. In the case of locations which serve multiple segments, results are allocated and accounted for by segment. The exception to this market-centered reporting and management structure is the Company’s International segment, which comprises our Mexico, Canada, and Australia operations and sales and buying offices in other parts of the world.</w:t>
      </w:r>
    </w:p>
    <w:p>
      <w:pPr>
        <w:spacing w:after="0" w:line="19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International segment and Ardellis (our insurance captive) have been included in the “All Other” column of the table below.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 Total assets of the Corporate column include unallocated cash and cash equivalents, certain prepaid assets, certain property, equipment and other assets pertaining to the centralized activities of Corporate, UFP Real Estate, Inc., and UFP Transportation Ltd. The tables below are presented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24"/>
          </w:tcPr>
          <w:p>
            <w:pPr>
              <w:jc w:val="center"/>
              <w:spacing w:after="0"/>
              <w:rPr>
                <w:sz w:val="20"/>
                <w:szCs w:val="20"/>
                <w:color w:val="auto"/>
              </w:rPr>
            </w:pPr>
            <w:r>
              <w:rPr>
                <w:rFonts w:ascii="Arial" w:cs="Arial" w:eastAsia="Arial" w:hAnsi="Arial"/>
                <w:sz w:val="14"/>
                <w:szCs w:val="14"/>
                <w:b w:val="1"/>
                <w:bCs w:val="1"/>
                <w:color w:val="auto"/>
                <w:w w:val="92"/>
              </w:rPr>
              <w:t>Three Months Ended September 25, 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55"/>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Industrial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jc w:val="right"/>
              <w:ind w:right="26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$ 696,201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$ 573,234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$ 722,872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98,689</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2,093,784</w:t>
            </w: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50,546</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23,148</w:t>
            </w:r>
          </w:p>
        </w:tc>
        <w:tc>
          <w:tcPr>
            <w:tcW w:w="2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27,574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122,470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(223,738)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(26,153)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70,408</w:t>
            </w: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84,205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168,125</w:t>
            </w:r>
          </w:p>
        </w:tc>
      </w:tr>
      <w:tr>
        <w:trPr>
          <w:trHeight w:val="601"/>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4"/>
          </w:tcPr>
          <w:p>
            <w:pPr>
              <w:jc w:val="center"/>
              <w:spacing w:after="0"/>
              <w:rPr>
                <w:sz w:val="20"/>
                <w:szCs w:val="20"/>
                <w:color w:val="auto"/>
              </w:rPr>
            </w:pPr>
            <w:r>
              <w:rPr>
                <w:rFonts w:ascii="Arial" w:cs="Arial" w:eastAsia="Arial" w:hAnsi="Arial"/>
                <w:sz w:val="14"/>
                <w:szCs w:val="14"/>
                <w:b w:val="1"/>
                <w:bCs w:val="1"/>
                <w:color w:val="auto"/>
                <w:w w:val="92"/>
              </w:rPr>
              <w:t>Three Months Ended September 26, 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5"/>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Industrial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jc w:val="right"/>
              <w:ind w:right="28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$ 700,522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$ 282,124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$ 447,103</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1,486,227</w:t>
            </w: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45,416</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11,773</w:t>
            </w:r>
          </w:p>
        </w:tc>
        <w:tc>
          <w:tcPr>
            <w:tcW w:w="2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17,909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76,029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(151,127)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62,181</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22,037</w:t>
            </w: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16,513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106,601</w:t>
            </w:r>
          </w:p>
        </w:tc>
      </w:tr>
      <w:tr>
        <w:trPr>
          <w:trHeight w:val="601"/>
        </w:trPr>
        <w:tc>
          <w:tcPr>
            <w:tcW w:w="2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4"/>
          </w:tcPr>
          <w:p>
            <w:pPr>
              <w:ind w:left="580"/>
              <w:spacing w:after="0"/>
              <w:rPr>
                <w:sz w:val="20"/>
                <w:szCs w:val="20"/>
                <w:color w:val="auto"/>
              </w:rPr>
            </w:pPr>
            <w:r>
              <w:rPr>
                <w:rFonts w:ascii="Arial" w:cs="Arial" w:eastAsia="Arial" w:hAnsi="Arial"/>
                <w:sz w:val="14"/>
                <w:szCs w:val="14"/>
                <w:b w:val="1"/>
                <w:bCs w:val="1"/>
                <w:color w:val="auto"/>
              </w:rPr>
              <w:t>Nine Months Ended September 25,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5"/>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Retail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Industrial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8"/>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$ 2,714,440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$ 1,633,289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$ 2,021,106</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$ 243,736</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6,619,329</w:t>
            </w: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163,279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66,039</w:t>
            </w:r>
          </w:p>
        </w:tc>
        <w:tc>
          <w:tcPr>
            <w:tcW w:w="20" w:type="dxa"/>
            <w:vAlign w:val="bottom"/>
          </w:tcPr>
          <w:p>
            <w:pPr>
              <w:spacing w:after="0"/>
              <w:rPr>
                <w:sz w:val="18"/>
                <w:szCs w:val="18"/>
                <w:color w:val="auto"/>
              </w:rPr>
            </w:pP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62,069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345,920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w w:val="95"/>
              </w:rPr>
              <w:t>(637,307)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89,443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190,344</w:t>
            </w:r>
          </w:p>
        </w:tc>
        <w:tc>
          <w:tcPr>
            <w:tcW w:w="2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184,330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542,547</w:t>
            </w:r>
          </w:p>
        </w:tc>
      </w:tr>
      <w:tr>
        <w:trPr>
          <w:trHeight w:val="385"/>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4"/>
          </w:tcPr>
          <w:p>
            <w:pPr>
              <w:ind w:left="640"/>
              <w:spacing w:after="0"/>
              <w:rPr>
                <w:sz w:val="20"/>
                <w:szCs w:val="20"/>
                <w:color w:val="auto"/>
              </w:rPr>
            </w:pPr>
            <w:r>
              <w:rPr>
                <w:rFonts w:ascii="Arial" w:cs="Arial" w:eastAsia="Arial" w:hAnsi="Arial"/>
                <w:sz w:val="14"/>
                <w:szCs w:val="14"/>
                <w:b w:val="1"/>
                <w:bCs w:val="1"/>
                <w:color w:val="auto"/>
              </w:rPr>
              <w:t>Nine Months Ended September 26, 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6"/>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Industrial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Construction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8"/>
              </w:rPr>
              <w:t>All Other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$ 1,661,873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$ 763,046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$ 1,187,429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$ 148,503</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3,760,290</w:t>
            </w: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109,378</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32,788</w:t>
            </w:r>
          </w:p>
        </w:tc>
        <w:tc>
          <w:tcPr>
            <w:tcW w:w="20" w:type="dxa"/>
            <w:vAlign w:val="bottom"/>
          </w:tcPr>
          <w:p>
            <w:pPr>
              <w:spacing w:after="0"/>
              <w:rPr>
                <w:sz w:val="18"/>
                <w:szCs w:val="18"/>
                <w:color w:val="auto"/>
              </w:rPr>
            </w:pP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49,685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196,908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w w:val="95"/>
              </w:rPr>
              <w:t>(388,759)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profit</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122,082</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53,837</w:t>
            </w:r>
          </w:p>
        </w:tc>
        <w:tc>
          <w:tcPr>
            <w:tcW w:w="2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50,544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257,591</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presents goodwill by segment as of September 25, 2021, and December 26, 2020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rPr>
              <w:t>Retail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Industrial</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4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6"/>
        </w:trPr>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26,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$ 61,943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$ 11,694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$ 252,193</w:t>
            </w:r>
          </w:p>
        </w:tc>
        <w:tc>
          <w:tcPr>
            <w:tcW w:w="20" w:type="dxa"/>
            <w:vAlign w:val="bottom"/>
          </w:tcPr>
          <w:p>
            <w:pPr>
              <w:spacing w:after="0"/>
              <w:rPr>
                <w:sz w:val="18"/>
                <w:szCs w:val="18"/>
                <w:color w:val="auto"/>
              </w:rPr>
            </w:pPr>
          </w:p>
        </w:tc>
      </w:tr>
      <w:tr>
        <w:trPr>
          <w:trHeight w:val="216"/>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32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660" w:type="dxa"/>
            <w:vAlign w:val="bottom"/>
          </w:tcPr>
          <w:p>
            <w:pPr>
              <w:jc w:val="right"/>
              <w:spacing w:after="0"/>
              <w:rPr>
                <w:sz w:val="20"/>
                <w:szCs w:val="20"/>
                <w:color w:val="auto"/>
              </w:rPr>
            </w:pPr>
            <w:r>
              <w:rPr>
                <w:rFonts w:ascii="Arial" w:cs="Arial" w:eastAsia="Arial" w:hAnsi="Arial"/>
                <w:sz w:val="18"/>
                <w:szCs w:val="18"/>
                <w:color w:val="auto"/>
              </w:rPr>
              <w:t>18,441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68,888</w:t>
            </w:r>
          </w:p>
        </w:tc>
        <w:tc>
          <w:tcPr>
            <w:tcW w:w="20" w:type="dxa"/>
            <w:vAlign w:val="bottom"/>
          </w:tcPr>
          <w:p>
            <w:pPr>
              <w:spacing w:after="0"/>
              <w:rPr>
                <w:sz w:val="18"/>
                <w:szCs w:val="18"/>
                <w:color w:val="auto"/>
              </w:rPr>
            </w:pPr>
          </w:p>
        </w:tc>
      </w:tr>
      <w:tr>
        <w:trPr>
          <w:trHeight w:val="216"/>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Accounting Adjustments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(2,575)</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(28,421)</w:t>
            </w:r>
          </w:p>
        </w:tc>
        <w:tc>
          <w:tcPr>
            <w:tcW w:w="20" w:type="dxa"/>
            <w:vAlign w:val="bottom"/>
          </w:tcPr>
          <w:p>
            <w:pPr>
              <w:spacing w:after="0"/>
              <w:rPr>
                <w:sz w:val="18"/>
                <w:szCs w:val="18"/>
                <w:color w:val="auto"/>
              </w:rPr>
            </w:pPr>
          </w:p>
        </w:tc>
      </w:tr>
      <w:tr>
        <w:trPr>
          <w:trHeight w:val="223"/>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Foreign Exchange, Net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9"/>
                <w:szCs w:val="19"/>
                <w:color w:val="auto"/>
              </w:rPr>
            </w:pPr>
          </w:p>
        </w:tc>
      </w:tr>
      <w:tr>
        <w:trPr>
          <w:trHeight w:val="216"/>
        </w:trPr>
        <w:tc>
          <w:tcPr>
            <w:tcW w:w="3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25,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$ 78,702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113,734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$ 12,852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$ 292,318</w:t>
            </w:r>
          </w:p>
        </w:tc>
        <w:tc>
          <w:tcPr>
            <w:tcW w:w="2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99"/>
              </w:rPr>
              <w:t>15</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table presents total assets by segment as of September 25, 2021, and December 26, 2020 (in thousands).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86"/>
              </w:rPr>
              <w:t>Total Assets by Segment</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3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8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September 25,</w:t>
            </w:r>
          </w:p>
        </w:tc>
        <w:tc>
          <w:tcPr>
            <w:tcW w:w="110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December 26,</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604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Classification</w:t>
            </w:r>
          </w:p>
        </w:tc>
        <w:tc>
          <w:tcPr>
            <w:tcW w:w="12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5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604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829,745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510,464</w:t>
            </w:r>
          </w:p>
        </w:tc>
        <w:tc>
          <w:tcPr>
            <w:tcW w:w="16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6"/>
        </w:trPr>
        <w:tc>
          <w:tcPr>
            <w:tcW w:w="6040" w:type="dxa"/>
            <w:vAlign w:val="bottom"/>
            <w:gridSpan w:val="3"/>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740,206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416,487</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18"/>
                <w:szCs w:val="18"/>
                <w:color w:val="auto"/>
              </w:rPr>
            </w:pPr>
          </w:p>
        </w:tc>
      </w:tr>
      <w:tr>
        <w:trPr>
          <w:trHeight w:val="216"/>
        </w:trPr>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510,972</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r>
      <w:tr>
        <w:trPr>
          <w:trHeight w:val="216"/>
        </w:trPr>
        <w:tc>
          <w:tcPr>
            <w:tcW w:w="6040" w:type="dxa"/>
            <w:vAlign w:val="bottom"/>
            <w:gridSpan w:val="3"/>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284,626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196,856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r>
      <w:tr>
        <w:trPr>
          <w:trHeight w:val="236"/>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434,251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770,112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604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3,014,247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2,404,891</w:t>
            </w: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25.3</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4" w:lineRule="exact"/>
        <w:rPr>
          <w:sz w:val="20"/>
          <w:szCs w:val="20"/>
          <w:color w:val="auto"/>
        </w:rPr>
      </w:pPr>
    </w:p>
    <w:p>
      <w:pPr>
        <w:ind w:left="560" w:hanging="510"/>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foreign, state and local income taxes and permanent tax differences. Our effective tax rate was 23.0% in the third quarter of 2021 compared to 25.4% for same period in 2020 and was 24.0% in the first nine months of 2021 compared to 25.2% for the same period in 2020. The decrease was primarily due to a decrease in permanent tax differences in 2021 compared to the prior year, none of which are individually significant.</w:t>
      </w:r>
    </w:p>
    <w:p>
      <w:pPr>
        <w:spacing w:after="0" w:line="197" w:lineRule="exact"/>
        <w:rPr>
          <w:sz w:val="20"/>
          <w:szCs w:val="20"/>
          <w:color w:val="auto"/>
        </w:rPr>
      </w:pPr>
    </w:p>
    <w:p>
      <w:pPr>
        <w:ind w:left="480" w:hanging="430"/>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319" w:firstLine="492"/>
        <w:spacing w:after="0" w:line="277" w:lineRule="auto"/>
        <w:rPr>
          <w:sz w:val="20"/>
          <w:szCs w:val="20"/>
          <w:color w:val="auto"/>
        </w:rPr>
      </w:pPr>
      <w:r>
        <w:rPr>
          <w:rFonts w:ascii="Arial" w:cs="Arial" w:eastAsia="Arial" w:hAnsi="Arial"/>
          <w:sz w:val="18"/>
          <w:szCs w:val="18"/>
          <w:color w:val="auto"/>
        </w:rPr>
        <w:t>Below is a summary of common stock issuances for the first nine months of 2021 and 2020 (in thousands, except average share price):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September 25, 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25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5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Shares issued under the employee stock purchase plan</w:t>
            </w:r>
          </w:p>
        </w:tc>
        <w:tc>
          <w:tcPr>
            <w:tcW w:w="2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Shares issued under the employee stock gift program</w:t>
            </w:r>
          </w:p>
        </w:tc>
        <w:tc>
          <w:tcPr>
            <w:tcW w:w="360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3"/>
              </w:rPr>
              <w:t>Shares issued under the director retainer stock program</w:t>
            </w:r>
          </w:p>
        </w:tc>
        <w:tc>
          <w:tcPr>
            <w:tcW w:w="3600" w:type="dxa"/>
            <w:vAlign w:val="bottom"/>
            <w:gridSpan w:val="2"/>
          </w:tcPr>
          <w:p>
            <w:pPr>
              <w:jc w:val="center"/>
              <w:ind w:left="2690"/>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360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86"/>
              </w:rPr>
              <w:t>487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88"/>
              </w:rPr>
              <w:t>Shares issued under the executive stock match grants plan</w:t>
            </w:r>
          </w:p>
        </w:tc>
        <w:tc>
          <w:tcPr>
            <w:tcW w:w="3600" w:type="dxa"/>
            <w:vAlign w:val="bottom"/>
            <w:gridSpan w:val="2"/>
          </w:tcPr>
          <w:p>
            <w:pPr>
              <w:jc w:val="center"/>
              <w:ind w:left="2690"/>
              <w:spacing w:after="0"/>
              <w:rPr>
                <w:sz w:val="20"/>
                <w:szCs w:val="20"/>
                <w:color w:val="auto"/>
              </w:rPr>
            </w:pPr>
            <w:r>
              <w:rPr>
                <w:rFonts w:ascii="Arial" w:cs="Arial" w:eastAsia="Arial" w:hAnsi="Arial"/>
                <w:sz w:val="18"/>
                <w:szCs w:val="18"/>
                <w:color w:val="auto"/>
                <w:w w:val="89"/>
              </w:rPr>
              <w:t>77</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360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3"/>
              </w:rPr>
              <w:t>(21)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Total shares issued under stock grant programs</w:t>
            </w:r>
          </w:p>
        </w:tc>
        <w:tc>
          <w:tcPr>
            <w:tcW w:w="28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549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57.64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Shares issued under the deferred compensation plans</w:t>
            </w:r>
          </w:p>
        </w:tc>
        <w:tc>
          <w:tcPr>
            <w:tcW w:w="3600" w:type="dxa"/>
            <w:vAlign w:val="bottom"/>
            <w:gridSpan w:val="2"/>
          </w:tcPr>
          <w:p>
            <w:pPr>
              <w:jc w:val="center"/>
              <w:ind w:left="2690"/>
              <w:spacing w:after="0"/>
              <w:rPr>
                <w:sz w:val="20"/>
                <w:szCs w:val="20"/>
                <w:color w:val="auto"/>
              </w:rPr>
            </w:pPr>
            <w:r>
              <w:rPr>
                <w:rFonts w:ascii="Arial" w:cs="Arial" w:eastAsia="Arial" w:hAnsi="Arial"/>
                <w:sz w:val="18"/>
                <w:szCs w:val="18"/>
                <w:color w:val="auto"/>
                <w:w w:val="86"/>
              </w:rPr>
              <w:t>108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62.48</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0" w:type="dxa"/>
            <w:vAlign w:val="bottom"/>
          </w:tcPr>
          <w:p>
            <w:pPr>
              <w:jc w:val="right"/>
              <w:ind w:right="2530"/>
              <w:spacing w:after="0"/>
              <w:rPr>
                <w:sz w:val="20"/>
                <w:szCs w:val="20"/>
                <w:color w:val="auto"/>
              </w:rPr>
            </w:pPr>
            <w:r>
              <w:rPr>
                <w:rFonts w:ascii="Arial" w:cs="Arial" w:eastAsia="Arial" w:hAnsi="Arial"/>
                <w:sz w:val="18"/>
                <w:szCs w:val="18"/>
                <w:color w:val="auto"/>
                <w:w w:val="79"/>
              </w:rPr>
              <w:t>16</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September 26,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24.80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match grants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47.60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44.92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53.85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During the first nine months of 2021, we did not repurchase any of our shares of common stock.</w:t>
      </w:r>
    </w:p>
    <w:p>
      <w:pPr>
        <w:spacing w:after="0" w:line="225" w:lineRule="exact"/>
        <w:rPr>
          <w:sz w:val="20"/>
          <w:szCs w:val="20"/>
          <w:color w:val="auto"/>
        </w:rPr>
      </w:pPr>
    </w:p>
    <w:p>
      <w:pPr>
        <w:ind w:left="60" w:right="459" w:firstLine="486"/>
        <w:spacing w:after="0" w:line="277" w:lineRule="auto"/>
        <w:rPr>
          <w:sz w:val="20"/>
          <w:szCs w:val="20"/>
          <w:color w:val="auto"/>
        </w:rPr>
      </w:pPr>
      <w:r>
        <w:rPr>
          <w:rFonts w:ascii="Arial" w:cs="Arial" w:eastAsia="Arial" w:hAnsi="Arial"/>
          <w:sz w:val="18"/>
          <w:szCs w:val="18"/>
          <w:color w:val="auto"/>
        </w:rPr>
        <w:t>During the first nine months of 2020, we repurchased approximately 756,000 shares of our common stock at an average share price of $38.62.</w:t>
      </w:r>
    </w:p>
    <w:p>
      <w:pPr>
        <w:spacing w:after="0" w:line="166" w:lineRule="exact"/>
        <w:rPr>
          <w:sz w:val="20"/>
          <w:szCs w:val="20"/>
          <w:color w:val="auto"/>
        </w:rPr>
      </w:pPr>
    </w:p>
    <w:p>
      <w:pPr>
        <w:ind w:left="500" w:hanging="450"/>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Inventories are stated at the lower of cost or net realizable value. The cost of inventories includes raw materials, direct labor, and manufacturing overhead. Cost is determined on a weighted average FIFO basis. Raw materials consist primarily of unfinished wood products and other materials expected to be manufactured or treated prior to sale, while finished goods represent various manufactured and treated wood products ready for sale.</w:t>
      </w:r>
    </w:p>
    <w:p>
      <w:pPr>
        <w:spacing w:after="0" w:line="17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 writes down the value of inventory, the impact of which is reflected in cost of goods sold in the Condensed Consolidated Statement of Earnings and Comprehensive Income, if the cost of specific inventory items on hand exceeds the amount the Company expects to realize from the ultimate sale or disposal of the inventory. These estimates are based on management's judgment regarding future demand and market conditions and analysis of historical experience. The lower of cost or net realizable value adjustment to inventory as of September 25, 2021 and September 26, 2020 was $1.3 million and $0, respectively.</w:t>
      </w:r>
    </w:p>
    <w:p>
      <w:pPr>
        <w:spacing w:after="0" w:line="188" w:lineRule="exact"/>
        <w:rPr>
          <w:sz w:val="20"/>
          <w:szCs w:val="20"/>
          <w:color w:val="auto"/>
        </w:rPr>
      </w:pPr>
    </w:p>
    <w:p>
      <w:pPr>
        <w:ind w:left="560" w:hanging="510"/>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On September 27, 2027, we acquired the equity of Shelter Products, Inc., for $6.5 million. Based in Haleyville, Alabama, Shelter Products provides distribution and logistics support to factory-built manufacturers through nine warehouses across the U.S.</w:t>
      </w:r>
    </w:p>
    <w:p>
      <w:pPr>
        <w:spacing w:after="0" w:line="184"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On October 29, 2021, we acquired the assets of The Box Pack Trust, operating as Boxpack Packaging (Boxpack) for $5.2 million. Based near Melbourne, Australia, Boxpack specializes in flexographic and lithographic cardboard packaging, using the latest CAD design and finishing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UFP Industries, Inc. is a holding company with subsidiaries throughout North America, Europe, Asia, and Australia that supply wood, wood composite and other products to three markets: retail, industrial, and construction. We are headquartered in Grand Rapids, Michigan. For more information about UFP Industries, Inc., or our affiliated operations, go to www.ufpi.com.</w:t>
      </w:r>
    </w:p>
    <w:p>
      <w:pPr>
        <w:spacing w:after="0" w:line="18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government imposed “stay at home” orders and directives to cease or curtail operations;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the third quarter of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the third quarter of 2021 include the following highlights:</w:t>
      </w:r>
    </w:p>
    <w:p>
      <w:pPr>
        <w:spacing w:after="0" w:line="225" w:lineRule="exact"/>
        <w:rPr>
          <w:sz w:val="20"/>
          <w:szCs w:val="20"/>
          <w:color w:val="auto"/>
        </w:rPr>
      </w:pPr>
    </w:p>
    <w:p>
      <w:pPr>
        <w:jc w:val="both"/>
        <w:ind w:left="880" w:right="79" w:hanging="317"/>
        <w:spacing w:after="0" w:line="25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net sales were up 41% compared to the third quarter of 2020, which was comprised of a 28% increase in selling prices primarily due to the commodity lumber market (see Historical Lumber Prices below), a 16% increase in unit sales due to acquisitions completed since September of last year, and a 3% decline in organic unit sales. Organic unit growth of 16% in our construction segment was offset an organic unit decline of 19% in our retail segment, while industrial units were flat.</w:t>
      </w:r>
    </w:p>
    <w:p>
      <w:pPr>
        <w:spacing w:after="0" w:line="187" w:lineRule="exact"/>
        <w:rPr>
          <w:rFonts w:ascii="Arial" w:cs="Arial" w:eastAsia="Arial" w:hAnsi="Arial"/>
          <w:sz w:val="18"/>
          <w:szCs w:val="18"/>
          <w:color w:val="auto"/>
        </w:rPr>
      </w:pPr>
    </w:p>
    <w:p>
      <w:pPr>
        <w:jc w:val="both"/>
        <w:ind w:left="880" w:right="79" w:hanging="317"/>
        <w:spacing w:after="0" w:line="289"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operating profits increased $61.5 million, or 58%, compared to the third quarter of 2020. This increase resulted from a variety of factors including strong demand from our industrial and construction segments, leveraging our fixed costs, and increased sales of value-added and new products that have higher margins. These favorable factors more than offset the impact that falling lumber prices had on the gross profits of commodity-based products sold on a variable price that are not purchased through a vendor managed inventory program, particularly our pressure-treated lumber products sold in the retail segment. Acquisitions contributed approximately $2.6 million to our increase in operating profits. Excluding the impact of acquisitions, we estimate that value-added products contributed $93 million to our quarter over quarter increase in gross profits, which was offset by a decrease of approximately $23 million in commodity-based products.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69"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cash flows provided by operations for the first nine months of 2021 was $282 million compared to $185 million during the first nine months of 2020 in spite of an increase in our net working capital, which increased $133 million compared to the prior year. The increase in our net working capital during 2021 is due to a combination of unusually high lumber prices and strong market demand in our industrial and construction segments. In addition, our investment in net working capital at the end of the third quarter of 2020 was unusually low due to unexpectedly strong demand in our retail segment and difficulty maintaining an adequate supply of inventory due to supply chain constraints. As lumber prices and demand in the retail segment began to normalize in the second and third quarters of 2021, our investment in net working capital has decreased, and we now have a cash surplus of $139 million. We anticipate our net working capital will continue to decrease for the balance of the year, assuming lumber prices remain at current levels, as the fourth quarter typically represents a seasonally slower quarter for most of our business units.</w:t>
      </w:r>
    </w:p>
    <w:p>
      <w:pPr>
        <w:spacing w:after="0" w:line="181" w:lineRule="exact"/>
        <w:rPr>
          <w:rFonts w:ascii="Arial" w:cs="Arial" w:eastAsia="Arial" w:hAnsi="Arial"/>
          <w:sz w:val="17"/>
          <w:szCs w:val="17"/>
          <w:color w:val="auto"/>
        </w:rPr>
      </w:pPr>
    </w:p>
    <w:p>
      <w:pPr>
        <w:jc w:val="both"/>
        <w:ind w:left="880" w:right="79" w:hanging="317"/>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net debt (debt and cash overdraft less cash) at the end of September 2021 was $182 million compared to net cash of $32 million at the end of September 2020. Our unused borrowing capacity under revolving credit facilities and cash surplus resulted in total liquidity of approximately $668 million at the end of the third quarter of 2021.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experience significant fluctuations in the cost of commodity lumber products from primary producers (“Lumber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Random Lengths Composite</w:t>
      </w:r>
    </w:p>
    <w:p>
      <w:pPr>
        <w:jc w:val="center"/>
        <w:ind w:left="66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February</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April</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June</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August</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average</w:t>
            </w:r>
          </w:p>
        </w:tc>
        <w:tc>
          <w:tcPr>
            <w:tcW w:w="3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Year-to-date average</w:t>
            </w:r>
          </w:p>
        </w:tc>
        <w:tc>
          <w:tcPr>
            <w:tcW w:w="3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920</w:t>
            </w:r>
          </w:p>
        </w:tc>
        <w:tc>
          <w:tcPr>
            <w:tcW w:w="180" w:type="dxa"/>
            <w:vAlign w:val="bottom"/>
          </w:tcPr>
          <w:p>
            <w:pPr>
              <w:spacing w:after="0"/>
              <w:rPr>
                <w:sz w:val="18"/>
                <w:szCs w:val="18"/>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Third quarter percentage change</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20" w:type="dxa"/>
            <w:vAlign w:val="bottom"/>
          </w:tcPr>
          <w:p>
            <w:pPr>
              <w:jc w:val="right"/>
              <w:ind w:right="223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 almost two-thirds of our total lumber purchases.</w:t>
      </w:r>
    </w:p>
    <w:p>
      <w:pPr>
        <w:spacing w:after="0" w:line="175"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Random Lengths SYP</w:t>
      </w:r>
    </w:p>
    <w:p>
      <w:pPr>
        <w:jc w:val="center"/>
        <w:ind w:left="66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68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February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April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June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August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729</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 average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Year-to-date average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8"/>
                <w:szCs w:val="18"/>
                <w:color w:val="auto"/>
              </w:rPr>
              <w:t>Third quarter percentage change</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Year-to-date percentage change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sequential increase in overall lumber prices for the first half of the year was primarily due to strong market demand as well as certain constraints in the supply chain of lumber. Prices began to fall in June 2021 as pandemic related restrictions were lifted, the economy re-opened, and consumers shifted their spending to other areas. We believe prices in the third quarter of 2021 reflect normalized levels. A decline in lumber prices impacts our profitability of products sold with fixed and variable prices, as discussed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58.0% and 48.7% of our sales in the first nine months of 2021 and 2020, respectively. The increase from the prior year ratio reflects the impact of higher lumber prices and the results of PalletOne’s subsidiaries, Sunbelt and Spartanburg Forest Products.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72"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 We believe our percentage of sales of fixed price items is usually greatest in our third and fourth quarters.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72"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w:t>
      </w:r>
      <w:r>
        <w:rPr>
          <w:rFonts w:ascii="Arial" w:cs="Arial" w:eastAsia="Arial" w:hAnsi="Arial"/>
          <w:sz w:val="17"/>
          <w:szCs w:val="17"/>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86"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Products with significant inventory levels with low turnover rates, whose selling prices are indexed to the Lumber Market.</w:t>
      </w:r>
      <w:r>
        <w:rPr>
          <w:rFonts w:ascii="Arial" w:cs="Arial" w:eastAsia="Arial" w:hAnsi="Arial"/>
          <w:sz w:val="16"/>
          <w:szCs w:val="16"/>
          <w:color w:val="auto"/>
        </w:rPr>
        <w:t xml:space="preserve"> In other words, the longer the period of time these products remain in inventory, the greater the exposure to changes in the price of lumber. This would include treated lumber, which comprised approximately 20% of our total annual sales in 2020.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Our annual purchases of inventory through these consignment programs totaled approximately 19% of our total lumber purchases in 2020. Our new Sunbelt and Spartanburg Forest Products plants operated with limited amounts of vendor consignment inventory and were more exposed to the impact of falling lumber prices during the second and third quarters of 2021. We anticipate increasing their use of these programs in future periods in a manner consistent with our ProWood pressure-treating operations. (</w:t>
      </w:r>
      <w:r>
        <w:rPr>
          <w:rFonts w:ascii="Arial" w:cs="Arial" w:eastAsia="Arial" w:hAnsi="Arial"/>
          <w:sz w:val="16"/>
          <w:szCs w:val="16"/>
          <w:i w:val="1"/>
          <w:iCs w:val="1"/>
          <w:color w:val="auto"/>
        </w:rPr>
        <w:t>Please refer to the “Risk Factors” section of our annual report on form 10-K,</w:t>
      </w:r>
      <w:r>
        <w:rPr>
          <w:rFonts w:ascii="Arial" w:cs="Arial" w:eastAsia="Arial" w:hAnsi="Arial"/>
          <w:sz w:val="16"/>
          <w:szCs w:val="16"/>
          <w:color w:val="auto"/>
        </w:rPr>
        <w:t xml:space="preserve"> </w:t>
      </w:r>
      <w:r>
        <w:rPr>
          <w:rFonts w:ascii="Arial" w:cs="Arial" w:eastAsia="Arial" w:hAnsi="Arial"/>
          <w:sz w:val="16"/>
          <w:szCs w:val="16"/>
          <w:i w:val="1"/>
          <w:iCs w:val="1"/>
          <w:color w:val="auto"/>
        </w:rPr>
        <w:t>filed with the United States Securities and Exchange Commission.</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880" w:right="79" w:hanging="317"/>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and longer vendor commitments.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completed five business acquisitions during the first nine months of fiscal 2021 and five during all of fiscal 2020. The annual historical sales attributable to acquisitions completed in the first nine months of fiscal 2021 is approximately $1.3 billion, while acquisitions completed during the last quarter of 2020 have annual sales of approximately $48 million. These business combinations were not significant to our quarterly results individually or in aggregate and thus pro forma results for 2021 and 2020 are not presented.</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22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3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4360" w:type="dxa"/>
            <w:vAlign w:val="bottom"/>
          </w:tcPr>
          <w:p>
            <w:pPr>
              <w:spacing w:after="0"/>
              <w:rPr>
                <w:sz w:val="10"/>
                <w:szCs w:val="10"/>
                <w:color w:val="auto"/>
              </w:rPr>
            </w:pPr>
          </w:p>
        </w:tc>
        <w:tc>
          <w:tcPr>
            <w:tcW w:w="1120" w:type="dxa"/>
            <w:vAlign w:val="bottom"/>
            <w:gridSpan w:val="2"/>
          </w:tcPr>
          <w:p>
            <w:pPr>
              <w:jc w:val="right"/>
              <w:ind w:right="150"/>
              <w:spacing w:after="0" w:line="126" w:lineRule="exact"/>
              <w:rPr>
                <w:sz w:val="20"/>
                <w:szCs w:val="20"/>
                <w:color w:val="auto"/>
              </w:rPr>
            </w:pPr>
            <w:r>
              <w:rPr>
                <w:rFonts w:ascii="Arial" w:cs="Arial" w:eastAsia="Arial" w:hAnsi="Arial"/>
                <w:sz w:val="14"/>
                <w:szCs w:val="14"/>
                <w:b w:val="1"/>
                <w:bCs w:val="1"/>
                <w:color w:val="auto"/>
                <w:w w:val="89"/>
              </w:rPr>
              <w:t>September 25,</w:t>
            </w:r>
          </w:p>
        </w:tc>
        <w:tc>
          <w:tcPr>
            <w:tcW w:w="1140" w:type="dxa"/>
            <w:vAlign w:val="bottom"/>
            <w:gridSpan w:val="2"/>
          </w:tcPr>
          <w:p>
            <w:pPr>
              <w:jc w:val="right"/>
              <w:ind w:right="150"/>
              <w:spacing w:after="0" w:line="126" w:lineRule="exact"/>
              <w:rPr>
                <w:sz w:val="20"/>
                <w:szCs w:val="20"/>
                <w:color w:val="auto"/>
              </w:rPr>
            </w:pPr>
            <w:r>
              <w:rPr>
                <w:rFonts w:ascii="Arial" w:cs="Arial" w:eastAsia="Arial" w:hAnsi="Arial"/>
                <w:sz w:val="14"/>
                <w:szCs w:val="14"/>
                <w:b w:val="1"/>
                <w:bCs w:val="1"/>
                <w:color w:val="auto"/>
                <w:w w:val="91"/>
              </w:rPr>
              <w:t>September 26,</w:t>
            </w:r>
          </w:p>
        </w:tc>
        <w:tc>
          <w:tcPr>
            <w:tcW w:w="114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89"/>
              </w:rPr>
              <w:t>September 25,</w:t>
            </w:r>
          </w:p>
        </w:tc>
        <w:tc>
          <w:tcPr>
            <w:tcW w:w="116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91"/>
              </w:rPr>
              <w:t>September 26,</w:t>
            </w:r>
          </w:p>
        </w:tc>
      </w:tr>
      <w:tr>
        <w:trPr>
          <w:trHeight w:val="178"/>
        </w:trPr>
        <w:tc>
          <w:tcPr>
            <w:tcW w:w="43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60" w:type="dxa"/>
            <w:vAlign w:val="bottom"/>
            <w:tcBorders>
              <w:bottom w:val="single" w:sz="8" w:color="CCEEFF"/>
            </w:tcBorders>
          </w:tcPr>
          <w:p>
            <w:pPr>
              <w:spacing w:after="0"/>
              <w:rPr>
                <w:sz w:val="18"/>
                <w:szCs w:val="18"/>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Less net earnings attributable to noncontrolling interest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color w:val="auto"/>
              </w:rPr>
              <w:t>Net earnings attributable to controlling interest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4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 The percentages displayed below represent the percentage change from the prior year comparable period.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Percentage Change</w:t>
            </w: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4360" w:type="dxa"/>
            <w:vAlign w:val="bottom"/>
          </w:tcPr>
          <w:p>
            <w:pPr>
              <w:spacing w:after="0"/>
              <w:rPr>
                <w:sz w:val="13"/>
                <w:szCs w:val="13"/>
                <w:color w:val="auto"/>
              </w:rPr>
            </w:pPr>
          </w:p>
        </w:tc>
        <w:tc>
          <w:tcPr>
            <w:tcW w:w="2360" w:type="dxa"/>
            <w:vAlign w:val="bottom"/>
            <w:gridSpan w:val="4"/>
          </w:tcPr>
          <w:p>
            <w:pPr>
              <w:ind w:left="460"/>
              <w:spacing w:after="0" w:line="149"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96"/>
              <w:spacing w:after="0" w:line="149" w:lineRule="exact"/>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3"/>
                <w:szCs w:val="13"/>
                <w:color w:val="auto"/>
              </w:rPr>
            </w:pPr>
          </w:p>
        </w:tc>
      </w:tr>
      <w:tr>
        <w:trPr>
          <w:trHeight w:val="126"/>
        </w:trPr>
        <w:tc>
          <w:tcPr>
            <w:tcW w:w="4360" w:type="dxa"/>
            <w:vAlign w:val="bottom"/>
          </w:tcPr>
          <w:p>
            <w:pPr>
              <w:spacing w:after="0"/>
              <w:rPr>
                <w:sz w:val="10"/>
                <w:szCs w:val="10"/>
                <w:color w:val="auto"/>
              </w:rPr>
            </w:pPr>
          </w:p>
        </w:tc>
        <w:tc>
          <w:tcPr>
            <w:tcW w:w="118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September 25,</w:t>
            </w:r>
          </w:p>
        </w:tc>
        <w:tc>
          <w:tcPr>
            <w:tcW w:w="10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8"/>
              </w:rPr>
              <w:t>September 26,</w:t>
            </w:r>
          </w:p>
        </w:tc>
        <w:tc>
          <w:tcPr>
            <w:tcW w:w="160" w:type="dxa"/>
            <w:vAlign w:val="bottom"/>
          </w:tcPr>
          <w:p>
            <w:pPr>
              <w:spacing w:after="0"/>
              <w:rPr>
                <w:sz w:val="10"/>
                <w:szCs w:val="10"/>
                <w:color w:val="auto"/>
              </w:rPr>
            </w:pPr>
          </w:p>
        </w:tc>
        <w:tc>
          <w:tcPr>
            <w:tcW w:w="118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September 25,</w:t>
            </w:r>
          </w:p>
        </w:tc>
        <w:tc>
          <w:tcPr>
            <w:tcW w:w="10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6"/>
              </w:rPr>
              <w:t>September 26,</w:t>
            </w:r>
          </w:p>
        </w:tc>
        <w:tc>
          <w:tcPr>
            <w:tcW w:w="20" w:type="dxa"/>
            <w:vAlign w:val="bottom"/>
          </w:tcPr>
          <w:p>
            <w:pPr>
              <w:spacing w:after="0"/>
              <w:rPr>
                <w:sz w:val="10"/>
                <w:szCs w:val="10"/>
                <w:color w:val="auto"/>
              </w:rPr>
            </w:pPr>
          </w:p>
        </w:tc>
      </w:tr>
      <w:tr>
        <w:trPr>
          <w:trHeight w:val="178"/>
        </w:trPr>
        <w:tc>
          <w:tcPr>
            <w:tcW w:w="4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sold</w:t>
            </w:r>
          </w:p>
        </w:tc>
        <w:tc>
          <w:tcPr>
            <w:tcW w:w="1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13.0 %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8.0 %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30.0 %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20" w:type="dxa"/>
            <w:vAlign w:val="bottom"/>
          </w:tcPr>
          <w:p>
            <w:pPr>
              <w:ind w:left="42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1020" w:type="dxa"/>
            <w:vAlign w:val="bottom"/>
          </w:tcPr>
          <w:p>
            <w:pPr>
              <w:ind w:left="42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20"/>
                <w:szCs w:val="20"/>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20"/>
                <w:szCs w:val="20"/>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110.6</w:t>
            </w:r>
          </w:p>
        </w:tc>
        <w:tc>
          <w:tcPr>
            <w:tcW w:w="160" w:type="dxa"/>
            <w:vAlign w:val="bottom"/>
          </w:tcPr>
          <w:p>
            <w:pPr>
              <w:spacing w:after="0"/>
              <w:rPr>
                <w:sz w:val="20"/>
                <w:szCs w:val="20"/>
                <w:color w:val="auto"/>
              </w:rPr>
            </w:pP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0"/>
                <w:szCs w:val="20"/>
                <w:color w:val="auto"/>
              </w:rPr>
            </w:pPr>
          </w:p>
        </w:tc>
      </w:tr>
      <w:tr>
        <w:trPr>
          <w:trHeight w:val="634"/>
        </w:trPr>
        <w:tc>
          <w:tcPr>
            <w:tcW w:w="436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costs these strategies require, we believe this ratio provides an enhanced view of our effectiveness in managing these costs and mitigates the impact of changing lumber prices.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44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3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September 25,</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7"/>
              <w:spacing w:after="0" w:line="126" w:lineRule="exact"/>
              <w:rPr>
                <w:sz w:val="20"/>
                <w:szCs w:val="20"/>
                <w:color w:val="auto"/>
              </w:rPr>
            </w:pPr>
            <w:r>
              <w:rPr>
                <w:rFonts w:ascii="Arial" w:cs="Arial" w:eastAsia="Arial" w:hAnsi="Arial"/>
                <w:sz w:val="14"/>
                <w:szCs w:val="14"/>
                <w:b w:val="1"/>
                <w:bCs w:val="1"/>
                <w:color w:val="auto"/>
                <w:w w:val="98"/>
              </w:rPr>
              <w:t>September 26,</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September 25,</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26,</w:t>
            </w:r>
          </w:p>
        </w:tc>
      </w:tr>
      <w:tr>
        <w:trPr>
          <w:trHeight w:val="178"/>
        </w:trPr>
        <w:tc>
          <w:tcPr>
            <w:tcW w:w="3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1,035,403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613,241</w:t>
            </w: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w w:val="95"/>
              </w:rPr>
              <w:t>Selling, general, and 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169,467</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134,649</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504,104</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357,770</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 as percentage of gross profit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business segments align with the following markets: UFP Retail Solutions, UFP Construction and UFP Industrial. The Company manages the operations of its individual locations primarily through a market-centered reporting structure under which each location is included in a business unit and business units are included in our retail, industrial, and construction segments. In the case of locations which serve multiple segments, results are allocated and accounted for by segment. The exception to this market-centered reporting and management structure is the Company’s International segment, which comprises our Mexico, Canada, Australia, and Italy operations and sales and purchasing offices in other parts of the world. Our International segment and Ardellis (our insurance captive) have been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operating results, for the periods indicated, by segment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7"/>
              <w:spacing w:after="0"/>
              <w:rPr>
                <w:sz w:val="20"/>
                <w:szCs w:val="20"/>
                <w:color w:val="auto"/>
              </w:rPr>
            </w:pPr>
            <w:r>
              <w:rPr>
                <w:rFonts w:ascii="Arial" w:cs="Arial" w:eastAsia="Arial" w:hAnsi="Arial"/>
                <w:sz w:val="14"/>
                <w:szCs w:val="14"/>
                <w:b w:val="1"/>
                <w:bCs w:val="1"/>
                <w:color w:val="auto"/>
                <w:w w:val="92"/>
              </w:rPr>
              <w:t>Three Months Ended September 25, 2021</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573,234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722,872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2,093,784</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685,369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446,822</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568,809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1,766,229</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55,723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(9,814)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169,467</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(8,927)</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(26,153)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70,408</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84,205</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20,283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19,382</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168,125</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7"/>
              <w:spacing w:after="0"/>
              <w:rPr>
                <w:sz w:val="20"/>
                <w:szCs w:val="20"/>
                <w:color w:val="auto"/>
              </w:rPr>
            </w:pPr>
            <w:r>
              <w:rPr>
                <w:rFonts w:ascii="Arial" w:cs="Arial" w:eastAsia="Arial" w:hAnsi="Arial"/>
                <w:sz w:val="14"/>
                <w:szCs w:val="14"/>
                <w:b w:val="1"/>
                <w:bCs w:val="1"/>
                <w:color w:val="auto"/>
                <w:w w:val="92"/>
              </w:rPr>
              <w:t>Three Months Ended September 26, 2020</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282,124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447,103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1,486,227</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594,896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233,971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385,028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(7,285)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1,245,153</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241,074</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26,080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134,649</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62,181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22,037</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16,513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7,449</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(1,579)</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106,601</w:t>
            </w:r>
          </w:p>
        </w:tc>
      </w:tr>
      <w:tr>
        <w:trPr>
          <w:trHeight w:val="385"/>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4"/>
                <w:szCs w:val="14"/>
                <w:b w:val="1"/>
                <w:bCs w:val="1"/>
                <w:color w:val="auto"/>
                <w:w w:val="94"/>
              </w:rPr>
              <w:t>Nine Months Ended September 25, 2021</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2,714,440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1,633,289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2,021,106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6,619,329</w:t>
            </w: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2,480,804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1,292,102</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1,644,069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5,583,926</w:t>
            </w: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1,035,403</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144,375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150,739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193,144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(24,175)</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504,104</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(9,030)</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89,443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190,344</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184,330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44,565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33,865</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542,547</w:t>
            </w:r>
          </w:p>
        </w:tc>
      </w:tr>
      <w:tr>
        <w:trPr>
          <w:trHeight w:val="385"/>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4"/>
                <w:szCs w:val="14"/>
                <w:b w:val="1"/>
                <w:bCs w:val="1"/>
                <w:color w:val="auto"/>
                <w:w w:val="94"/>
              </w:rPr>
              <w:t>Nine Months Ended September 26, 2020</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1,661,873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763,046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1,187,429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3,760,290</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1,429,229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635,424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1,002,932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(21,776)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3,147,049</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127,622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184,497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613,241</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110,596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73,662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134,098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11,186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357,770</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122,082</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53,837</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50,544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20,573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10,555</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257,591</w:t>
            </w: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tables present the components of our operating results, for the periods indicated, as a percentage of net sales by segment.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w w:val="93"/>
              </w:rPr>
              <w:t>Three Months Ended September 25, 2021</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All Other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13"/>
          </w:tcPr>
          <w:p>
            <w:pPr>
              <w:jc w:val="center"/>
              <w:ind w:left="755"/>
              <w:spacing w:after="0"/>
              <w:rPr>
                <w:sz w:val="20"/>
                <w:szCs w:val="20"/>
                <w:color w:val="auto"/>
              </w:rPr>
            </w:pPr>
            <w:r>
              <w:rPr>
                <w:rFonts w:ascii="Arial" w:cs="Arial" w:eastAsia="Arial" w:hAnsi="Arial"/>
                <w:sz w:val="14"/>
                <w:szCs w:val="14"/>
                <w:b w:val="1"/>
                <w:bCs w:val="1"/>
                <w:color w:val="auto"/>
                <w:w w:val="92"/>
              </w:rPr>
              <w:t>Three Months Ended September 26, 2020</w:t>
            </w: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28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4"/>
          </w:tcPr>
          <w:p>
            <w:pPr>
              <w:ind w:left="14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Construction</w:t>
            </w:r>
          </w:p>
        </w:tc>
        <w:tc>
          <w:tcPr>
            <w:tcW w:w="1220" w:type="dxa"/>
            <w:vAlign w:val="bottom"/>
            <w:gridSpan w:val="5"/>
          </w:tcPr>
          <w:p>
            <w:pPr>
              <w:ind w:left="160"/>
              <w:spacing w:after="0"/>
              <w:rPr>
                <w:sz w:val="20"/>
                <w:szCs w:val="20"/>
                <w:color w:val="auto"/>
              </w:rPr>
            </w:pPr>
            <w:r>
              <w:rPr>
                <w:rFonts w:ascii="Arial" w:cs="Arial" w:eastAsia="Arial" w:hAnsi="Arial"/>
                <w:sz w:val="14"/>
                <w:szCs w:val="14"/>
                <w:b w:val="1"/>
                <w:bCs w:val="1"/>
                <w:color w:val="auto"/>
              </w:rPr>
              <w:t>All Other</w:t>
            </w: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ind w:left="6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top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ind w:left="60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7"/>
        </w:trPr>
        <w:tc>
          <w:tcPr>
            <w:tcW w:w="5540" w:type="dxa"/>
            <w:vAlign w:val="bottom"/>
            <w:gridSpan w:val="14"/>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0"/>
        </w:trPr>
        <w:tc>
          <w:tcPr>
            <w:tcW w:w="2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3"/>
          </w:tcPr>
          <w:p>
            <w:pPr>
              <w:jc w:val="center"/>
              <w:ind w:left="715"/>
              <w:spacing w:after="0"/>
              <w:rPr>
                <w:sz w:val="20"/>
                <w:szCs w:val="20"/>
                <w:color w:val="auto"/>
              </w:rPr>
            </w:pPr>
            <w:r>
              <w:rPr>
                <w:rFonts w:ascii="Arial" w:cs="Arial" w:eastAsia="Arial" w:hAnsi="Arial"/>
                <w:sz w:val="14"/>
                <w:szCs w:val="14"/>
                <w:b w:val="1"/>
                <w:bCs w:val="1"/>
                <w:color w:val="auto"/>
                <w:w w:val="92"/>
              </w:rPr>
              <w:t>Nine Months Ended September 25, 2021</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26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4"/>
          </w:tcPr>
          <w:p>
            <w:pPr>
              <w:ind w:left="14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Construction</w:t>
            </w:r>
          </w:p>
        </w:tc>
        <w:tc>
          <w:tcPr>
            <w:tcW w:w="1220" w:type="dxa"/>
            <w:vAlign w:val="bottom"/>
            <w:gridSpan w:val="5"/>
          </w:tcPr>
          <w:p>
            <w:pPr>
              <w:ind w:left="160"/>
              <w:spacing w:after="0"/>
              <w:rPr>
                <w:sz w:val="20"/>
                <w:szCs w:val="20"/>
                <w:color w:val="auto"/>
              </w:rPr>
            </w:pPr>
            <w:r>
              <w:rPr>
                <w:rFonts w:ascii="Arial" w:cs="Arial" w:eastAsia="Arial" w:hAnsi="Arial"/>
                <w:sz w:val="14"/>
                <w:szCs w:val="14"/>
                <w:b w:val="1"/>
                <w:bCs w:val="1"/>
                <w:color w:val="auto"/>
              </w:rPr>
              <w:t>All Other</w:t>
            </w: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58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7"/>
        </w:trPr>
        <w:tc>
          <w:tcPr>
            <w:tcW w:w="5540" w:type="dxa"/>
            <w:vAlign w:val="bottom"/>
            <w:gridSpan w:val="14"/>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70"/>
        </w:trPr>
        <w:tc>
          <w:tcPr>
            <w:tcW w:w="2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3"/>
          </w:tcPr>
          <w:p>
            <w:pPr>
              <w:jc w:val="center"/>
              <w:ind w:left="715"/>
              <w:spacing w:after="0"/>
              <w:rPr>
                <w:sz w:val="20"/>
                <w:szCs w:val="20"/>
                <w:color w:val="auto"/>
              </w:rPr>
            </w:pPr>
            <w:r>
              <w:rPr>
                <w:rFonts w:ascii="Arial" w:cs="Arial" w:eastAsia="Arial" w:hAnsi="Arial"/>
                <w:sz w:val="14"/>
                <w:szCs w:val="14"/>
                <w:b w:val="1"/>
                <w:bCs w:val="1"/>
                <w:color w:val="auto"/>
                <w:w w:val="92"/>
              </w:rPr>
              <w:t>Nine Months Ended September 26, 2020</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04"/>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26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4"/>
          </w:tcPr>
          <w:p>
            <w:pPr>
              <w:ind w:left="14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Construction</w:t>
            </w:r>
          </w:p>
        </w:tc>
        <w:tc>
          <w:tcPr>
            <w:tcW w:w="1220" w:type="dxa"/>
            <w:vAlign w:val="bottom"/>
            <w:gridSpan w:val="5"/>
          </w:tcPr>
          <w:p>
            <w:pPr>
              <w:ind w:left="160"/>
              <w:spacing w:after="0"/>
              <w:rPr>
                <w:sz w:val="20"/>
                <w:szCs w:val="20"/>
                <w:color w:val="auto"/>
              </w:rPr>
            </w:pPr>
            <w:r>
              <w:rPr>
                <w:rFonts w:ascii="Arial" w:cs="Arial" w:eastAsia="Arial" w:hAnsi="Arial"/>
                <w:sz w:val="14"/>
                <w:szCs w:val="14"/>
                <w:b w:val="1"/>
                <w:bCs w:val="1"/>
                <w:color w:val="auto"/>
              </w:rPr>
              <w:t>All Other</w:t>
            </w: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58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87"/>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design, manufacture and market wood and wood-alternative products, primarily used to enhance outdoor living environments, for national home centers and other retailers, structural lumber and other products for the manufactured housing industry, engineered wood components for residential and commercial construction, customized interior fixtures used in a variety of retail stores, commercial, and other structures, and specialty wood packaging, components and packing materials for various industries. Our strategic long-term sales objectives include:</w:t>
      </w:r>
    </w:p>
    <w:p>
      <w:pPr>
        <w:spacing w:after="0" w:line="176" w:lineRule="exact"/>
        <w:rPr>
          <w:sz w:val="20"/>
          <w:szCs w:val="20"/>
          <w:color w:val="auto"/>
        </w:rPr>
      </w:pPr>
    </w:p>
    <w:p>
      <w:pPr>
        <w:jc w:val="both"/>
        <w:ind w:left="380" w:right="79" w:hanging="330"/>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Maximizing unit sales growth while achieving return on investment goals.</w:t>
      </w:r>
      <w:r>
        <w:rPr>
          <w:rFonts w:ascii="Arial" w:cs="Arial" w:eastAsia="Arial" w:hAnsi="Arial"/>
          <w:sz w:val="18"/>
          <w:szCs w:val="18"/>
          <w:color w:val="auto"/>
        </w:rPr>
        <w:t xml:space="preserve"> The following table presents estimates, for the periods indicated, of our percentage change in net sales which were attributable to changes in overall selling prices versus changes in units shipped.</w:t>
      </w:r>
    </w:p>
    <w:p>
      <w:pPr>
        <w:spacing w:after="0" w:line="188" w:lineRule="exact"/>
        <w:rPr>
          <w:rFonts w:ascii="Arial" w:cs="Arial" w:eastAsia="Arial" w:hAnsi="Arial"/>
          <w:sz w:val="18"/>
          <w:szCs w:val="18"/>
          <w:color w:val="auto"/>
        </w:rPr>
      </w:pPr>
    </w:p>
    <w:p>
      <w:pPr>
        <w:ind w:left="6780" w:hanging="170"/>
        <w:spacing w:after="0"/>
        <w:tabs>
          <w:tab w:leader="none" w:pos="6780" w:val="left"/>
        </w:tabs>
        <w:numPr>
          <w:ilvl w:val="1"/>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33"/>
        </w:trPr>
        <w:tc>
          <w:tcPr>
            <w:tcW w:w="48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right"/>
              <w:ind w:right="190"/>
              <w:spacing w:after="0"/>
              <w:rPr>
                <w:sz w:val="20"/>
                <w:szCs w:val="20"/>
                <w:color w:val="auto"/>
              </w:rPr>
            </w:pPr>
            <w:r>
              <w:rPr>
                <w:rFonts w:ascii="Arial" w:cs="Arial" w:eastAsia="Arial" w:hAnsi="Arial"/>
                <w:sz w:val="14"/>
                <w:szCs w:val="14"/>
                <w:b w:val="1"/>
                <w:bCs w:val="1"/>
                <w:color w:val="auto"/>
                <w:w w:val="89"/>
              </w:rPr>
              <w:t>in Selling</w:t>
            </w: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50"/>
              <w:spacing w:after="0" w:line="133" w:lineRule="exact"/>
              <w:rPr>
                <w:sz w:val="20"/>
                <w:szCs w:val="20"/>
                <w:color w:val="auto"/>
              </w:rPr>
            </w:pPr>
            <w:r>
              <w:rPr>
                <w:rFonts w:ascii="Arial" w:cs="Arial" w:eastAsia="Arial" w:hAnsi="Arial"/>
                <w:sz w:val="14"/>
                <w:szCs w:val="14"/>
                <w:b w:val="1"/>
                <w:bCs w:val="1"/>
                <w:color w:val="auto"/>
                <w:w w:val="91"/>
              </w:rPr>
              <w:t>Acquisition</w:t>
            </w:r>
          </w:p>
        </w:tc>
        <w:tc>
          <w:tcPr>
            <w:tcW w:w="76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in Sales</w:t>
            </w:r>
          </w:p>
        </w:tc>
        <w:tc>
          <w:tcPr>
            <w:tcW w:w="2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89"/>
              </w:rPr>
              <w:t>in Units</w:t>
            </w:r>
          </w:p>
        </w:tc>
        <w:tc>
          <w:tcPr>
            <w:tcW w:w="9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Unit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20" w:type="dxa"/>
            <w:vAlign w:val="bottom"/>
          </w:tcPr>
          <w:p>
            <w:pPr>
              <w:jc w:val="right"/>
              <w:ind w:right="39"/>
              <w:spacing w:after="0"/>
              <w:rPr>
                <w:sz w:val="20"/>
                <w:szCs w:val="20"/>
                <w:color w:val="auto"/>
              </w:rPr>
            </w:pPr>
            <w:r>
              <w:rPr>
                <w:rFonts w:ascii="Arial" w:cs="Arial" w:eastAsia="Arial" w:hAnsi="Arial"/>
                <w:sz w:val="14"/>
                <w:szCs w:val="14"/>
                <w:b w:val="1"/>
                <w:bCs w:val="1"/>
                <w:color w:val="auto"/>
              </w:rPr>
              <w:t>Prices</w:t>
            </w:r>
          </w:p>
        </w:tc>
        <w:tc>
          <w:tcPr>
            <w:tcW w:w="2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7"/>
        </w:trPr>
        <w:tc>
          <w:tcPr>
            <w:tcW w:w="48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Third quarter 2021 versus Third quarter 2020</w:t>
            </w:r>
          </w:p>
        </w:tc>
        <w:tc>
          <w:tcPr>
            <w:tcW w:w="4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4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Year-to-date 2021 versus Year-to-date 2020</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76.0 %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46.0 %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30.0 %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80" w:right="79" w:hanging="330"/>
        <w:spacing w:after="0" w:line="25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Diversifying our end market sales mix</w:t>
      </w:r>
      <w:r>
        <w:rPr>
          <w:rFonts w:ascii="Arial" w:cs="Arial" w:eastAsia="Arial" w:hAnsi="Arial"/>
          <w:sz w:val="18"/>
          <w:szCs w:val="18"/>
          <w:color w:val="auto"/>
        </w:rPr>
        <w:t xml:space="preserve"> by increasing sales of specialty wood and protective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casework and millwork used in a variety of commercial markets.</w:t>
      </w:r>
    </w:p>
    <w:p>
      <w:pPr>
        <w:spacing w:after="0" w:line="187" w:lineRule="exact"/>
        <w:rPr>
          <w:rFonts w:ascii="Arial" w:cs="Arial" w:eastAsia="Arial" w:hAnsi="Arial"/>
          <w:sz w:val="18"/>
          <w:szCs w:val="18"/>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Expanding geographically in our core businesses</w:t>
      </w:r>
      <w:r>
        <w:rPr>
          <w:rFonts w:ascii="Arial" w:cs="Arial" w:eastAsia="Arial" w:hAnsi="Arial"/>
          <w:sz w:val="18"/>
          <w:szCs w:val="18"/>
          <w:color w:val="auto"/>
        </w:rPr>
        <w:t>, domestically and internationally.</w:t>
      </w:r>
    </w:p>
    <w:p>
      <w:pPr>
        <w:spacing w:after="0" w:line="225" w:lineRule="exact"/>
        <w:rPr>
          <w:rFonts w:ascii="Arial" w:cs="Arial" w:eastAsia="Arial" w:hAnsi="Arial"/>
          <w:sz w:val="18"/>
          <w:szCs w:val="18"/>
          <w:color w:val="auto"/>
        </w:rPr>
      </w:pPr>
    </w:p>
    <w:p>
      <w:pPr>
        <w:jc w:val="both"/>
        <w:ind w:left="380" w:right="79" w:hanging="330"/>
        <w:spacing w:after="0" w:line="288"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 xml:space="preserve">Increasing our sales of "value-added" products and enhancing our product offering with new or improved products. </w:t>
      </w:r>
      <w:r>
        <w:rPr>
          <w:rFonts w:ascii="Arial" w:cs="Arial" w:eastAsia="Arial" w:hAnsi="Arial"/>
          <w:sz w:val="16"/>
          <w:szCs w:val="16"/>
          <w:color w:val="auto"/>
        </w:rPr>
        <w:t>Value-added products generally consist of fencing, decking, lattice, and other specialty products sold to the retail market, specialty wood packaging, engineered wood components, customized interior fixtures, manufactured and assembled concrete forms, and "wood alternative" products. Engineered wood components include roof trusses, wall panels, and floor systems. Wood alternative products consist of products manufactured with wood and non-wood composites, metal,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The following table presents, for the periods indicated, our percentage of value-added and commodity-based sales to total sales by our segments (retail, industrial, construction, all other and corporate).</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640" w:type="dxa"/>
            <w:vAlign w:val="bottom"/>
          </w:tcPr>
          <w:p>
            <w:pPr>
              <w:spacing w:after="0"/>
              <w:rPr>
                <w:sz w:val="15"/>
                <w:szCs w:val="15"/>
                <w:color w:val="auto"/>
              </w:rPr>
            </w:pPr>
          </w:p>
        </w:tc>
        <w:tc>
          <w:tcPr>
            <w:tcW w:w="2640" w:type="dxa"/>
            <w:vAlign w:val="bottom"/>
            <w:gridSpan w:val="4"/>
          </w:tcPr>
          <w:p>
            <w:pPr>
              <w:spacing w:after="0"/>
              <w:rPr>
                <w:sz w:val="20"/>
                <w:szCs w:val="20"/>
                <w:color w:val="auto"/>
              </w:rPr>
            </w:pPr>
            <w:r>
              <w:rPr>
                <w:rFonts w:ascii="Arial" w:cs="Arial" w:eastAsia="Arial" w:hAnsi="Arial"/>
                <w:sz w:val="14"/>
                <w:szCs w:val="14"/>
                <w:b w:val="1"/>
                <w:bCs w:val="1"/>
                <w:color w:val="auto"/>
                <w:w w:val="95"/>
              </w:rPr>
              <w:t>Three Months Ended September 25, 2021</w:t>
            </w:r>
          </w:p>
        </w:tc>
        <w:tc>
          <w:tcPr>
            <w:tcW w:w="2640" w:type="dxa"/>
            <w:vAlign w:val="bottom"/>
            <w:gridSpan w:val="5"/>
          </w:tcPr>
          <w:p>
            <w:pPr>
              <w:spacing w:after="0"/>
              <w:rPr>
                <w:sz w:val="20"/>
                <w:szCs w:val="20"/>
                <w:color w:val="auto"/>
              </w:rPr>
            </w:pPr>
            <w:r>
              <w:rPr>
                <w:rFonts w:ascii="Arial" w:cs="Arial" w:eastAsia="Arial" w:hAnsi="Arial"/>
                <w:sz w:val="14"/>
                <w:szCs w:val="14"/>
                <w:b w:val="1"/>
                <w:bCs w:val="1"/>
                <w:color w:val="auto"/>
                <w:w w:val="95"/>
              </w:rPr>
              <w:t>Three Months Ended September 26, 2020</w:t>
            </w:r>
          </w:p>
        </w:tc>
      </w:tr>
      <w:tr>
        <w:trPr>
          <w:trHeight w:val="155"/>
        </w:trPr>
        <w:tc>
          <w:tcPr>
            <w:tcW w:w="3640" w:type="dxa"/>
            <w:vAlign w:val="bottom"/>
          </w:tcPr>
          <w:p>
            <w:pPr>
              <w:spacing w:after="0"/>
              <w:rPr>
                <w:sz w:val="13"/>
                <w:szCs w:val="13"/>
                <w:color w:val="auto"/>
              </w:rPr>
            </w:pPr>
          </w:p>
        </w:tc>
        <w:tc>
          <w:tcPr>
            <w:tcW w:w="1360" w:type="dxa"/>
            <w:vAlign w:val="bottom"/>
            <w:tcBorders>
              <w:top w:val="single" w:sz="8" w:color="auto"/>
            </w:tcBorders>
            <w:gridSpan w:val="2"/>
          </w:tcPr>
          <w:p>
            <w:pPr>
              <w:ind w:left="200"/>
              <w:spacing w:after="0" w:line="149" w:lineRule="exact"/>
              <w:rPr>
                <w:sz w:val="20"/>
                <w:szCs w:val="20"/>
                <w:color w:val="auto"/>
              </w:rPr>
            </w:pPr>
            <w:r>
              <w:rPr>
                <w:rFonts w:ascii="Arial" w:cs="Arial" w:eastAsia="Arial" w:hAnsi="Arial"/>
                <w:sz w:val="14"/>
                <w:szCs w:val="14"/>
                <w:b w:val="1"/>
                <w:bCs w:val="1"/>
                <w:color w:val="auto"/>
              </w:rPr>
              <w:t>Value-Added</w:t>
            </w:r>
          </w:p>
        </w:tc>
        <w:tc>
          <w:tcPr>
            <w:tcW w:w="11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Commodity-Based</w:t>
            </w:r>
          </w:p>
        </w:tc>
        <w:tc>
          <w:tcPr>
            <w:tcW w:w="100" w:type="dxa"/>
            <w:vAlign w:val="bottom"/>
          </w:tcPr>
          <w:p>
            <w:pPr>
              <w:spacing w:after="0"/>
              <w:rPr>
                <w:sz w:val="13"/>
                <w:szCs w:val="13"/>
                <w:color w:val="auto"/>
              </w:rPr>
            </w:pPr>
          </w:p>
        </w:tc>
        <w:tc>
          <w:tcPr>
            <w:tcW w:w="1340" w:type="dxa"/>
            <w:vAlign w:val="bottom"/>
            <w:tcBorders>
              <w:top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Value-Added</w:t>
            </w:r>
          </w:p>
        </w:tc>
        <w:tc>
          <w:tcPr>
            <w:tcW w:w="12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3"/>
              </w:rPr>
              <w:t>Commodity-Based</w:t>
            </w:r>
          </w:p>
        </w:tc>
        <w:tc>
          <w:tcPr>
            <w:tcW w:w="100" w:type="dxa"/>
            <w:vAlign w:val="bottom"/>
            <w:gridSpan w:val="2"/>
          </w:tcPr>
          <w:p>
            <w:pPr>
              <w:spacing w:after="0"/>
              <w:rPr>
                <w:sz w:val="13"/>
                <w:szCs w:val="13"/>
                <w:color w:val="auto"/>
              </w:rPr>
            </w:pPr>
          </w:p>
        </w:tc>
      </w:tr>
      <w:tr>
        <w:trPr>
          <w:trHeight w:val="21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50.3 %</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180" w:type="dxa"/>
            <w:vAlign w:val="bottom"/>
          </w:tcPr>
          <w:p>
            <w:pPr>
              <w:jc w:val="right"/>
              <w:spacing w:after="0"/>
              <w:rPr>
                <w:sz w:val="20"/>
                <w:szCs w:val="20"/>
                <w:color w:val="auto"/>
              </w:rPr>
            </w:pPr>
            <w:r>
              <w:rPr>
                <w:rFonts w:ascii="Arial" w:cs="Arial" w:eastAsia="Arial" w:hAnsi="Arial"/>
                <w:sz w:val="18"/>
                <w:szCs w:val="18"/>
                <w:color w:val="auto"/>
              </w:rPr>
              <w:t>69.2 %</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74.5 %</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1180" w:type="dxa"/>
            <w:vAlign w:val="bottom"/>
          </w:tcPr>
          <w:p>
            <w:pPr>
              <w:jc w:val="right"/>
              <w:spacing w:after="0"/>
              <w:rPr>
                <w:sz w:val="20"/>
                <w:szCs w:val="20"/>
                <w:color w:val="auto"/>
              </w:rPr>
            </w:pPr>
            <w:r>
              <w:rPr>
                <w:rFonts w:ascii="Arial" w:cs="Arial" w:eastAsia="Arial" w:hAnsi="Arial"/>
                <w:sz w:val="18"/>
                <w:szCs w:val="18"/>
                <w:color w:val="auto"/>
              </w:rPr>
              <w:t>70.7 %</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74.1 %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3640" w:type="dxa"/>
            <w:vAlign w:val="bottom"/>
          </w:tcPr>
          <w:p>
            <w:pPr>
              <w:spacing w:after="0"/>
              <w:rPr>
                <w:sz w:val="24"/>
                <w:szCs w:val="24"/>
                <w:color w:val="auto"/>
              </w:rPr>
            </w:pPr>
          </w:p>
        </w:tc>
        <w:tc>
          <w:tcPr>
            <w:tcW w:w="1180" w:type="dxa"/>
            <w:vAlign w:val="bottom"/>
          </w:tcPr>
          <w:p>
            <w:pPr>
              <w:jc w:val="right"/>
              <w:ind w:right="175"/>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700" w:type="dxa"/>
            <w:vAlign w:val="bottom"/>
          </w:tcPr>
          <w:p>
            <w:pPr>
              <w:spacing w:after="0"/>
              <w:rPr>
                <w:sz w:val="15"/>
                <w:szCs w:val="15"/>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w w:val="95"/>
              </w:rPr>
              <w:t>Nine Months Ended September 25, 2021</w:t>
            </w:r>
          </w:p>
        </w:tc>
        <w:tc>
          <w:tcPr>
            <w:tcW w:w="26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Nine Months Ended September 26, 2020</w:t>
            </w:r>
          </w:p>
        </w:tc>
      </w:tr>
      <w:tr>
        <w:trPr>
          <w:trHeight w:val="156"/>
        </w:trPr>
        <w:tc>
          <w:tcPr>
            <w:tcW w:w="3700" w:type="dxa"/>
            <w:vAlign w:val="bottom"/>
          </w:tcPr>
          <w:p>
            <w:pPr>
              <w:spacing w:after="0"/>
              <w:rPr>
                <w:sz w:val="13"/>
                <w:szCs w:val="13"/>
                <w:color w:val="auto"/>
              </w:rPr>
            </w:pPr>
          </w:p>
        </w:tc>
        <w:tc>
          <w:tcPr>
            <w:tcW w:w="1300" w:type="dxa"/>
            <w:vAlign w:val="bottom"/>
            <w:tcBorders>
              <w:top w:val="single" w:sz="8" w:color="auto"/>
            </w:tcBorders>
            <w:gridSpan w:val="2"/>
          </w:tcPr>
          <w:p>
            <w:pPr>
              <w:ind w:left="160"/>
              <w:spacing w:after="0" w:line="149" w:lineRule="exact"/>
              <w:rPr>
                <w:sz w:val="20"/>
                <w:szCs w:val="20"/>
                <w:color w:val="auto"/>
              </w:rPr>
            </w:pPr>
            <w:r>
              <w:rPr>
                <w:rFonts w:ascii="Arial" w:cs="Arial" w:eastAsia="Arial" w:hAnsi="Arial"/>
                <w:sz w:val="14"/>
                <w:szCs w:val="14"/>
                <w:b w:val="1"/>
                <w:bCs w:val="1"/>
                <w:color w:val="auto"/>
              </w:rPr>
              <w:t>Value-Added</w:t>
            </w:r>
          </w:p>
        </w:tc>
        <w:tc>
          <w:tcPr>
            <w:tcW w:w="11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Commodity-Based</w:t>
            </w:r>
          </w:p>
        </w:tc>
        <w:tc>
          <w:tcPr>
            <w:tcW w:w="100" w:type="dxa"/>
            <w:vAlign w:val="bottom"/>
          </w:tcPr>
          <w:p>
            <w:pPr>
              <w:spacing w:after="0"/>
              <w:rPr>
                <w:sz w:val="13"/>
                <w:szCs w:val="13"/>
                <w:color w:val="auto"/>
              </w:rPr>
            </w:pPr>
          </w:p>
        </w:tc>
        <w:tc>
          <w:tcPr>
            <w:tcW w:w="1320" w:type="dxa"/>
            <w:vAlign w:val="bottom"/>
            <w:tcBorders>
              <w:top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Value-Added</w:t>
            </w:r>
          </w:p>
        </w:tc>
        <w:tc>
          <w:tcPr>
            <w:tcW w:w="11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Commodity-Based</w:t>
            </w:r>
          </w:p>
        </w:tc>
        <w:tc>
          <w:tcPr>
            <w:tcW w:w="160" w:type="dxa"/>
            <w:vAlign w:val="bottom"/>
          </w:tcPr>
          <w:p>
            <w:pPr>
              <w:spacing w:after="0"/>
              <w:rPr>
                <w:sz w:val="13"/>
                <w:szCs w:val="13"/>
                <w:color w:val="auto"/>
              </w:rPr>
            </w:pPr>
          </w:p>
        </w:tc>
      </w:tr>
      <w:tr>
        <w:trPr>
          <w:trHeight w:val="21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140" w:type="dxa"/>
            <w:vAlign w:val="bottom"/>
          </w:tcPr>
          <w:p>
            <w:pPr>
              <w:jc w:val="right"/>
              <w:spacing w:after="0"/>
              <w:rPr>
                <w:sz w:val="20"/>
                <w:szCs w:val="20"/>
                <w:color w:val="auto"/>
              </w:rPr>
            </w:pPr>
            <w:r>
              <w:rPr>
                <w:rFonts w:ascii="Arial" w:cs="Arial" w:eastAsia="Arial" w:hAnsi="Arial"/>
                <w:sz w:val="18"/>
                <w:szCs w:val="18"/>
                <w:color w:val="auto"/>
              </w:rPr>
              <w:t>66.6 %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34.5 %</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60" w:type="dxa"/>
            <w:vAlign w:val="bottom"/>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1140" w:type="dxa"/>
            <w:vAlign w:val="bottom"/>
          </w:tcPr>
          <w:p>
            <w:pPr>
              <w:jc w:val="right"/>
              <w:spacing w:after="0"/>
              <w:rPr>
                <w:sz w:val="20"/>
                <w:szCs w:val="20"/>
                <w:color w:val="auto"/>
              </w:rPr>
            </w:pPr>
            <w:r>
              <w:rPr>
                <w:rFonts w:ascii="Arial" w:cs="Arial" w:eastAsia="Arial" w:hAnsi="Arial"/>
                <w:sz w:val="18"/>
                <w:szCs w:val="18"/>
                <w:color w:val="auto"/>
              </w:rPr>
              <w:t>71.6 %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25.0 %</w:t>
            </w:r>
          </w:p>
        </w:tc>
        <w:tc>
          <w:tcPr>
            <w:tcW w:w="16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160" w:type="dxa"/>
            <w:vAlign w:val="bottom"/>
            <w:shd w:val="clear" w:color="auto" w:fill="CCEEFF"/>
          </w:tcPr>
          <w:p>
            <w:pPr>
              <w:spacing w:after="0"/>
              <w:rPr>
                <w:sz w:val="18"/>
                <w:szCs w:val="18"/>
                <w:color w:val="auto"/>
              </w:rPr>
            </w:pPr>
          </w:p>
        </w:tc>
      </w:tr>
    </w:tbl>
    <w:p>
      <w:pPr>
        <w:spacing w:after="0" w:line="143"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"value-added" resulted in a change in prior year's sales.</w:t>
      </w:r>
    </w:p>
    <w:p>
      <w:pPr>
        <w:spacing w:after="0" w:line="178" w:lineRule="exact"/>
        <w:rPr>
          <w:sz w:val="20"/>
          <w:szCs w:val="20"/>
          <w:color w:val="auto"/>
        </w:rPr>
      </w:pPr>
    </w:p>
    <w:p>
      <w:pPr>
        <w:jc w:val="both"/>
        <w:ind w:left="380" w:right="59"/>
        <w:spacing w:after="0" w:line="269" w:lineRule="auto"/>
        <w:rPr>
          <w:sz w:val="20"/>
          <w:szCs w:val="20"/>
          <w:color w:val="auto"/>
        </w:rPr>
      </w:pPr>
      <w:r>
        <w:rPr>
          <w:rFonts w:ascii="Arial" w:cs="Arial" w:eastAsia="Arial" w:hAnsi="Arial"/>
          <w:sz w:val="17"/>
          <w:szCs w:val="17"/>
          <w:color w:val="auto"/>
        </w:rPr>
        <w:t>The increase in our ratio of commodity-based sales to total sales during the first nine months of 2021 reflected in the table above is primarily due to the impact of dramatically higher lumber prices in the first half of 2021, which have normalized during the third quarter. This is due to the fact that the selling prices of these products are generally indexed to the current Lumber Market at the time they are shipped and lumber costs comprise a much higher percentage of the selling price than they do for value-added products. The acquisition of Sunbelt and Spartanburg also contributed to the increase in commodity-based sales of treated lumber in our retail segment, while PalletOne contributed to the increase in value-added sales in the industrial segment. Our unit sales of value-added products increased approximately 17% in the third quarter of 2021 compared to 2020, including a 15% contribution from acquisitions and 2% organic growth. Our unit sales of commodity-based products increased approximately 7%, including a 19% contribution from acquisitions and an organic unit decline of 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jc w:val="both"/>
        <w:ind w:left="380" w:right="79" w:hanging="330"/>
        <w:spacing w:after="0" w:line="255"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Developing new products.</w:t>
      </w:r>
      <w:r>
        <w:rPr>
          <w:rFonts w:ascii="Arial" w:cs="Arial" w:eastAsia="Arial" w:hAnsi="Arial"/>
          <w:sz w:val="18"/>
          <w:szCs w:val="18"/>
          <w:color w:val="auto"/>
        </w:rPr>
        <w:t xml:space="preserve"> We define new products as those that will generate sales of at least a $1 million per year within 4 years of launch and are still growing and gaining market penetration. New product sales in the third quarter of 2021 increased 24%. Approximately $10 million of new product sales for the first nine months of 2020, while still sold, were sunset in 2021 and excluded from the table below because they no longer meet the definition above. Our goal is to achieve annual new product sales of at least $575 million in 2021, which we have already attained. The table below presents new product sales in thousands: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center"/>
              <w:ind w:left="197"/>
              <w:spacing w:after="0"/>
              <w:rPr>
                <w:sz w:val="20"/>
                <w:szCs w:val="20"/>
                <w:color w:val="auto"/>
              </w:rPr>
            </w:pPr>
            <w:r>
              <w:rPr>
                <w:rFonts w:ascii="Arial" w:cs="Arial" w:eastAsia="Arial" w:hAnsi="Arial"/>
                <w:sz w:val="14"/>
                <w:szCs w:val="14"/>
                <w:b w:val="1"/>
                <w:bCs w:val="1"/>
                <w:color w:val="auto"/>
                <w:w w:val="90"/>
              </w:rPr>
              <w:t>New Product Sales by Segment</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New Product Sales by Segment</w:t>
            </w:r>
          </w:p>
        </w:tc>
        <w:tc>
          <w:tcPr>
            <w:tcW w:w="240" w:type="dxa"/>
            <w:vAlign w:val="bottom"/>
            <w:tcBorders>
              <w:bottom w:val="single" w:sz="8" w:color="auto"/>
            </w:tcBorders>
          </w:tcPr>
          <w:p>
            <w:pPr>
              <w:spacing w:after="0"/>
              <w:rPr>
                <w:sz w:val="15"/>
                <w:szCs w:val="15"/>
                <w:color w:val="auto"/>
              </w:rPr>
            </w:pPr>
          </w:p>
        </w:tc>
      </w:tr>
      <w:tr>
        <w:trPr>
          <w:trHeight w:val="155"/>
        </w:trPr>
        <w:tc>
          <w:tcPr>
            <w:tcW w:w="2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center"/>
              <w:ind w:left="217"/>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39"/>
        </w:trPr>
        <w:tc>
          <w:tcPr>
            <w:tcW w:w="2340" w:type="dxa"/>
            <w:vAlign w:val="bottom"/>
          </w:tcPr>
          <w:p>
            <w:pPr>
              <w:spacing w:after="0"/>
              <w:rPr>
                <w:sz w:val="12"/>
                <w:szCs w:val="12"/>
                <w:color w:val="auto"/>
              </w:rPr>
            </w:pPr>
          </w:p>
        </w:tc>
        <w:tc>
          <w:tcPr>
            <w:tcW w:w="11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September 25,</w:t>
            </w:r>
          </w:p>
        </w:tc>
        <w:tc>
          <w:tcPr>
            <w:tcW w:w="132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September 26,</w:t>
            </w:r>
          </w:p>
        </w:tc>
        <w:tc>
          <w:tcPr>
            <w:tcW w:w="520" w:type="dxa"/>
            <w:vAlign w:val="bottom"/>
          </w:tcPr>
          <w:p>
            <w:pPr>
              <w:jc w:val="right"/>
              <w:ind w:right="95"/>
              <w:spacing w:after="0" w:line="13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w w:val="96"/>
              </w:rPr>
              <w:t>September 25,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September 26,</w:t>
            </w:r>
          </w:p>
        </w:tc>
        <w:tc>
          <w:tcPr>
            <w:tcW w:w="600" w:type="dxa"/>
            <w:vAlign w:val="bottom"/>
          </w:tcPr>
          <w:p>
            <w:pPr>
              <w:jc w:val="right"/>
              <w:ind w:right="35"/>
              <w:spacing w:after="0" w:line="13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178"/>
        </w:trPr>
        <w:tc>
          <w:tcPr>
            <w:tcW w:w="2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Change</w:t>
            </w: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301,602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41,436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115,542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51,582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and Corporate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140.4</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13,419</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w:t>
            </w:r>
          </w:p>
        </w:tc>
        <w:tc>
          <w:tcPr>
            <w:tcW w:w="1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New Product Sales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196,753</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158,923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600,173</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403,304</w:t>
            </w: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Certain prior year product reclassifications and the change in designation of certain products as "new" resulted in a change in prior year's sales.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Net sales in the third quarter of 2021 decreased by 1% compared to the same period of 2020, due to acquisition unit growth of 18%, which was offset by an organic unit decline of 19%. The price variance for this period was flat as the impact of lower prices on commodity-based products was offset by higher prices on value-added products which are generally sold at a fixed price. Organic unit decreases of 29% in our Handprint Home &amp; Décor products, 28% in our ProWood pressure-treated products, 14% in our Deckorators composite decking and railing products, and 8% in our Outdoor Essentials Fence, Lawn &amp; Garden products were offset by organic unit growth of 12% in our UFP Edge siding, pattern, and trim products. The decline in our unit sales is primarily due to a shift in consumer spending as a result of the end of pandemic-related restrictions on certain activities. The increase in unit sales of UFP Edge was largely due to investments made to increase our capacity to produce these products as well as market share gains. Lastly, approximately $13 million of sales to customers that distribute products for concrete forming were transferred from the construction segment to the retail segment. Sales to big box customers were down 8%, while sales to independent retailers increased 14%.</w:t>
      </w:r>
    </w:p>
    <w:p>
      <w:pPr>
        <w:spacing w:after="0" w:line="17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Gross profits decreased by $94.8 million, or 89.7% to $10.8 million for the third quarter of 2021 compared to the same period last year. Our decrease in gross profit was attributable to the following</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720" w:right="79" w:hanging="319"/>
        <w:spacing w:after="0" w:line="263"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gross profits of our ProWood business unit decreased by $68.7 million, primarily due to the impact that declining lumber prices had on ProWood’s pressure treated products that are sold at a variable price. Decreased unit sales also contributed to the reduction in gross profit.</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operations reported a loss in gross profits and contributed $7.2 million to the decrease due to the drop in lumber prices.</w:t>
      </w:r>
    </w:p>
    <w:p>
      <w:pPr>
        <w:spacing w:after="0" w:line="170"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 sales decreases contributed $13.2 million to the decline in gross profit for our Deckorators, Retail Building Products, Handprint, and Outdoor Essentials Fence, Lawn &amp; Garden business units. UFP Edge experienced organic unit growth of 12% due to an increase in capacity, but had a reduction in gross profit of $5.7 million due to the fluctuation of lumber prices.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decreased by approximately $6.6 million, or 15.2%, in the third quarter of 2021 compared to the same period of 2020. The SG&amp;A of recently acquired businesses contributed $4.8 million to the change in SG&amp;A. This was offset by accrued bonus expense, which varies with our overall profitability and return on investment, which decreased by $12.0 million and totaled approximately $3.0 million for the quarter. The remaining change was primarily due to increases in salaries and wages and travel related expenses, offset by decreases in sales incentive compensation and bad debt expense.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decreased in the third quarter of 2021 compared to 2020 by $88.3 million, or 142%, as a result of the factors mentioned above.</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sales in the first nine months of 2021 increased 63% compared to the same period of 2020, due to a 33% increase in selling prices and a 36% increase in unit sales from acquired operations, offset by a 6% decrease in organic unit sales. Organic unit increases of 21% of UFP Edge, 13% of Deckorators, and 7% of Outdoor Essentials, were offset by organic unit declines of 19% of ProWood and 11% of Handprint. The transfer of approximately $29 million in sales to the retail segment from the construction segment discussed above contributed to unit growth in the retail segment. Sales to big box customers were up 55% (12% organic), while sales to independent retailers decreased 5% (6% organic).</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Gross profits increased 0.4% to $233.6 million in the first nine months of 2021 compared to the same period of 2020. Our change in gross profit was attributable to the following:</w:t>
      </w:r>
    </w:p>
    <w:p>
      <w:pPr>
        <w:spacing w:after="0" w:line="170" w:lineRule="exact"/>
        <w:rPr>
          <w:sz w:val="20"/>
          <w:szCs w:val="20"/>
          <w:color w:val="auto"/>
        </w:rPr>
      </w:pPr>
    </w:p>
    <w:p>
      <w:pPr>
        <w:ind w:left="720" w:right="79" w:hanging="319"/>
        <w:spacing w:after="0" w:line="308"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Retail Building Materials business unit contributed $26.3 million to the increase. This increase is primarily due to unit sales growth and rising lumber and panel prices combined with effective inventory positioning.</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Deckorators, Outdoor Essentials, Handprint, E-Commerce, and UFP Edge business units contributed $0.2 million of additional gross profit.</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contributed $6.7 million to the increase.</w:t>
      </w:r>
    </w:p>
    <w:p>
      <w:pPr>
        <w:spacing w:after="0" w:line="22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gross profit of our ProWood business unit decreased by $31.8 million, primarily due to the impact that fluctuating lumber prices during the first nine months of the year had on ProWood’s pressure-treated products that are sold at a variable price.</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$33.8 million, or 30.5%, in the first nine months of 2021 compared to the same period of 2020. The SG&amp;A of recently acquired businesses contributed approximately $12.7 million to this increase. Accrued bonus expense, which varies with our overall profitability and return on investment, increased approximately $11.0 million and totaled approximately $37.9 for the first nine months of 2021. The remaining increase was primarily due to increases in salaries and wages, sales incentive compensation, and travel related expenses.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decreased in the first nine months of 2021 compared to 2020 by $32.6 million, or 26.7% as a result of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Industrial Segment</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Net sales in the third quarter of 2021 increased 103% compared to the same period of 2020, due to a 34% increase in unit sales from recent acquisitions and a 69% increase in selling prices attributable to favorable sales mix changes as well as the Lumber Market.</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Gross profits increased by $78.3 million, or 162.5%, for the third quarter of 2021 compared to the same period last year. Acquisitions contributed $21.5 million to the increase in gross profit. The remaining increase was primarily due to favorable changes in sales mix and the decline in lumber costs. We estimate that value-added and commodity-based products contributed $36.5 million and $20.2 million, respectively, to the increase in gross profit.</w:t>
      </w:r>
    </w:p>
    <w:p>
      <w:pPr>
        <w:sectPr>
          <w:pgSz w:w="11900" w:h="16838" w:orient="portrait"/>
          <w:cols w:equalWidth="0" w:num="1">
            <w:col w:w="9019"/>
          </w:cols>
          <w:pgMar w:left="1440" w:top="544"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Selling, general and administrative (“SG&amp;A”) expenses increased by approximately $29.6 million, or 113.7%, in the third quarter of 2021 compared to the same period of 2020. Acquired operations since the third quarter of 2020 contributed approximately $7.4 million to our increase in costs. Accrued bonus expense, which varies with our overall profitability and return on investment, increased approximately $12.6 million, and totaled $18.7 million for the quarter. The remaining increase was primarily due to increases in salaries and wages, sales incentive compensation, and travel related expenses.</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Industrial reportable segment increased in the third quarter of 2021 compared to 2020 by $48.4 million, or 219.5%, due to the factors discussed above.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sales in the first nine months of 2021 increased 114% compared to the same period of 2020, due to a 67% increase in selling prices attributable to the Lumber Market and favorable sales mix changes, a 10% increase in organic unit sales, and a 37% increase in unit sales from recent acquisitions.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Gross profits in the first nine months of 2021 increased 167.3% to $213.6 million compared to the same period of 2020. Acquisitions contributed $57.9 million to the increase in gross profit. The remaining increase was primarily due to organic unit sales growth and leveraging fixed costs as well as favorable changes in sales mix. In addition, in the first six months of the year we were able to maintain our profit per unit by more effectively passing on commodity lumber and other cost increases in our selling prices.</w:t>
      </w:r>
    </w:p>
    <w:p>
      <w:pPr>
        <w:spacing w:after="0" w:line="18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Selling, general and administrative (“SG&amp;A”) expenses increased by approximately $77.1 million, or 104.6%, in the first nine months of 2021 compared to the same period of 2020. Acquired operations since the third quarter of 2020 contributed approximately $21.3 million to total SG&amp;A expenses. Accrued bonus expense increased approximately $37.9 million compared to the same period of 2020 and totaled approximately $50.4 for the first nine months of 2021. The remaining increase was primarily due to increases in salaries and wages and sales incentive compensation.</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Industrial reportable segment increased in the first nine months of 2021 compared to 2020 by $136.5 million, or 253.6%,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Net sales in the third quarter of 2021 increased 62% compared to the same period of 2020, due to a 43% increase in selling prices attributable to the Lumber Market and unit sales growth of 19%, including 3% from recent acquisitions. Organic unit changes within this segment consisted of increases of 26% in commercial construction, 23% in site-built construction, and 17% in factory-built housing, offset by a 37% decrease in concrete forming. The transfer of approximately $13 million in sales to the retail segment from the construction segment discussed above contributed to the unit decline in the concrete forming business unit.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profits increased by $92.0 million, or 148.2%, for the third quarter of 2021 compared to the same period of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increase in our gross profit was comprised of the following factors:</w:t>
      </w:r>
    </w:p>
    <w:p>
      <w:pPr>
        <w:spacing w:after="0" w:line="211" w:lineRule="exact"/>
        <w:rPr>
          <w:sz w:val="20"/>
          <w:szCs w:val="20"/>
          <w:color w:val="auto"/>
        </w:rPr>
      </w:pPr>
    </w:p>
    <w:p>
      <w:pPr>
        <w:ind w:left="720" w:right="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profits in our factory-built housing business unit increased $20.6 million as a result of increased unit sales and leveraging fixed costs.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profits in our site-built construction business unit increased by $63.2 million due to unit sales growth and leveraging fixed costs and as a result of a decrease in lumber costs.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gross profit of our commercial construction business unit increased $7.1 million as a result of increased unit sales, better productivity, and other operational improvements.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gross profit of our concrete forming business unit decreased by $0.3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Acquired businesses contributed $1.3 million.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$25.2 million, or 55.6%, in the third quarter of 2021 compared to the same period of 2020. Acquired operations since the third quarter of 2020 contributed approximately $1.1 million to total SG&amp;A expenses for the quarter. Accrued bonus expense, which varies with our overall profitability and return on investment, increased approximately $14.8 million, and totaled $19.5 million for the quarter. The remaining increase was primarily due to increases in salaries and wages, sales incentive compensation, medical expenses, and travel related expenses.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Construction reportable segment increased in the third quarter of 2021 compared to 2020 by $67.7 million, or 409.9%, due to the factors mentioned above.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Net sales in the first nine months of 2021 increased 70% compared to the same period of 2020, due to a 52% increase in selling prices primarily due to the Lumber Market and unit sales growth of 18%, including 3% from acquisitions. Organic unit changes within this segment consisted of increases of 27% in factory-built housing, 21% in site-built construction, and 8% in commercial construction. These increases were offset by a unit decline of 37% in concrete forming. The transfer of approximately $29 million in sales to the retail segment from the construction segment discussed above contributed to the unit decline in the concrete forming business unit.</w:t>
      </w:r>
    </w:p>
    <w:p>
      <w:pPr>
        <w:spacing w:after="0" w:line="19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Gross profits increased by $192.5 million, or 104.4% for the first nine months of 2021 compared to the same period of 2020. The increase in our gross profits was comprised of the following factors:</w:t>
      </w:r>
    </w:p>
    <w:p>
      <w:pPr>
        <w:spacing w:after="0" w:line="170" w:lineRule="exact"/>
        <w:rPr>
          <w:sz w:val="20"/>
          <w:szCs w:val="20"/>
          <w:color w:val="auto"/>
        </w:rPr>
      </w:pPr>
    </w:p>
    <w:p>
      <w:pPr>
        <w:ind w:left="720" w:right="7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profits in our factory-built housing business unit increased by $68.8 million as a result of increased unit sales and leveraging fixed costs.</w:t>
      </w:r>
    </w:p>
    <w:p>
      <w:pPr>
        <w:spacing w:after="0" w:line="170"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Gross profits in our site-built construction business unit increased by $105.6 million due to unit sales growth and leveraging fixed costs. In addition, we were able to maintain our profit per unit by more effectively passing on commodity lumber and other cost increases in our selling prices in the first six months of the year.</w:t>
      </w:r>
    </w:p>
    <w:p>
      <w:pPr>
        <w:spacing w:after="0" w:line="165"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gross profit of our commercial construction business unit increased $8.2 million as a result of increased unit sales, better productivity, and other operational improvements.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gross profit of our concrete forming business unit increased $5.0 million due to the factors discussed above.</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Acquired businesses contributed $5.0 million.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$59.0 million, or 44.0%, in the first nine months of 2021 compared to the same period of 2020. Acquired operations since the third quarter of 2020 contributed approximately $3.8 million to total SG&amp;A expenses. Accrued bonus expense increased approximately $34.8 million compared to the same period of 2020 and totaled approximately $46.2 million for the first nine months of 2021. The remaining increase was primarily due to increases in salaries and wages, sales incentive compensation, medical expenses, and professional design fees.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Construction reportable segment increased in the first nine months of 2021 compared to 2020 by $133.8 million, or 264.7%,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not significant.</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Corporate</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corporate segment consists of over (under) allocated costs that are not significant and gains on the sale of certain real estate.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foreign, state and local income taxes and permanent tax differences. Our effective tax rate was 23.0% in the third quarter of 2021 compared to 25.4% for same period in 2020 and was 24.0% in the first nine months of 2021 compared to 25.2% for the same period in 2020. The decrease was primarily due to a decrease in permanent tax differences in 2021 compared to the prior year, none of which are individually significant.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5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89"/>
              </w:rPr>
              <w:t>September 25,</w:t>
            </w:r>
          </w:p>
        </w:tc>
        <w:tc>
          <w:tcPr>
            <w:tcW w:w="16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1"/>
              </w:rPr>
              <w:t>September 26,</w:t>
            </w:r>
          </w:p>
        </w:tc>
      </w:tr>
      <w:tr>
        <w:trPr>
          <w:trHeight w:val="178"/>
        </w:trPr>
        <w:tc>
          <w:tcPr>
            <w:tcW w:w="57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(528,257)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(100,927)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from financing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95,178</w:t>
            </w:r>
          </w:p>
        </w:tc>
      </w:tr>
      <w:tr>
        <w:trPr>
          <w:trHeight w:val="223"/>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(280,379)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178,212</w:t>
            </w:r>
          </w:p>
        </w:tc>
      </w:tr>
      <w:tr>
        <w:trPr>
          <w:trHeight w:val="223"/>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436,608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168,666</w:t>
            </w:r>
          </w:p>
        </w:tc>
      </w:tr>
      <w:tr>
        <w:trPr>
          <w:trHeight w:val="216"/>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346,878</w:t>
            </w:r>
          </w:p>
        </w:tc>
      </w:tr>
      <w:tr>
        <w:trPr>
          <w:trHeight w:val="20"/>
        </w:trPr>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general, we fund our growth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9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typically experience a substantial decrease in working capital once we move beyond our peak selling season which typically results in significant cash flows from operations in our third and fourth quarters. As explained in more detail below, the unusually large increase in lumber prices this year, as well as the significant increase in sales, resulted in a more significant increase in net working capital this year relative to prior years.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57 days from 43 days during the third quarter and to 52 days from 49 days during the first nine months of 2021 compared to the respective prior periods.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7"/>
              </w:rPr>
              <w:t>September 25,</w:t>
            </w:r>
          </w:p>
        </w:tc>
        <w:tc>
          <w:tcPr>
            <w:tcW w:w="10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rPr>
              <w:t>September 26,</w:t>
            </w:r>
          </w:p>
        </w:tc>
        <w:tc>
          <w:tcPr>
            <w:tcW w:w="180" w:type="dxa"/>
            <w:vAlign w:val="bottom"/>
          </w:tcPr>
          <w:p>
            <w:pPr>
              <w:spacing w:after="0"/>
              <w:rPr>
                <w:sz w:val="10"/>
                <w:szCs w:val="10"/>
                <w:color w:val="auto"/>
              </w:rPr>
            </w:pPr>
          </w:p>
        </w:tc>
        <w:tc>
          <w:tcPr>
            <w:tcW w:w="108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rPr>
              <w:t>September 25,</w:t>
            </w:r>
          </w:p>
        </w:tc>
        <w:tc>
          <w:tcPr>
            <w:tcW w:w="9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September 26,</w:t>
            </w:r>
          </w:p>
        </w:tc>
      </w:tr>
      <w:tr>
        <w:trPr>
          <w:trHeight w:val="178"/>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900" w:type="dxa"/>
            <w:vAlign w:val="bottom"/>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2020</w:t>
            </w:r>
          </w:p>
        </w:tc>
      </w:tr>
      <w:tr>
        <w:trPr>
          <w:trHeight w:val="216"/>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6"/>
        </w:trPr>
        <w:tc>
          <w:tcPr>
            <w:tcW w:w="2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3"/>
        </w:trPr>
        <w:tc>
          <w:tcPr>
            <w:tcW w:w="2480" w:type="dxa"/>
            <w:vAlign w:val="bottom"/>
            <w:gridSpan w:val="2"/>
          </w:tcPr>
          <w:p>
            <w:pPr>
              <w:spacing w:after="0" w:line="203" w:lineRule="exact"/>
              <w:rPr>
                <w:sz w:val="20"/>
                <w:szCs w:val="20"/>
                <w:color w:val="auto"/>
              </w:rPr>
            </w:pPr>
            <w:r>
              <w:rPr>
                <w:rFonts w:ascii="Arial" w:cs="Arial" w:eastAsia="Arial" w:hAnsi="Arial"/>
                <w:sz w:val="18"/>
                <w:szCs w:val="18"/>
                <w:color w:val="auto"/>
              </w:rPr>
              <w:t>Days in cash cycle</w:t>
            </w:r>
          </w:p>
        </w:tc>
        <w:tc>
          <w:tcPr>
            <w:tcW w:w="54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increase in our days supply of inventory in the first nine months of 2021 compared to the same period of 2020 was primarily due to lower retail demand than our customers anticipated for our inventory planning. The four day increase in our receivables cycle was primarily due to longer payment terms for new customers attributable to recent acquisitions.</w:t>
      </w:r>
    </w:p>
    <w:p>
      <w:pPr>
        <w:spacing w:after="0" w:line="14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the first nine months of 2021, our cash provided by operating activities was $281.8 million, which was comprised of net earnings of $405.4 million and $69.1 million of non-cash expenses, offset by a $192.7 million increase in working capital since the end of December 2020. Our operating cash flow this year increased by $96.7 million compared to the same period of last year primarily due to an increase in our net earnings and non-cash expenses of $229.8 million, offset by an increase in our investment in net working capital of $133.1 million compared to the prior year period. This increase was due to unusually high lumber prices and increased demand in our industrial and construction segments. PalletOne and other acquisitions also contributed to the increase in our seasonal investment in net working capital.</w:t>
      </w:r>
    </w:p>
    <w:p>
      <w:pPr>
        <w:spacing w:after="0" w:line="17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Acquisitions and purchases of property, plant, and equipment comprised most of our cash used in investing activities during the first nine months of 2021 and totaled $433.3 million and $110.1 million, respectively. Total proceeds from the sales of property, plant, and equipment were $26.6 million. Outstanding purchase commitments on existing capital projects totaled approximately $44.1 million on September 25, 2021. Capital spending primarily consists of several projects to expand capacity to manufacture new and value-added products, achieve efficiencies through automation, make improvements to a number of facilities, and increase our transportation capacity (tractors, trailers) in order to meet higher volumes and replace old rolling stock. We intend to fund capital expenditures and purchase commitments through our operating cash flows for the balance of the year. We currently plan to spend approximately $147 million on capital projects for the year. Notable areas of capital spending include projects to increase the capacity and efficiency of our plants that produce our Deckorators mineral-based composite and wood-plastic composite decking and our UFP Edge siding, pattern and trim products, expand our machine-built pallet capacity, and take advantage of automation opportunities.</w:t>
      </w:r>
    </w:p>
    <w:p>
      <w:pPr>
        <w:spacing w:after="0" w:line="17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Cash flows from financing activities primarily consisted of net repayments of debt of approximately $1.4 million, the payment of quarterly dividends totaling $27.8 million ($0.15 per share), and distributions to noncontrolling interests of $2.9 million. On October 20, 2021, our board of directors approved an increase in our fourth quarter dividend to $0.20 per share, payable on December 15, 2021, to shareholders of record on December 1, 2021.</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September 25, 2021, we had $3.2 million outstanding on our $550 million revolving credit facility, and we had approximately $539.7 million in remaining availability after considering $7.1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September 25, 2021.</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At the end of the third quarter of 2021, we have approximately $667.5 million in total liquidity, consisting of our net cash surplus and remaining availability under our revolving credit facility. We anticipate our liquidity will continue to increase in the last three months of 2021 as lumber prices and demand continue to normalize and we convert our seasonal increase in net working capital to cash.</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26, 2020.</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9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are deemed immaterial to the financial statements, however any material hedge contract in the future will be disclosed.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880" w:right="79" w:hanging="317"/>
        <w:spacing w:after="0" w:line="301"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25, 2021 (the “Evaluation Date”), have concluded that, as of such date, our disclosure controls and procedures were effective.</w:t>
      </w:r>
    </w:p>
    <w:p>
      <w:pPr>
        <w:spacing w:after="0" w:line="157" w:lineRule="exact"/>
        <w:rPr>
          <w:rFonts w:ascii="Arial" w:cs="Arial" w:eastAsia="Arial" w:hAnsi="Arial"/>
          <w:sz w:val="16"/>
          <w:szCs w:val="16"/>
          <w:color w:val="auto"/>
        </w:rPr>
      </w:pPr>
    </w:p>
    <w:p>
      <w:pPr>
        <w:jc w:val="both"/>
        <w:ind w:left="880" w:right="79" w:hanging="317"/>
        <w:spacing w:after="0" w:line="25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September 25, 2021, there were no changes in our internal control over financial reporting that materially affected, or is reasonably likely to materially affect, our internal control over financial reporting, except for the implementation of a control to address the material weakness in control over our share-based bonus awards disclosed in our 2020 Form 10-K, which was remediated in the first quarter of 2021.</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40" w:type="dxa"/>
            <w:vAlign w:val="bottom"/>
            <w:gridSpan w:val="4"/>
          </w:tcPr>
          <w:p>
            <w:pPr>
              <w:ind w:left="20"/>
              <w:spacing w:after="0"/>
              <w:rPr>
                <w:sz w:val="20"/>
                <w:szCs w:val="20"/>
                <w:color w:val="auto"/>
              </w:rPr>
            </w:pPr>
            <w:r>
              <w:rPr>
                <w:rFonts w:ascii="Arial" w:cs="Arial" w:eastAsia="Arial" w:hAnsi="Arial"/>
                <w:sz w:val="14"/>
                <w:szCs w:val="14"/>
                <w:b w:val="1"/>
                <w:bCs w:val="1"/>
                <w:color w:val="auto"/>
              </w:rPr>
              <w:t>Fiscal Month</w:t>
            </w: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(b)</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210"/>
        </w:trPr>
        <w:tc>
          <w:tcPr>
            <w:tcW w:w="58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June 27 – July 31, 2021</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60" w:type="dxa"/>
            <w:vAlign w:val="bottom"/>
          </w:tcPr>
          <w:p>
            <w:pPr>
              <w:ind w:left="20"/>
              <w:spacing w:after="0"/>
              <w:rPr>
                <w:sz w:val="20"/>
                <w:szCs w:val="20"/>
                <w:color w:val="auto"/>
              </w:rPr>
            </w:pPr>
            <w:r>
              <w:rPr>
                <w:rFonts w:ascii="Arial" w:cs="Arial" w:eastAsia="Arial" w:hAnsi="Arial"/>
                <w:sz w:val="18"/>
                <w:szCs w:val="18"/>
                <w:color w:val="auto"/>
                <w:w w:val="92"/>
              </w:rPr>
              <w:t>August</w:t>
            </w:r>
          </w:p>
        </w:tc>
        <w:tc>
          <w:tcPr>
            <w:tcW w:w="5380" w:type="dxa"/>
            <w:vAlign w:val="bottom"/>
            <w:gridSpan w:val="3"/>
          </w:tcPr>
          <w:p>
            <w:pPr>
              <w:ind w:left="20"/>
              <w:spacing w:after="0"/>
              <w:rPr>
                <w:sz w:val="20"/>
                <w:szCs w:val="20"/>
                <w:color w:val="auto"/>
              </w:rPr>
            </w:pPr>
            <w:r>
              <w:rPr>
                <w:rFonts w:ascii="Arial" w:cs="Arial" w:eastAsia="Arial" w:hAnsi="Arial"/>
                <w:sz w:val="18"/>
                <w:szCs w:val="18"/>
                <w:color w:val="auto"/>
              </w:rPr>
              <w:t>1 – 28, 2021</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August</w:t>
            </w:r>
          </w:p>
        </w:tc>
        <w:tc>
          <w:tcPr>
            <w:tcW w:w="5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29 – September 25, 2021</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108"/>
        </w:trPr>
        <w:tc>
          <w:tcPr>
            <w:tcW w:w="5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80"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1.1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40" w:hanging="490"/>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30"/>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Certificate of the Chief Executive Officer of UFP Industries, Inc., pursuant to Section 302 of the Sarbanes-</w:t>
        </w:r>
      </w:hyperlink>
      <w:hyperlink w:anchor="page38">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1"/>
          <w:numId w:val="30"/>
        </w:numPr>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Certificate of the Chief Financial Officer of UFP Industries, Inc., pursuant to Section 302 of the Sarbanes-</w:t>
        </w:r>
      </w:hyperlink>
      <w:hyperlink w:anchor="page39">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540" w:hanging="490"/>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1100" w:right="139" w:hanging="564"/>
        <w:spacing w:after="0" w:line="277" w:lineRule="auto"/>
        <w:tabs>
          <w:tab w:leader="none" w:pos="1100" w:val="left"/>
        </w:tabs>
        <w:numPr>
          <w:ilvl w:val="0"/>
          <w:numId w:val="31"/>
        </w:numPr>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Certificate of the Chief Executive Officer of UFP Industries, Inc., pursuant to Section 906 of the Sarbanes-</w:t>
        </w:r>
      </w:hyperlink>
      <w:hyperlink w:anchor="page40">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u w:val="single" w:color="auto"/>
          <w:color w:val="0000EE"/>
        </w:rPr>
      </w:pPr>
    </w:p>
    <w:p>
      <w:pPr>
        <w:ind w:left="1100" w:right="139" w:hanging="564"/>
        <w:spacing w:after="0" w:line="277" w:lineRule="auto"/>
        <w:tabs>
          <w:tab w:leader="none" w:pos="1100" w:val="left"/>
        </w:tabs>
        <w:numPr>
          <w:ilvl w:val="0"/>
          <w:numId w:val="31"/>
        </w:numPr>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Certificate of the Chief Financial Officer of UFP Industries, Inc., pursuant to Section 906 of the Sarbanes-</w:t>
        </w:r>
      </w:hyperlink>
      <w:hyperlink w:anchor="page41">
        <w:r>
          <w:rPr>
            <w:rFonts w:ascii="Arial" w:cs="Arial" w:eastAsia="Arial" w:hAnsi="Arial"/>
            <w:sz w:val="18"/>
            <w:szCs w:val="18"/>
            <w:u w:val="single" w:color="auto"/>
            <w:color w:val="0000EE"/>
          </w:rPr>
          <w:t>Oxley Act of 2002 (18 U.S.C. 1350).</w:t>
        </w:r>
      </w:hyperlink>
    </w:p>
    <w:p>
      <w:pPr>
        <w:spacing w:after="0" w:line="170" w:lineRule="exact"/>
        <w:rPr>
          <w:rFonts w:ascii="Arial" w:cs="Arial" w:eastAsia="Arial" w:hAnsi="Arial"/>
          <w:sz w:val="18"/>
          <w:szCs w:val="18"/>
          <w:color w:val="auto"/>
        </w:rPr>
      </w:pPr>
    </w:p>
    <w:p>
      <w:pPr>
        <w:ind w:left="540" w:right="1859" w:hanging="490"/>
        <w:spacing w:after="0" w:line="50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Interactive Data File formatted in iXBRL (Inline eXtensible Business Reporting Language). (INS) iXBRL Instance Document.</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(SCH) iXBRL Schema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(CAL) iXBRL Taxonomy Extension Calculation Linkbase Document.</w:t>
      </w:r>
    </w:p>
    <w:p>
      <w:pPr>
        <w:spacing w:after="0" w:line="225" w:lineRule="exact"/>
        <w:rPr>
          <w:rFonts w:ascii="Arial" w:cs="Arial" w:eastAsia="Arial" w:hAnsi="Arial"/>
          <w:sz w:val="18"/>
          <w:szCs w:val="18"/>
          <w:color w:val="auto"/>
        </w:rPr>
      </w:pPr>
    </w:p>
    <w:p>
      <w:pPr>
        <w:ind w:left="540" w:right="3339"/>
        <w:spacing w:after="0" w:line="623" w:lineRule="auto"/>
        <w:rPr>
          <w:rFonts w:ascii="Arial" w:cs="Arial" w:eastAsia="Arial" w:hAnsi="Arial"/>
          <w:sz w:val="18"/>
          <w:szCs w:val="18"/>
          <w:color w:val="auto"/>
        </w:rPr>
      </w:pPr>
      <w:r>
        <w:rPr>
          <w:rFonts w:ascii="Arial" w:cs="Arial" w:eastAsia="Arial" w:hAnsi="Arial"/>
          <w:sz w:val="16"/>
          <w:szCs w:val="16"/>
          <w:color w:val="auto"/>
        </w:rPr>
        <w:t>(LAB) iXBRL Taxonomy Extension Label Linkbase Document. (PRE) iXBRL Taxonomy Extension Presentation Linkbase Document.</w:t>
      </w:r>
    </w:p>
    <w:p>
      <w:pPr>
        <w:spacing w:after="0" w:line="341" w:lineRule="exact"/>
        <w:rPr>
          <w:rFonts w:ascii="Arial" w:cs="Arial" w:eastAsia="Arial" w:hAnsi="Arial"/>
          <w:sz w:val="18"/>
          <w:szCs w:val="18"/>
          <w:color w:val="auto"/>
        </w:rPr>
      </w:pPr>
    </w:p>
    <w:p>
      <w:pPr>
        <w:ind w:left="540" w:hanging="490"/>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Cover Page Interactive Data File (the cover page XBRL tags are embedded 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November 3, 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639"/>
        <w:spacing w:after="0"/>
        <w:rPr>
          <w:sz w:val="20"/>
          <w:szCs w:val="20"/>
          <w:color w:val="auto"/>
        </w:rPr>
      </w:pPr>
      <w:r>
        <w:rPr>
          <w:rFonts w:ascii="Arial" w:cs="Arial" w:eastAsia="Arial" w:hAnsi="Arial"/>
          <w:sz w:val="17"/>
          <w:szCs w:val="17"/>
          <w:b w:val="1"/>
          <w:bCs w:val="1"/>
          <w:color w:val="auto"/>
        </w:rPr>
        <w:t>UFP INDUSTRIES, INC.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26657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4" w:right="1440"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November 3, 2021</w:t>
            </w:r>
          </w:p>
        </w:tc>
        <w:tc>
          <w:tcPr>
            <w:tcW w:w="444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November 3, 2021</w:t>
            </w:r>
          </w:p>
        </w:tc>
        <w:tc>
          <w:tcPr>
            <w:tcW w:w="444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777"/>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Matthew J. Missad, Chief Executive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25, 2021,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jc w:val="both"/>
        <w:ind w:left="620" w:right="79" w:hanging="570"/>
        <w:spacing w:after="0" w:line="263"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25, 2021, fairly presents, in all material respects, the financial condition and results of operations of UFP Industries, Inc.</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November 3, 2021</w:t>
            </w:r>
          </w:p>
        </w:tc>
        <w:tc>
          <w:tcPr>
            <w:tcW w:w="444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0"/>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25, 2021,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jc w:val="both"/>
        <w:ind w:left="620" w:right="79" w:hanging="570"/>
        <w:spacing w:after="0" w:line="263"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25, 2021, fairly presents, in all material respects, the financial condition and results of operations of UFP Industries, Inc.</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November 3, 2021</w:t>
            </w:r>
          </w:p>
        </w:tc>
        <w:tc>
          <w:tcPr>
            <w:tcW w:w="444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upperLetter"/>
      <w:start w:val="1"/>
    </w:lvl>
  </w:abstractNum>
  <w:abstractNum w:abstractNumId="3">
    <w:nsid w:val="436C6125"/>
    <w:multiLevelType w:val="hybridMultilevel"/>
    <w:lvl w:ilvl="0">
      <w:lvlJc w:val="left"/>
      <w:lvlText w:val="%1."/>
      <w:numFmt w:val="upperLetter"/>
      <w:start w:val="2"/>
    </w:lvl>
  </w:abstractNum>
  <w:abstractNum w:abstractNumId="4">
    <w:nsid w:val="628C895D"/>
    <w:multiLevelType w:val="hybridMultilevel"/>
    <w:lvl w:ilvl="0">
      <w:lvlJc w:val="left"/>
      <w:lvlText w:val="%1."/>
      <w:numFmt w:val="upperLetter"/>
      <w:start w:val="3"/>
    </w:lvl>
  </w:abstractNum>
  <w:abstractNum w:abstractNumId="5">
    <w:nsid w:val="333AB105"/>
    <w:multiLevelType w:val="hybridMultilevel"/>
    <w:lvl w:ilvl="0">
      <w:lvlJc w:val="left"/>
      <w:lvlText w:val="%1."/>
      <w:numFmt w:val="upperLetter"/>
      <w:start w:val="4"/>
    </w:lvl>
  </w:abstractNum>
  <w:abstractNum w:abstractNumId="6">
    <w:nsid w:val="721DA317"/>
    <w:multiLevelType w:val="hybridMultilevel"/>
    <w:lvl w:ilvl="0">
      <w:lvlJc w:val="left"/>
      <w:lvlText w:val="%1."/>
      <w:numFmt w:val="upperLetter"/>
      <w:start w:val="5"/>
    </w:lvl>
  </w:abstractNum>
  <w:abstractNum w:abstractNumId="7">
    <w:nsid w:val="2443A858"/>
    <w:multiLevelType w:val="hybridMultilevel"/>
    <w:lvl w:ilvl="0">
      <w:lvlJc w:val="left"/>
      <w:lvlText w:val="%1."/>
      <w:numFmt w:val="upperLetter"/>
      <w:start w:val="6"/>
    </w:lvl>
  </w:abstractNum>
  <w:abstractNum w:abstractNumId="8">
    <w:nsid w:val="2D1D5AE9"/>
    <w:multiLevelType w:val="hybridMultilevel"/>
    <w:lvl w:ilvl="0">
      <w:lvlJc w:val="left"/>
      <w:lvlText w:val="%1."/>
      <w:numFmt w:val="upperLetter"/>
      <w:start w:val="7"/>
    </w:lvl>
  </w:abstractNum>
  <w:abstractNum w:abstractNumId="9">
    <w:nsid w:val="6763845E"/>
    <w:multiLevelType w:val="hybridMultilevel"/>
    <w:lvl w:ilvl="0">
      <w:lvlJc w:val="left"/>
      <w:lvlText w:val="%1."/>
      <w:numFmt w:val="upperLetter"/>
      <w:start w:val="8"/>
    </w:lvl>
  </w:abstractNum>
  <w:abstractNum w:abstractNumId="10">
    <w:nsid w:val="75A2A8D4"/>
    <w:multiLevelType w:val="hybridMultilevel"/>
    <w:lvl w:ilvl="0">
      <w:lvlJc w:val="left"/>
      <w:lvlText w:val="%1."/>
      <w:numFmt w:val="upperLetter"/>
      <w:start w:val="9"/>
    </w:lvl>
  </w:abstractNum>
  <w:abstractNum w:abstractNumId="11">
    <w:nsid w:val="8EDBDAB"/>
    <w:multiLevelType w:val="hybridMultilevel"/>
    <w:lvl w:ilvl="0">
      <w:lvlJc w:val="left"/>
      <w:lvlText w:val="%1."/>
      <w:numFmt w:val="upperLetter"/>
      <w:start w:val="10"/>
    </w:lvl>
  </w:abstractNum>
  <w:abstractNum w:abstractNumId="12">
    <w:nsid w:val="79838CB2"/>
    <w:multiLevelType w:val="hybridMultilevel"/>
    <w:lvl w:ilvl="0">
      <w:lvlJc w:val="left"/>
      <w:lvlText w:val="%1."/>
      <w:numFmt w:val="upperLetter"/>
      <w:start w:val="1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lvl w:ilvl="1">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31"/>
    </w:lvl>
    <w:lvl w:ilvl="1">
      <w:lvlJc w:val="left"/>
      <w:lvlText w:val="(%2)"/>
      <w:numFmt w:val="lowerLetter"/>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01"/>
    </w:lvl>
  </w:abstractNum>
  <w:abstractNum w:abstractNumId="32">
    <w:nsid w:val="5577F8E1"/>
    <w:multiLevelType w:val="hybridMultilevel"/>
    <w:lvl w:ilvl="0">
      <w:lvlJc w:val="left"/>
      <w:lvlText w:val="%1"/>
      <w:numFmt w:val="decimal"/>
      <w:start w:val="10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2021-11-03T15:19:18Z</dcterms:created>
  <dcterms:modified xsi:type="dcterms:W3CDTF">2021-11-03T15:19:18Z</dcterms:modified>
</cp:coreProperties>
</file>