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24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62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460" w:type="dxa"/>
            <w:vAlign w:val="bottom"/>
            <w:gridSpan w:val="6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jc w:val="center"/>
              <w:ind w:right="4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180" w:type="dxa"/>
            <w:vAlign w:val="bottom"/>
            <w:gridSpan w:val="5"/>
            <w:vMerge w:val="restart"/>
          </w:tcPr>
          <w:p>
            <w:pPr>
              <w:jc w:val="center"/>
              <w:ind w:right="289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restart"/>
          </w:tcPr>
          <w:p>
            <w:pPr>
              <w:jc w:val="center"/>
              <w:ind w:left="7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CURRIE WILLIAM G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UFP INDUSTRIES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UFPI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9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-1148080</wp:posOffset>
            </wp:positionV>
            <wp:extent cx="7045325" cy="57715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577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3" w:right="359" w:bottom="1440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2801 EAST BELTINE N E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6"/>
        </w:trPr>
        <w:tc>
          <w:tcPr>
            <w:tcW w:w="3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08/01/2023</w:t>
            </w:r>
          </w:p>
        </w:tc>
        <w:tc>
          <w:tcPr>
            <w:tcW w:w="20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6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3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8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8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  <w:right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808080"/>
              <w:right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326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34,369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9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103.35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Units credited as part of Director Compensation Plan.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issuable upon termination of service as director.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112 shares credited based on dividends paid on June 15, 2023.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-9525</wp:posOffset>
            </wp:positionV>
            <wp:extent cx="97409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William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08/02/2023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-13335</wp:posOffset>
            </wp:positionV>
            <wp:extent cx="189103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0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G. Currie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-13335</wp:posOffset>
            </wp:positionV>
            <wp:extent cx="41021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0940226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2023-08-03T09:30:15Z</dcterms:created>
  <dcterms:modified xsi:type="dcterms:W3CDTF">2023-08-03T09:30:15Z</dcterms:modified>
</cp:coreProperties>
</file>