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1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6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-654685</wp:posOffset>
            </wp:positionV>
            <wp:extent cx="59690" cy="6680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4157980</wp:posOffset>
            </wp:positionH>
            <wp:positionV relativeFrom="paragraph">
              <wp:posOffset>-654685</wp:posOffset>
            </wp:positionV>
            <wp:extent cx="59690" cy="6680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21590</wp:posOffset>
            </wp:positionV>
            <wp:extent cx="7322820" cy="4950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0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COLEMAN ROBERT D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02/08/2008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8" w:right="640" w:firstLine="8"/>
        <w:spacing w:after="0" w:line="258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18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VP of Manufacturing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820" w:space="168"/>
            <w:col w:w="3472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4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Conditional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02/08/2008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Award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conditional share grant represents a contingent right to receive one share of Company common stock.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conditional share grant vests on the third anniversary of the grant date (February 8, 2011), conditioned upon the recipient's continued employment through that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-13970</wp:posOffset>
            </wp:positionV>
            <wp:extent cx="13544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 in Fact for Robert D.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02/12/2008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-18415</wp:posOffset>
            </wp:positionV>
            <wp:extent cx="19634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34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Coleman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-18415</wp:posOffset>
            </wp:positionV>
            <wp:extent cx="4019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8"/>
        <w:spacing w:after="0" w:line="323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77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2019-12-16T10:02:00Z</dcterms:created>
  <dcterms:modified xsi:type="dcterms:W3CDTF">2019-12-16T10:02:00Z</dcterms:modified>
</cp:coreProperties>
</file>