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4820" w:firstLine="8"/>
        <w:spacing w:after="0" w:line="216" w:lineRule="exact"/>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 - 6(e)(2))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UNIVERSAL FOREST PRODUCTS, INC.</w:t>
      </w:r>
    </w:p>
    <w:p>
      <w:pPr>
        <w:spacing w:after="0" w:line="2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53" w:lineRule="exact"/>
        <w:rPr>
          <w:rFonts w:ascii="MS PGothic" w:cs="MS PGothic" w:eastAsia="MS PGothic" w:hAnsi="MS PGothic"/>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260" w:hanging="332"/>
        <w:spacing w:after="0" w:line="288" w:lineRule="auto"/>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-3063240</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-2745740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-2291080</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-1665605</wp:posOffset>
            </wp:positionV>
            <wp:extent cx="642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-799465</wp:posOffset>
            </wp:positionV>
            <wp:extent cx="6423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-481965</wp:posOffset>
            </wp:positionV>
            <wp:extent cx="6423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-164465</wp:posOffset>
            </wp:positionV>
            <wp:extent cx="642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13"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Universal Forest Products,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2801 East Beltline 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Grand Rapids, MI 49525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Annual Meeting of Shareholders of Universal Forest Products, Inc. (the “Company”) will be held in the Company’s Technology and Training Building, 2880 East Beltline Lane NE, Grand Rapids, MI 49525, on Tuesday, April 18, 2017, at 8:30 a.m. local time (registration begins at 8:00 a.m.) for the following purposes:</w:t>
      </w:r>
    </w:p>
    <w:p>
      <w:pPr>
        <w:spacing w:after="0" w:line="18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for three-year terms expiring in 2020.</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approve an Amendment to the Articles of Incorporation to add an additional 40,000,000 shares of Common Stock.</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fiscal 2017.</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participate in an advisory vote to approve the compensation paid to our Named Executives.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Shareholders of record at the close of business on February 21, 2017, are entitled to notice of and to vote at the meeting. To vote by telephone, shareholders of record may call toll-free on a touch-tone telephone, 1-800-690-6903, enter the control number located on their Notice of Internet Availability of Proxy Materials, and follow the recorded instructions. To vote via the Internet, shareholders of record may go to the Internet address http://www.proxyvote.com, enter the control number located on their Notice, and follow the instructions provided.</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 Tutas, General Counsel and Secretary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vote is important. Even if you plan to attend the meeting,</w:t>
      </w:r>
    </w:p>
    <w:p>
      <w:pPr>
        <w:jc w:val="center"/>
        <w:spacing w:after="0"/>
        <w:rPr>
          <w:sz w:val="20"/>
          <w:szCs w:val="20"/>
          <w:color w:val="auto"/>
        </w:rPr>
      </w:pPr>
      <w:r>
        <w:rPr>
          <w:rFonts w:ascii="Arial" w:cs="Arial" w:eastAsia="Arial" w:hAnsi="Arial"/>
          <w:sz w:val="18"/>
          <w:szCs w:val="18"/>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Universal Forest Products,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2801 East Beltline NE</w:t>
      </w:r>
    </w:p>
    <w:p>
      <w:pPr>
        <w:jc w:val="center"/>
        <w:spacing w:after="0"/>
        <w:rPr>
          <w:sz w:val="20"/>
          <w:szCs w:val="20"/>
          <w:color w:val="auto"/>
        </w:rPr>
      </w:pPr>
      <w:r>
        <w:rPr>
          <w:rFonts w:ascii="Arial" w:cs="Arial" w:eastAsia="Arial" w:hAnsi="Arial"/>
          <w:sz w:val="18"/>
          <w:szCs w:val="18"/>
          <w:color w:val="auto"/>
        </w:rPr>
        <w:t>Grand Rapids, MI 49525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Annual Meeting of Shareholders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18, 2017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2017 Proxy Statement</w:t>
      </w:r>
    </w:p>
    <w:p>
      <w:pPr>
        <w:spacing w:after="0" w:line="394"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auto"/>
        </w:rPr>
        <w:t>GENERAL QUESTIONS AND ANSWERS ABOUT THE MEETING AND VOTING</w:t>
      </w:r>
    </w:p>
    <w:p>
      <w:pPr>
        <w:spacing w:after="0" w:line="228"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The following is information regarding the meeting and the voting process, presented in a question and answer format. </w:t>
      </w:r>
      <w:r>
        <w:rPr>
          <w:rFonts w:ascii="Arial" w:cs="Arial" w:eastAsia="Arial" w:hAnsi="Arial"/>
          <w:sz w:val="18"/>
          <w:szCs w:val="18"/>
          <w:b w:val="1"/>
          <w:bCs w:val="1"/>
          <w:color w:val="auto"/>
        </w:rPr>
        <w:t>What is a proxy?</w:t>
      </w:r>
    </w:p>
    <w:p>
      <w:pPr>
        <w:jc w:val="both"/>
        <w:ind w:firstLine="648"/>
        <w:spacing w:after="0" w:line="239" w:lineRule="auto"/>
        <w:rPr>
          <w:sz w:val="20"/>
          <w:szCs w:val="20"/>
          <w:color w:val="auto"/>
        </w:rPr>
      </w:pPr>
      <w:r>
        <w:rPr>
          <w:rFonts w:ascii="Arial" w:cs="Arial" w:eastAsia="Arial" w:hAnsi="Arial"/>
          <w:sz w:val="18"/>
          <w:szCs w:val="18"/>
          <w:color w:val="auto"/>
        </w:rPr>
        <w:t>A proxy is your authorization for someone else to vote for you in the way that you want to vote and allows you to be represented at our Annual Meeting of Shareholders if you are unable to attend. When you complete and submit a proxy card, use the automated telephone voting system or the Internet voting system, you are submitting a proxy. The Board of Directors of the Company is soliciting this proxy. As used in this proxy statement, the terms “the Company,” “we,” “our” and “us” all refer to Universal Forest Products, Inc. and its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 statement?</w:t>
      </w:r>
    </w:p>
    <w:p>
      <w:pPr>
        <w:spacing w:after="0" w:line="19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 proxy statement is a document that the United States Securities and Exchange Commission (“SEC”) requires to explain the matters on which you are asked to vote on by proxy and to disclose certain related information. This proxy statement was first made available to our shareholders on or about March 9,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my proxy materials electronically instead of receiving paper copies through the mail?</w:t>
      </w:r>
    </w:p>
    <w:p>
      <w:pPr>
        <w:spacing w:after="0" w:line="19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1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or about March 9, 2017,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The Notice instructs you on how to electronically access and review all of the information contained in this proxy statement and the annual report, and it provides you with information on voting.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3" w:name="page4"/>
    <w:bookmarkEnd w:id="3"/>
    <w:p>
      <w:pPr>
        <w:jc w:val="both"/>
        <w:ind w:right="20" w:firstLine="648"/>
        <w:spacing w:after="0" w:line="227" w:lineRule="auto"/>
        <w:rPr>
          <w:sz w:val="20"/>
          <w:szCs w:val="20"/>
          <w:color w:val="auto"/>
        </w:rPr>
      </w:pPr>
      <w:r>
        <w:rPr>
          <w:rFonts w:ascii="Arial" w:cs="Arial" w:eastAsia="Arial" w:hAnsi="Arial"/>
          <w:sz w:val="18"/>
          <w:szCs w:val="18"/>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is this year’s proxy statement available electronically?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view this proxy statement and our 2016 Report to Shareholders electronically by going to www.proxyvote.com.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Only record holders of the Company’s common stock at the close of business on February 21, 2017 (the “Record Date”), can vote at the Annual Meeting. Each shareholder of record has one vote, for each share of common stock owned, on each matter presented for a vote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your shares are registered directly in your name, you are considered the shareholder of record with respect to those shares.</w:t>
      </w:r>
    </w:p>
    <w:p>
      <w:pPr>
        <w:spacing w:after="0" w:line="171"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how to vote their shares. See “How can I vote?”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If your shares are held in “street name,” follow the instructions provided by your bank, broker, or other nominee. If your shares are held in your name, you may vote in one of four ways:</w:t>
      </w:r>
    </w:p>
    <w:p>
      <w:pPr>
        <w:spacing w:after="0" w:line="170" w:lineRule="exact"/>
        <w:rPr>
          <w:sz w:val="20"/>
          <w:szCs w:val="20"/>
          <w:color w:val="auto"/>
        </w:rPr>
      </w:pPr>
    </w:p>
    <w:p>
      <w:pPr>
        <w:ind w:left="180" w:right="20" w:hanging="172"/>
        <w:spacing w:after="0" w:line="246"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 Internet: Go to www.proxyvote.com and follow the instructions. You may do this at your convenience, 24 hours a day, 7 days a week. You will need to have your proxy card or Notice in hand. The deadline for Internet voting is 11:59 p.m. Eastern time, April 17, 2017.</w:t>
      </w:r>
    </w:p>
    <w:p>
      <w:pPr>
        <w:spacing w:after="0" w:line="169" w:lineRule="exact"/>
        <w:rPr>
          <w:rFonts w:ascii="Arial" w:cs="Arial" w:eastAsia="Arial" w:hAnsi="Arial"/>
          <w:sz w:val="18"/>
          <w:szCs w:val="18"/>
          <w:color w:val="auto"/>
        </w:rPr>
      </w:pPr>
    </w:p>
    <w:p>
      <w:pPr>
        <w:ind w:left="180" w:hanging="172"/>
        <w:spacing w:after="0" w:line="241"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By Telephone: Call toll-free 1-800-690-6903 and follow the instructions. You may do this at your convenience, 24 hours a day, 7 days a week. You will need to have your proxy card or Notice in hand. The deadline for voting by telephone is 11:59 p.m. Eastern time, April 17, 2017.</w:t>
      </w:r>
    </w:p>
    <w:p>
      <w:pPr>
        <w:spacing w:after="0" w:line="147" w:lineRule="exact"/>
        <w:rPr>
          <w:rFonts w:ascii="Arial" w:cs="Arial" w:eastAsia="Arial" w:hAnsi="Arial"/>
          <w:sz w:val="17"/>
          <w:szCs w:val="17"/>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Writing: Complete, sign, date and return the proxy card in the return envelope provided with your proxy card.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In Person: Attend the Annual Meeting to cast your vote.</w:t>
      </w:r>
    </w:p>
    <w:p>
      <w:pPr>
        <w:spacing w:after="0" w:line="1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If you submit a proxy to the Company before the Annual Meeting, whether by proxy card, telephone or Internet, the persons named as proxies will vote your shares as you direct. If no instructions are specified, the proxy will be voted for the three directors nominated by the Board of Directors; for the proposal to approve the Amendment to our Articles of Incorporation; for the ratification of the appointment of Deloitte</w:t>
      </w:r>
    </w:p>
    <w:p>
      <w:pPr>
        <w:spacing w:after="0" w:line="2" w:lineRule="exact"/>
        <w:rPr>
          <w:sz w:val="20"/>
          <w:szCs w:val="20"/>
          <w:color w:val="auto"/>
        </w:rPr>
      </w:pPr>
    </w:p>
    <w:p>
      <w:pPr>
        <w:ind w:firstLine="8"/>
        <w:spacing w:after="0" w:line="246" w:lineRule="auto"/>
        <w:tabs>
          <w:tab w:leader="none" w:pos="1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Touche LLP as the Company’s independent registered public accounting firm for the fiscal year ending December 30, 2017; and for the non-binding, advisory proposal to approve the compensation paid to our Named Executives.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revoke a proxy at any time before the proxy is exercised by:</w:t>
      </w:r>
    </w:p>
    <w:p>
      <w:pPr>
        <w:spacing w:after="0" w:line="18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the Company, 2801 East Beltline NE, Grand Rapids, MI 49525;</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another properly completed proxy card that is later dated;</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by telephone at a subsequent time;</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via the Internet at a subsequent time; or</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18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If you hold your shares in “street name,” you must vote your shares in the manner prescribed by your brokerage firm, bank, or other nominee.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we need to hold the Annual Meeting?</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order to carry on the business of the meeting, we must have a quorum. This means that at least a majority of the shares that are outstanding and entitled to vote as of the Record Date must be present in person or by proxy. Shares are counted as present at the meeting if the shareholder either:</w:t>
      </w:r>
    </w:p>
    <w:p>
      <w:pPr>
        <w:spacing w:after="0" w:line="189"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Iis present and votes in person at the Annual Meeting; or</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properly submitted a signed proxy card or other form of proxy (through the telephone or Internet).</w:t>
      </w:r>
    </w:p>
    <w:p>
      <w:pPr>
        <w:spacing w:after="0" w:line="17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On the Record Date, there were 20,351,869 shares of common stock issued and outstanding. Therefore, at least 10,175,935 shares need to be present at the Annual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matters will be voted on at the meeting?</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You are being asked to vote on: (i) the election of three directors to serve three-year terms expiring in 2020; (ii) the proposal to amend our Articles of Incorporation to authorize the issuance of 40,000,000 additional shares of common stock; (iii) the ratification of the appointment of Deloitte &amp; Touche LLP as our independent registered public accounting firm for the fiscal year ending December 30, 2017; and (iv) a non-binding advisory proposal on the compensation paid to our Named Executives, otherwise known as a “say-on-pay” proposal. These matters are more fully described in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each proposal?</w:t>
      </w:r>
    </w:p>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Except with respect to the proposal to amend our Articles of Incorporation, a majority of votes cast at the meeting will approve each matter that arises at the Annual Meeting. To be effective, the proposed amendment to our Articles of Incorporation must be approved by the affirmative vote of a majority of our outstanding shares. Because the say-on-pay vote is advisory, it will not be binding upon the Board of Directors or the Personnel and Compensation Committee.</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Also, the election of directors, the proposed amendment to our Articles of Incorporation, and the say-on-pay vote are each considered non-routine matters. Consequently, if your shares are held by a broker or other fiduciary, it cannot vote your shares on these matters unless it has received voting instructions from you.</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Abstentions will not be counted as entitled to vote but will count for purposes of determining whether or not a quorum is present. So long as a quorum is present, abstentions and broker non-votes will have no effect on any of the matters presented for a vote at the Annual Meeting, except for the proposal to amend our Articles of Incorporation. For that proposal, abstentions and broker non-votes will have the effect of a “no” vote.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nominee is unable to stand for re-election?</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Board may, by resolution, provide for a lesser number of directors or designate a substitute nominee. In the latter case, shares represented by proxies may be voted for a substitute nominee. Proxies cannot be voted for more than three nominees. We have no reason to believe that any nominee will be unable to stand for re-election.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options do I have in voting on each of the proposals?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“for,” “against,” or “abstain” on each proposal properly brought before the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will the Annual Meeting be held?</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Annual Meeting will be held at our Technology and Training Building which is located at 2880 East Beltline Lane NE, Grand Rapids, MI 49525. The meeting begins at 8:30 a.m., and registration commences at 8:00 a.m.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Where do I find the voting results of the meeting?</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If available, we will announce voting results at the Annual Meeting. The voting results will also be disclosed on a Form 8-K that we will file with the SEC within four business days after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April 18, 2017.</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This proxy statement along with our annual report is available at: www.proxyvote.com. A copy of our Annual Report on Form 10-K for the fiscal year ended December 31, 2016, as filed with the SEC, may be obtained without charge upon written request to the Chief Financial Officer, Universal Forest Products, Inc., 2801 East Beltline NE, Grand Rapids, MI 49525.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ELECTION OF DIRECTORS</w:t>
      </w: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27, 2017, our Board took action to reduce the size of the Board from ten to nine members. These members are divided into three classes, as equal in number as possible, with the classes to hold office for staggered terms of three years each. Our Board has nominated Gary F. Goode, Mary E. Tuuk, and Michael G. Wooldridge to three-year terms expiring at our 2020 Annual Meeting of Shareholders. Each incumbent director has been previously elected by our shareholders.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Louis A. Smith retired from our Board after our January 2017 Board Meeting. Mr. Smith served on our Board since our Company went public in 1993. We thank him for his service and guidance, as well as the insight he provided our Company during his term.</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persons named as proxy holders in the accompanying proxy will vote for the above-named nominees, unless a shareholder directs them differently by proxy.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vote required for the election of a director shall, except in a contested election, be the affirmative vote of a majority of the votes cast in the election of a nominee. A “majority of the votes cast” shall mean that the number of votes cast “for” a director’s election exceeds the number of votes cast “against” that director’s election, with “abstentions” and “broker non-votes”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any non-contested election of directors, any director nominee who receives a greater number of votes cast against his or her election than in favor of his or her election is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 w:name="page8"/>
    <w:bookmarkEnd w:id="7"/>
    <w:p>
      <w:pPr>
        <w:jc w:val="both"/>
        <w:spacing w:after="0" w:line="239" w:lineRule="auto"/>
        <w:rPr>
          <w:sz w:val="20"/>
          <w:szCs w:val="20"/>
          <w:color w:val="auto"/>
        </w:rPr>
      </w:pPr>
      <w:r>
        <w:rPr>
          <w:rFonts w:ascii="Arial" w:cs="Arial" w:eastAsia="Arial" w:hAnsi="Arial"/>
          <w:sz w:val="18"/>
          <w:szCs w:val="18"/>
          <w:color w:val="auto"/>
        </w:rPr>
        <w:t>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of the three nominees.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provides certain biographical information for each person who is nominated for election as a director at our Annual Meeting of Shareholders and for each person who is continuing as an incumbent director. The information was provided to us as of January 31, 2017, by the respective nominees and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3640" w:type="dxa"/>
            <w:vAlign w:val="bottom"/>
          </w:tcPr>
          <w:p>
            <w:pPr>
              <w:spacing w:after="0"/>
              <w:rPr>
                <w:sz w:val="14"/>
                <w:szCs w:val="14"/>
                <w:color w:val="auto"/>
              </w:rPr>
            </w:pPr>
          </w:p>
        </w:tc>
      </w:tr>
      <w:tr>
        <w:trPr>
          <w:trHeight w:val="175"/>
        </w:trPr>
        <w:tc>
          <w:tcPr>
            <w:tcW w:w="7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of Directors and Nominees</w:t>
            </w: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 as a Director</w:t>
            </w:r>
          </w:p>
        </w:tc>
      </w:tr>
      <w:tr>
        <w:trPr>
          <w:trHeight w:val="372"/>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Nominee for Term Expiring in 2020</w:t>
            </w:r>
          </w:p>
        </w:tc>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25"/>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Gary F. Goode </w:t>
            </w:r>
            <w:r>
              <w:rPr>
                <w:rFonts w:ascii="Arial" w:cs="Arial" w:eastAsia="Arial" w:hAnsi="Arial"/>
                <w:sz w:val="18"/>
                <w:szCs w:val="18"/>
                <w:color w:val="auto"/>
              </w:rPr>
              <w:t>(71) retired from Arthur Andersen LLP in March 2001 after 29 years. Following</w:t>
            </w:r>
          </w:p>
        </w:tc>
        <w:tc>
          <w:tcPr>
            <w:tcW w:w="3640" w:type="dxa"/>
            <w:vAlign w:val="bottom"/>
          </w:tcPr>
          <w:p>
            <w:pPr>
              <w:ind w:left="120"/>
              <w:spacing w:after="0"/>
              <w:rPr>
                <w:sz w:val="20"/>
                <w:szCs w:val="20"/>
                <w:color w:val="auto"/>
              </w:rPr>
            </w:pPr>
            <w:r>
              <w:rPr>
                <w:rFonts w:ascii="Arial" w:cs="Arial" w:eastAsia="Arial" w:hAnsi="Arial"/>
                <w:sz w:val="18"/>
                <w:szCs w:val="18"/>
                <w:color w:val="auto"/>
              </w:rPr>
              <w:t>Director since 2003.</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his retirement, Mr. Goode has worked as an independent consultant, and has served as</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Chairman of Audit</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Chairman of Titan Sales &amp; Consulting, LLC since January 2004. Mr. Goode has been on the</w:t>
            </w:r>
          </w:p>
        </w:tc>
        <w:tc>
          <w:tcPr>
            <w:tcW w:w="3640" w:type="dxa"/>
            <w:vAlign w:val="bottom"/>
          </w:tcPr>
          <w:p>
            <w:pPr>
              <w:ind w:left="28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Board of Directors of Gentex Corporation since 2003 and serves on its Audit, Compensation,</w:t>
            </w:r>
          </w:p>
        </w:tc>
        <w:tc>
          <w:tcPr>
            <w:tcW w:w="3640" w:type="dxa"/>
            <w:vAlign w:val="bottom"/>
          </w:tcPr>
          <w:p>
            <w:pPr>
              <w:spacing w:after="0"/>
              <w:rPr>
                <w:sz w:val="17"/>
                <w:szCs w:val="17"/>
                <w:color w:val="auto"/>
              </w:rPr>
            </w:pP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and Nominating Committees.</w:t>
            </w:r>
          </w:p>
        </w:tc>
        <w:tc>
          <w:tcPr>
            <w:tcW w:w="3640" w:type="dxa"/>
            <w:vAlign w:val="bottom"/>
          </w:tcPr>
          <w:p>
            <w:pPr>
              <w:spacing w:after="0"/>
              <w:rPr>
                <w:sz w:val="18"/>
                <w:szCs w:val="18"/>
                <w:color w:val="auto"/>
              </w:rPr>
            </w:pPr>
          </w:p>
        </w:tc>
      </w:tr>
      <w:tr>
        <w:trPr>
          <w:trHeight w:val="391"/>
        </w:trPr>
        <w:tc>
          <w:tcPr>
            <w:tcW w:w="7780" w:type="dxa"/>
            <w:vAlign w:val="bottom"/>
            <w:gridSpan w:val="3"/>
          </w:tcPr>
          <w:p>
            <w:pPr>
              <w:spacing w:after="0"/>
              <w:rPr>
                <w:sz w:val="20"/>
                <w:szCs w:val="20"/>
                <w:color w:val="auto"/>
              </w:rPr>
            </w:pPr>
            <w:r>
              <w:rPr>
                <w:rFonts w:ascii="Arial" w:cs="Arial" w:eastAsia="Arial" w:hAnsi="Arial"/>
                <w:sz w:val="18"/>
                <w:szCs w:val="18"/>
                <w:color w:val="auto"/>
              </w:rPr>
              <w:t>Mr. Goode is a financial expert, as defined by the SEC. As a result of 29 years as a Certified</w:t>
            </w:r>
          </w:p>
        </w:tc>
        <w:tc>
          <w:tcPr>
            <w:tcW w:w="3640" w:type="dxa"/>
            <w:vAlign w:val="bottom"/>
          </w:tcPr>
          <w:p>
            <w:pPr>
              <w:spacing w:after="0"/>
              <w:rPr>
                <w:sz w:val="24"/>
                <w:szCs w:val="24"/>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Public Accountant, he gained valuable insight into a wide variety of businesses. His financial</w:t>
            </w:r>
          </w:p>
        </w:tc>
        <w:tc>
          <w:tcPr>
            <w:tcW w:w="364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acumen, coupled with these varied business experiences, provides a great frame of reference</w:t>
            </w:r>
          </w:p>
        </w:tc>
        <w:tc>
          <w:tcPr>
            <w:tcW w:w="364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for successful business practices at other companies. His working career also gives him</w:t>
            </w:r>
          </w:p>
        </w:tc>
        <w:tc>
          <w:tcPr>
            <w:tcW w:w="3640" w:type="dxa"/>
            <w:vAlign w:val="bottom"/>
          </w:tcPr>
          <w:p>
            <w:pPr>
              <w:spacing w:after="0"/>
              <w:rPr>
                <w:sz w:val="17"/>
                <w:szCs w:val="17"/>
                <w:color w:val="auto"/>
              </w:rPr>
            </w:pP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extensive experience working with companies whose securities are registered with the SEC.</w:t>
            </w:r>
          </w:p>
        </w:tc>
        <w:tc>
          <w:tcPr>
            <w:tcW w:w="3640" w:type="dxa"/>
            <w:vAlign w:val="bottom"/>
          </w:tcPr>
          <w:p>
            <w:pPr>
              <w:spacing w:after="0"/>
              <w:rPr>
                <w:sz w:val="18"/>
                <w:szCs w:val="18"/>
                <w:color w:val="auto"/>
              </w:rPr>
            </w:pPr>
          </w:p>
        </w:tc>
      </w:tr>
      <w:tr>
        <w:trPr>
          <w:trHeight w:val="404"/>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Mary E. Tuuk </w:t>
            </w:r>
            <w:r>
              <w:rPr>
                <w:rFonts w:ascii="Arial" w:cs="Arial" w:eastAsia="Arial" w:hAnsi="Arial"/>
                <w:sz w:val="18"/>
                <w:szCs w:val="18"/>
                <w:color w:val="auto"/>
              </w:rPr>
              <w:t>(52) became Chief Compliance Officer for Meijer, Inc., a regional retail chain, in</w:t>
            </w:r>
          </w:p>
        </w:tc>
        <w:tc>
          <w:tcPr>
            <w:tcW w:w="3640" w:type="dxa"/>
            <w:vAlign w:val="bottom"/>
          </w:tcPr>
          <w:p>
            <w:pPr>
              <w:ind w:left="120"/>
              <w:spacing w:after="0"/>
              <w:rPr>
                <w:sz w:val="20"/>
                <w:szCs w:val="20"/>
                <w:color w:val="auto"/>
              </w:rPr>
            </w:pPr>
            <w:r>
              <w:rPr>
                <w:rFonts w:ascii="Arial" w:cs="Arial" w:eastAsia="Arial" w:hAnsi="Arial"/>
                <w:sz w:val="18"/>
                <w:szCs w:val="18"/>
                <w:color w:val="auto"/>
              </w:rPr>
              <w:t>Director since 2014.</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July 2015. She was Executive Vice President of Corporate Services, and Secretary of the Board</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Member of Audit Committee.</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of Directors, for Fifth Third Bancorp of Cincinnati, OH, until she joined Meijer, Inc. Ms. Tuuk also</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served as President of Fifth Third Bank (Western Michigan) where she had leadership</w:t>
            </w:r>
          </w:p>
        </w:tc>
        <w:tc>
          <w:tcPr>
            <w:tcW w:w="3640" w:type="dxa"/>
            <w:vAlign w:val="bottom"/>
          </w:tcPr>
          <w:p>
            <w:pPr>
              <w:ind w:left="28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responsibility for the growth and strategic direction of major lines of business. Previously, she</w:t>
            </w:r>
          </w:p>
        </w:tc>
        <w:tc>
          <w:tcPr>
            <w:tcW w:w="3640" w:type="dxa"/>
            <w:vAlign w:val="bottom"/>
          </w:tcPr>
          <w:p>
            <w:pPr>
              <w:ind w:left="28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was Executive Vice President and Chief Risk Officer for Fifth Third Bancorp from June 2007 to</w:t>
            </w:r>
          </w:p>
        </w:tc>
        <w:tc>
          <w:tcPr>
            <w:tcW w:w="364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December 2011. She was named one of the “25 Women to Watch in Banking” by the American</w:t>
            </w:r>
          </w:p>
        </w:tc>
        <w:tc>
          <w:tcPr>
            <w:tcW w:w="364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Banker magazine each year from 2008 to 2014. She serves on the boards of a variety of civic</w:t>
            </w:r>
          </w:p>
        </w:tc>
        <w:tc>
          <w:tcPr>
            <w:tcW w:w="3640" w:type="dxa"/>
            <w:vAlign w:val="bottom"/>
          </w:tcPr>
          <w:p>
            <w:pPr>
              <w:spacing w:after="0"/>
              <w:rPr>
                <w:sz w:val="17"/>
                <w:szCs w:val="17"/>
                <w:color w:val="auto"/>
              </w:rPr>
            </w:pP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and charitable organizations.</w:t>
            </w:r>
          </w:p>
        </w:tc>
        <w:tc>
          <w:tcPr>
            <w:tcW w:w="3640" w:type="dxa"/>
            <w:vAlign w:val="bottom"/>
          </w:tcPr>
          <w:p>
            <w:pPr>
              <w:spacing w:after="0"/>
              <w:rPr>
                <w:sz w:val="18"/>
                <w:szCs w:val="18"/>
                <w:color w:val="auto"/>
              </w:rPr>
            </w:pPr>
          </w:p>
        </w:tc>
      </w:tr>
      <w:tr>
        <w:trPr>
          <w:trHeight w:val="662"/>
        </w:trPr>
        <w:tc>
          <w:tcPr>
            <w:tcW w:w="7200" w:type="dxa"/>
            <w:vAlign w:val="bottom"/>
            <w:tcBorders>
              <w:bottom w:val="single" w:sz="8" w:color="auto"/>
            </w:tcBorders>
            <w:gridSpan w:val="2"/>
          </w:tcPr>
          <w:p>
            <w:pPr>
              <w:ind w:left="5660"/>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ind w:right="40"/>
        <w:spacing w:after="0" w:line="239" w:lineRule="auto"/>
        <w:rPr>
          <w:sz w:val="20"/>
          <w:szCs w:val="20"/>
          <w:color w:val="auto"/>
        </w:rPr>
      </w:pPr>
      <w:r>
        <w:rPr>
          <w:rFonts w:ascii="Arial" w:cs="Arial" w:eastAsia="Arial" w:hAnsi="Arial"/>
          <w:sz w:val="18"/>
          <w:szCs w:val="18"/>
          <w:color w:val="auto"/>
        </w:rPr>
        <w:t>Ms. Tuuk is a financial expert, as defined by the SEC. Her experience in financial services adds a unique perspective to our Board. Her expertise in enterprise risk management, corporate governance, legal affairs, compliance, regulatory and governmental affairs, as well as strategic planning, further enhances her value as a Board member.</w:t>
      </w:r>
    </w:p>
    <w:p>
      <w:pPr>
        <w:spacing w:after="0" w:line="180" w:lineRule="exact"/>
        <w:rPr>
          <w:sz w:val="20"/>
          <w:szCs w:val="20"/>
          <w:color w:val="auto"/>
        </w:rPr>
      </w:pPr>
    </w:p>
    <w:p>
      <w:pPr>
        <w:jc w:val="both"/>
        <w:ind w:right="240"/>
        <w:spacing w:after="0" w:line="257" w:lineRule="auto"/>
        <w:rPr>
          <w:sz w:val="20"/>
          <w:szCs w:val="20"/>
          <w:color w:val="auto"/>
        </w:rPr>
      </w:pPr>
      <w:r>
        <w:rPr>
          <w:rFonts w:ascii="Arial" w:cs="Arial" w:eastAsia="Arial" w:hAnsi="Arial"/>
          <w:sz w:val="17"/>
          <w:szCs w:val="17"/>
          <w:b w:val="1"/>
          <w:bCs w:val="1"/>
          <w:color w:val="auto"/>
        </w:rPr>
        <w:t xml:space="preserve">Michael G. Wooldridge </w:t>
      </w:r>
      <w:r>
        <w:rPr>
          <w:rFonts w:ascii="Arial" w:cs="Arial" w:eastAsia="Arial" w:hAnsi="Arial"/>
          <w:sz w:val="17"/>
          <w:szCs w:val="17"/>
          <w:color w:val="auto"/>
        </w:rPr>
        <w:t>(57) is a Partner with the law firm of Varnum LLP, headquartered in</w:t>
      </w:r>
      <w:r>
        <w:rPr>
          <w:rFonts w:ascii="Arial" w:cs="Arial" w:eastAsia="Arial" w:hAnsi="Arial"/>
          <w:sz w:val="17"/>
          <w:szCs w:val="17"/>
          <w:b w:val="1"/>
          <w:bCs w:val="1"/>
          <w:color w:val="auto"/>
        </w:rPr>
        <w:t xml:space="preserve"> </w:t>
      </w:r>
      <w:r>
        <w:rPr>
          <w:rFonts w:ascii="Arial" w:cs="Arial" w:eastAsia="Arial" w:hAnsi="Arial"/>
          <w:sz w:val="17"/>
          <w:szCs w:val="17"/>
          <w:color w:val="auto"/>
        </w:rPr>
        <w:t>Grand Rapids, MI. He joined Varnum in 1985, and is a partner in the firm’s corporate practice group, focusing on corporate governance, securities, and mergers and acquisitions. Mr.</w:t>
      </w:r>
    </w:p>
    <w:p>
      <w:pPr>
        <w:spacing w:after="0" w:line="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Wooldridge has been included in The Best Lawyers in America since 2005. He also serves on the boards of several community organizations.</w:t>
      </w:r>
    </w:p>
    <w:p>
      <w:pPr>
        <w:spacing w:after="0" w:line="4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Wooldridge serves as an advisor and counsel to a number of publically held companies on a variety of corporate and securities law matters. His advice on compliance matters, corporate governance disclosure requirements, and other issues is invaluable, as is his experience in advising other publically held companies.</w:t>
      </w:r>
    </w:p>
    <w:p>
      <w:pPr>
        <w:spacing w:after="0" w:line="207" w:lineRule="exact"/>
        <w:rPr>
          <w:sz w:val="20"/>
          <w:szCs w:val="20"/>
          <w:color w:val="auto"/>
        </w:rPr>
      </w:pPr>
    </w:p>
    <w:p>
      <w:pPr>
        <w:ind w:left="3780"/>
        <w:spacing w:after="0"/>
        <w:rPr>
          <w:sz w:val="20"/>
          <w:szCs w:val="20"/>
          <w:color w:val="auto"/>
        </w:rPr>
      </w:pPr>
      <w:r>
        <w:rPr>
          <w:rFonts w:ascii="Arial" w:cs="Arial" w:eastAsia="Arial" w:hAnsi="Arial"/>
          <w:sz w:val="17"/>
          <w:szCs w:val="17"/>
          <w:b w:val="1"/>
          <w:bCs w:val="1"/>
          <w:u w:val="single" w:color="auto"/>
          <w:color w:val="auto"/>
        </w:rPr>
        <w:t>Incumbent Directors - Terms Expiring in 2018</w:t>
      </w:r>
    </w:p>
    <w:p>
      <w:pPr>
        <w:spacing w:after="0" w:line="22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Matthew J. Missad </w:t>
      </w:r>
      <w:r>
        <w:rPr>
          <w:rFonts w:ascii="Arial" w:cs="Arial" w:eastAsia="Arial" w:hAnsi="Arial"/>
          <w:sz w:val="18"/>
          <w:szCs w:val="18"/>
          <w:color w:val="auto"/>
        </w:rPr>
        <w:t>(56) is Chief Executive Officer of our Company, a position to which he was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on July 13, 2011. From 1996 to 2011, he was Executive Vice President, General Counsel, and Secretary, in addition to serving on the boards of subsidiary entities, including international partner-ships. Mr. Missad has been on the board of Independent Bank Corporation since October 2014, and serves on its Nominating and Corporate Governance Committee.</w:t>
      </w:r>
    </w:p>
    <w:p>
      <w:pPr>
        <w:spacing w:after="0" w:line="18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Mr. Missad’s experience and exposure to nearly all facets of our business is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people, markets, and opportunities.</w:t>
      </w:r>
    </w:p>
    <w:p>
      <w:pPr>
        <w:spacing w:after="0" w:line="18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color w:val="auto"/>
        </w:rPr>
        <w:t xml:space="preserve">Thomas W. Rhodes </w:t>
      </w:r>
      <w:r>
        <w:rPr>
          <w:rFonts w:ascii="Arial" w:cs="Arial" w:eastAsia="Arial" w:hAnsi="Arial"/>
          <w:sz w:val="18"/>
          <w:szCs w:val="18"/>
          <w:color w:val="auto"/>
        </w:rPr>
        <w:t>(55) is President and Chief Executive Officer of TWR Enterprises, Inc. of</w:t>
      </w:r>
      <w:r>
        <w:rPr>
          <w:rFonts w:ascii="Arial" w:cs="Arial" w:eastAsia="Arial" w:hAnsi="Arial"/>
          <w:sz w:val="18"/>
          <w:szCs w:val="18"/>
          <w:b w:val="1"/>
          <w:bCs w:val="1"/>
          <w:color w:val="auto"/>
        </w:rPr>
        <w:t xml:space="preserve"> </w:t>
      </w:r>
      <w:r>
        <w:rPr>
          <w:rFonts w:ascii="Arial" w:cs="Arial" w:eastAsia="Arial" w:hAnsi="Arial"/>
          <w:sz w:val="18"/>
          <w:szCs w:val="18"/>
          <w:color w:val="auto"/>
        </w:rPr>
        <w:t>Corona, CA, a company he formed in 1984, and which is the largest framing contractor in Southern California. Mr. Rhodes has served as a board member of the California Framing Contractors Association, Building Industry Association - Orange County, and the California Professional Association of Specialty Contractors - Orange County/Inland Empire.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59"/>
        <w:spacing w:after="0" w:line="248" w:lineRule="auto"/>
        <w:rPr>
          <w:sz w:val="20"/>
          <w:szCs w:val="20"/>
          <w:color w:val="auto"/>
        </w:rPr>
      </w:pPr>
      <w:r>
        <w:rPr>
          <w:rFonts w:ascii="Arial" w:cs="Arial" w:eastAsia="Arial" w:hAnsi="Arial"/>
          <w:sz w:val="17"/>
          <w:szCs w:val="17"/>
          <w:color w:val="auto"/>
        </w:rPr>
        <w:t>Director since 2016. Member of Nominating and</w:t>
      </w:r>
    </w:p>
    <w:p>
      <w:pPr>
        <w:spacing w:after="0" w:line="1" w:lineRule="exact"/>
        <w:rPr>
          <w:sz w:val="20"/>
          <w:szCs w:val="20"/>
          <w:color w:val="auto"/>
        </w:rPr>
      </w:pPr>
    </w:p>
    <w:p>
      <w:pPr>
        <w:ind w:left="160" w:right="339"/>
        <w:spacing w:after="0" w:line="248" w:lineRule="auto"/>
        <w:rPr>
          <w:sz w:val="20"/>
          <w:szCs w:val="20"/>
          <w:color w:val="auto"/>
        </w:rPr>
      </w:pPr>
      <w:r>
        <w:rPr>
          <w:rFonts w:ascii="Arial" w:cs="Arial" w:eastAsia="Arial" w:hAnsi="Arial"/>
          <w:sz w:val="17"/>
          <w:szCs w:val="17"/>
          <w:color w:val="auto"/>
        </w:rPr>
        <w:t>Corporate Governance Committee.</w:t>
      </w:r>
    </w:p>
    <w:p>
      <w:pPr>
        <w:spacing w:after="0" w:line="1" w:lineRule="exact"/>
        <w:rPr>
          <w:sz w:val="20"/>
          <w:szCs w:val="20"/>
          <w:color w:val="auto"/>
        </w:rPr>
      </w:pPr>
    </w:p>
    <w:p>
      <w:pPr>
        <w:ind w:left="160" w:right="39" w:hanging="161"/>
        <w:spacing w:after="0" w:line="275" w:lineRule="auto"/>
        <w:rPr>
          <w:sz w:val="20"/>
          <w:szCs w:val="20"/>
          <w:color w:val="auto"/>
        </w:rPr>
      </w:pPr>
      <w:r>
        <w:rPr>
          <w:rFonts w:ascii="Arial" w:cs="Arial" w:eastAsia="Arial" w:hAnsi="Arial"/>
          <w:sz w:val="17"/>
          <w:szCs w:val="17"/>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234" w:lineRule="auto"/>
        <w:rPr>
          <w:sz w:val="20"/>
          <w:szCs w:val="20"/>
          <w:color w:val="auto"/>
        </w:rPr>
      </w:pPr>
      <w:r>
        <w:rPr>
          <w:rFonts w:ascii="Arial" w:cs="Arial" w:eastAsia="Arial" w:hAnsi="Arial"/>
          <w:sz w:val="18"/>
          <w:szCs w:val="18"/>
          <w:color w:val="auto"/>
        </w:rPr>
        <w:t>Member of Audit</w:t>
      </w:r>
    </w:p>
    <w:p>
      <w:pPr>
        <w:ind w:left="160"/>
        <w:spacing w:after="0" w:line="235" w:lineRule="auto"/>
        <w:rPr>
          <w:sz w:val="20"/>
          <w:szCs w:val="20"/>
          <w:color w:val="auto"/>
        </w:rPr>
      </w:pPr>
      <w:r>
        <w:rPr>
          <w:rFonts w:ascii="Arial" w:cs="Arial" w:eastAsia="Arial" w:hAnsi="Arial"/>
          <w:sz w:val="18"/>
          <w:szCs w:val="18"/>
          <w:color w:val="auto"/>
        </w:rPr>
        <w:t>Committee.</w:t>
      </w:r>
    </w:p>
    <w:p>
      <w:pPr>
        <w:spacing w:after="0" w:line="1" w:lineRule="exact"/>
        <w:rPr>
          <w:sz w:val="20"/>
          <w:szCs w:val="20"/>
          <w:color w:val="auto"/>
        </w:rPr>
      </w:pPr>
    </w:p>
    <w:p>
      <w:pPr>
        <w:ind w:left="160" w:right="39" w:hanging="161"/>
        <w:spacing w:after="0" w:line="275" w:lineRule="auto"/>
        <w:rPr>
          <w:sz w:val="20"/>
          <w:szCs w:val="20"/>
          <w:color w:val="auto"/>
        </w:rPr>
      </w:pPr>
      <w:r>
        <w:rPr>
          <w:rFonts w:ascii="Arial" w:cs="Arial" w:eastAsia="Arial" w:hAnsi="Arial"/>
          <w:sz w:val="17"/>
          <w:szCs w:val="17"/>
          <w:color w:val="auto"/>
        </w:rPr>
        <w:t>Member of Personnel and Compensation Committee.</w:t>
      </w:r>
    </w:p>
    <w:p>
      <w:pPr>
        <w:sectPr>
          <w:pgSz w:w="11900" w:h="16838" w:orient="portrait"/>
          <w:cols w:equalWidth="0" w:num="2">
            <w:col w:w="7640" w:space="260"/>
            <w:col w:w="2319"/>
          </w:cols>
          <w:pgMar w:left="240" w:top="949" w:right="1440" w:bottom="1440" w:gutter="0" w:footer="0" w:header="0"/>
        </w:sectPr>
      </w:pPr>
    </w:p>
    <w:bookmarkStart w:id="9" w:name="page10"/>
    <w:bookmarkEnd w:id="9"/>
    <w:p>
      <w:pPr>
        <w:ind w:right="2599"/>
        <w:spacing w:after="0" w:line="237" w:lineRule="auto"/>
        <w:rPr>
          <w:sz w:val="20"/>
          <w:szCs w:val="20"/>
          <w:color w:val="auto"/>
        </w:rPr>
      </w:pPr>
      <w:r>
        <w:rPr>
          <w:rFonts w:ascii="Arial" w:cs="Arial" w:eastAsia="Arial" w:hAnsi="Arial"/>
          <w:sz w:val="18"/>
          <w:szCs w:val="18"/>
          <w:color w:val="auto"/>
        </w:rPr>
        <w:t>Mr. Rhodes has spent over 30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enable him to branch out into other ventures, including real estate, hotel development, and insurance. These experiences provide a unique benefit to his service on our Board.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Brian C. Walker </w:t>
            </w:r>
            <w:r>
              <w:rPr>
                <w:rFonts w:ascii="Arial" w:cs="Arial" w:eastAsia="Arial" w:hAnsi="Arial"/>
                <w:sz w:val="18"/>
                <w:szCs w:val="18"/>
                <w:color w:val="auto"/>
              </w:rPr>
              <w:t>(55) is President and Chief Executive Officer of Herman Miller, Inc. of Zeeland,</w:t>
            </w:r>
          </w:p>
        </w:tc>
        <w:tc>
          <w:tcPr>
            <w:tcW w:w="2400" w:type="dxa"/>
            <w:vAlign w:val="bottom"/>
          </w:tcPr>
          <w:p>
            <w:pPr>
              <w:ind w:left="120"/>
              <w:spacing w:after="0"/>
              <w:rPr>
                <w:sz w:val="20"/>
                <w:szCs w:val="20"/>
                <w:color w:val="auto"/>
              </w:rPr>
            </w:pPr>
            <w:r>
              <w:rPr>
                <w:rFonts w:ascii="Arial" w:cs="Arial" w:eastAsia="Arial" w:hAnsi="Arial"/>
                <w:sz w:val="18"/>
                <w:szCs w:val="18"/>
                <w:color w:val="auto"/>
              </w:rPr>
              <w:t>Director since 2015.</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MI, a global provider of office furniture and services. Previously, he served as its chief operating</w:t>
            </w:r>
          </w:p>
        </w:tc>
        <w:tc>
          <w:tcPr>
            <w:tcW w:w="2400" w:type="dxa"/>
            <w:vAlign w:val="bottom"/>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officer and chief financial officer. Mr. Walker is also a director of Herman Miller, Inc. He is a</w:t>
            </w:r>
          </w:p>
        </w:tc>
        <w:tc>
          <w:tcPr>
            <w:tcW w:w="2400" w:type="dxa"/>
            <w:vAlign w:val="bottom"/>
          </w:tcPr>
          <w:p>
            <w:pPr>
              <w:ind w:left="28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Certified Public Accountant, and serves as the lead director and chairs the Compensation</w:t>
            </w:r>
          </w:p>
        </w:tc>
        <w:tc>
          <w:tcPr>
            <w:tcW w:w="2400" w:type="dxa"/>
            <w:vAlign w:val="bottom"/>
          </w:tcPr>
          <w:p>
            <w:pPr>
              <w:ind w:left="28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Committee of Briggs &amp; Stratton Corporation. He served on the board of the Federal Reserve</w:t>
            </w:r>
          </w:p>
        </w:tc>
        <w:tc>
          <w:tcPr>
            <w:tcW w:w="2400" w:type="dxa"/>
            <w:vAlign w:val="bottom"/>
          </w:tcPr>
          <w:p>
            <w:pPr>
              <w:ind w:left="120"/>
              <w:spacing w:after="0" w:line="202" w:lineRule="exact"/>
              <w:rPr>
                <w:sz w:val="20"/>
                <w:szCs w:val="20"/>
                <w:color w:val="auto"/>
              </w:rPr>
            </w:pPr>
            <w:r>
              <w:rPr>
                <w:rFonts w:ascii="Arial" w:cs="Arial" w:eastAsia="Arial" w:hAnsi="Arial"/>
                <w:sz w:val="18"/>
                <w:szCs w:val="18"/>
                <w:color w:val="auto"/>
              </w:rPr>
              <w:t>Member of Personnel and</w:t>
            </w: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Bank of Chicago-Detroit Branch from 2009 to 2012.</w:t>
            </w:r>
          </w:p>
        </w:tc>
        <w:tc>
          <w:tcPr>
            <w:tcW w:w="2400" w:type="dxa"/>
            <w:vAlign w:val="bottom"/>
          </w:tcPr>
          <w:p>
            <w:pPr>
              <w:ind w:left="280"/>
              <w:spacing w:after="0"/>
              <w:rPr>
                <w:sz w:val="20"/>
                <w:szCs w:val="20"/>
                <w:color w:val="auto"/>
              </w:rPr>
            </w:pPr>
            <w:r>
              <w:rPr>
                <w:rFonts w:ascii="Arial" w:cs="Arial" w:eastAsia="Arial" w:hAnsi="Arial"/>
                <w:sz w:val="18"/>
                <w:szCs w:val="18"/>
                <w:color w:val="auto"/>
                <w:w w:val="98"/>
              </w:rPr>
              <w:t>Compensation Committee.</w:t>
            </w:r>
          </w:p>
        </w:tc>
      </w:tr>
      <w:tr>
        <w:trPr>
          <w:trHeight w:val="391"/>
        </w:trPr>
        <w:tc>
          <w:tcPr>
            <w:tcW w:w="7780" w:type="dxa"/>
            <w:vAlign w:val="bottom"/>
            <w:gridSpan w:val="3"/>
          </w:tcPr>
          <w:p>
            <w:pPr>
              <w:spacing w:after="0"/>
              <w:rPr>
                <w:sz w:val="20"/>
                <w:szCs w:val="20"/>
                <w:color w:val="auto"/>
              </w:rPr>
            </w:pPr>
            <w:r>
              <w:rPr>
                <w:rFonts w:ascii="Arial" w:cs="Arial" w:eastAsia="Arial" w:hAnsi="Arial"/>
                <w:sz w:val="18"/>
                <w:szCs w:val="18"/>
                <w:color w:val="auto"/>
              </w:rPr>
              <w:t>Mr. Walker is a sitting CEO, and has experience and expertise in finance, international business,</w:t>
            </w:r>
          </w:p>
        </w:tc>
        <w:tc>
          <w:tcPr>
            <w:tcW w:w="2400" w:type="dxa"/>
            <w:vAlign w:val="bottom"/>
          </w:tcPr>
          <w:p>
            <w:pPr>
              <w:spacing w:after="0"/>
              <w:rPr>
                <w:sz w:val="24"/>
                <w:szCs w:val="24"/>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executive compensation, strategic development, and organizational and human resource</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matters. Mr. Walker’s experience enables him to make valuable contributions to Board</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discussions concerning the Company’s strategy and operations, and his education, expertise,</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and experience in accounting and compensation matters provide a unique benefit as a member</w:t>
            </w:r>
          </w:p>
        </w:tc>
        <w:tc>
          <w:tcPr>
            <w:tcW w:w="2400" w:type="dxa"/>
            <w:vAlign w:val="bottom"/>
          </w:tcPr>
          <w:p>
            <w:pPr>
              <w:spacing w:after="0"/>
              <w:rPr>
                <w:sz w:val="17"/>
                <w:szCs w:val="17"/>
                <w:color w:val="auto"/>
              </w:rPr>
            </w:pP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of our Board.</w:t>
            </w:r>
          </w:p>
        </w:tc>
        <w:tc>
          <w:tcPr>
            <w:tcW w:w="2400" w:type="dxa"/>
            <w:vAlign w:val="bottom"/>
          </w:tcPr>
          <w:p>
            <w:pPr>
              <w:spacing w:after="0"/>
              <w:rPr>
                <w:sz w:val="18"/>
                <w:szCs w:val="18"/>
                <w:color w:val="auto"/>
              </w:rPr>
            </w:pPr>
          </w:p>
        </w:tc>
      </w:tr>
      <w:tr>
        <w:trPr>
          <w:trHeight w:val="365"/>
        </w:trPr>
        <w:tc>
          <w:tcPr>
            <w:tcW w:w="37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Incumbent Directors - Term Expiring in 2019</w:t>
            </w:r>
          </w:p>
        </w:tc>
        <w:tc>
          <w:tcPr>
            <w:tcW w:w="240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1"/>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William G. Currie </w:t>
            </w:r>
            <w:r>
              <w:rPr>
                <w:rFonts w:ascii="Arial" w:cs="Arial" w:eastAsia="Arial" w:hAnsi="Arial"/>
                <w:sz w:val="18"/>
                <w:szCs w:val="18"/>
                <w:color w:val="auto"/>
              </w:rPr>
              <w:t>(69) is Chairman of the Board of our Company. He joined our Company in</w:t>
            </w:r>
          </w:p>
        </w:tc>
        <w:tc>
          <w:tcPr>
            <w:tcW w:w="2400" w:type="dxa"/>
            <w:vAlign w:val="bottom"/>
          </w:tcPr>
          <w:p>
            <w:pPr>
              <w:ind w:left="120"/>
              <w:spacing w:after="0"/>
              <w:rPr>
                <w:sz w:val="20"/>
                <w:szCs w:val="20"/>
                <w:color w:val="auto"/>
              </w:rPr>
            </w:pPr>
            <w:r>
              <w:rPr>
                <w:rFonts w:ascii="Arial" w:cs="Arial" w:eastAsia="Arial" w:hAnsi="Arial"/>
                <w:sz w:val="18"/>
                <w:szCs w:val="18"/>
                <w:color w:val="auto"/>
              </w:rPr>
              <w:t>Director since 1978.</w:t>
            </w: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1971, and has served as a salesman, general manager, vice president, and executive vice</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president. He was the Chief Executive Officer of our Company from 1989 to 2006, and on</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January 1, 2000, also became Vice Chairman of the Board. On April 19, 2006, he was named</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Chairman of the Board and served as an employee with the title of Executive Chairman until he</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retired from our Company on July 20, 2009. Mr. Currie served on the board of Forestar Real</w:t>
            </w:r>
          </w:p>
        </w:tc>
        <w:tc>
          <w:tcPr>
            <w:tcW w:w="2400" w:type="dxa"/>
            <w:vAlign w:val="bottom"/>
          </w:tcPr>
          <w:p>
            <w:pPr>
              <w:spacing w:after="0"/>
              <w:rPr>
                <w:sz w:val="17"/>
                <w:szCs w:val="17"/>
                <w:color w:val="auto"/>
              </w:rPr>
            </w:pP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Estate Group Inc. from 2008 to 2016.</w:t>
            </w:r>
          </w:p>
        </w:tc>
        <w:tc>
          <w:tcPr>
            <w:tcW w:w="2400" w:type="dxa"/>
            <w:vAlign w:val="bottom"/>
          </w:tcPr>
          <w:p>
            <w:pPr>
              <w:spacing w:after="0"/>
              <w:rPr>
                <w:sz w:val="18"/>
                <w:szCs w:val="18"/>
                <w:color w:val="auto"/>
              </w:rPr>
            </w:pPr>
          </w:p>
        </w:tc>
      </w:tr>
      <w:tr>
        <w:trPr>
          <w:trHeight w:val="391"/>
        </w:trPr>
        <w:tc>
          <w:tcPr>
            <w:tcW w:w="7780" w:type="dxa"/>
            <w:vAlign w:val="bottom"/>
            <w:gridSpan w:val="3"/>
          </w:tcPr>
          <w:p>
            <w:pPr>
              <w:spacing w:after="0"/>
              <w:rPr>
                <w:sz w:val="20"/>
                <w:szCs w:val="20"/>
                <w:color w:val="auto"/>
              </w:rPr>
            </w:pPr>
            <w:r>
              <w:rPr>
                <w:rFonts w:ascii="Arial" w:cs="Arial" w:eastAsia="Arial" w:hAnsi="Arial"/>
                <w:sz w:val="18"/>
                <w:szCs w:val="18"/>
                <w:color w:val="auto"/>
              </w:rPr>
              <w:t>During his tenure with our Company, Mr. Currie created and, to this day, maintains extremely</w:t>
            </w:r>
          </w:p>
        </w:tc>
        <w:tc>
          <w:tcPr>
            <w:tcW w:w="2400" w:type="dxa"/>
            <w:vAlign w:val="bottom"/>
          </w:tcPr>
          <w:p>
            <w:pPr>
              <w:spacing w:after="0"/>
              <w:rPr>
                <w:sz w:val="24"/>
                <w:szCs w:val="24"/>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valuable relationships with many companies in the lumber and building material industries. He</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has an in-depth understanding of our Company’s supply chain and customer base, which</w:t>
            </w:r>
          </w:p>
        </w:tc>
        <w:tc>
          <w:tcPr>
            <w:tcW w:w="2400" w:type="dxa"/>
            <w:vAlign w:val="bottom"/>
          </w:tcPr>
          <w:p>
            <w:pPr>
              <w:spacing w:after="0"/>
              <w:rPr>
                <w:sz w:val="17"/>
                <w:szCs w:val="17"/>
                <w:color w:val="auto"/>
              </w:rPr>
            </w:pPr>
          </w:p>
        </w:tc>
      </w:tr>
      <w:tr>
        <w:trPr>
          <w:trHeight w:val="203"/>
        </w:trPr>
        <w:tc>
          <w:tcPr>
            <w:tcW w:w="7780" w:type="dxa"/>
            <w:vAlign w:val="bottom"/>
            <w:gridSpan w:val="3"/>
          </w:tcPr>
          <w:p>
            <w:pPr>
              <w:spacing w:after="0" w:line="202" w:lineRule="exact"/>
              <w:rPr>
                <w:sz w:val="20"/>
                <w:szCs w:val="20"/>
                <w:color w:val="auto"/>
              </w:rPr>
            </w:pPr>
            <w:r>
              <w:rPr>
                <w:rFonts w:ascii="Arial" w:cs="Arial" w:eastAsia="Arial" w:hAnsi="Arial"/>
                <w:sz w:val="18"/>
                <w:szCs w:val="18"/>
                <w:color w:val="auto"/>
              </w:rPr>
              <w:t>makes him an important asset to management in assessing growth opportunities and strategic</w:t>
            </w:r>
          </w:p>
        </w:tc>
        <w:tc>
          <w:tcPr>
            <w:tcW w:w="2400" w:type="dxa"/>
            <w:vAlign w:val="bottom"/>
          </w:tcPr>
          <w:p>
            <w:pPr>
              <w:spacing w:after="0"/>
              <w:rPr>
                <w:sz w:val="17"/>
                <w:szCs w:val="17"/>
                <w:color w:val="auto"/>
              </w:rPr>
            </w:pPr>
          </w:p>
        </w:tc>
      </w:tr>
      <w:tr>
        <w:trPr>
          <w:trHeight w:val="217"/>
        </w:trPr>
        <w:tc>
          <w:tcPr>
            <w:tcW w:w="7780" w:type="dxa"/>
            <w:vAlign w:val="bottom"/>
            <w:gridSpan w:val="3"/>
          </w:tcPr>
          <w:p>
            <w:pPr>
              <w:spacing w:after="0"/>
              <w:rPr>
                <w:sz w:val="20"/>
                <w:szCs w:val="20"/>
                <w:color w:val="auto"/>
              </w:rPr>
            </w:pPr>
            <w:r>
              <w:rPr>
                <w:rFonts w:ascii="Arial" w:cs="Arial" w:eastAsia="Arial" w:hAnsi="Arial"/>
                <w:sz w:val="18"/>
                <w:szCs w:val="18"/>
                <w:color w:val="auto"/>
              </w:rPr>
              <w:t>objectives.</w:t>
            </w:r>
          </w:p>
        </w:tc>
        <w:tc>
          <w:tcPr>
            <w:tcW w:w="2400" w:type="dxa"/>
            <w:vAlign w:val="bottom"/>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49" w:right="1440" w:bottom="1440" w:gutter="0" w:footer="0" w:header="0"/>
        </w:sectPr>
      </w:pPr>
    </w:p>
    <w:bookmarkStart w:id="10" w:name="page11"/>
    <w:bookmarkEnd w:id="10"/>
    <w:p>
      <w:pPr>
        <w:ind w:right="160"/>
        <w:spacing w:after="0" w:line="247" w:lineRule="auto"/>
        <w:rPr>
          <w:sz w:val="20"/>
          <w:szCs w:val="20"/>
          <w:color w:val="auto"/>
        </w:rPr>
      </w:pPr>
      <w:r>
        <w:rPr>
          <w:rFonts w:ascii="Arial" w:cs="Arial" w:eastAsia="Arial" w:hAnsi="Arial"/>
          <w:sz w:val="18"/>
          <w:szCs w:val="18"/>
          <w:b w:val="1"/>
          <w:bCs w:val="1"/>
          <w:color w:val="auto"/>
        </w:rPr>
        <w:t xml:space="preserve">John M. Engler </w:t>
      </w:r>
      <w:r>
        <w:rPr>
          <w:rFonts w:ascii="Arial" w:cs="Arial" w:eastAsia="Arial" w:hAnsi="Arial"/>
          <w:sz w:val="18"/>
          <w:szCs w:val="18"/>
          <w:color w:val="auto"/>
        </w:rPr>
        <w:t>(68) served as President of Business Roundtable from January 15, 2011 until</w:t>
      </w:r>
      <w:r>
        <w:rPr>
          <w:rFonts w:ascii="Arial" w:cs="Arial" w:eastAsia="Arial" w:hAnsi="Arial"/>
          <w:sz w:val="18"/>
          <w:szCs w:val="18"/>
          <w:b w:val="1"/>
          <w:bCs w:val="1"/>
          <w:color w:val="auto"/>
        </w:rPr>
        <w:t xml:space="preserve"> </w:t>
      </w:r>
      <w:r>
        <w:rPr>
          <w:rFonts w:ascii="Arial" w:cs="Arial" w:eastAsia="Arial" w:hAnsi="Arial"/>
          <w:sz w:val="18"/>
          <w:szCs w:val="18"/>
          <w:color w:val="auto"/>
        </w:rPr>
        <w:t>his retirement on February 5, 2017. From 2004 until 2011, Mr. Engler was President and Chief</w:t>
      </w:r>
    </w:p>
    <w:p>
      <w:pPr>
        <w:spacing w:after="0" w:line="1"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Executive Officer of the National Association of Manufacturers. He served as Michigan’s 46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Governor for three terms, from 1991 to 2003. Mr. Engler has served as an Independent Trustee of the Fidelity Fixed Income and Asset Allocation fund’s board since November 2014, and as a director of K12 Inc. since October 2012. He previously served on the boards of Munder Capital Management, Northwest Airlines, Delta Airlines, and Dow Jones &amp; Company.</w:t>
      </w:r>
    </w:p>
    <w:p>
      <w:pPr>
        <w:spacing w:after="0" w:line="19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Mr. Engler’s professional and legal background, coupled with his experience in successfully leading the State of Michigan for 12 years, gives him a unique capacity to understand complex issues and to simplify them in an efficient and effective manner. As President of the Business Roundtable, Mr. Engler led an association of chief executive officers of U.S. companies with over $7 trillion in annual revenue and more than 16 million employees. His work on issues ranging from tax and trade to corporate governance and regulatory policy makes him a key contributor as a director.</w:t>
      </w:r>
    </w:p>
    <w:p>
      <w:pPr>
        <w:spacing w:after="0" w:line="16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auto"/>
        </w:rPr>
        <w:t xml:space="preserve">Bruce A. Merino </w:t>
      </w:r>
      <w:r>
        <w:rPr>
          <w:rFonts w:ascii="Arial" w:cs="Arial" w:eastAsia="Arial" w:hAnsi="Arial"/>
          <w:sz w:val="18"/>
          <w:szCs w:val="18"/>
          <w:color w:val="auto"/>
        </w:rPr>
        <w:t>(63) retired from The Home Depot in 2009, after 25 years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his retirement, he was Senior Vice President of Merchandising and President of The Home Depot’s Expo Design Center. Mr. Merino sits on the City of Hope’s Home Improvement Board Council and is its chair.</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Mr. Merino has been able to utilize his 38 years of experience in the home improvement industry to assist our Company in strategy and operations for our DIY market. His understanding of the procurement and marketing operations of big box retailers is very valuable to our Company.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40"/>
        <w:spacing w:after="0" w:line="248" w:lineRule="auto"/>
        <w:rPr>
          <w:sz w:val="20"/>
          <w:szCs w:val="20"/>
          <w:color w:val="auto"/>
        </w:rPr>
      </w:pPr>
      <w:r>
        <w:rPr>
          <w:rFonts w:ascii="Arial" w:cs="Arial" w:eastAsia="Arial" w:hAnsi="Arial"/>
          <w:sz w:val="17"/>
          <w:szCs w:val="17"/>
          <w:color w:val="auto"/>
        </w:rPr>
        <w:t>Director since 2003. Chairman of Nominating and</w:t>
      </w:r>
    </w:p>
    <w:p>
      <w:pPr>
        <w:ind w:left="160"/>
        <w:spacing w:after="0" w:line="236" w:lineRule="auto"/>
        <w:rPr>
          <w:sz w:val="20"/>
          <w:szCs w:val="20"/>
          <w:color w:val="auto"/>
        </w:rPr>
      </w:pPr>
      <w:r>
        <w:rPr>
          <w:rFonts w:ascii="Arial" w:cs="Arial" w:eastAsia="Arial" w:hAnsi="Arial"/>
          <w:sz w:val="18"/>
          <w:szCs w:val="18"/>
          <w:color w:val="auto"/>
        </w:rPr>
        <w:t>Corporate Governance</w:t>
      </w:r>
    </w:p>
    <w:p>
      <w:pPr>
        <w:ind w:left="160"/>
        <w:spacing w:after="0" w:line="235" w:lineRule="auto"/>
        <w:rPr>
          <w:sz w:val="20"/>
          <w:szCs w:val="20"/>
          <w:color w:val="auto"/>
        </w:rPr>
      </w:pPr>
      <w:r>
        <w:rPr>
          <w:rFonts w:ascii="Arial" w:cs="Arial" w:eastAsia="Arial" w:hAnsi="Arial"/>
          <w:sz w:val="18"/>
          <w:szCs w:val="18"/>
          <w:color w:val="auto"/>
        </w:rPr>
        <w:t>Committee.</w:t>
      </w:r>
    </w:p>
    <w:p>
      <w:pPr>
        <w:ind w:left="160" w:right="1240" w:hanging="161"/>
        <w:spacing w:after="0" w:line="275" w:lineRule="auto"/>
        <w:rPr>
          <w:sz w:val="20"/>
          <w:szCs w:val="20"/>
          <w:color w:val="auto"/>
        </w:rPr>
      </w:pPr>
      <w:r>
        <w:rPr>
          <w:rFonts w:ascii="Arial" w:cs="Arial" w:eastAsia="Arial" w:hAnsi="Arial"/>
          <w:sz w:val="17"/>
          <w:szCs w:val="17"/>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340"/>
        <w:spacing w:after="0" w:line="248" w:lineRule="auto"/>
        <w:rPr>
          <w:sz w:val="20"/>
          <w:szCs w:val="20"/>
          <w:color w:val="auto"/>
        </w:rPr>
      </w:pPr>
      <w:r>
        <w:rPr>
          <w:rFonts w:ascii="Arial" w:cs="Arial" w:eastAsia="Arial" w:hAnsi="Arial"/>
          <w:sz w:val="17"/>
          <w:szCs w:val="17"/>
          <w:color w:val="auto"/>
        </w:rPr>
        <w:t>Director since 2009. Chairman of Personnel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Compensation Committee.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Member of Nominating and</w:t>
      </w:r>
    </w:p>
    <w:p>
      <w:pPr>
        <w:ind w:left="160"/>
        <w:spacing w:after="0" w:line="234" w:lineRule="auto"/>
        <w:rPr>
          <w:sz w:val="20"/>
          <w:szCs w:val="20"/>
          <w:color w:val="auto"/>
        </w:rPr>
      </w:pPr>
      <w:r>
        <w:rPr>
          <w:rFonts w:ascii="Arial" w:cs="Arial" w:eastAsia="Arial" w:hAnsi="Arial"/>
          <w:sz w:val="18"/>
          <w:szCs w:val="18"/>
          <w:color w:val="auto"/>
        </w:rPr>
        <w:t>Corporate Governance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Committee.</w:t>
      </w:r>
    </w:p>
    <w:p>
      <w:pPr>
        <w:spacing w:after="0" w:line="573" w:lineRule="exact"/>
        <w:rPr>
          <w:sz w:val="20"/>
          <w:szCs w:val="20"/>
          <w:color w:val="auto"/>
        </w:rPr>
      </w:pPr>
    </w:p>
    <w:p>
      <w:pPr>
        <w:sectPr>
          <w:pgSz w:w="11900" w:h="16838" w:orient="portrait"/>
          <w:cols w:equalWidth="0" w:num="2">
            <w:col w:w="7660" w:space="240"/>
            <w:col w:w="3520"/>
          </w:cols>
          <w:pgMar w:left="240" w:top="886" w:right="239" w:bottom="1440" w:gutter="0" w:footer="0" w:header="0"/>
        </w:sectPr>
      </w:pPr>
    </w:p>
    <w:p>
      <w:pPr>
        <w:jc w:val="center"/>
        <w:spacing w:after="0"/>
        <w:rPr>
          <w:sz w:val="20"/>
          <w:szCs w:val="20"/>
          <w:color w:val="auto"/>
        </w:rPr>
      </w:pPr>
      <w:r>
        <w:rPr>
          <w:rFonts w:ascii="Arial" w:cs="Arial" w:eastAsia="Arial" w:hAnsi="Arial"/>
          <w:sz w:val="25"/>
          <w:szCs w:val="25"/>
          <w:b w:val="1"/>
          <w:bCs w:val="1"/>
          <w:color w:val="auto"/>
        </w:rPr>
        <w:t>CORPORATE GOVERNANCE AND BOARD MATTERS</w:t>
      </w:r>
    </w:p>
    <w:p>
      <w:pPr>
        <w:spacing w:after="0" w:line="2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These Principles also require the Board to have an Audit Committee, Nominating and Corporate Governance Committee, and a Personnel and Compensation Committee. The Principles, along with the charters of each of these committees, are available for review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Code of Business Conduct and Ethics and Code of Ethics for Senior Financial Officers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Affirmative Determination Regarding Director Independence and Other Matters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required by the Principles, our Board has determined each of the following directors to be an “independent director,” under the Nasdaq Stock Market Rules (the “Nasdaq Standard”): William G. Currie, John M. Engler, Gary F. Goode, Bruce A. Merino, Thomas W. Rhodes, Mary E. Tuuk, Brian C. Walker, and Michael G. Wooldridge. There are no family relationships between or among the directors and our executive officers.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effectiveness of each of our directors is monitored through the use of an annual assessment. Our Board does not have a mandatory retirement age policy.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Each member of the Audit Committee is “independent” under the Nasdaq Standard as well as the applicable rules of the SEC for audit committee membership. Our Board has determined that Mr. Goode and Ms. Tuuk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2016, the Audit Committee held six meetings.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18"/>
          <w:szCs w:val="18"/>
          <w:u w:val="single" w:color="auto"/>
          <w:color w:val="auto"/>
        </w:rPr>
        <w:t>Personnel and Compensation Committee</w:t>
      </w:r>
      <w:r>
        <w:rPr>
          <w:rFonts w:ascii="Arial" w:cs="Arial" w:eastAsia="Arial" w:hAnsi="Arial"/>
          <w:sz w:val="18"/>
          <w:szCs w:val="18"/>
          <w:color w:val="auto"/>
        </w:rPr>
        <w:t>. 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administering our equity-based incentive plans and for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2016, the Personnel and Compensation Committee held two meetings.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reviews succession planning for the Chief Executive Officer,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In view of the age and tenure of certain members of the Board, the Committee has been active in seeking and evaluating qualified candidates, consistent with the Policy Governing Director Qualifications and Nominations serve on the Board. During 2016, the Nominating and Corporate Governance Committee held three meetings.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u w:val="single" w:color="auto"/>
          <w:color w:val="auto"/>
        </w:rPr>
        <w:t>Shareholder Nominees for Director</w:t>
      </w:r>
      <w:r>
        <w:rPr>
          <w:rFonts w:ascii="Arial" w:cs="Arial" w:eastAsia="Arial" w:hAnsi="Arial"/>
          <w:sz w:val="18"/>
          <w:szCs w:val="18"/>
          <w:color w:val="auto"/>
        </w:rPr>
        <w:t>. Our Articles of Incorporation contain certain procedural requirements 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on the candidate must be included to enable the Nominating and Corporate Governance Committee to make proper assessments as to his or her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39" w:lineRule="auto"/>
        <w:rPr>
          <w:sz w:val="20"/>
          <w:szCs w:val="20"/>
          <w:color w:val="auto"/>
        </w:rPr>
      </w:pPr>
      <w:r>
        <w:rPr>
          <w:rFonts w:ascii="Arial" w:cs="Arial" w:eastAsia="Arial" w:hAnsi="Arial"/>
          <w:sz w:val="18"/>
          <w:szCs w:val="18"/>
          <w:color w:val="auto"/>
        </w:rPr>
        <w:t>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u w:val="single" w:color="auto"/>
          <w:color w:val="auto"/>
        </w:rPr>
        <w:t>Director Qualifications and Requirements</w:t>
      </w:r>
      <w:r>
        <w:rPr>
          <w:rFonts w:ascii="Arial" w:cs="Arial" w:eastAsia="Arial" w:hAnsi="Arial"/>
          <w:sz w:val="18"/>
          <w:szCs w:val="18"/>
          <w:color w:val="auto"/>
        </w:rPr>
        <w:t>. Our Board has adopted a Policy Governing Director 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Policy includes minimum qualification standards, Board composition standards, and additional qualification criteria. With respect to the former, the Policy requires that the Committee be satisfied that each recommended nominee meet the following qualifications:</w:t>
      </w:r>
    </w:p>
    <w:p>
      <w:pPr>
        <w:spacing w:after="0" w:line="16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The candidate must exhibit high standards of personal integrity and ethical character.</w:t>
      </w:r>
    </w:p>
    <w:p>
      <w:pPr>
        <w:spacing w:after="0" w:line="198" w:lineRule="exact"/>
        <w:rPr>
          <w:rFonts w:ascii="Arial" w:cs="Arial" w:eastAsia="Arial" w:hAnsi="Arial"/>
          <w:sz w:val="18"/>
          <w:szCs w:val="18"/>
          <w:color w:val="auto"/>
        </w:rPr>
      </w:pPr>
    </w:p>
    <w:p>
      <w:pPr>
        <w:ind w:left="660" w:right="2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Absence of Conflicts of Interest</w:t>
      </w:r>
      <w:r>
        <w:rPr>
          <w:rFonts w:ascii="Arial" w:cs="Arial" w:eastAsia="Arial" w:hAnsi="Arial"/>
          <w:sz w:val="18"/>
          <w:szCs w:val="18"/>
          <w:color w:val="auto"/>
        </w:rPr>
        <w:t>. The candidate must not have any interests that would impair his or her ability to (i)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judgment, or (ii) otherwise discharge the fiduciary duties owed as a director to our Company and its shareholders.</w:t>
      </w:r>
    </w:p>
    <w:p>
      <w:pPr>
        <w:spacing w:after="0" w:line="147" w:lineRule="exact"/>
        <w:rPr>
          <w:rFonts w:ascii="Arial" w:cs="Arial" w:eastAsia="Arial" w:hAnsi="Arial"/>
          <w:sz w:val="18"/>
          <w:szCs w:val="18"/>
          <w:color w:val="auto"/>
        </w:rPr>
      </w:pPr>
    </w:p>
    <w:p>
      <w:pPr>
        <w:ind w:left="660" w:right="2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Fair and Equal Representation</w:t>
      </w:r>
      <w:r>
        <w:rPr>
          <w:rFonts w:ascii="Arial" w:cs="Arial" w:eastAsia="Arial" w:hAnsi="Arial"/>
          <w:sz w:val="18"/>
          <w:szCs w:val="18"/>
          <w:color w:val="auto"/>
        </w:rPr>
        <w:t>. The candidate must be able to represent fairly and equally all shareholders of our Company,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favoring or advancing any particular shareholder or other constituency.</w:t>
      </w:r>
    </w:p>
    <w:p>
      <w:pPr>
        <w:spacing w:after="0" w:line="147"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Experience</w:t>
      </w:r>
      <w:r>
        <w:rPr>
          <w:rFonts w:ascii="Arial" w:cs="Arial" w:eastAsia="Arial" w:hAnsi="Arial"/>
          <w:sz w:val="18"/>
          <w:szCs w:val="18"/>
          <w:color w:val="auto"/>
        </w:rPr>
        <w:t>. The candidate must have experience at a strategic, policy-making, or senior management level in a business,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non-profit, or academic organization of high standing.</w:t>
      </w:r>
    </w:p>
    <w:p>
      <w:pPr>
        <w:spacing w:after="0" w:line="147" w:lineRule="exact"/>
        <w:rPr>
          <w:rFonts w:ascii="Arial" w:cs="Arial" w:eastAsia="Arial" w:hAnsi="Arial"/>
          <w:sz w:val="18"/>
          <w:szCs w:val="18"/>
          <w:color w:val="auto"/>
        </w:rPr>
      </w:pPr>
    </w:p>
    <w:p>
      <w:pPr>
        <w:jc w:val="both"/>
        <w:ind w:left="660" w:hanging="652"/>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Business Understanding</w:t>
      </w:r>
      <w:r>
        <w:rPr>
          <w:rFonts w:ascii="Arial" w:cs="Arial" w:eastAsia="Arial" w:hAnsi="Arial"/>
          <w:sz w:val="18"/>
          <w:szCs w:val="18"/>
          <w:color w:val="auto"/>
        </w:rPr>
        <w:t>. The candidate must have a general appreciation regarding major issues facing public companies of a size</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operational scope similar to the Company, including contemporary governance concerns, regulatory obligations of a public issuer, strategic business planning, and basic concepts of corporate finance.</w:t>
      </w:r>
    </w:p>
    <w:p>
      <w:pPr>
        <w:spacing w:after="0" w:line="16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Available Time</w:t>
      </w:r>
      <w:r>
        <w:rPr>
          <w:rFonts w:ascii="Arial" w:cs="Arial" w:eastAsia="Arial" w:hAnsi="Arial"/>
          <w:sz w:val="18"/>
          <w:szCs w:val="18"/>
          <w:color w:val="auto"/>
        </w:rPr>
        <w:t>. The candidate must have, and be prepared to devote, adequate time to our Board and its committees.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37" w:lineRule="auto"/>
        <w:rPr>
          <w:sz w:val="20"/>
          <w:szCs w:val="20"/>
          <w:color w:val="auto"/>
        </w:rPr>
      </w:pPr>
      <w:r>
        <w:rPr>
          <w:rFonts w:ascii="Arial" w:cs="Arial" w:eastAsia="Arial" w:hAnsi="Arial"/>
          <w:sz w:val="18"/>
          <w:szCs w:val="18"/>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 our Company by increasing the range of skills and perspectives available to our Board. Director nominees are selected without regard to race, gender, religious belief, or national origin. Our Board believes that adherence to these principles will provide an environment and practices that will yield the best return for our shareholders.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has, to date, not paid any third-party fees to assist in identifying and evaluating nominees. As of the date of this Notice, the Committee has not received any recommended nominations from any of our shareholders in connection with our 2017 Annual Meeting of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January 27, 2017, our Board of Directors approved an amendment to our Bylaws to provide for majority voting for the election of directors. This majority voting standard is described above under “Election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director is expected to make a reasonable effort to attend all meetings of our Board, applicable committee meetings, and the Annual Meeting of Shareholders. All but one of our directors attended our 2016 Annual Meeting of Shareholders. During the last fiscal year, there were four regular meetings of the Board, and the Board took action by unanimous written consent on five occasions. All of the directors attended at least 75% of the Board and Committee meetings for which they were eligible to attend. During fiscal 2016, the independent members of our Board met in executive session, without the presence of management, on two occasions.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and the Board’s Role in Risk Oversight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William G. Currie, our current Chairman of the Board, was formerly our Company’s Chief Executive Officer and served as Executive Chairman until his retirement from our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39" w:lineRule="auto"/>
        <w:rPr>
          <w:sz w:val="20"/>
          <w:szCs w:val="20"/>
          <w:color w:val="auto"/>
        </w:rPr>
      </w:pPr>
      <w:r>
        <w:rPr>
          <w:rFonts w:ascii="Arial" w:cs="Arial" w:eastAsia="Arial" w:hAnsi="Arial"/>
          <w:sz w:val="18"/>
          <w:szCs w:val="18"/>
          <w:color w:val="auto"/>
        </w:rPr>
        <w:t>Company in July 2009. Our Board holds sessions of its meetings that are exclusively attended by independent directors. William G. Currie chairs the meetings of independent directors, to communicate actions requested by the independent directors, and to serve as a liaison between the independent directors and our Chief Executive Officer. We believe that the governance of our Board, as currently constituted, is more effective by separating the offices of chairman of the board and chief executive officer.</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In spite of this unpredictability, our Board relies on the representations of management, periodic reports from our independent auditors, as well as internal audit services performed by a third party, our Company’s systems of internal controls, our Company’s insurance advisors, and the historically conservative practices of our Company, to provide comfort on our Company’s ability to manage its risks. Management’s discussion of current risk factors is set forth in our Company’s Annual Report on Form 10-K.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INCREASE AUTHORIZED CAPITAL STOCK</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January 27, 2017, the Board of Directors unanimously approved, subject to shareholder approval, an amendment to the first paragraph of Article III of the Company’s Articles of Incorporation (“Articles”) to read as follows:</w:t>
      </w:r>
    </w:p>
    <w:p>
      <w:pPr>
        <w:spacing w:after="0" w:line="183" w:lineRule="exact"/>
        <w:rPr>
          <w:sz w:val="20"/>
          <w:szCs w:val="20"/>
          <w:color w:val="auto"/>
        </w:rPr>
      </w:pPr>
    </w:p>
    <w:p>
      <w:pPr>
        <w:jc w:val="both"/>
        <w:ind w:left="660" w:right="660"/>
        <w:spacing w:after="0"/>
        <w:rPr>
          <w:sz w:val="20"/>
          <w:szCs w:val="20"/>
          <w:color w:val="auto"/>
        </w:rPr>
      </w:pPr>
      <w:r>
        <w:rPr>
          <w:rFonts w:ascii="Arial" w:cs="Arial" w:eastAsia="Arial" w:hAnsi="Arial"/>
          <w:sz w:val="18"/>
          <w:szCs w:val="18"/>
          <w:color w:val="auto"/>
        </w:rPr>
        <w:t>“The total number of shares of all classes of stock which the Corporation shall have authority to issue is eighty-one million (81,000,000) shares, of which eighty million (80,000,000) shares shall be of a single class of common stock and one million (1,000,000) shares shall be series preferred stock.”</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This amendment would increase the Company’s authorized common stock from 40,000,000 shares to 80,000,000 shares of common stock. There would be no change in the number of authorized preferred shares. The purpose of the amendment is to provide additional shares for future issuance. As of March 1, 2017, issued shares of common stock totaled 20,515,868 shares. Of the remaining authorized but unissued shares of common stock, a total of 3,227,068 shares are reserved for issuance pursuant to the Company’s Employee Stock Purchase Plan, Director Retainer Stock Plan, Stock Gift Plan, and Long Term Stock Incentive Plan. Accordingly, there remain only 16,257,064 shares of common stock available for future issuance, as authorized by the Board of Directors of the Company. The Company has no series preferred stock issued or outstanding.</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Apart from the shares of common stock reserved for issuance under the above-referenced plans, the Company does not have any present plan, understanding, or agreement to issue additional shares of common stock or to issue shares of preferred stock. Nevertheless, the Board of Directors believes it is advisable to have additional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39" w:lineRule="auto"/>
        <w:rPr>
          <w:sz w:val="20"/>
          <w:szCs w:val="20"/>
          <w:color w:val="auto"/>
        </w:rPr>
      </w:pPr>
      <w:r>
        <w:rPr>
          <w:rFonts w:ascii="Arial" w:cs="Arial" w:eastAsia="Arial" w:hAnsi="Arial"/>
          <w:sz w:val="18"/>
          <w:szCs w:val="18"/>
          <w:color w:val="auto"/>
        </w:rPr>
        <w:t>shares of common stock available for possible future acquisitions, public offerings, stock dividends, and stock splits. The Board of Directors of the Company will determine whether and on what terms the issuance of shares of common stock or preferred stock may be warranted and appropriate. The Company has no specific plan, understanding, or agreement related to the issuance of its common stock in connection with future acquisitions.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All of the additional shares resulting from the increase in the Company’s authorized common stock would be of the same class with the same dividend, voting, and liquidation rights as the shares of common stock presently outstanding. The shares would be unreserved and available for issuance. No further authorization for the issuance of common shares by shareholder vote is required under the Company’s existing Articles, and none would be required prior to the issuance of the additional common shares by the Company. Shareholders have no preemptive rights to acquire any shares issued by the Company under its existing Articles, and shareholders would not acquire any such rights with respect to any additional shares under the proposed amendment to its Articles.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While the Company is not aware of any pending or threatened effort to gain control of the Company, shareholders should be aware that the authority of the Board to issue common or preferred stock might be considered as having the effect of discouraging an attempt by another person or entity to effect a takeover or otherwise gain control of the Company, because the issuance of preferred stock with voting powers, or the issuance of additional common stock, would dilute the voting power of the stock then outstanding. Moreover, since the terms of the preferred stock remain to be fixed by the Board of Directors, such stock (or rights to acquire such stock) might contain terms (including class voting rights or rights to exchange such stock or warrants for stock of an acquiring company) which could make acquisition of a controlling interest in the Company more difficult or costly.</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Other provisions of the Articles could also be viewed as potential impediments to efforts to acquire control of the Company. Specifically, those provisions of the Articles (i) requiring the election of only one-third of the directors of the Company every year, (ii) requiring the Board to evaluate and determine that any exchange or tender offer for the Company’s common stock or proposed merger, consolidation, or acquisition of all or substantially all of the Company’s assets is in compliance with all applicable laws and is in the best interests of the Company and its shareholders, and (iii) imposing a super-majority vote requirement applicable to any proposed combination or reorganization of the Company, could be used in a manner calculated to prevent the removal of management and make more difficult or discourage a change in control of the Company. The Company has no present intention of soliciting the vote of shareholders on any other proposal, or series of proposals, to deter changes in control of the Company.</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the proposed amendment to increase the authorized shares of capital stock is approved, common or preferred stock may, as noted, be issued without further action by the shareholders and without first offering such shares to the Company’s shareholders for subscription. Issuance of common or preferred stock otherwise than on a pro rata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rPr>
          <w:sz w:val="20"/>
          <w:szCs w:val="20"/>
          <w:color w:val="auto"/>
        </w:rPr>
      </w:pPr>
      <w:r>
        <w:rPr>
          <w:rFonts w:ascii="Arial" w:cs="Arial" w:eastAsia="Arial" w:hAnsi="Arial"/>
          <w:sz w:val="18"/>
          <w:szCs w:val="18"/>
          <w:color w:val="auto"/>
        </w:rPr>
        <w:t>basis to all current shareholders would reduce current shareholders’ proportionate interests. Based upon the prevailing per-share stock price of our common stock, and subject to the approval of the proposed amendment, the Board is considering the approval of a three-for-one stock split of our shares of common stock.</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affirmative vote of the holders of a majority of the outstanding shares of common stock of the Company is required for approval of the proposed amendment to the Articles. Both abstentions and broker non-votes will have the effect of a negative vote. Unless otherwise directed by a shareholder’s proxy, the persons named as proxy voters in the accompanying proxy will vote FOR the amendment. The approval of the proposal is not a condition to the approval of any other proposals submitted to our shareholders.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The Board of Directors has determined that the proposed amendment is desirable, in the best interest of our shareholders, and recommends a vote FOR its approval.</w:t>
      </w:r>
    </w:p>
    <w:p>
      <w:pPr>
        <w:spacing w:after="0" w:line="335"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RATIFICATION OF DELOITTE &amp; TOUCHE LLP AS INDEPENDENT REGISTERED PUBLIC ACCOUNTING FIRM FOR FISCAL 2017</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selected Deloitte &amp; Touche LLP (“Deloitte”) as our independent registered public accounting firm for the fiscal year ending December 30, 2017. The services provided to our Company and our shareholders by Deloitte for 2016 are described below under the caption “Independent Registered Public Accounting Firm – Disclosure of Fees.”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report of Deloitte on the consolidated financial statements of the Company, as of and for the years ended December 31, 2016 and December 26, 2015, did not contain an adverse opinion or a disclaimer of opinion and were not qualified or modified as to uncertainty, audit scope, or accounting principles.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two most recent calendar years ended December 31, 2016 and December 26, 2015 (the “Relevant Period”), there have been no (i) disagreements between the Company and Deloitte on any matters of accounting principles or practices, financial statement disclosure, or auditing scope or procedure, which disagreements, if not resolved to Deloitte’s satisfaction, would have caused Deloitte to make reference to the subject matter of such disagreements in connection with its reports for those years; or (ii) reportable events as described in Item 304(a)(1) (v) (“Reportable Events”) of Regulation S-K.</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Relevant Period, neither the Company nor (to the Company’s knowledge) anyone acting on behalf of the Company, consulted with Deloitte regarding either (i) the application of accounting principles to a specified transaction (either contemplated or proposed); (ii) the type of audit opinion that might be rendered on the Company’s financial statements; or (iii) any matter that was either the subject matter of a “disagreement,” as described in Item 304(a)(1) of Regulation S-K, or a Reportable Event.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38" w:lineRule="auto"/>
        <w:rPr>
          <w:sz w:val="20"/>
          <w:szCs w:val="20"/>
          <w:color w:val="auto"/>
        </w:rPr>
      </w:pPr>
      <w:r>
        <w:rPr>
          <w:rFonts w:ascii="Arial" w:cs="Arial" w:eastAsia="Arial" w:hAnsi="Arial"/>
          <w:sz w:val="18"/>
          <w:szCs w:val="18"/>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of Shareholders to respond to appropriate questions and to make such statements as they may desire. The affirmative vote of the holders of the majority of the shares represented in person or by proxy and entitled to vote on this item will be required for ratification.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The Board of Directors recommends a vote “FOR” this proposal to ratify the appointment of Deloitte &amp; Touche LLP as the Company’s independent registered public accounting firm for fiscal 2017.</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5"/>
          <w:szCs w:val="25"/>
          <w:b w:val="1"/>
          <w:bCs w:val="1"/>
          <w:color w:val="auto"/>
        </w:rPr>
        <w:t>INDEPENDENT REGISTERED PUBLIC ACCOUNTING FIRM – DISCLOSURE OF FEES</w:t>
      </w:r>
    </w:p>
    <w:p>
      <w:pPr>
        <w:spacing w:after="0" w:line="2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explained above, Deloitte served as our independent registered public accounting firm for the fiscal years ended December 31, 2016 and December 26, 2015. The following table sets forth the fees we paid to Deloitte for those years, all of which were pre-approved by the Audit Committee.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7"/>
                <w:szCs w:val="17"/>
                <w:color w:val="auto"/>
              </w:rPr>
            </w:pPr>
          </w:p>
        </w:tc>
      </w:tr>
      <w:tr>
        <w:trPr>
          <w:trHeight w:val="223"/>
        </w:trPr>
        <w:tc>
          <w:tcPr>
            <w:tcW w:w="358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Audit Fees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628,000</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524,000</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Audit Related Fees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w:t>
            </w:r>
          </w:p>
        </w:tc>
      </w:tr>
      <w:tr>
        <w:trPr>
          <w:trHeight w:val="196"/>
        </w:trPr>
        <w:tc>
          <w:tcPr>
            <w:tcW w:w="3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549,000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annual audit, quarterly reviews, audit of internal controls, and consultation.</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color w:val="auto"/>
        </w:rPr>
        <w:t>. The Audit Committee has established a pre-approval policy and procedures for audit, audit-related,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5"/>
          <w:szCs w:val="25"/>
          <w:b w:val="1"/>
          <w:bCs w:val="1"/>
          <w:color w:val="auto"/>
        </w:rPr>
        <w:t>ADVISORY (NON-BINDING) VOTE ON EXECUTIVE COMPENSATION</w:t>
      </w: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Consistent with our Board’s recommendation, and as approved by our shareholders,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compensation programs are substantially tied to our key business objectives and the success of our shareholders. If the value we deliver to our shareholders declines, so does the compensation we deliver to our executives. We closely monitor the compensation programs and pay levels of executives of companies of similar size and complexity, with the objective that our compensation programs are within the norm of a range of market practices and remain competitive.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over 60 years.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advisory vote on executive compensation was conducted at our Annual Meeting of Shareholders in 2016, based on the disclosure of our executive compensation in the proxy statement for that meeting. Approximately 78% of the shares voted at that meeting approved of the compensation paid to our Named Executives. The Board considered the results of this vote as supportive of the Company’s compensation policies and programs, and did not make any material changes to those policies and programs as a result of that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Board of Directors recommends that you vote in favor of the following resolution:</w:t>
      </w:r>
    </w:p>
    <w:p>
      <w:pPr>
        <w:spacing w:after="0" w:line="198" w:lineRule="exact"/>
        <w:rPr>
          <w:sz w:val="20"/>
          <w:szCs w:val="20"/>
          <w:color w:val="auto"/>
        </w:rPr>
      </w:pPr>
    </w:p>
    <w:p>
      <w:pPr>
        <w:jc w:val="both"/>
        <w:ind w:left="660" w:right="660"/>
        <w:spacing w:after="0"/>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the compensation tables, and related material disclosed in the Company’s proxy statement for its 2017 Annual Meeting of Shareholders, is hereby APPROVED.”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5"/>
          <w:szCs w:val="25"/>
          <w:b w:val="1"/>
          <w:bCs w:val="1"/>
          <w:color w:val="auto"/>
        </w:rPr>
        <w:t>OWNERSHIP OF COMMON STOCK</w:t>
      </w:r>
    </w:p>
    <w:p>
      <w:pPr>
        <w:spacing w:after="0" w:line="2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information as to each shareholder known to have been the beneficial owner of more than five percent (5%) of our outstanding shares of common stock as of February 10,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w:t>
            </w:r>
          </w:p>
        </w:tc>
        <w:tc>
          <w:tcPr>
            <w:tcW w:w="394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Amount and Nature of</w:t>
            </w:r>
          </w:p>
        </w:tc>
        <w:tc>
          <w:tcPr>
            <w:tcW w:w="386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5"/>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39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Beneficial Ownership (1)</w:t>
            </w:r>
          </w:p>
        </w:tc>
        <w:tc>
          <w:tcPr>
            <w:tcW w:w="3860" w:type="dxa"/>
            <w:vAlign w:val="bottom"/>
          </w:tcPr>
          <w:p>
            <w:pPr>
              <w:ind w:left="66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0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BlackRock, Inc.</w:t>
            </w:r>
          </w:p>
        </w:tc>
        <w:tc>
          <w:tcPr>
            <w:tcW w:w="3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rPr>
              <w:t>2,839,822 (2)</w:t>
            </w:r>
          </w:p>
        </w:tc>
        <w:tc>
          <w:tcPr>
            <w:tcW w:w="3860" w:type="dxa"/>
            <w:vAlign w:val="bottom"/>
            <w:shd w:val="clear" w:color="auto" w:fill="CCEEFF"/>
          </w:tcPr>
          <w:p>
            <w:pPr>
              <w:jc w:val="center"/>
              <w:ind w:right="1870"/>
              <w:spacing w:after="0" w:line="202" w:lineRule="exact"/>
              <w:rPr>
                <w:sz w:val="20"/>
                <w:szCs w:val="20"/>
                <w:color w:val="auto"/>
              </w:rPr>
            </w:pPr>
            <w:r>
              <w:rPr>
                <w:rFonts w:ascii="Arial" w:cs="Arial" w:eastAsia="Arial" w:hAnsi="Arial"/>
                <w:sz w:val="18"/>
                <w:szCs w:val="18"/>
                <w:color w:val="auto"/>
                <w:w w:val="97"/>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40 East 52nd Street</w:t>
            </w:r>
          </w:p>
        </w:tc>
        <w:tc>
          <w:tcPr>
            <w:tcW w:w="39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York, NY 10022</w:t>
            </w:r>
          </w:p>
        </w:tc>
        <w:tc>
          <w:tcPr>
            <w:tcW w:w="39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Vanguard Group, Inc.</w:t>
            </w:r>
          </w:p>
        </w:tc>
        <w:tc>
          <w:tcPr>
            <w:tcW w:w="3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rPr>
              <w:t>1,754,726 (3)</w:t>
            </w:r>
          </w:p>
        </w:tc>
        <w:tc>
          <w:tcPr>
            <w:tcW w:w="3860" w:type="dxa"/>
            <w:vAlign w:val="bottom"/>
            <w:shd w:val="clear" w:color="auto" w:fill="CCEEFF"/>
          </w:tcPr>
          <w:p>
            <w:pPr>
              <w:jc w:val="center"/>
              <w:ind w:right="187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100 Vanguard Blvd.</w:t>
            </w:r>
          </w:p>
        </w:tc>
        <w:tc>
          <w:tcPr>
            <w:tcW w:w="39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Malvern, PA 19355</w:t>
            </w:r>
          </w:p>
        </w:tc>
        <w:tc>
          <w:tcPr>
            <w:tcW w:w="39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Dimensional Fund Advisors LP</w:t>
            </w:r>
          </w:p>
        </w:tc>
        <w:tc>
          <w:tcPr>
            <w:tcW w:w="3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rPr>
              <w:t>1,618,303 (4)</w:t>
            </w:r>
          </w:p>
        </w:tc>
        <w:tc>
          <w:tcPr>
            <w:tcW w:w="3860" w:type="dxa"/>
            <w:vAlign w:val="bottom"/>
            <w:shd w:val="clear" w:color="auto" w:fill="CCEEFF"/>
          </w:tcPr>
          <w:p>
            <w:pPr>
              <w:jc w:val="center"/>
              <w:ind w:right="187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Building One</w:t>
            </w:r>
          </w:p>
        </w:tc>
        <w:tc>
          <w:tcPr>
            <w:tcW w:w="39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6300 Bee Cave Road</w:t>
            </w:r>
          </w:p>
        </w:tc>
        <w:tc>
          <w:tcPr>
            <w:tcW w:w="39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Austin, TX 78746</w:t>
            </w:r>
          </w:p>
        </w:tc>
        <w:tc>
          <w:tcPr>
            <w:tcW w:w="3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Except as otherwise indicated by footnote, each named person has sole voting and investment power with respect to the shares indicated.</w:t>
      </w:r>
    </w:p>
    <w:p>
      <w:pPr>
        <w:spacing w:after="0" w:line="163" w:lineRule="exact"/>
        <w:rPr>
          <w:rFonts w:ascii="Arial" w:cs="Arial" w:eastAsia="Arial" w:hAnsi="Arial"/>
          <w:sz w:val="14"/>
          <w:szCs w:val="14"/>
          <w:color w:val="auto"/>
        </w:rPr>
      </w:pPr>
    </w:p>
    <w:p>
      <w:pPr>
        <w:ind w:left="340" w:hanging="332"/>
        <w:spacing w:after="0" w:line="24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BlackRock, Inc., either directly or through affiliated companies, beneficially owned this number of shares, as noted on the Schedule 13G it filed with the SEC on January 17, 2017.</w:t>
      </w:r>
    </w:p>
    <w:p>
      <w:pPr>
        <w:spacing w:after="0" w:line="319"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Vanguard Group, Inc., either directly or through affiliated companies, beneficially owned this number of shares, as noted on the Schedule 13G it filed with the SEC on February 10, 2017.</w:t>
      </w:r>
    </w:p>
    <w:p>
      <w:pPr>
        <w:spacing w:after="0" w:line="140"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9, 2017. Dimensional expressly disclaims beneficial ownership of such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5"/>
          <w:szCs w:val="25"/>
          <w:b w:val="1"/>
          <w:bCs w:val="1"/>
          <w:color w:val="auto"/>
        </w:rPr>
        <w:t>SECURITIES OWNERSHIP OF MANAGEMENT</w:t>
      </w: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contains information with respect to ownership of our common stock by each director, each nominee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28,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Name of</w:t>
            </w:r>
          </w:p>
        </w:tc>
        <w:tc>
          <w:tcPr>
            <w:tcW w:w="306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 and Nature of</w:t>
            </w:r>
          </w:p>
        </w:tc>
        <w:tc>
          <w:tcPr>
            <w:tcW w:w="720" w:type="dxa"/>
            <w:vAlign w:val="bottom"/>
          </w:tcPr>
          <w:p>
            <w:pPr>
              <w:spacing w:after="0"/>
              <w:rPr>
                <w:sz w:val="17"/>
                <w:szCs w:val="17"/>
                <w:color w:val="auto"/>
              </w:rPr>
            </w:pPr>
          </w:p>
        </w:tc>
        <w:tc>
          <w:tcPr>
            <w:tcW w:w="3760" w:type="dxa"/>
            <w:vAlign w:val="bottom"/>
          </w:tcPr>
          <w:p>
            <w:pPr>
              <w:ind w:left="2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Beneficial Ownership (1)</w:t>
            </w:r>
          </w:p>
        </w:tc>
        <w:tc>
          <w:tcPr>
            <w:tcW w:w="7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Patrick M. Webster</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114,992</w:t>
            </w:r>
          </w:p>
        </w:tc>
        <w:tc>
          <w:tcPr>
            <w:tcW w:w="7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9"/>
              </w:rPr>
              <w:t>(2)</w:t>
            </w: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Matthew J. Missad</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113,134</w:t>
            </w:r>
          </w:p>
        </w:tc>
        <w:tc>
          <w:tcPr>
            <w:tcW w:w="72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(2)</w:t>
            </w:r>
          </w:p>
        </w:tc>
        <w:tc>
          <w:tcPr>
            <w:tcW w:w="3760" w:type="dxa"/>
            <w:vAlign w:val="bottom"/>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William G. Currie</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90,889</w:t>
            </w:r>
          </w:p>
        </w:tc>
        <w:tc>
          <w:tcPr>
            <w:tcW w:w="720" w:type="dxa"/>
            <w:vAlign w:val="bottom"/>
            <w:shd w:val="clear" w:color="auto" w:fill="CCEEFF"/>
          </w:tcPr>
          <w:p>
            <w:pPr>
              <w:spacing w:after="0"/>
              <w:rPr>
                <w:sz w:val="17"/>
                <w:szCs w:val="17"/>
                <w:color w:val="auto"/>
              </w:rPr>
            </w:pP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Michael R. Cole</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53,380</w:t>
            </w:r>
          </w:p>
        </w:tc>
        <w:tc>
          <w:tcPr>
            <w:tcW w:w="72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(2)</w:t>
            </w:r>
          </w:p>
        </w:tc>
        <w:tc>
          <w:tcPr>
            <w:tcW w:w="3760" w:type="dxa"/>
            <w:vAlign w:val="bottom"/>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Gary F. Goode</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40,897</w:t>
            </w:r>
          </w:p>
        </w:tc>
        <w:tc>
          <w:tcPr>
            <w:tcW w:w="7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9"/>
              </w:rPr>
              <w:t>(3)</w:t>
            </w: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Patrick M. Benton</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35,447</w:t>
            </w:r>
          </w:p>
        </w:tc>
        <w:tc>
          <w:tcPr>
            <w:tcW w:w="72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(2)</w:t>
            </w:r>
          </w:p>
        </w:tc>
        <w:tc>
          <w:tcPr>
            <w:tcW w:w="3760" w:type="dxa"/>
            <w:vAlign w:val="bottom"/>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Allen T. Peters</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34,034</w:t>
            </w:r>
          </w:p>
        </w:tc>
        <w:tc>
          <w:tcPr>
            <w:tcW w:w="7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9"/>
              </w:rPr>
              <w:t>(2)</w:t>
            </w: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John M. Engler</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21,809</w:t>
            </w:r>
          </w:p>
        </w:tc>
        <w:tc>
          <w:tcPr>
            <w:tcW w:w="72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(3)</w:t>
            </w:r>
          </w:p>
        </w:tc>
        <w:tc>
          <w:tcPr>
            <w:tcW w:w="3760" w:type="dxa"/>
            <w:vAlign w:val="bottom"/>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W. Rhodes</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14,455</w:t>
            </w:r>
          </w:p>
        </w:tc>
        <w:tc>
          <w:tcPr>
            <w:tcW w:w="7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9"/>
              </w:rPr>
              <w:t>(3)</w:t>
            </w: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Bruce A. Merino</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11,512</w:t>
            </w:r>
          </w:p>
        </w:tc>
        <w:tc>
          <w:tcPr>
            <w:tcW w:w="720" w:type="dxa"/>
            <w:vAlign w:val="bottom"/>
          </w:tcPr>
          <w:p>
            <w:pPr>
              <w:spacing w:after="0"/>
              <w:rPr>
                <w:sz w:val="17"/>
                <w:szCs w:val="17"/>
                <w:color w:val="auto"/>
              </w:rPr>
            </w:pPr>
          </w:p>
        </w:tc>
        <w:tc>
          <w:tcPr>
            <w:tcW w:w="3760" w:type="dxa"/>
            <w:vAlign w:val="bottom"/>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Brian C. Walker</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5,011</w:t>
            </w:r>
          </w:p>
        </w:tc>
        <w:tc>
          <w:tcPr>
            <w:tcW w:w="7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9"/>
              </w:rPr>
              <w:t>(3)</w:t>
            </w: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Mary E. Tuuk</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4,540</w:t>
            </w:r>
          </w:p>
        </w:tc>
        <w:tc>
          <w:tcPr>
            <w:tcW w:w="720" w:type="dxa"/>
            <w:vAlign w:val="bottom"/>
          </w:tcPr>
          <w:p>
            <w:pPr>
              <w:spacing w:after="0"/>
              <w:rPr>
                <w:sz w:val="17"/>
                <w:szCs w:val="17"/>
                <w:color w:val="auto"/>
              </w:rPr>
            </w:pPr>
          </w:p>
        </w:tc>
        <w:tc>
          <w:tcPr>
            <w:tcW w:w="3760" w:type="dxa"/>
            <w:vAlign w:val="bottom"/>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G. Wooldridge</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3,294</w:t>
            </w:r>
          </w:p>
        </w:tc>
        <w:tc>
          <w:tcPr>
            <w:tcW w:w="7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9"/>
              </w:rPr>
              <w:t>(3)</w:t>
            </w:r>
          </w:p>
        </w:tc>
        <w:tc>
          <w:tcPr>
            <w:tcW w:w="3760" w:type="dxa"/>
            <w:vAlign w:val="bottom"/>
            <w:shd w:val="clear" w:color="auto" w:fill="CCEEFF"/>
          </w:tcPr>
          <w:p>
            <w:pPr>
              <w:jc w:val="right"/>
              <w:ind w:right="30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3780" w:type="dxa"/>
            <w:vAlign w:val="bottom"/>
            <w:gridSpan w:val="2"/>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directors and executive officers as</w:t>
            </w:r>
          </w:p>
        </w:tc>
        <w:tc>
          <w:tcPr>
            <w:tcW w:w="37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710,151 (2)(3)</w:t>
            </w:r>
          </w:p>
        </w:tc>
        <w:tc>
          <w:tcPr>
            <w:tcW w:w="3760" w:type="dxa"/>
            <w:vAlign w:val="bottom"/>
            <w:shd w:val="clear" w:color="auto" w:fill="CCEEFF"/>
          </w:tcPr>
          <w:p>
            <w:pPr>
              <w:jc w:val="right"/>
              <w:ind w:right="277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 group (21 persons)</w:t>
            </w:r>
          </w:p>
        </w:tc>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 (1%).</w:t>
      </w:r>
    </w:p>
    <w:p>
      <w:pPr>
        <w:spacing w:after="0" w:line="16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Except as otherwise indicated by footnote, each named person has sole voting and investment power with respect to the shares indicated.</w:t>
      </w:r>
    </w:p>
    <w:p>
      <w:pPr>
        <w:spacing w:after="0" w:line="163"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shares subject to issuance under our deferred compensation plans for Messrs. Missad, Cole, Webster, Benton, and Peters in the amount of 24,708 shares; 9,571 shares; 37,898 shares; 2,871 shares; and 3,091 shares, respectively.</w:t>
      </w:r>
    </w:p>
    <w:p>
      <w:pPr>
        <w:spacing w:after="0" w:line="14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shares held in our Director Retainer Stock Plan for Messrs. Engler, Goode, Rhodes, Walker, and Wooldridge who hold 9,125 shares; 28,113 shares; 9,035 shares; 2,694 shares; and 986 shares, respectively.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23" w:name="page24"/>
    <w:bookmarkEnd w:id="23"/>
    <w:p>
      <w:pPr>
        <w:ind w:left="3920"/>
        <w:spacing w:after="0"/>
        <w:rPr>
          <w:sz w:val="20"/>
          <w:szCs w:val="20"/>
          <w:color w:val="auto"/>
        </w:rPr>
      </w:pPr>
      <w:r>
        <w:rPr>
          <w:rFonts w:ascii="Arial" w:cs="Arial" w:eastAsia="Arial" w:hAnsi="Arial"/>
          <w:sz w:val="25"/>
          <w:szCs w:val="25"/>
          <w:b w:val="1"/>
          <w:bCs w:val="1"/>
          <w:color w:val="auto"/>
        </w:rPr>
        <w:t>EXECUTIVE COMPENSATION</w:t>
      </w:r>
    </w:p>
    <w:p>
      <w:pPr>
        <w:spacing w:after="0" w:line="42" w:lineRule="exact"/>
        <w:rPr>
          <w:sz w:val="20"/>
          <w:szCs w:val="20"/>
          <w:color w:val="auto"/>
        </w:rPr>
      </w:pPr>
    </w:p>
    <w:p>
      <w:pPr>
        <w:ind w:left="332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our employees are our most important asset. Our executive compensation program has been designed to motivate, reward, attract, and retain the management deemed essential to ensure our Company’s success. The program seeks to align executive compensation with Company objectives, business strategy, and financial performance. In applying these principles, we seek to:</w:t>
      </w:r>
    </w:p>
    <w:p>
      <w:pPr>
        <w:spacing w:after="0" w:line="185" w:lineRule="exact"/>
        <w:rPr>
          <w:sz w:val="20"/>
          <w:szCs w:val="20"/>
          <w:color w:val="auto"/>
        </w:rPr>
      </w:pPr>
    </w:p>
    <w:p>
      <w:pPr>
        <w:ind w:left="280" w:hanging="110"/>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an environment that rewards performance for achievement of Company goals;</w:t>
      </w:r>
    </w:p>
    <w:p>
      <w:pPr>
        <w:ind w:left="280" w:hanging="110"/>
        <w:spacing w:after="0" w:line="234"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long-term success of our Company; and</w:t>
      </w:r>
    </w:p>
    <w:p>
      <w:pPr>
        <w:ind w:left="280" w:hanging="110"/>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shareholders through stock ownership initiatives and requirements.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Our Compensation Program is Designed to Reward</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Components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 Base salaries are set for our executive officers at the Committee’s January meeting each year. At this meeting, our Chief Executive Officer makes compensation recommendations to the Committee with respect to our executive officers. The Committee may accept or adjust such recommendations. It makes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sole determination of the compensation for our Chief Executive Officer, subject to approval of our Board.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Base Salaries</w:t>
      </w:r>
      <w:r>
        <w:rPr>
          <w:rFonts w:ascii="Arial" w:cs="Arial" w:eastAsia="Arial" w:hAnsi="Arial"/>
          <w:sz w:val="18"/>
          <w:szCs w:val="18"/>
          <w:color w:val="auto"/>
        </w:rPr>
        <w:t>. Historically, we have provided modest base salaries relative to market averages and created opportunities for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performance-based incentive compensation. The Committee has complete discretion in determining base salary amounts, regardless of whether corporate or individual performance goals are achieved.</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Committee may, but is not required to, use objective and subjective measures in exercising its discretion in setting base salaries. The Committee is authorized to utilize the services of third-party consultants from time to time to assist in the review of our compensation programs and render related services. The last external review of our executive compensation programs was performed in 2016 by Meridian</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Compensation Partners, LLC (“Meridian”). Meridian was retained by the Committee to review peer group compensation</w:t>
      </w:r>
      <w:r>
        <w:rPr>
          <w:rFonts w:ascii="Arial" w:cs="Arial" w:eastAsia="Arial" w:hAnsi="Arial"/>
          <w:sz w:val="30"/>
          <w:szCs w:val="30"/>
          <w:color w:val="auto"/>
          <w:vertAlign w:val="superscript"/>
        </w:rPr>
        <w:t>(</w:t>
      </w:r>
      <w:r>
        <w:rPr>
          <w:rFonts w:ascii="Arial" w:cs="Arial" w:eastAsia="Arial" w:hAnsi="Arial"/>
          <w:sz w:val="36"/>
          <w:szCs w:val="36"/>
          <w:color w:val="auto"/>
          <w:vertAlign w:val="superscript"/>
        </w:rPr>
        <w:t>1</w:t>
      </w:r>
      <w:r>
        <w:rPr>
          <w:rFonts w:ascii="Arial" w:cs="Arial" w:eastAsia="Arial" w:hAnsi="Arial"/>
          <w:sz w:val="30"/>
          <w:szCs w:val="30"/>
          <w:color w:val="auto"/>
          <w:vertAlign w:val="superscript"/>
        </w:rPr>
        <w:t>)</w:t>
      </w:r>
      <w:r>
        <w:rPr>
          <w:rFonts w:ascii="Arial" w:cs="Arial" w:eastAsia="Arial" w:hAnsi="Arial"/>
          <w:sz w:val="18"/>
          <w:szCs w:val="18"/>
          <w:color w:val="auto"/>
        </w:rPr>
        <w:t>. In connection with that review, Meridian conducted a comparison of our compensation relative to a peer group as well as general market data and executive compensation rates and practices from a variety of third party sources. Based upon Meridian’s review and benchmarking, the Committee concluded that our compensation program for executive officers is generally competitive, and as a result, no modifications were made to our executive compensation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salary increases to the Named Executives, identified in the Summary Compensation Table,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color w:val="auto"/>
              </w:rPr>
              <w:t>Named Executive</w:t>
            </w:r>
          </w:p>
        </w:tc>
        <w:tc>
          <w:tcPr>
            <w:tcW w:w="2480" w:type="dxa"/>
            <w:vAlign w:val="bottom"/>
            <w:gridSpan w:val="3"/>
          </w:tcPr>
          <w:p>
            <w:pPr>
              <w:ind w:left="200"/>
              <w:spacing w:after="0"/>
              <w:rPr>
                <w:sz w:val="20"/>
                <w:szCs w:val="20"/>
                <w:color w:val="auto"/>
              </w:rPr>
            </w:pPr>
            <w:r>
              <w:rPr>
                <w:rFonts w:ascii="Arial" w:cs="Arial" w:eastAsia="Arial" w:hAnsi="Arial"/>
                <w:sz w:val="18"/>
                <w:szCs w:val="18"/>
                <w:color w:val="auto"/>
              </w:rPr>
              <w:t>Effective Date</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rPr>
              <w:t>New Salary</w:t>
            </w:r>
          </w:p>
        </w:tc>
        <w:tc>
          <w:tcPr>
            <w:tcW w:w="2080" w:type="dxa"/>
            <w:vAlign w:val="bottom"/>
          </w:tcPr>
          <w:p>
            <w:pPr>
              <w:jc w:val="right"/>
              <w:ind w:right="510"/>
              <w:spacing w:after="0"/>
              <w:rPr>
                <w:sz w:val="20"/>
                <w:szCs w:val="20"/>
                <w:color w:val="auto"/>
              </w:rPr>
            </w:pPr>
            <w:r>
              <w:rPr>
                <w:rFonts w:ascii="Arial" w:cs="Arial" w:eastAsia="Arial" w:hAnsi="Arial"/>
                <w:sz w:val="18"/>
                <w:szCs w:val="18"/>
                <w:color w:val="auto"/>
              </w:rPr>
              <w:t>% Increase</w:t>
            </w:r>
          </w:p>
        </w:tc>
      </w:tr>
      <w:tr>
        <w:trPr>
          <w:trHeight w:val="196"/>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Matthew J. Missad</w:t>
            </w:r>
          </w:p>
        </w:tc>
        <w:tc>
          <w:tcPr>
            <w:tcW w:w="2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February 1, 2017</w:t>
            </w:r>
          </w:p>
        </w:tc>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$750,000</w:t>
            </w:r>
          </w:p>
        </w:tc>
        <w:tc>
          <w:tcPr>
            <w:tcW w:w="22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15.4%</w:t>
            </w:r>
          </w:p>
        </w:tc>
      </w:tr>
      <w:tr>
        <w:trPr>
          <w:trHeight w:val="203"/>
        </w:trPr>
        <w:tc>
          <w:tcPr>
            <w:tcW w:w="2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18"/>
                <w:szCs w:val="18"/>
                <w:color w:val="auto"/>
              </w:rPr>
              <w:t>Michael R. Cole</w:t>
            </w:r>
          </w:p>
        </w:tc>
        <w:tc>
          <w:tcPr>
            <w:tcW w:w="2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February 1, 2017</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$380,983</w:t>
            </w:r>
          </w:p>
        </w:tc>
        <w:tc>
          <w:tcPr>
            <w:tcW w:w="220" w:type="dxa"/>
            <w:vAlign w:val="bottom"/>
          </w:tcPr>
          <w:p>
            <w:pPr>
              <w:spacing w:after="0"/>
              <w:rPr>
                <w:sz w:val="17"/>
                <w:szCs w:val="17"/>
                <w:color w:val="auto"/>
              </w:rPr>
            </w:pP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Patrick M. Webster</w:t>
            </w:r>
          </w:p>
        </w:tc>
        <w:tc>
          <w:tcPr>
            <w:tcW w:w="24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February 1, 2017</w:t>
            </w:r>
          </w:p>
        </w:tc>
        <w:tc>
          <w:tcPr>
            <w:tcW w:w="2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$439,551</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8.7%</w:t>
            </w:r>
          </w:p>
        </w:tc>
      </w:tr>
      <w:tr>
        <w:trPr>
          <w:trHeight w:val="203"/>
        </w:trPr>
        <w:tc>
          <w:tcPr>
            <w:tcW w:w="2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18"/>
                <w:szCs w:val="18"/>
                <w:color w:val="auto"/>
              </w:rPr>
              <w:t>Patrick M. Benton</w:t>
            </w:r>
          </w:p>
        </w:tc>
        <w:tc>
          <w:tcPr>
            <w:tcW w:w="2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February 1, 2017</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$261,000</w:t>
            </w:r>
          </w:p>
        </w:tc>
        <w:tc>
          <w:tcPr>
            <w:tcW w:w="220" w:type="dxa"/>
            <w:vAlign w:val="bottom"/>
          </w:tcPr>
          <w:p>
            <w:pPr>
              <w:spacing w:after="0"/>
              <w:rPr>
                <w:sz w:val="17"/>
                <w:szCs w:val="17"/>
                <w:color w:val="auto"/>
              </w:rPr>
            </w:pP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2.4%</w:t>
            </w: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Allen T. Peters</w:t>
            </w:r>
          </w:p>
        </w:tc>
        <w:tc>
          <w:tcPr>
            <w:tcW w:w="24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February 1, 2017</w:t>
            </w:r>
          </w:p>
        </w:tc>
        <w:tc>
          <w:tcPr>
            <w:tcW w:w="2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$276,500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w:t>
            </w:r>
          </w:p>
        </w:tc>
      </w:tr>
    </w:tbl>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color w:val="auto"/>
        </w:rPr>
        <w:t>. Our annual Performance Bonus Plan (“Performance Plan”) provides for the contribution of a fixed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of pre-bonus operating profit to each of a number of bonus pools, based upon the pre-bonus Return on Investment (“ROI”) of each plant, region, and division (each of which is referred to as a “Business Unit”), as well as a separate Corporate Business Unit bonus pool. Combined, these bonus pools are the source for our Company’s aggregate bonus awards.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accumulated amortization, less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0"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1 Our current peer group companies are WestRock Co., Masco Corp., Builders FirstSource, Sonoco Products Co., Bemis Co. Inc., Boise Cascade Co., Greif Inc., BMC Stock Holdings Inc., Louisiana-Pacific Corp., BlueLinx Holdings Inc., NCI Building Systems Inc., Gibraltar Industries Inc., American Woodmark Corp., Simpson Manufacturing Inc., and Trex Co. Inc.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spacing w:after="0" w:line="238" w:lineRule="auto"/>
        <w:rPr>
          <w:sz w:val="20"/>
          <w:szCs w:val="20"/>
          <w:color w:val="auto"/>
        </w:rPr>
      </w:pPr>
      <w:r>
        <w:rPr>
          <w:rFonts w:ascii="Arial" w:cs="Arial" w:eastAsia="Arial" w:hAnsi="Arial"/>
          <w:sz w:val="18"/>
          <w:szCs w:val="18"/>
          <w:color w:val="auto"/>
        </w:rPr>
        <w:t>At the beginning of each year, each Named Executive is allocated a fixed percentage of the bonus pool of his or her respective Business Unit. The amount of an employee’s percentage of his or her bonus pool is generally reflective of that person’s relative degree of responsibility for the operations and results of that Business Unit, as well as his or her performance and tenure with the Company. If the Business Unit generates profits which result in a bonus pool, the participant receives the allocated percentage as a performance bonus. The dollar amount of that pool is based upon the Business Unit’s aggregate ROI. As ROI increases, a higher percentage of pre-bonus operating profit is contributed to the pool.</w:t>
      </w:r>
    </w:p>
    <w:p>
      <w:pPr>
        <w:spacing w:after="0" w:line="18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Corporate Business Unit, the minimum contribution percentage of 4.59% of pre-bonus operating profit occurs at the lowest level of ROI, which is 5.00%. The maximum contribution percentage of 10.47% occurs at an ROI of 25.50% and higher. In general, for every hundred basis point improvement in ROI, our Company contributes an approximate, additional 28 basis points of pre-bonus operating profit to the Corporate Business Unit bonus pool. Three of our Named Executives participated in the Corporate Business Unit bonus pool in 2016.</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2016, we achieved an overall ROI of 16.48%. This resulted in a contribution of $15,777,906 to the Corporate Business Unit bonus pool, which equaled 7.67% of pre-bonus operating profit. The performance bonus for each of the Named Executives (other than Messrs. Benton and Peters) was based upon our Company’s total ROI. The performance bonuses for Messrs. Benton and Peters were based upon the ROI of their respective Business Units.</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bonus amount for Mr. Missad was determined by the Company’s ROI, as a whole. Based upon that performance, we contributed the calculated amount of pre-bonus operating profit to the Corporate Business Unit bonus pool. Mr. Missad was eligible to receive a 20% allocation of the Corporate Business Unit bonus pool for 2016. That percentage, multiplied by the amount of that bonus pool, yielded a bonus for Mr. Missad of $3,155,581 for 2016. However, this amount exceeds our Company policy which prohibits the cash payment of a performance bonus that is more than 200% of a participant’s base salary at the time the bonus is payable. As a result, Mr. Missad received a cash bonus of $1,500,000 for 2016, which was approximately 9.51% of the Corporate Business Unit bonus pool.</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2008, the Company adopted a policy limiting cash bonus payments to 1.75 times a participant’s base salary, which was subsequently increased to 2.0 times base salary for compensation earned in 2016 and thereafter. In January 2015, in order to respond to competitive market pressures and preserve the Company’s practice of maintaining lower than market base salaries, the Committee and the Board modified the policy. Under the revised policy, the amount earned by an employee under the Performance Plan in excess of the permitted cash bonus amount (the “Excess Bonus”) was paid in the form of shares of restricted Company common stock under our LTSIP (described below). For 2016 compensation, the restricted shares were subject to five-year cliff vesting.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spacing w:after="0" w:line="237" w:lineRule="auto"/>
        <w:rPr>
          <w:sz w:val="20"/>
          <w:szCs w:val="20"/>
          <w:color w:val="auto"/>
        </w:rPr>
      </w:pPr>
      <w:r>
        <w:rPr>
          <w:rFonts w:ascii="Arial" w:cs="Arial" w:eastAsia="Arial" w:hAnsi="Arial"/>
          <w:sz w:val="18"/>
          <w:szCs w:val="18"/>
          <w:color w:val="auto"/>
        </w:rPr>
        <w:t>For the restricted stock awards granted in 2017 based upon 2016 performance under the Performance Plan, the Excess Bonus was paid in the form of shares of restricted Company stock that cliff vest on the fifth anniversary of the award date, based upon the Fair Market Value of our Company’s common stock on the award date (less an aggregate of 7,500 shares of restricted stock that were reallocated to other employees). The Committee approved management’s recommendation to allocate $465,000 (otherwise payable to the Named Executives), plus $285,000 paid out of corporate and divisional pool discretionary funds, to other non-Named Executive employees which was paid in the form of restricted stock subject to five-year vesting (the “Reallocated Restricted Stock Amount”).</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discloses and explains the determination of bonuses earned by the Named Executives under our Performance Plan for 2016. As is explained above, actual cash bonus payments are limited to 200% of each participant’s base salary at the date of payment of the bonus. For 2016, the actual cash bonus payments to Messrs. Missad, Cole, Webster, Benton, and Peters were less than the total bonus amounts they earned.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Percent of Pre-Bonus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Allocation of</w:t>
            </w:r>
          </w:p>
        </w:tc>
        <w:tc>
          <w:tcPr>
            <w:tcW w:w="2260" w:type="dxa"/>
            <w:vAlign w:val="bottom"/>
            <w:tcBorders>
              <w:top w:val="single" w:sz="8" w:color="auto"/>
              <w:right w:val="single" w:sz="8" w:color="auto"/>
            </w:tcBorders>
          </w:tcPr>
          <w:p>
            <w:pPr>
              <w:spacing w:after="0"/>
              <w:rPr>
                <w:sz w:val="18"/>
                <w:szCs w:val="18"/>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Operating Profit</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Participation in</w:t>
            </w:r>
          </w:p>
        </w:tc>
        <w:tc>
          <w:tcPr>
            <w:tcW w:w="2260" w:type="dxa"/>
            <w:vAlign w:val="bottom"/>
            <w:tcBorders>
              <w:right w:val="single" w:sz="8" w:color="auto"/>
            </w:tcBorders>
          </w:tcPr>
          <w:p>
            <w:pPr>
              <w:spacing w:after="0"/>
              <w:rPr>
                <w:sz w:val="17"/>
                <w:szCs w:val="17"/>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Contributed to the</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the Corporate</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Cash</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Actual</w:t>
            </w:r>
          </w:p>
        </w:tc>
        <w:tc>
          <w:tcPr>
            <w:tcW w:w="2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Corporate Business</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Business Unit</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Performance</w:t>
            </w:r>
          </w:p>
        </w:tc>
      </w:tr>
      <w:tr>
        <w:trPr>
          <w:trHeight w:val="203"/>
        </w:trPr>
        <w:tc>
          <w:tcPr>
            <w:tcW w:w="29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Named Executive</w:t>
            </w:r>
          </w:p>
        </w:tc>
        <w:tc>
          <w:tcPr>
            <w:tcW w:w="114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ROI</w:t>
            </w:r>
          </w:p>
        </w:tc>
        <w:tc>
          <w:tcPr>
            <w:tcW w:w="2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Unit Bonus Pool</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Bonus Pool</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Bonus Paid</w:t>
            </w:r>
          </w:p>
        </w:tc>
      </w:tr>
      <w:tr>
        <w:trPr>
          <w:trHeight w:val="203"/>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(1)</w:t>
            </w:r>
          </w:p>
        </w:tc>
        <w:tc>
          <w:tcPr>
            <w:tcW w:w="284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w:t>
            </w: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Matthew J. Missad</w:t>
            </w:r>
          </w:p>
        </w:tc>
        <w:tc>
          <w:tcPr>
            <w:tcW w:w="114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16.48%</w:t>
            </w:r>
          </w:p>
        </w:tc>
        <w:tc>
          <w:tcPr>
            <w:tcW w:w="284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7.67%</w:t>
            </w:r>
          </w:p>
        </w:tc>
        <w:tc>
          <w:tcPr>
            <w:tcW w:w="228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20.00%</w:t>
            </w:r>
          </w:p>
        </w:tc>
        <w:tc>
          <w:tcPr>
            <w:tcW w:w="2260" w:type="dxa"/>
            <w:vAlign w:val="bottom"/>
            <w:tcBorders>
              <w:bottom w:val="single" w:sz="8" w:color="auto"/>
              <w:right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$1,500,000</w:t>
            </w:r>
          </w:p>
        </w:tc>
      </w:tr>
      <w:tr>
        <w:trPr>
          <w:trHeight w:val="196"/>
        </w:trPr>
        <w:tc>
          <w:tcPr>
            <w:tcW w:w="2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Michael R. Cole</w:t>
            </w: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16.48</w:t>
            </w:r>
          </w:p>
        </w:tc>
        <w:tc>
          <w:tcPr>
            <w:tcW w:w="2840" w:type="dxa"/>
            <w:vAlign w:val="bottom"/>
            <w:tcBorders>
              <w:bottom w:val="single" w:sz="8" w:color="auto"/>
              <w:right w:val="single" w:sz="8" w:color="auto"/>
            </w:tcBorders>
          </w:tcPr>
          <w:p>
            <w:pPr>
              <w:jc w:val="right"/>
              <w:ind w:right="1230"/>
              <w:spacing w:after="0" w:line="196" w:lineRule="exact"/>
              <w:rPr>
                <w:sz w:val="20"/>
                <w:szCs w:val="20"/>
                <w:color w:val="auto"/>
              </w:rPr>
            </w:pPr>
            <w:r>
              <w:rPr>
                <w:rFonts w:ascii="Arial" w:cs="Arial" w:eastAsia="Arial" w:hAnsi="Arial"/>
                <w:sz w:val="18"/>
                <w:szCs w:val="18"/>
                <w:color w:val="auto"/>
              </w:rPr>
              <w:t>7.67</w:t>
            </w:r>
          </w:p>
        </w:tc>
        <w:tc>
          <w:tcPr>
            <w:tcW w:w="2280" w:type="dxa"/>
            <w:vAlign w:val="bottom"/>
            <w:tcBorders>
              <w:bottom w:val="single" w:sz="8" w:color="auto"/>
              <w:right w:val="single" w:sz="8" w:color="auto"/>
            </w:tcBorders>
          </w:tcPr>
          <w:p>
            <w:pPr>
              <w:jc w:val="center"/>
              <w:ind w:right="30"/>
              <w:spacing w:after="0" w:line="196" w:lineRule="exact"/>
              <w:rPr>
                <w:sz w:val="20"/>
                <w:szCs w:val="20"/>
                <w:color w:val="auto"/>
              </w:rPr>
            </w:pPr>
            <w:r>
              <w:rPr>
                <w:rFonts w:ascii="Arial" w:cs="Arial" w:eastAsia="Arial" w:hAnsi="Arial"/>
                <w:sz w:val="18"/>
                <w:szCs w:val="18"/>
                <w:color w:val="auto"/>
              </w:rPr>
              <w:t>8.00</w:t>
            </w:r>
          </w:p>
        </w:tc>
        <w:tc>
          <w:tcPr>
            <w:tcW w:w="2260" w:type="dxa"/>
            <w:vAlign w:val="bottom"/>
            <w:tcBorders>
              <w:bottom w:val="single" w:sz="8" w:color="auto"/>
              <w:right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$761,966</w:t>
            </w: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Patrick M. Webster</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16.48</w:t>
            </w:r>
          </w:p>
        </w:tc>
        <w:tc>
          <w:tcPr>
            <w:tcW w:w="2840" w:type="dxa"/>
            <w:vAlign w:val="bottom"/>
            <w:tcBorders>
              <w:bottom w:val="single" w:sz="8" w:color="auto"/>
              <w:right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rPr>
              <w:t>7.67</w:t>
            </w:r>
          </w:p>
        </w:tc>
        <w:tc>
          <w:tcPr>
            <w:tcW w:w="228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15.00</w:t>
            </w:r>
          </w:p>
        </w:tc>
        <w:tc>
          <w:tcPr>
            <w:tcW w:w="2260" w:type="dxa"/>
            <w:vAlign w:val="bottom"/>
            <w:tcBorders>
              <w:bottom w:val="single" w:sz="8" w:color="auto"/>
              <w:right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$879,102</w:t>
            </w:r>
          </w:p>
        </w:tc>
      </w:tr>
      <w:tr>
        <w:trPr>
          <w:trHeight w:val="196"/>
        </w:trPr>
        <w:tc>
          <w:tcPr>
            <w:tcW w:w="2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Patrick M. Benton</w:t>
            </w: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20.66</w:t>
            </w:r>
          </w:p>
        </w:tc>
        <w:tc>
          <w:tcPr>
            <w:tcW w:w="28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3.47 (3)</w:t>
            </w:r>
          </w:p>
        </w:tc>
        <w:tc>
          <w:tcPr>
            <w:tcW w:w="2280" w:type="dxa"/>
            <w:vAlign w:val="bottom"/>
            <w:tcBorders>
              <w:bottom w:val="single" w:sz="8" w:color="auto"/>
              <w:right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rPr>
              <w:t>50.00 (3)</w:t>
            </w:r>
          </w:p>
        </w:tc>
        <w:tc>
          <w:tcPr>
            <w:tcW w:w="2260" w:type="dxa"/>
            <w:vAlign w:val="bottom"/>
            <w:tcBorders>
              <w:bottom w:val="single" w:sz="8" w:color="auto"/>
              <w:right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$622,000 (4)</w:t>
            </w:r>
          </w:p>
        </w:tc>
      </w:tr>
      <w:tr>
        <w:trPr>
          <w:trHeight w:val="196"/>
        </w:trPr>
        <w:tc>
          <w:tcPr>
            <w:tcW w:w="290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Allen T. Peters</w:t>
            </w:r>
          </w:p>
        </w:tc>
        <w:tc>
          <w:tcPr>
            <w:tcW w:w="11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17.53</w:t>
            </w:r>
          </w:p>
        </w:tc>
        <w:tc>
          <w:tcPr>
            <w:tcW w:w="28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3.17 (3)</w:t>
            </w:r>
          </w:p>
        </w:tc>
        <w:tc>
          <w:tcPr>
            <w:tcW w:w="2280" w:type="dxa"/>
            <w:vAlign w:val="bottom"/>
            <w:tcBorders>
              <w:bottom w:val="single" w:sz="8" w:color="auto"/>
              <w:right w:val="single" w:sz="8" w:color="auto"/>
            </w:tcBorders>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50.00 (3)</w:t>
            </w:r>
          </w:p>
        </w:tc>
        <w:tc>
          <w:tcPr>
            <w:tcW w:w="2260" w:type="dxa"/>
            <w:vAlign w:val="bottom"/>
            <w:tcBorders>
              <w:bottom w:val="single" w:sz="8" w:color="auto"/>
              <w:right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$553,000</w:t>
            </w:r>
          </w:p>
        </w:tc>
      </w:tr>
    </w:tbl>
    <w:p>
      <w:pPr>
        <w:spacing w:after="0" w:line="16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Committee periodically establishes ROI threshold achievement levels for each Business Unit, which may vary among the different Business Units.</w:t>
      </w:r>
    </w:p>
    <w:p>
      <w:pPr>
        <w:spacing w:after="0" w:line="163" w:lineRule="exact"/>
        <w:rPr>
          <w:rFonts w:ascii="Arial" w:cs="Arial" w:eastAsia="Arial" w:hAnsi="Arial"/>
          <w:sz w:val="14"/>
          <w:szCs w:val="14"/>
          <w:color w:val="auto"/>
        </w:rPr>
      </w:pPr>
    </w:p>
    <w:p>
      <w:pPr>
        <w:ind w:left="340" w:hanging="332"/>
        <w:spacing w:after="0" w:line="24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2016, the earned bonuses for Messrs. Missad, Cole, Webster, Benton, and Peters equaled $3,155,581; $1,262,232; $2,366,686, $1,121,980, and $1,279,657, respectively.</w:t>
      </w:r>
    </w:p>
    <w:p>
      <w:pPr>
        <w:spacing w:after="0" w:line="319"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2016, Messrs. Benton and Peters did not participate in the Corporate Business Unit bonus pool. Rather, the incentive compensation for each of them was based upon the ROI of their respective Business Unit.</w:t>
      </w:r>
    </w:p>
    <w:p>
      <w:pPr>
        <w:spacing w:after="0" w:line="14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Benton’s maximum cash performance bonus is calculated as 2.0 times his current base salary plus $50,000. This additional $50,000 is included as part of his promotion and relocation and applies to bonus payments for 2014, 2015, and 2016, which are paid in February 2015, 2016, and 2017,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have approximately 106 bonus pools, one for each Business Unit, as well as the separate Corporate Business Unit pool.</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Chief Executive Officer. </w:t>
      </w:r>
      <w:r>
        <w:rPr>
          <w:rFonts w:ascii="Arial" w:cs="Arial" w:eastAsia="Arial" w:hAnsi="Arial"/>
          <w:sz w:val="18"/>
          <w:szCs w:val="18"/>
          <w:color w:val="auto"/>
        </w:rPr>
        <w:t>The Committee annually reviews and establishes our Chief Executive Officer’s base salary. Mr. Missad’s salary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comparable compensation data, the Committee’s assessment of his past performance, and its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239" w:lineRule="auto"/>
        <w:rPr>
          <w:sz w:val="20"/>
          <w:szCs w:val="20"/>
          <w:color w:val="auto"/>
        </w:rPr>
      </w:pPr>
      <w:r>
        <w:rPr>
          <w:rFonts w:ascii="Arial" w:cs="Arial" w:eastAsia="Arial" w:hAnsi="Arial"/>
          <w:sz w:val="18"/>
          <w:szCs w:val="18"/>
          <w:color w:val="auto"/>
        </w:rPr>
        <w:t>expectation as to his future contributions in leading our Company. Mr. Missad’s base salary fell in the lower quartile of the salaries of comparable executives in our peer group. The Committee has complete discretion in setting the base salary for Mr. Missad (who does not have an employment agreement with our Company). For 2017, Mr. Missad is eligible to receive 20% of the Corporate Business Unit bonus pool, subject to the limits described above.</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Long-Term Stock Incentive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long-term incentive compensation to our executive officers and key employees through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grants of restricted shares, conditional stock grants, and other equity-based awards under the terms of our amended and restated Long Term Stock Incentive Plan (“LTSIP”). The Committee has complete discretion in determining eligibility for participation and the type and number of shares subject to awards made under the LTSIP, except for those awarded to our CEO, which are determined by the Board.</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recent past, the Committee authorized the grant of shares of restricted Company stock to the Company’s officers and managers based upon the Committee’s assessment of individual performance as well as the Company’s performance for the immediately preceding year. Our Chief Executive Officer would recommend to the Committee, for its approval, the number of shares that were subject to each restricted stock award based upon his subjective assessment as to the appropriate amount of shares to be granted to each recipient. The Committee, subject to the Board’s approval, determined the number of shares to be granted to our Chief Executive Officer.</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described above, for 2016 performance, the number of shares of restricted stock granted to employees is determined by each employee’s Excess Bonus earned under the Performance Plan. For 2016 (as was the case for 2015 and 2014), the long-term equity awards made under our LTSIP were funded entirely by what was earned by our Named Executives under our Performance Plan. Based upon the formula described above, our Named Executives received restricted stock awards in the following amounts for 2016 performance under our Performance Plan:</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Matthew J. Missad</w:t>
            </w:r>
          </w:p>
        </w:tc>
        <w:tc>
          <w:tcPr>
            <w:tcW w:w="17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Michael R. Cole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Patrick M.</w:t>
            </w:r>
          </w:p>
        </w:tc>
        <w:tc>
          <w:tcPr>
            <w:tcW w:w="170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Patrick M. Benton</w:t>
            </w:r>
          </w:p>
        </w:tc>
        <w:tc>
          <w:tcPr>
            <w:tcW w:w="17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Allen T. Peters</w:t>
            </w:r>
          </w:p>
        </w:tc>
      </w:tr>
      <w:tr>
        <w:trPr>
          <w:trHeight w:val="203"/>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Webster</w:t>
            </w: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5"/>
        </w:trPr>
        <w:tc>
          <w:tcPr>
            <w:tcW w:w="290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Shares  subject   to   five-year</w:t>
            </w:r>
          </w:p>
        </w:tc>
        <w:tc>
          <w:tcPr>
            <w:tcW w:w="1700" w:type="dxa"/>
            <w:vAlign w:val="bottom"/>
            <w:tcBorders>
              <w:right w:val="single" w:sz="8" w:color="auto"/>
            </w:tcBorders>
            <w:shd w:val="clear" w:color="auto" w:fill="CCEEFF"/>
          </w:tcPr>
          <w:p>
            <w:pPr>
              <w:jc w:val="right"/>
              <w:ind w:right="490"/>
              <w:spacing w:after="0" w:line="195" w:lineRule="exact"/>
              <w:rPr>
                <w:sz w:val="20"/>
                <w:szCs w:val="20"/>
                <w:color w:val="auto"/>
              </w:rPr>
            </w:pPr>
            <w:r>
              <w:rPr>
                <w:rFonts w:ascii="Arial" w:cs="Arial" w:eastAsia="Arial" w:hAnsi="Arial"/>
                <w:sz w:val="18"/>
                <w:szCs w:val="18"/>
                <w:color w:val="auto"/>
              </w:rPr>
              <w:t>13,586</w:t>
            </w:r>
          </w:p>
        </w:tc>
        <w:tc>
          <w:tcPr>
            <w:tcW w:w="172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4,946</w:t>
            </w:r>
          </w:p>
        </w:tc>
        <w:tc>
          <w:tcPr>
            <w:tcW w:w="170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14,180</w:t>
            </w:r>
          </w:p>
        </w:tc>
        <w:tc>
          <w:tcPr>
            <w:tcW w:w="170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4,943</w:t>
            </w:r>
          </w:p>
        </w:tc>
        <w:tc>
          <w:tcPr>
            <w:tcW w:w="1700" w:type="dxa"/>
            <w:vAlign w:val="bottom"/>
            <w:tcBorders>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7,302</w:t>
            </w:r>
          </w:p>
        </w:tc>
      </w:tr>
      <w:tr>
        <w:trPr>
          <w:trHeight w:val="203"/>
        </w:trPr>
        <w:tc>
          <w:tcPr>
            <w:tcW w:w="2900" w:type="dxa"/>
            <w:vAlign w:val="bottom"/>
            <w:tcBorders>
              <w:left w:val="single" w:sz="8" w:color="auto"/>
              <w:bottom w:val="single" w:sz="8" w:color="auto"/>
              <w:right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vesting (1)</w:t>
            </w: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r>
    </w:tbl>
    <w:p>
      <w:pPr>
        <w:spacing w:after="0" w:line="207" w:lineRule="exact"/>
        <w:rPr>
          <w:sz w:val="20"/>
          <w:szCs w:val="20"/>
          <w:color w:val="auto"/>
        </w:rPr>
      </w:pPr>
    </w:p>
    <w:p>
      <w:pPr>
        <w:jc w:val="both"/>
        <w:ind w:left="420" w:hanging="412"/>
        <w:spacing w:after="0" w:line="244"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 determined by (a) each Named Executive’s total earned bonus under the Performance Bonus pool, less the sum of (1) the total cash bonus, (2) the Five Year Restricted Stock Amount, and (3) their share of the Reallocated Restricted Stock Amount, divided by (b) $96.09, the closing price of the Company’s common stock on the award date (February 23, 2017)</w:t>
      </w:r>
      <w:r>
        <w:rPr>
          <w:rFonts w:ascii="Arial" w:cs="Arial" w:eastAsia="Arial" w:hAnsi="Arial"/>
          <w:sz w:val="18"/>
          <w:szCs w:val="18"/>
          <w:color w:val="auto"/>
        </w:rPr>
        <w:t>.</w:t>
      </w:r>
    </w:p>
    <w:p>
      <w:pPr>
        <w:spacing w:after="0" w:line="18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encourage and promote ownership of Company stock by our employees and directors, and have a Minimum Stock Ownership Policy that sets requirements for ownership of our common stock by our key employees and independent directors,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16"/>
        </w:trPr>
        <w:tc>
          <w:tcPr>
            <w:tcW w:w="6880" w:type="dxa"/>
            <w:vAlign w:val="bottom"/>
            <w:tcBorders>
              <w:top w:val="single" w:sz="8" w:color="auto"/>
              <w:left w:val="single" w:sz="8" w:color="auto"/>
              <w:bottom w:val="single" w:sz="8" w:color="auto"/>
              <w:right w:val="single" w:sz="8" w:color="auto"/>
            </w:tcBorders>
          </w:tcPr>
          <w:p>
            <w:pPr>
              <w:ind w:left="3280"/>
              <w:spacing w:after="0"/>
              <w:rPr>
                <w:sz w:val="20"/>
                <w:szCs w:val="20"/>
                <w:color w:val="auto"/>
              </w:rPr>
            </w:pPr>
            <w:r>
              <w:rPr>
                <w:rFonts w:ascii="Arial" w:cs="Arial" w:eastAsia="Arial" w:hAnsi="Arial"/>
                <w:sz w:val="18"/>
                <w:szCs w:val="18"/>
                <w:color w:val="auto"/>
              </w:rPr>
              <w:t>Title</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Company Stock Ownership Requirement</w:t>
            </w:r>
          </w:p>
        </w:tc>
      </w:tr>
      <w:tr>
        <w:trPr>
          <w:trHeight w:val="196"/>
        </w:trPr>
        <w:tc>
          <w:tcPr>
            <w:tcW w:w="68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Officers</w:t>
            </w:r>
          </w:p>
        </w:tc>
        <w:tc>
          <w:tcPr>
            <w:tcW w:w="45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$200,000</w:t>
            </w:r>
          </w:p>
        </w:tc>
      </w:tr>
      <w:tr>
        <w:trPr>
          <w:trHeight w:val="196"/>
        </w:trPr>
        <w:tc>
          <w:tcPr>
            <w:tcW w:w="68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General Manager of Operations and Corporate Directors</w:t>
            </w:r>
          </w:p>
        </w:tc>
        <w:tc>
          <w:tcPr>
            <w:tcW w:w="45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$100,000</w:t>
            </w:r>
          </w:p>
        </w:tc>
      </w:tr>
      <w:tr>
        <w:trPr>
          <w:trHeight w:val="195"/>
        </w:trPr>
        <w:tc>
          <w:tcPr>
            <w:tcW w:w="688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Operations Managers, Plant Managers, Sales Managers and Directors, Executive</w:t>
            </w:r>
          </w:p>
        </w:tc>
        <w:tc>
          <w:tcPr>
            <w:tcW w:w="45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$50,000</w:t>
            </w:r>
          </w:p>
        </w:tc>
      </w:tr>
      <w:tr>
        <w:trPr>
          <w:trHeight w:val="203"/>
        </w:trPr>
        <w:tc>
          <w:tcPr>
            <w:tcW w:w="6880" w:type="dxa"/>
            <w:vAlign w:val="bottom"/>
            <w:tcBorders>
              <w:left w:val="single" w:sz="8" w:color="auto"/>
              <w:bottom w:val="single" w:sz="8" w:color="auto"/>
              <w:right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Managers, Senior Managers, Purchasing and Transportation Managers</w:t>
            </w:r>
          </w:p>
        </w:tc>
        <w:tc>
          <w:tcPr>
            <w:tcW w:w="454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96"/>
        </w:trPr>
        <w:tc>
          <w:tcPr>
            <w:tcW w:w="68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Independent Directors</w:t>
            </w:r>
          </w:p>
        </w:tc>
        <w:tc>
          <w:tcPr>
            <w:tcW w:w="45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2,500 shares</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June 1, 2011, our Board approved amendments to our Executive Stock Grant Program (the “ESGP”) that included a stock match provision. Under this provision, our Company grants shares of restricted Company stock to eligible employees who invest in shares of Company stock under our Deferred Compensation Plan (the “DCP”). Under the ESGP, $0.85 of Company stock is awarded for each $1.00 deferred and invested in Company stock under the DCP (the “Match Shares”). The Match Shares vest in full on the fifth anniversary of the grant date, subject to certain acceleration events.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DCP allows key employees to defer a portion of their salary and/or bonus.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Any investment in shares of our common stock is made at a 15% discount from the then prevailing market price of our common stock. In general, each employee receives a payout of his or her DCP account one year from the date they leave our Company, unless preceded by retirement, death, or change in control, in which case the employee or his or her beneficiary may receive the distribution earlier, subject to DCP provisions.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 shareholder-approved Employee Stock Purchase Plan (the “ESPP”) which allows our employees to make a payroll deduction or lump sum contribution, or both, for 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 Stock Gift Plan under which eligible employees receive a modest amount of our common stock on specified service anniversaries with us.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Executive Retirement Plan. </w:t>
      </w:r>
      <w:r>
        <w:rPr>
          <w:rFonts w:ascii="Arial" w:cs="Arial" w:eastAsia="Arial" w:hAnsi="Arial"/>
          <w:sz w:val="18"/>
          <w:szCs w:val="18"/>
          <w:color w:val="auto"/>
        </w:rPr>
        <w:t>On October 14, 2010, the Committee approved an Executive Retirement Plan for officers with 20 or more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service and at least 10 years of service as an officer.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Impact of Restatements Retroactively Impacting Financial Goods</w:t>
      </w:r>
      <w:r>
        <w:rPr>
          <w:rFonts w:ascii="Arial" w:cs="Arial" w:eastAsia="Arial" w:hAnsi="Arial"/>
          <w:sz w:val="18"/>
          <w:szCs w:val="18"/>
          <w:color w:val="auto"/>
        </w:rPr>
        <w:t>. The Company has not had any material restatement of prior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If such restatements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8"/>
          <w:szCs w:val="18"/>
          <w:color w:val="auto"/>
        </w:rPr>
        <w:t>were to occur, the Committee and Board would review the matter and determine what, if any, adjustment to current or prior compensation might be appropriate.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Deductibility of Compensation. </w:t>
      </w:r>
      <w:r>
        <w:rPr>
          <w:rFonts w:ascii="Arial" w:cs="Arial" w:eastAsia="Arial" w:hAnsi="Arial"/>
          <w:sz w:val="18"/>
          <w:szCs w:val="18"/>
          <w:color w:val="auto"/>
        </w:rPr>
        <w:t>Our policy is to pay all earned compensation regardless of whether it exceeds the One Million Dollar</w:t>
      </w:r>
      <w:r>
        <w:rPr>
          <w:rFonts w:ascii="Arial" w:cs="Arial" w:eastAsia="Arial" w:hAnsi="Arial"/>
          <w:sz w:val="18"/>
          <w:szCs w:val="18"/>
          <w:b w:val="1"/>
          <w:bCs w:val="1"/>
          <w:color w:val="auto"/>
        </w:rPr>
        <w:t xml:space="preserve"> </w:t>
      </w:r>
      <w:r>
        <w:rPr>
          <w:rFonts w:ascii="Arial" w:cs="Arial" w:eastAsia="Arial" w:hAnsi="Arial"/>
          <w:sz w:val="18"/>
          <w:szCs w:val="18"/>
          <w:color w:val="auto"/>
        </w:rPr>
        <w:t>($1,000,000.00) limitation on compensation deductions set forth in Section 162(m) of the Internal Revenue Code. To ensure the maximum tax deductibility for our Company, we received shareholder approval of our Performance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PERSONNEL AND COMPENSATION COMMITTEE REPORT</w:t>
      </w:r>
    </w:p>
    <w:p>
      <w:pPr>
        <w:spacing w:after="0" w:line="2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primary purpose of the Personnel and Compensation Committee is to assist the Board in discharging its responsibilities related to the compensation of our Company’s executives. The Committee’s responsibilities are more fully described in its Charter, which is available on our website.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reviewed and discussed with management the Compensation Discussion and Analysis included in this Proxy Statement. Effective as of March 8, 2017, based upon that review and those discussions, the Committee recommended to our Board of Directors that the Compensation Discussion and Analysis be included in this Proxy Statement.</w:t>
      </w:r>
    </w:p>
    <w:p>
      <w:pPr>
        <w:spacing w:after="0" w:line="18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Bruce A. Merino, Chairman</w:t>
      </w:r>
    </w:p>
    <w:p>
      <w:pPr>
        <w:ind w:left="4580"/>
        <w:spacing w:after="0" w:line="234" w:lineRule="auto"/>
        <w:rPr>
          <w:sz w:val="20"/>
          <w:szCs w:val="20"/>
          <w:color w:val="auto"/>
        </w:rPr>
      </w:pPr>
      <w:r>
        <w:rPr>
          <w:rFonts w:ascii="Arial" w:cs="Arial" w:eastAsia="Arial" w:hAnsi="Arial"/>
          <w:sz w:val="18"/>
          <w:szCs w:val="18"/>
          <w:color w:val="auto"/>
        </w:rPr>
        <w:t>John M. Engler</w:t>
      </w:r>
    </w:p>
    <w:p>
      <w:pPr>
        <w:ind w:left="4580"/>
        <w:spacing w:after="0" w:line="235" w:lineRule="auto"/>
        <w:rPr>
          <w:sz w:val="20"/>
          <w:szCs w:val="20"/>
          <w:color w:val="auto"/>
        </w:rPr>
      </w:pPr>
      <w:r>
        <w:rPr>
          <w:rFonts w:ascii="Arial" w:cs="Arial" w:eastAsia="Arial" w:hAnsi="Arial"/>
          <w:sz w:val="18"/>
          <w:szCs w:val="18"/>
          <w:color w:val="auto"/>
        </w:rPr>
        <w:t>Thomas W. Rhodes</w:t>
      </w:r>
    </w:p>
    <w:p>
      <w:pPr>
        <w:ind w:left="4580"/>
        <w:spacing w:after="0" w:line="235" w:lineRule="auto"/>
        <w:rPr>
          <w:sz w:val="20"/>
          <w:szCs w:val="20"/>
          <w:color w:val="auto"/>
        </w:rPr>
      </w:pPr>
      <w:r>
        <w:rPr>
          <w:rFonts w:ascii="Arial" w:cs="Arial" w:eastAsia="Arial" w:hAnsi="Arial"/>
          <w:sz w:val="18"/>
          <w:szCs w:val="18"/>
          <w:color w:val="auto"/>
        </w:rPr>
        <w:t>Brian C. Walker</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Michael G. Wooldridge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Summary Compensation Table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shows certain information regarding the compensation for our Chief Executive Officer, Chief Financial Officer, and our three other most highly compensated executive officers for each of our last three fiscal years (the “Named Executives”).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600" w:type="dxa"/>
            <w:vAlign w:val="bottom"/>
            <w:tcBorders>
              <w:top w:val="single" w:sz="8" w:color="auto"/>
              <w:left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Non-Equity</w:t>
            </w:r>
          </w:p>
        </w:tc>
        <w:tc>
          <w:tcPr>
            <w:tcW w:w="114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spacing w:after="0"/>
              <w:rPr>
                <w:sz w:val="15"/>
                <w:szCs w:val="15"/>
                <w:color w:val="auto"/>
              </w:rPr>
            </w:pPr>
          </w:p>
        </w:tc>
      </w:tr>
      <w:tr>
        <w:trPr>
          <w:trHeight w:val="162"/>
        </w:trPr>
        <w:tc>
          <w:tcPr>
            <w:tcW w:w="460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Incentive</w:t>
            </w:r>
          </w:p>
        </w:tc>
        <w:tc>
          <w:tcPr>
            <w:tcW w:w="1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r>
      <w:tr>
        <w:trPr>
          <w:trHeight w:val="162"/>
        </w:trPr>
        <w:tc>
          <w:tcPr>
            <w:tcW w:w="460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Plan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1120" w:type="dxa"/>
            <w:vAlign w:val="bottom"/>
            <w:tcBorders>
              <w:right w:val="single" w:sz="8" w:color="auto"/>
            </w:tcBorders>
          </w:tcPr>
          <w:p>
            <w:pPr>
              <w:spacing w:after="0"/>
              <w:rPr>
                <w:sz w:val="14"/>
                <w:szCs w:val="14"/>
                <w:color w:val="auto"/>
              </w:rPr>
            </w:pPr>
          </w:p>
        </w:tc>
      </w:tr>
      <w:tr>
        <w:trPr>
          <w:trHeight w:val="162"/>
        </w:trPr>
        <w:tc>
          <w:tcPr>
            <w:tcW w:w="460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Stock</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Compen-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Compen-</w:t>
            </w:r>
          </w:p>
        </w:tc>
        <w:tc>
          <w:tcPr>
            <w:tcW w:w="1120" w:type="dxa"/>
            <w:vAlign w:val="bottom"/>
            <w:tcBorders>
              <w:right w:val="single" w:sz="8" w:color="auto"/>
            </w:tcBorders>
          </w:tcPr>
          <w:p>
            <w:pPr>
              <w:spacing w:after="0"/>
              <w:rPr>
                <w:sz w:val="14"/>
                <w:szCs w:val="14"/>
                <w:color w:val="auto"/>
              </w:rPr>
            </w:pPr>
          </w:p>
        </w:tc>
      </w:tr>
      <w:tr>
        <w:trPr>
          <w:trHeight w:val="162"/>
        </w:trPr>
        <w:tc>
          <w:tcPr>
            <w:tcW w:w="4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Name and Principal Position</w:t>
            </w:r>
          </w:p>
        </w:tc>
        <w:tc>
          <w:tcPr>
            <w:tcW w:w="11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Year</w:t>
            </w:r>
          </w:p>
        </w:tc>
        <w:tc>
          <w:tcPr>
            <w:tcW w:w="114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Salary</w:t>
            </w:r>
          </w:p>
        </w:tc>
        <w:tc>
          <w:tcPr>
            <w:tcW w:w="114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Awards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sation</w:t>
            </w:r>
          </w:p>
        </w:tc>
        <w:tc>
          <w:tcPr>
            <w:tcW w:w="112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r>
      <w:tr>
        <w:trPr>
          <w:trHeight w:val="157"/>
        </w:trPr>
        <w:tc>
          <w:tcPr>
            <w:tcW w:w="4600" w:type="dxa"/>
            <w:vAlign w:val="bottom"/>
            <w:tcBorders>
              <w:left w:val="single" w:sz="8" w:color="auto"/>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428"/>
              <w:spacing w:after="0" w:line="157" w:lineRule="exact"/>
              <w:rPr>
                <w:sz w:val="20"/>
                <w:szCs w:val="20"/>
                <w:color w:val="auto"/>
              </w:rPr>
            </w:pPr>
            <w:r>
              <w:rPr>
                <w:rFonts w:ascii="Arial" w:cs="Arial" w:eastAsia="Arial" w:hAnsi="Arial"/>
                <w:sz w:val="14"/>
                <w:szCs w:val="14"/>
                <w:color w:val="auto"/>
              </w:rPr>
              <w:t>(1)</w:t>
            </w:r>
          </w:p>
        </w:tc>
        <w:tc>
          <w:tcPr>
            <w:tcW w:w="1140" w:type="dxa"/>
            <w:vAlign w:val="bottom"/>
            <w:tcBorders>
              <w:bottom w:val="single" w:sz="8" w:color="auto"/>
              <w:right w:val="single" w:sz="8" w:color="auto"/>
            </w:tcBorders>
          </w:tcPr>
          <w:p>
            <w:pPr>
              <w:jc w:val="right"/>
              <w:ind w:right="408"/>
              <w:spacing w:after="0" w:line="157" w:lineRule="exact"/>
              <w:rPr>
                <w:sz w:val="20"/>
                <w:szCs w:val="20"/>
                <w:color w:val="auto"/>
              </w:rPr>
            </w:pPr>
            <w:r>
              <w:rPr>
                <w:rFonts w:ascii="Arial" w:cs="Arial" w:eastAsia="Arial" w:hAnsi="Arial"/>
                <w:sz w:val="14"/>
                <w:szCs w:val="14"/>
                <w:color w:val="auto"/>
              </w:rPr>
              <w:t>(2)</w:t>
            </w:r>
          </w:p>
        </w:tc>
        <w:tc>
          <w:tcPr>
            <w:tcW w:w="114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(1)(3)</w:t>
            </w:r>
          </w:p>
        </w:tc>
        <w:tc>
          <w:tcPr>
            <w:tcW w:w="114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(4)</w:t>
            </w:r>
          </w:p>
        </w:tc>
        <w:tc>
          <w:tcPr>
            <w:tcW w:w="1120" w:type="dxa"/>
            <w:vAlign w:val="bottom"/>
            <w:tcBorders>
              <w:bottom w:val="single" w:sz="8" w:color="auto"/>
              <w:right w:val="single" w:sz="8" w:color="auto"/>
            </w:tcBorders>
          </w:tcPr>
          <w:p>
            <w:pPr>
              <w:spacing w:after="0"/>
              <w:rPr>
                <w:sz w:val="13"/>
                <w:szCs w:val="13"/>
                <w:color w:val="auto"/>
              </w:rPr>
            </w:pPr>
          </w:p>
        </w:tc>
      </w:tr>
      <w:tr>
        <w:trPr>
          <w:trHeight w:val="160"/>
        </w:trPr>
        <w:tc>
          <w:tcPr>
            <w:tcW w:w="4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Matthew J. Missad,</w:t>
            </w:r>
          </w:p>
        </w:tc>
        <w:tc>
          <w:tcPr>
            <w:tcW w:w="114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2016</w:t>
            </w:r>
          </w:p>
        </w:tc>
        <w:tc>
          <w:tcPr>
            <w:tcW w:w="114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$597,537</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$1,395,707</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$1,500,000</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$65,184</w:t>
            </w:r>
          </w:p>
        </w:tc>
        <w:tc>
          <w:tcPr>
            <w:tcW w:w="11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$3,558,428</w:t>
            </w:r>
          </w:p>
        </w:tc>
      </w:tr>
      <w:tr>
        <w:trPr>
          <w:trHeight w:val="162"/>
        </w:trPr>
        <w:tc>
          <w:tcPr>
            <w:tcW w:w="4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Chief Executive Officer</w:t>
            </w:r>
          </w:p>
        </w:tc>
        <w:tc>
          <w:tcPr>
            <w:tcW w:w="114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2015</w:t>
            </w:r>
          </w:p>
        </w:tc>
        <w:tc>
          <w:tcPr>
            <w:tcW w:w="114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535,658</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1,248,576</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956,900</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41,604</w:t>
            </w:r>
          </w:p>
        </w:tc>
        <w:tc>
          <w:tcPr>
            <w:tcW w:w="11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2,782,738</w:t>
            </w:r>
          </w:p>
        </w:tc>
      </w:tr>
      <w:tr>
        <w:trPr>
          <w:trHeight w:val="157"/>
        </w:trPr>
        <w:tc>
          <w:tcPr>
            <w:tcW w:w="46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ind w:left="400"/>
              <w:spacing w:after="0" w:line="157" w:lineRule="exact"/>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right w:val="single" w:sz="8" w:color="auto"/>
            </w:tcBorders>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526,004</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506,133</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938,788</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44,124</w:t>
            </w:r>
          </w:p>
        </w:tc>
        <w:tc>
          <w:tcPr>
            <w:tcW w:w="11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2,015,049</w:t>
            </w:r>
          </w:p>
        </w:tc>
      </w:tr>
      <w:tr>
        <w:trPr>
          <w:trHeight w:val="160"/>
        </w:trPr>
        <w:tc>
          <w:tcPr>
            <w:tcW w:w="4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Michael R. Cole,</w:t>
            </w:r>
          </w:p>
        </w:tc>
        <w:tc>
          <w:tcPr>
            <w:tcW w:w="11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2016</w:t>
            </w:r>
          </w:p>
        </w:tc>
        <w:tc>
          <w:tcPr>
            <w:tcW w:w="11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355,150</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523,018</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761,966</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43,294</w:t>
            </w: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1,683,428</w:t>
            </w:r>
          </w:p>
        </w:tc>
      </w:tr>
      <w:tr>
        <w:trPr>
          <w:trHeight w:val="162"/>
        </w:trPr>
        <w:tc>
          <w:tcPr>
            <w:tcW w:w="4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Chief Financial Officer</w:t>
            </w:r>
          </w:p>
        </w:tc>
        <w:tc>
          <w:tcPr>
            <w:tcW w:w="11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2015</w:t>
            </w:r>
          </w:p>
        </w:tc>
        <w:tc>
          <w:tcPr>
            <w:tcW w:w="11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345,483</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323,137</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622,971</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40,451</w:t>
            </w: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1,332,042</w:t>
            </w:r>
          </w:p>
        </w:tc>
      </w:tr>
      <w:tr>
        <w:trPr>
          <w:trHeight w:val="157"/>
        </w:trPr>
        <w:tc>
          <w:tcPr>
            <w:tcW w:w="4600" w:type="dxa"/>
            <w:vAlign w:val="bottom"/>
            <w:tcBorders>
              <w:left w:val="single" w:sz="8" w:color="auto"/>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ind w:left="400"/>
              <w:spacing w:after="0" w:line="157" w:lineRule="exact"/>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right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326,650</w:t>
            </w:r>
          </w:p>
        </w:tc>
        <w:tc>
          <w:tcPr>
            <w:tcW w:w="11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45,838</w:t>
            </w:r>
          </w:p>
        </w:tc>
        <w:tc>
          <w:tcPr>
            <w:tcW w:w="11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591,416</w:t>
            </w:r>
          </w:p>
        </w:tc>
        <w:tc>
          <w:tcPr>
            <w:tcW w:w="11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45,422</w:t>
            </w:r>
          </w:p>
        </w:tc>
        <w:tc>
          <w:tcPr>
            <w:tcW w:w="112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1,009,326</w:t>
            </w:r>
          </w:p>
        </w:tc>
      </w:tr>
      <w:tr>
        <w:trPr>
          <w:trHeight w:val="160"/>
        </w:trPr>
        <w:tc>
          <w:tcPr>
            <w:tcW w:w="4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Patrick M. Webster,</w:t>
            </w:r>
          </w:p>
        </w:tc>
        <w:tc>
          <w:tcPr>
            <w:tcW w:w="114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2015</w:t>
            </w:r>
          </w:p>
        </w:tc>
        <w:tc>
          <w:tcPr>
            <w:tcW w:w="114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403,717</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1,452,785</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879,102</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42,008</w:t>
            </w:r>
          </w:p>
        </w:tc>
        <w:tc>
          <w:tcPr>
            <w:tcW w:w="11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2,777,612</w:t>
            </w:r>
          </w:p>
        </w:tc>
      </w:tr>
      <w:tr>
        <w:trPr>
          <w:trHeight w:val="162"/>
        </w:trPr>
        <w:tc>
          <w:tcPr>
            <w:tcW w:w="4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President and Chief Operating Officer</w:t>
            </w:r>
          </w:p>
        </w:tc>
        <w:tc>
          <w:tcPr>
            <w:tcW w:w="114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2014</w:t>
            </w:r>
          </w:p>
        </w:tc>
        <w:tc>
          <w:tcPr>
            <w:tcW w:w="114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393,925</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1,014,429</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707,964</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38,853</w:t>
            </w:r>
          </w:p>
        </w:tc>
        <w:tc>
          <w:tcPr>
            <w:tcW w:w="11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2,155,171</w:t>
            </w:r>
          </w:p>
        </w:tc>
      </w:tr>
      <w:tr>
        <w:trPr>
          <w:trHeight w:val="157"/>
        </w:trPr>
        <w:tc>
          <w:tcPr>
            <w:tcW w:w="46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ind w:left="400"/>
              <w:spacing w:after="0" w:line="157" w:lineRule="exact"/>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right w:val="single" w:sz="8" w:color="auto"/>
            </w:tcBorders>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386,092</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434,565</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690,464</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44,184</w:t>
            </w:r>
          </w:p>
        </w:tc>
        <w:tc>
          <w:tcPr>
            <w:tcW w:w="11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1,555,305</w:t>
            </w:r>
          </w:p>
        </w:tc>
      </w:tr>
      <w:tr>
        <w:trPr>
          <w:trHeight w:val="160"/>
        </w:trPr>
        <w:tc>
          <w:tcPr>
            <w:tcW w:w="4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Patrick M. Benton</w:t>
            </w:r>
          </w:p>
        </w:tc>
        <w:tc>
          <w:tcPr>
            <w:tcW w:w="11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2016</w:t>
            </w:r>
          </w:p>
        </w:tc>
        <w:tc>
          <w:tcPr>
            <w:tcW w:w="11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254,583</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613,535</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622,000</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32,897</w:t>
            </w: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1,523,015</w:t>
            </w:r>
          </w:p>
        </w:tc>
      </w:tr>
      <w:tr>
        <w:trPr>
          <w:trHeight w:val="162"/>
        </w:trPr>
        <w:tc>
          <w:tcPr>
            <w:tcW w:w="4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President, UFP Northern Division</w:t>
            </w:r>
          </w:p>
        </w:tc>
        <w:tc>
          <w:tcPr>
            <w:tcW w:w="11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2015</w:t>
            </w:r>
          </w:p>
        </w:tc>
        <w:tc>
          <w:tcPr>
            <w:tcW w:w="11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249,999</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596,806</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533,750</w:t>
            </w:r>
          </w:p>
        </w:tc>
        <w:tc>
          <w:tcPr>
            <w:tcW w:w="11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34,093</w:t>
            </w: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1,414,648</w:t>
            </w:r>
          </w:p>
        </w:tc>
      </w:tr>
      <w:tr>
        <w:trPr>
          <w:trHeight w:val="157"/>
        </w:trPr>
        <w:tc>
          <w:tcPr>
            <w:tcW w:w="4600" w:type="dxa"/>
            <w:vAlign w:val="bottom"/>
            <w:tcBorders>
              <w:left w:val="single" w:sz="8" w:color="auto"/>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ind w:left="400"/>
              <w:spacing w:after="0" w:line="157" w:lineRule="exact"/>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right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246,640</w:t>
            </w:r>
          </w:p>
        </w:tc>
        <w:tc>
          <w:tcPr>
            <w:tcW w:w="11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76,800</w:t>
            </w:r>
          </w:p>
        </w:tc>
        <w:tc>
          <w:tcPr>
            <w:tcW w:w="11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500,988</w:t>
            </w:r>
          </w:p>
        </w:tc>
        <w:tc>
          <w:tcPr>
            <w:tcW w:w="11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26,574</w:t>
            </w:r>
          </w:p>
        </w:tc>
        <w:tc>
          <w:tcPr>
            <w:tcW w:w="112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851,002</w:t>
            </w:r>
          </w:p>
        </w:tc>
      </w:tr>
      <w:tr>
        <w:trPr>
          <w:trHeight w:val="160"/>
        </w:trPr>
        <w:tc>
          <w:tcPr>
            <w:tcW w:w="4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Allen T. Peters,</w:t>
            </w:r>
          </w:p>
        </w:tc>
        <w:tc>
          <w:tcPr>
            <w:tcW w:w="114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2016</w:t>
            </w:r>
          </w:p>
        </w:tc>
        <w:tc>
          <w:tcPr>
            <w:tcW w:w="114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268,666</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748,349</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553,000</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37,717</w:t>
            </w:r>
          </w:p>
        </w:tc>
        <w:tc>
          <w:tcPr>
            <w:tcW w:w="11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1,607,732</w:t>
            </w:r>
          </w:p>
        </w:tc>
      </w:tr>
      <w:tr>
        <w:trPr>
          <w:trHeight w:val="162"/>
        </w:trPr>
        <w:tc>
          <w:tcPr>
            <w:tcW w:w="4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President, UFP Western Division</w:t>
            </w:r>
          </w:p>
        </w:tc>
        <w:tc>
          <w:tcPr>
            <w:tcW w:w="114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2015</w:t>
            </w:r>
          </w:p>
        </w:tc>
        <w:tc>
          <w:tcPr>
            <w:tcW w:w="114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258,916</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581,642</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471,625</w:t>
            </w:r>
          </w:p>
        </w:tc>
        <w:tc>
          <w:tcPr>
            <w:tcW w:w="11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36,181</w:t>
            </w:r>
          </w:p>
        </w:tc>
        <w:tc>
          <w:tcPr>
            <w:tcW w:w="11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1,348,364</w:t>
            </w:r>
          </w:p>
        </w:tc>
      </w:tr>
      <w:tr>
        <w:trPr>
          <w:trHeight w:val="157"/>
        </w:trPr>
        <w:tc>
          <w:tcPr>
            <w:tcW w:w="46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ind w:left="400"/>
              <w:spacing w:after="0" w:line="157" w:lineRule="exact"/>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right w:val="single" w:sz="8" w:color="auto"/>
            </w:tcBorders>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251,875</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209,298</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454,125</w:t>
            </w:r>
          </w:p>
        </w:tc>
        <w:tc>
          <w:tcPr>
            <w:tcW w:w="114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35,326</w:t>
            </w:r>
          </w:p>
        </w:tc>
        <w:tc>
          <w:tcPr>
            <w:tcW w:w="11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950,624</w:t>
            </w:r>
          </w:p>
        </w:tc>
      </w:tr>
    </w:tbl>
    <w:p>
      <w:pPr>
        <w:spacing w:after="0" w:line="167" w:lineRule="exact"/>
        <w:rPr>
          <w:sz w:val="20"/>
          <w:szCs w:val="20"/>
          <w:color w:val="auto"/>
        </w:rPr>
      </w:pPr>
    </w:p>
    <w:p>
      <w:pPr>
        <w:jc w:val="both"/>
        <w:ind w:left="340" w:hanging="332"/>
        <w:spacing w:after="0" w:line="246"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amounts deferred by the Named Executives under our Profit Sharing and 401(k) Plan and DCP. The 2016 amounts include deferrals under the DCP in the amount of $115,000 for Mr. Missad, $55,000 for Mr. Cole, $115,000 for Mr. Webster, $50,000 for Mr. Benton, and $55,000 for Mr. Peters The 2015 amounts include deferrals under the DCP in the amount of $115,000 for Mr. Missad, $50,000 for Mr. Cole, $115,000 for Mr. Webster, $65,000 for Mr. Benton, and $37,730 for Mr. Peters. The 2014 amounts include deferrals under the DCP in the amount of $115,000 for Mr. Missad, $50,000 for Mr. Cole, $115,000 for Mr. Webster, $25,000 for Mr. Benton, and $39,930 for Mr. Peters.</w:t>
      </w:r>
    </w:p>
    <w:p>
      <w:pPr>
        <w:spacing w:after="0" w:line="312"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2016 amounts include 13,586 shares granted to Mr. Missad, 4,946 shares granted to Mr. Cole, 14,180 shares granted to Mr. Webster, 4,943 shares granted to Mr. Benton, and 7,302 shares granted to Mr. Peters on February 23, 2017 under the LTSIP based upon the “Excess Bonus” (defined in the “Compensation Discussion and Analysis” section above) earned under our Performance Plan for 2016, and 1,000 shares granted to Mr. Benton in connection with his promotion and relocation. The 2015 amounts include 16,693 shares granted to Mr. Missad, 3,982 shares granted to Mr. Cole, 13,388 shares granted to Mr. Webster, 6,784 shares granted to Mr. Benton, and 7,946 shares granted to Mr. Peters on February 18, 2016 under the LTSIP based upon the “Excess Bonus” (defined in the “Compensation Discussion and Analysis” section above) earned under our Performance Plan for 2015, and 1,000 shares granted to Mr. Benton in connection with his promotion and relocation. The 2014 amounts include 8,235 shares granted to Mr. Missad, 6,819 shares granted to Mr. Webster, and 3,432 shares granted to Mr. Peters on February 19, 2015 under the LTSIP based upon the Excess Bonus earned under our Performance Plan for 2014, and 1,000 shares granted to Mr. Benton in connection with his promotion and relocation. 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or five years, subject to acceleration upon reaching age 60.</w:t>
      </w:r>
    </w:p>
    <w:p>
      <w:pPr>
        <w:spacing w:after="0" w:line="152" w:lineRule="exact"/>
        <w:rPr>
          <w:rFonts w:ascii="Arial" w:cs="Arial" w:eastAsia="Arial" w:hAnsi="Arial"/>
          <w:sz w:val="14"/>
          <w:szCs w:val="14"/>
          <w:color w:val="auto"/>
        </w:rPr>
      </w:pPr>
    </w:p>
    <w:p>
      <w:pPr>
        <w:ind w:left="340"/>
        <w:spacing w:after="0" w:line="258" w:lineRule="auto"/>
        <w:rPr>
          <w:rFonts w:ascii="Arial" w:cs="Arial" w:eastAsia="Arial" w:hAnsi="Arial"/>
          <w:sz w:val="14"/>
          <w:szCs w:val="14"/>
          <w:color w:val="auto"/>
        </w:rPr>
      </w:pPr>
      <w:r>
        <w:rPr>
          <w:rFonts w:ascii="Arial" w:cs="Arial" w:eastAsia="Arial" w:hAnsi="Arial"/>
          <w:sz w:val="14"/>
          <w:szCs w:val="14"/>
          <w:color w:val="auto"/>
        </w:rPr>
        <w:t>The 2016 amounts include Match Shares under the ESGP that were granted on February 23, 2017 to Messrs. Missad, Cole, Webster, Benton, and Peters in the amount of 939; 497; 939; 442; and 486</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1" w:name="page32"/>
    <w:bookmarkEnd w:id="31"/>
    <w:p>
      <w:pPr>
        <w:jc w:val="both"/>
        <w:ind w:left="340"/>
        <w:spacing w:after="0" w:line="250" w:lineRule="auto"/>
        <w:rPr>
          <w:sz w:val="20"/>
          <w:szCs w:val="20"/>
          <w:color w:val="auto"/>
        </w:rPr>
      </w:pPr>
      <w:r>
        <w:rPr>
          <w:rFonts w:ascii="Arial" w:cs="Arial" w:eastAsia="Arial" w:hAnsi="Arial"/>
          <w:sz w:val="14"/>
          <w:szCs w:val="14"/>
          <w:color w:val="auto"/>
        </w:rPr>
        <w:t>shares, respectively. The 2015 amounts include Match Shares under the ESGP that were granted on February 25, 2016 to Messrs. Missad, Cole, Webster, Benton, and Peters in the amount of 1,328; 648; 1,236; 710; and 466 shares, respectively. The 2014 amounts include Match Shares under the ESGP that were granted on February 26, 2015 to Messrs. Missad, Cole, Webster, Benton, and Peters in the amount of 1,692; 848; 1,687; 421; and 675 shares, respectively.</w:t>
      </w:r>
    </w:p>
    <w:p>
      <w:pPr>
        <w:spacing w:after="0" w:line="14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annual cash bonus payments under performance-based bonus plans tied to our operating profit and ROI, which cover substantially all salaried employees.</w:t>
      </w:r>
    </w:p>
    <w:p>
      <w:pPr>
        <w:spacing w:after="0" w:line="163"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amounts in this column include Company contributions to our Profit Sharing and 401(k) Plan for 2016 in the amount of $3,975 for Messrs. Cole, Missad, Webster, and Peters; and $3,519 for Mr. Benton. Subject to certain requirements, including age and service requirements, all of our employees are eligible to participate in our Profit Sharing and 401(k) Plan.</w:t>
      </w:r>
    </w:p>
    <w:p>
      <w:pPr>
        <w:spacing w:after="0" w:line="145" w:lineRule="exact"/>
        <w:rPr>
          <w:rFonts w:ascii="Arial" w:cs="Arial" w:eastAsia="Arial" w:hAnsi="Arial"/>
          <w:sz w:val="14"/>
          <w:szCs w:val="14"/>
          <w:color w:val="auto"/>
        </w:rPr>
      </w:pPr>
    </w:p>
    <w:p>
      <w:pPr>
        <w:jc w:val="both"/>
        <w:ind w:left="340"/>
        <w:spacing w:after="0" w:line="245" w:lineRule="auto"/>
        <w:rPr>
          <w:rFonts w:ascii="Arial" w:cs="Arial" w:eastAsia="Arial" w:hAnsi="Arial"/>
          <w:sz w:val="14"/>
          <w:szCs w:val="14"/>
          <w:color w:val="auto"/>
        </w:rPr>
      </w:pPr>
      <w:r>
        <w:rPr>
          <w:rFonts w:ascii="Arial" w:cs="Arial" w:eastAsia="Arial" w:hAnsi="Arial"/>
          <w:sz w:val="14"/>
          <w:szCs w:val="14"/>
          <w:color w:val="auto"/>
        </w:rPr>
        <w:t>Also included in this column is personal use of corporate aircraft for 2016 in the amount of $27,860 for Mr. Missad. We permit limited personal use of corporate aircraft by our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150" w:lineRule="exact"/>
        <w:rPr>
          <w:rFonts w:ascii="Arial" w:cs="Arial" w:eastAsia="Arial" w:hAnsi="Arial"/>
          <w:sz w:val="14"/>
          <w:szCs w:val="14"/>
          <w:color w:val="auto"/>
        </w:rPr>
      </w:pPr>
    </w:p>
    <w:p>
      <w:pPr>
        <w:jc w:val="both"/>
        <w:ind w:left="340" w:right="20"/>
        <w:spacing w:after="0" w:line="250" w:lineRule="auto"/>
        <w:rPr>
          <w:rFonts w:ascii="Arial" w:cs="Arial" w:eastAsia="Arial" w:hAnsi="Arial"/>
          <w:sz w:val="14"/>
          <w:szCs w:val="14"/>
          <w:color w:val="auto"/>
        </w:rPr>
      </w:pPr>
      <w:r>
        <w:rPr>
          <w:rFonts w:ascii="Arial" w:cs="Arial" w:eastAsia="Arial" w:hAnsi="Arial"/>
          <w:sz w:val="14"/>
          <w:szCs w:val="14"/>
          <w:color w:val="auto"/>
        </w:rPr>
        <w:t>The amount in this column also includes the following fringe benefits, none of which exceeded the greater of $25,000 or 10% of the Named Executive’s aggregate fringe benefits: automobile allowance, automobile insurance, gasoline, use of Company-owned property, insurance premiums, a convenience allowance, and taxes paid on behalf of the Named Executive.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of Perquisites and Benefits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provide benefit programs to executive officers and other employees. The following table generally identifies such benefit plans and those employees who may be eligible to participate:</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680" w:type="dxa"/>
            <w:vAlign w:val="bottom"/>
            <w:tcBorders>
              <w:top w:val="single" w:sz="8" w:color="auto"/>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Full-Time</w:t>
            </w:r>
          </w:p>
        </w:tc>
        <w:tc>
          <w:tcPr>
            <w:tcW w:w="17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Full-Time</w:t>
            </w:r>
          </w:p>
        </w:tc>
      </w:tr>
      <w:tr>
        <w:trPr>
          <w:trHeight w:val="203"/>
        </w:trPr>
        <w:tc>
          <w:tcPr>
            <w:tcW w:w="468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Certain</w:t>
            </w:r>
          </w:p>
        </w:tc>
        <w:tc>
          <w:tcPr>
            <w:tcW w:w="16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Exempt</w:t>
            </w:r>
          </w:p>
        </w:tc>
        <w:tc>
          <w:tcPr>
            <w:tcW w:w="1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Non-Exempt</w:t>
            </w:r>
          </w:p>
        </w:tc>
      </w:tr>
      <w:tr>
        <w:trPr>
          <w:trHeight w:val="203"/>
        </w:trPr>
        <w:tc>
          <w:tcPr>
            <w:tcW w:w="46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Benefit Plan</w:t>
            </w:r>
          </w:p>
        </w:tc>
        <w:tc>
          <w:tcPr>
            <w:tcW w:w="17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Officers</w:t>
            </w:r>
          </w:p>
        </w:tc>
        <w:tc>
          <w:tcPr>
            <w:tcW w:w="162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Managers</w:t>
            </w:r>
          </w:p>
        </w:tc>
        <w:tc>
          <w:tcPr>
            <w:tcW w:w="16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Employees</w:t>
            </w:r>
          </w:p>
        </w:tc>
        <w:tc>
          <w:tcPr>
            <w:tcW w:w="17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Employees</w:t>
            </w:r>
          </w:p>
        </w:tc>
      </w:tr>
      <w:tr>
        <w:trPr>
          <w:trHeight w:val="196"/>
        </w:trPr>
        <w:tc>
          <w:tcPr>
            <w:tcW w:w="46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401(k) Plan</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Medical/Dental/Vision Plans</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46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Life and Disability Insurance</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Employee Stock Purchase Plan</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46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ROI Bonus Plan</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Not Offered</w:t>
            </w: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Hourly ROI Bonus</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Not Offered</w:t>
            </w:r>
          </w:p>
        </w:tc>
        <w:tc>
          <w:tcPr>
            <w:tcW w:w="1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Not Offered</w:t>
            </w:r>
          </w:p>
        </w:tc>
        <w:tc>
          <w:tcPr>
            <w:tcW w:w="1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Not Offered</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46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Equity Incentive Plans</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Not Offered</w:t>
            </w: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Change in Control and Severance Plan</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Not Offered</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Not Offered</w:t>
            </w:r>
          </w:p>
        </w:tc>
      </w:tr>
      <w:tr>
        <w:trPr>
          <w:trHeight w:val="196"/>
        </w:trPr>
        <w:tc>
          <w:tcPr>
            <w:tcW w:w="46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Deferred Compensation Plan</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Not Offered</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Not Offered</w:t>
            </w: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Executive Retirement Plan</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Not Offered</w:t>
            </w:r>
          </w:p>
        </w:tc>
        <w:tc>
          <w:tcPr>
            <w:tcW w:w="1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Not Offered</w:t>
            </w:r>
          </w:p>
        </w:tc>
        <w:tc>
          <w:tcPr>
            <w:tcW w:w="1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Not Offered</w:t>
            </w:r>
          </w:p>
        </w:tc>
      </w:tr>
      <w:tr>
        <w:trPr>
          <w:trHeight w:val="196"/>
        </w:trPr>
        <w:tc>
          <w:tcPr>
            <w:tcW w:w="468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Holiday Gifts Not Exceeding $1,500</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r>
      <w:tr>
        <w:trPr>
          <w:trHeight w:val="520"/>
        </w:trPr>
        <w:tc>
          <w:tcPr>
            <w:tcW w:w="4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30</w:t>
            </w:r>
          </w:p>
        </w:tc>
        <w:tc>
          <w:tcPr>
            <w:tcW w:w="16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47" w:right="239" w:bottom="1440" w:gutter="0" w:footer="0" w:header="0"/>
        </w:sectPr>
      </w:pPr>
    </w:p>
    <w:bookmarkStart w:id="32" w:name="page33"/>
    <w:bookmarkEnd w:id="32"/>
    <w:p>
      <w:pPr>
        <w:jc w:val="both"/>
        <w:spacing w:after="0"/>
        <w:rPr>
          <w:sz w:val="20"/>
          <w:szCs w:val="20"/>
          <w:color w:val="auto"/>
        </w:rPr>
      </w:pPr>
      <w:r>
        <w:rPr>
          <w:rFonts w:ascii="Arial" w:cs="Arial" w:eastAsia="Arial" w:hAnsi="Arial"/>
          <w:sz w:val="18"/>
          <w:szCs w:val="18"/>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140" w:type="dxa"/>
            <w:vAlign w:val="bottom"/>
            <w:tcBorders>
              <w:top w:val="single" w:sz="8" w:color="auto"/>
              <w:left w:val="single" w:sz="8" w:color="auto"/>
              <w:right w:val="single" w:sz="8" w:color="auto"/>
            </w:tcBorders>
          </w:tcPr>
          <w:p>
            <w:pPr>
              <w:spacing w:after="0"/>
              <w:rPr>
                <w:sz w:val="15"/>
                <w:szCs w:val="15"/>
                <w:color w:val="auto"/>
              </w:rPr>
            </w:pPr>
          </w:p>
        </w:tc>
        <w:tc>
          <w:tcPr>
            <w:tcW w:w="2740" w:type="dxa"/>
            <w:vAlign w:val="bottom"/>
            <w:tcBorders>
              <w:top w:val="single" w:sz="8" w:color="auto"/>
              <w:right w:val="single" w:sz="8" w:color="auto"/>
            </w:tcBorders>
          </w:tcPr>
          <w:p>
            <w:pPr>
              <w:spacing w:after="0"/>
              <w:rPr>
                <w:sz w:val="15"/>
                <w:szCs w:val="15"/>
                <w:color w:val="auto"/>
              </w:rPr>
            </w:pPr>
          </w:p>
        </w:tc>
        <w:tc>
          <w:tcPr>
            <w:tcW w:w="2720" w:type="dxa"/>
            <w:vAlign w:val="bottom"/>
            <w:tcBorders>
              <w:top w:val="single" w:sz="8" w:color="auto"/>
              <w:right w:val="single" w:sz="8" w:color="auto"/>
            </w:tcBorders>
          </w:tcPr>
          <w:p>
            <w:pPr>
              <w:spacing w:after="0"/>
              <w:rPr>
                <w:sz w:val="15"/>
                <w:szCs w:val="15"/>
                <w:color w:val="auto"/>
              </w:rPr>
            </w:pPr>
          </w:p>
        </w:tc>
        <w:tc>
          <w:tcPr>
            <w:tcW w:w="18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4"/>
                <w:szCs w:val="14"/>
                <w:color w:val="auto"/>
              </w:rPr>
              <w:t>Full-Time</w:t>
            </w:r>
          </w:p>
        </w:tc>
      </w:tr>
      <w:tr>
        <w:trPr>
          <w:trHeight w:val="157"/>
        </w:trPr>
        <w:tc>
          <w:tcPr>
            <w:tcW w:w="4140" w:type="dxa"/>
            <w:vAlign w:val="bottom"/>
            <w:tcBorders>
              <w:left w:val="single" w:sz="8" w:color="auto"/>
              <w:bottom w:val="single" w:sz="8" w:color="auto"/>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Type of Perquisites</w:t>
            </w:r>
          </w:p>
        </w:tc>
        <w:tc>
          <w:tcPr>
            <w:tcW w:w="274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Officers</w:t>
            </w:r>
          </w:p>
        </w:tc>
        <w:tc>
          <w:tcPr>
            <w:tcW w:w="27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Certain Managers</w:t>
            </w:r>
          </w:p>
        </w:tc>
        <w:tc>
          <w:tcPr>
            <w:tcW w:w="18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Employees</w:t>
            </w:r>
          </w:p>
        </w:tc>
      </w:tr>
      <w:tr>
        <w:trPr>
          <w:trHeight w:val="156"/>
        </w:trPr>
        <w:tc>
          <w:tcPr>
            <w:tcW w:w="414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Employee Discount</w:t>
            </w:r>
          </w:p>
        </w:tc>
        <w:tc>
          <w:tcPr>
            <w:tcW w:w="274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82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r>
      <w:tr>
        <w:trPr>
          <w:trHeight w:val="156"/>
        </w:trPr>
        <w:tc>
          <w:tcPr>
            <w:tcW w:w="41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Convenience Allowance (1)</w:t>
            </w:r>
          </w:p>
        </w:tc>
        <w:tc>
          <w:tcPr>
            <w:tcW w:w="2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Not Offered</w:t>
            </w:r>
          </w:p>
        </w:tc>
        <w:tc>
          <w:tcPr>
            <w:tcW w:w="18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Not Offered</w:t>
            </w:r>
          </w:p>
        </w:tc>
      </w:tr>
      <w:tr>
        <w:trPr>
          <w:trHeight w:val="156"/>
        </w:trPr>
        <w:tc>
          <w:tcPr>
            <w:tcW w:w="414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Automobile Allowance</w:t>
            </w:r>
          </w:p>
        </w:tc>
        <w:tc>
          <w:tcPr>
            <w:tcW w:w="274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820" w:type="dxa"/>
            <w:vAlign w:val="bottom"/>
            <w:tcBorders>
              <w:bottom w:val="single" w:sz="8" w:color="auto"/>
              <w:right w:val="single" w:sz="8" w:color="auto"/>
            </w:tcBorders>
            <w:shd w:val="clear" w:color="auto" w:fill="CCEEFF"/>
          </w:tcPr>
          <w:p>
            <w:pPr>
              <w:ind w:left="520"/>
              <w:spacing w:after="0" w:line="155" w:lineRule="exact"/>
              <w:rPr>
                <w:sz w:val="20"/>
                <w:szCs w:val="20"/>
                <w:color w:val="auto"/>
              </w:rPr>
            </w:pPr>
            <w:r>
              <w:rPr>
                <w:rFonts w:ascii="Arial" w:cs="Arial" w:eastAsia="Arial" w:hAnsi="Arial"/>
                <w:sz w:val="14"/>
                <w:szCs w:val="14"/>
                <w:color w:val="auto"/>
              </w:rPr>
              <w:t>Not Offered (2)</w:t>
            </w:r>
          </w:p>
        </w:tc>
      </w:tr>
      <w:tr>
        <w:trPr>
          <w:trHeight w:val="156"/>
        </w:trPr>
        <w:tc>
          <w:tcPr>
            <w:tcW w:w="41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Personal Use of Company Aircraft</w:t>
            </w:r>
          </w:p>
        </w:tc>
        <w:tc>
          <w:tcPr>
            <w:tcW w:w="2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Only with CEO Approval</w:t>
            </w:r>
          </w:p>
        </w:tc>
        <w:tc>
          <w:tcPr>
            <w:tcW w:w="27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Only with CEO Approval</w:t>
            </w:r>
          </w:p>
        </w:tc>
        <w:tc>
          <w:tcPr>
            <w:tcW w:w="18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Not Offered</w:t>
            </w:r>
          </w:p>
        </w:tc>
      </w:tr>
    </w:tbl>
    <w:p>
      <w:pPr>
        <w:spacing w:after="0" w:line="16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provide our officers with a limited taxable convenience allowance which they may use for household management, health and wellbeing, and similar expenses.</w:t>
      </w:r>
    </w:p>
    <w:p>
      <w:pPr>
        <w:spacing w:after="0" w:line="163"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sales and management personnel receive an automobile allowance. Other employees receive reimbursement, in accordance with the Internal Revenue Code, of various costs incurred in connection with the utilization of their personal vehicles for business travel.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reflects the grant of plan-based awards for fiscal 2016 to the Named Executives, and sets forth information on possible payouts to the Named Executives under our Performance Plan for fiscal 2016.</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2080" w:type="dxa"/>
            <w:vAlign w:val="bottom"/>
            <w:tcBorders>
              <w:top w:val="single" w:sz="8" w:color="auto"/>
              <w:left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9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9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Exercise</w:t>
            </w:r>
          </w:p>
        </w:tc>
        <w:tc>
          <w:tcPr>
            <w:tcW w:w="11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Estimated Future Payouts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or Base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Fair Value of</w:t>
            </w: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Under Non-Equity</w:t>
            </w:r>
          </w:p>
        </w:tc>
        <w:tc>
          <w:tcPr>
            <w:tcW w:w="1820" w:type="dxa"/>
            <w:vAlign w:val="bottom"/>
            <w:gridSpan w:val="3"/>
          </w:tcPr>
          <w:p>
            <w:pPr>
              <w:ind w:left="440"/>
              <w:spacing w:after="0"/>
              <w:rPr>
                <w:sz w:val="20"/>
                <w:szCs w:val="20"/>
                <w:color w:val="auto"/>
              </w:rPr>
            </w:pPr>
            <w:r>
              <w:rPr>
                <w:rFonts w:ascii="Arial" w:cs="Arial" w:eastAsia="Arial" w:hAnsi="Arial"/>
                <w:sz w:val="14"/>
                <w:szCs w:val="14"/>
                <w:color w:val="auto"/>
              </w:rPr>
              <w:t>Estimated Future</w:t>
            </w: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Shares of</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Securities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Price of</w:t>
            </w:r>
          </w:p>
        </w:tc>
        <w:tc>
          <w:tcPr>
            <w:tcW w:w="11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Stock and</w:t>
            </w: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Grant</w:t>
            </w:r>
          </w:p>
        </w:tc>
        <w:tc>
          <w:tcPr>
            <w:tcW w:w="21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Incentive Plan Awards</w:t>
            </w:r>
          </w:p>
        </w:tc>
        <w:tc>
          <w:tcPr>
            <w:tcW w:w="1820" w:type="dxa"/>
            <w:vAlign w:val="bottom"/>
            <w:gridSpan w:val="3"/>
          </w:tcPr>
          <w:p>
            <w:pPr>
              <w:ind w:left="280"/>
              <w:spacing w:after="0"/>
              <w:rPr>
                <w:sz w:val="20"/>
                <w:szCs w:val="20"/>
                <w:color w:val="auto"/>
              </w:rPr>
            </w:pPr>
            <w:r>
              <w:rPr>
                <w:rFonts w:ascii="Arial" w:cs="Arial" w:eastAsia="Arial" w:hAnsi="Arial"/>
                <w:sz w:val="14"/>
                <w:szCs w:val="14"/>
                <w:color w:val="auto"/>
              </w:rPr>
              <w:t>Payouts Under Equity</w:t>
            </w: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 or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Underlying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Name</w:t>
            </w:r>
          </w:p>
        </w:tc>
        <w:tc>
          <w:tcPr>
            <w:tcW w:w="102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Date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right w:val="single" w:sz="8" w:color="auto"/>
            </w:tcBorders>
          </w:tcPr>
          <w:p>
            <w:pPr>
              <w:jc w:val="center"/>
              <w:ind w:right="949"/>
              <w:spacing w:after="0"/>
              <w:rPr>
                <w:sz w:val="20"/>
                <w:szCs w:val="20"/>
                <w:color w:val="auto"/>
              </w:rPr>
            </w:pPr>
            <w:r>
              <w:rPr>
                <w:rFonts w:ascii="Arial" w:cs="Arial" w:eastAsia="Arial" w:hAnsi="Arial"/>
                <w:sz w:val="13"/>
                <w:szCs w:val="13"/>
                <w:color w:val="auto"/>
                <w:w w:val="75"/>
              </w:rPr>
              <w:t>(1)</w:t>
            </w:r>
          </w:p>
        </w:tc>
        <w:tc>
          <w:tcPr>
            <w:tcW w:w="1820" w:type="dxa"/>
            <w:vAlign w:val="bottom"/>
            <w:gridSpan w:val="3"/>
          </w:tcPr>
          <w:p>
            <w:pPr>
              <w:ind w:left="300"/>
              <w:spacing w:after="0"/>
              <w:rPr>
                <w:sz w:val="20"/>
                <w:szCs w:val="20"/>
                <w:color w:val="auto"/>
              </w:rPr>
            </w:pPr>
            <w:r>
              <w:rPr>
                <w:rFonts w:ascii="Arial" w:cs="Arial" w:eastAsia="Arial" w:hAnsi="Arial"/>
                <w:sz w:val="14"/>
                <w:szCs w:val="14"/>
                <w:color w:val="auto"/>
              </w:rPr>
              <w:t>Incentive Plan Awards</w:t>
            </w: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Units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Options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(3) (#)</w:t>
            </w:r>
          </w:p>
        </w:tc>
        <w:tc>
          <w:tcPr>
            <w:tcW w:w="10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($/Sh)</w:t>
            </w:r>
          </w:p>
        </w:tc>
        <w:tc>
          <w:tcPr>
            <w:tcW w:w="11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Threshold</w:t>
            </w:r>
          </w:p>
        </w:tc>
        <w:tc>
          <w:tcPr>
            <w:tcW w:w="2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right"/>
              <w:ind w:right="209"/>
              <w:spacing w:after="0"/>
              <w:rPr>
                <w:sz w:val="20"/>
                <w:szCs w:val="20"/>
                <w:color w:val="auto"/>
              </w:rPr>
            </w:pPr>
            <w:r>
              <w:rPr>
                <w:rFonts w:ascii="Arial" w:cs="Arial" w:eastAsia="Arial" w:hAnsi="Arial"/>
                <w:sz w:val="14"/>
                <w:szCs w:val="14"/>
                <w:color w:val="auto"/>
              </w:rPr>
              <w:t>Maximum</w:t>
            </w:r>
          </w:p>
        </w:tc>
        <w:tc>
          <w:tcPr>
            <w:tcW w:w="820" w:type="dxa"/>
            <w:vAlign w:val="bottom"/>
          </w:tcPr>
          <w:p>
            <w:pPr>
              <w:ind w:left="180"/>
              <w:spacing w:after="0"/>
              <w:rPr>
                <w:sz w:val="20"/>
                <w:szCs w:val="20"/>
                <w:color w:val="auto"/>
              </w:rPr>
            </w:pPr>
            <w:r>
              <w:rPr>
                <w:rFonts w:ascii="Arial" w:cs="Arial" w:eastAsia="Arial" w:hAnsi="Arial"/>
                <w:sz w:val="14"/>
                <w:szCs w:val="14"/>
                <w:color w:val="auto"/>
                <w:w w:val="99"/>
              </w:rPr>
              <w:t>Threshold</w:t>
            </w:r>
          </w:p>
        </w:tc>
        <w:tc>
          <w:tcPr>
            <w:tcW w:w="200" w:type="dxa"/>
            <w:vAlign w:val="bottom"/>
            <w:tcBorders>
              <w:right w:val="single" w:sz="8" w:color="auto"/>
            </w:tcBorders>
          </w:tcPr>
          <w:p>
            <w:pPr>
              <w:spacing w:after="0"/>
              <w:rPr>
                <w:sz w:val="13"/>
                <w:szCs w:val="13"/>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Maximum</w:t>
            </w:r>
          </w:p>
        </w:tc>
        <w:tc>
          <w:tcPr>
            <w:tcW w:w="2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(2) ($)</w:t>
            </w:r>
          </w:p>
        </w:tc>
        <w:tc>
          <w:tcPr>
            <w:tcW w:w="820" w:type="dxa"/>
            <w:vAlign w:val="bottom"/>
            <w:tcBorders>
              <w:bottom w:val="single" w:sz="8" w:color="auto"/>
            </w:tcBorders>
          </w:tcPr>
          <w:p>
            <w:pPr>
              <w:ind w:left="420"/>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Matthew J. Missad</w:t>
            </w:r>
          </w:p>
        </w:tc>
        <w:tc>
          <w:tcPr>
            <w:tcW w:w="1020" w:type="dxa"/>
            <w:vAlign w:val="bottom"/>
            <w:tcBorders>
              <w:right w:val="single" w:sz="8" w:color="auto"/>
            </w:tcBorders>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02/23/17</w:t>
            </w:r>
          </w:p>
        </w:tc>
        <w:tc>
          <w:tcPr>
            <w:tcW w:w="84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0</w:t>
            </w:r>
          </w:p>
        </w:tc>
        <w:tc>
          <w:tcPr>
            <w:tcW w:w="114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$1,500,000</w:t>
            </w:r>
          </w:p>
        </w:tc>
        <w:tc>
          <w:tcPr>
            <w:tcW w:w="8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13,586</w:t>
            </w:r>
          </w:p>
        </w:tc>
        <w:tc>
          <w:tcPr>
            <w:tcW w:w="10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$1,305,478</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1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920" w:type="dxa"/>
            <w:vAlign w:val="bottom"/>
            <w:tcBorders>
              <w:right w:val="single" w:sz="8" w:color="auto"/>
            </w:tcBorders>
            <w:vMerge w:val="continue"/>
            <w:shd w:val="clear" w:color="auto" w:fill="CCEEFF"/>
          </w:tcPr>
          <w:p>
            <w:pPr>
              <w:spacing w:after="0"/>
              <w:rPr>
                <w:sz w:val="13"/>
                <w:szCs w:val="13"/>
                <w:color w:val="auto"/>
              </w:rPr>
            </w:pPr>
          </w:p>
        </w:tc>
        <w:tc>
          <w:tcPr>
            <w:tcW w:w="112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02/23/17</w:t>
            </w:r>
          </w:p>
        </w:tc>
        <w:tc>
          <w:tcPr>
            <w:tcW w:w="8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right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right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939</w:t>
            </w:r>
          </w:p>
        </w:tc>
        <w:tc>
          <w:tcPr>
            <w:tcW w:w="1020" w:type="dxa"/>
            <w:vAlign w:val="bottom"/>
            <w:tcBorders>
              <w:bottom w:val="single" w:sz="8" w:color="auto"/>
              <w:right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9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1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90,228</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Michael R. Cole</w:t>
            </w:r>
          </w:p>
        </w:tc>
        <w:tc>
          <w:tcPr>
            <w:tcW w:w="102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02/23/17</w:t>
            </w:r>
          </w:p>
        </w:tc>
        <w:tc>
          <w:tcPr>
            <w:tcW w:w="840" w:type="dxa"/>
            <w:vAlign w:val="bottom"/>
          </w:tcPr>
          <w:p>
            <w:pPr>
              <w:spacing w:after="0"/>
              <w:rPr>
                <w:sz w:val="14"/>
                <w:szCs w:val="14"/>
                <w:color w:val="auto"/>
              </w:rPr>
            </w:pPr>
          </w:p>
        </w:tc>
        <w:tc>
          <w:tcPr>
            <w:tcW w:w="2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w w:val="76"/>
              </w:rPr>
              <w:t>0</w:t>
            </w:r>
          </w:p>
        </w:tc>
        <w:tc>
          <w:tcPr>
            <w:tcW w:w="11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761,966</w:t>
            </w:r>
          </w:p>
        </w:tc>
        <w:tc>
          <w:tcPr>
            <w:tcW w:w="820" w:type="dxa"/>
            <w:vAlign w:val="bottom"/>
          </w:tcPr>
          <w:p>
            <w:pPr>
              <w:spacing w:after="0"/>
              <w:rPr>
                <w:sz w:val="14"/>
                <w:szCs w:val="14"/>
                <w:color w:val="auto"/>
              </w:rPr>
            </w:pPr>
          </w:p>
        </w:tc>
        <w:tc>
          <w:tcPr>
            <w:tcW w:w="2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tcPr>
          <w:p>
            <w:pPr>
              <w:spacing w:after="0"/>
              <w:rPr>
                <w:sz w:val="14"/>
                <w:szCs w:val="14"/>
                <w:color w:val="auto"/>
              </w:rPr>
            </w:pPr>
          </w:p>
        </w:tc>
        <w:tc>
          <w:tcPr>
            <w:tcW w:w="2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4,946</w:t>
            </w:r>
          </w:p>
        </w:tc>
        <w:tc>
          <w:tcPr>
            <w:tcW w:w="102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475,261</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02/23/17</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497</w:t>
            </w:r>
          </w:p>
        </w:tc>
        <w:tc>
          <w:tcPr>
            <w:tcW w:w="10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47,756</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Patrick M. Webster</w:t>
            </w:r>
          </w:p>
        </w:tc>
        <w:tc>
          <w:tcPr>
            <w:tcW w:w="1020" w:type="dxa"/>
            <w:vAlign w:val="bottom"/>
            <w:tcBorders>
              <w:right w:val="single" w:sz="8" w:color="auto"/>
            </w:tcBorders>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02/23/17</w:t>
            </w:r>
          </w:p>
        </w:tc>
        <w:tc>
          <w:tcPr>
            <w:tcW w:w="84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0</w:t>
            </w:r>
          </w:p>
        </w:tc>
        <w:tc>
          <w:tcPr>
            <w:tcW w:w="114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879,102</w:t>
            </w:r>
          </w:p>
        </w:tc>
        <w:tc>
          <w:tcPr>
            <w:tcW w:w="8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14,180</w:t>
            </w:r>
          </w:p>
        </w:tc>
        <w:tc>
          <w:tcPr>
            <w:tcW w:w="10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1,362,556</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1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920" w:type="dxa"/>
            <w:vAlign w:val="bottom"/>
            <w:tcBorders>
              <w:right w:val="single" w:sz="8" w:color="auto"/>
            </w:tcBorders>
            <w:vMerge w:val="continue"/>
            <w:shd w:val="clear" w:color="auto" w:fill="CCEEFF"/>
          </w:tcPr>
          <w:p>
            <w:pPr>
              <w:spacing w:after="0"/>
              <w:rPr>
                <w:sz w:val="13"/>
                <w:szCs w:val="13"/>
                <w:color w:val="auto"/>
              </w:rPr>
            </w:pPr>
          </w:p>
        </w:tc>
        <w:tc>
          <w:tcPr>
            <w:tcW w:w="112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02/23/17</w:t>
            </w:r>
          </w:p>
        </w:tc>
        <w:tc>
          <w:tcPr>
            <w:tcW w:w="8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right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right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939</w:t>
            </w:r>
          </w:p>
        </w:tc>
        <w:tc>
          <w:tcPr>
            <w:tcW w:w="1020" w:type="dxa"/>
            <w:vAlign w:val="bottom"/>
            <w:tcBorders>
              <w:bottom w:val="single" w:sz="8" w:color="auto"/>
              <w:right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9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1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90,228</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Patrick M. Benton</w:t>
            </w:r>
          </w:p>
        </w:tc>
        <w:tc>
          <w:tcPr>
            <w:tcW w:w="102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02/23/17</w:t>
            </w:r>
          </w:p>
        </w:tc>
        <w:tc>
          <w:tcPr>
            <w:tcW w:w="840" w:type="dxa"/>
            <w:vAlign w:val="bottom"/>
          </w:tcPr>
          <w:p>
            <w:pPr>
              <w:spacing w:after="0"/>
              <w:rPr>
                <w:sz w:val="14"/>
                <w:szCs w:val="14"/>
                <w:color w:val="auto"/>
              </w:rPr>
            </w:pPr>
          </w:p>
        </w:tc>
        <w:tc>
          <w:tcPr>
            <w:tcW w:w="2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w w:val="76"/>
              </w:rPr>
              <w:t>0</w:t>
            </w:r>
          </w:p>
        </w:tc>
        <w:tc>
          <w:tcPr>
            <w:tcW w:w="11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622,000</w:t>
            </w:r>
          </w:p>
        </w:tc>
        <w:tc>
          <w:tcPr>
            <w:tcW w:w="820" w:type="dxa"/>
            <w:vAlign w:val="bottom"/>
          </w:tcPr>
          <w:p>
            <w:pPr>
              <w:spacing w:after="0"/>
              <w:rPr>
                <w:sz w:val="14"/>
                <w:szCs w:val="14"/>
                <w:color w:val="auto"/>
              </w:rPr>
            </w:pPr>
          </w:p>
        </w:tc>
        <w:tc>
          <w:tcPr>
            <w:tcW w:w="2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tcPr>
          <w:p>
            <w:pPr>
              <w:spacing w:after="0"/>
              <w:rPr>
                <w:sz w:val="14"/>
                <w:szCs w:val="14"/>
                <w:color w:val="auto"/>
              </w:rPr>
            </w:pPr>
          </w:p>
        </w:tc>
        <w:tc>
          <w:tcPr>
            <w:tcW w:w="2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4,943</w:t>
            </w:r>
          </w:p>
        </w:tc>
        <w:tc>
          <w:tcPr>
            <w:tcW w:w="102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474,972</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02/23/17</w:t>
            </w: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442</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42,471</w:t>
            </w: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02/23/17</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1,000 (4)</w:t>
            </w:r>
          </w:p>
        </w:tc>
        <w:tc>
          <w:tcPr>
            <w:tcW w:w="1020" w:type="dxa"/>
            <w:vAlign w:val="bottom"/>
            <w:tcBorders>
              <w:bottom w:val="single" w:sz="8" w:color="auto"/>
              <w:right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92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12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96,090</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Allen T. Peters</w:t>
            </w:r>
          </w:p>
        </w:tc>
        <w:tc>
          <w:tcPr>
            <w:tcW w:w="1020" w:type="dxa"/>
            <w:vAlign w:val="bottom"/>
            <w:tcBorders>
              <w:right w:val="single" w:sz="8" w:color="auto"/>
            </w:tcBorders>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02/23/17</w:t>
            </w:r>
          </w:p>
        </w:tc>
        <w:tc>
          <w:tcPr>
            <w:tcW w:w="84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0</w:t>
            </w:r>
          </w:p>
        </w:tc>
        <w:tc>
          <w:tcPr>
            <w:tcW w:w="114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553,000</w:t>
            </w:r>
          </w:p>
        </w:tc>
        <w:tc>
          <w:tcPr>
            <w:tcW w:w="8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7,302</w:t>
            </w:r>
          </w:p>
        </w:tc>
        <w:tc>
          <w:tcPr>
            <w:tcW w:w="10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701,649</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1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920" w:type="dxa"/>
            <w:vAlign w:val="bottom"/>
            <w:tcBorders>
              <w:right w:val="single" w:sz="8" w:color="auto"/>
            </w:tcBorders>
            <w:vMerge w:val="continue"/>
            <w:shd w:val="clear" w:color="auto" w:fill="CCEEFF"/>
          </w:tcPr>
          <w:p>
            <w:pPr>
              <w:spacing w:after="0"/>
              <w:rPr>
                <w:sz w:val="13"/>
                <w:szCs w:val="13"/>
                <w:color w:val="auto"/>
              </w:rPr>
            </w:pPr>
          </w:p>
        </w:tc>
        <w:tc>
          <w:tcPr>
            <w:tcW w:w="112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jc w:val="right"/>
              <w:ind w:right="288"/>
              <w:spacing w:after="0" w:line="157" w:lineRule="exact"/>
              <w:rPr>
                <w:sz w:val="20"/>
                <w:szCs w:val="20"/>
                <w:color w:val="auto"/>
              </w:rPr>
            </w:pPr>
            <w:r>
              <w:rPr>
                <w:rFonts w:ascii="Arial" w:cs="Arial" w:eastAsia="Arial" w:hAnsi="Arial"/>
                <w:sz w:val="14"/>
                <w:szCs w:val="14"/>
                <w:color w:val="auto"/>
              </w:rPr>
              <w:t>02/23/17</w:t>
            </w:r>
          </w:p>
        </w:tc>
        <w:tc>
          <w:tcPr>
            <w:tcW w:w="8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right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right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486</w:t>
            </w:r>
          </w:p>
        </w:tc>
        <w:tc>
          <w:tcPr>
            <w:tcW w:w="1020" w:type="dxa"/>
            <w:vAlign w:val="bottom"/>
            <w:tcBorders>
              <w:bottom w:val="single" w:sz="8" w:color="auto"/>
              <w:right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9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120" w:type="dxa"/>
            <w:vAlign w:val="bottom"/>
            <w:tcBorders>
              <w:bottom w:val="single" w:sz="8" w:color="auto"/>
              <w:right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46,699</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340" w:hanging="332"/>
        <w:spacing w:after="0" w:line="247"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in these columns are not actual awards; rather, they represent the maximum awards that could have been earned by each Named Executive for fiscal 2016 under our Performance Plan. The actual amount paid to each Named Executive under this plan for fiscal 2016 is reported in the Summary Compensation Table. Amounts earned under this Plan are required to be paid within 75 days after our fiscal year-end and are subject to the maximum payment amount described in footnote (2). For details regarding how awards are determined under the Plan, see the “Compensation Discussion and Analysis” section of this Proxy Statement.</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ind w:left="340" w:right="2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2.0 times each Named Executive’s current base salary, which is the maximum amount of any earned bonus that is payable in cash under our Performance Plan. For Mr. Benton, in calculating his maximum earned bonus that is payable in cash, $50,000 is added to his current base salary.</w:t>
      </w:r>
    </w:p>
    <w:p>
      <w:pPr>
        <w:spacing w:after="0" w:line="14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grant of shares of restricted Company stock. As described in the “Compensation Discussion and Analysis” section above, the amount of an employee’s bonus earned in excess of the limit referenced in footnote (2) is payable in shares of restricted Company stock that cliff vest in five years, subject to accelerated vesting upon death, disability, retirement, or a change in control. The grant date fair value of the awards is included in the “Stock Awards” column in the Summary Compensation Table.</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Benton received a grant of 1,000 shares of Company stock in connection with his promotion and relocation. This was the third of three such grants.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equity awards held by the Named Executives as of December 31, 2016:</w:t>
      </w:r>
    </w:p>
    <w:p>
      <w:pPr>
        <w:spacing w:after="0" w:line="179"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2800" w:type="dxa"/>
            <w:vAlign w:val="bottom"/>
            <w:tcBorders>
              <w:top w:val="single" w:sz="8" w:color="auto"/>
              <w:left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right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2"/>
          </w:tcPr>
          <w:p>
            <w:pPr>
              <w:ind w:left="1080"/>
              <w:spacing w:after="0"/>
              <w:rPr>
                <w:sz w:val="20"/>
                <w:szCs w:val="20"/>
                <w:color w:val="auto"/>
              </w:rPr>
            </w:pPr>
            <w:r>
              <w:rPr>
                <w:rFonts w:ascii="Arial" w:cs="Arial" w:eastAsia="Arial" w:hAnsi="Arial"/>
                <w:sz w:val="14"/>
                <w:szCs w:val="14"/>
                <w:color w:val="auto"/>
              </w:rPr>
              <w:t>Stock Awards</w:t>
            </w:r>
          </w:p>
        </w:tc>
        <w:tc>
          <w:tcPr>
            <w:tcW w:w="1440" w:type="dxa"/>
            <w:vAlign w:val="bottom"/>
            <w:tcBorders>
              <w:top w:val="single" w:sz="8" w:color="auto"/>
              <w:bottom w:val="single" w:sz="8" w:color="auto"/>
              <w:right w:val="single" w:sz="8" w:color="auto"/>
            </w:tcBorders>
          </w:tcPr>
          <w:p>
            <w:pPr>
              <w:spacing w:after="0"/>
              <w:rPr>
                <w:sz w:val="15"/>
                <w:szCs w:val="15"/>
                <w:color w:val="auto"/>
              </w:rPr>
            </w:pPr>
          </w:p>
        </w:tc>
      </w:tr>
      <w:tr>
        <w:trPr>
          <w:trHeight w:val="160"/>
        </w:trPr>
        <w:tc>
          <w:tcPr>
            <w:tcW w:w="2800" w:type="dxa"/>
            <w:vAlign w:val="bottom"/>
            <w:tcBorders>
              <w:left w:val="single" w:sz="8" w:color="auto"/>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Equity</w:t>
            </w:r>
          </w:p>
        </w:tc>
        <w:tc>
          <w:tcPr>
            <w:tcW w:w="1440" w:type="dxa"/>
            <w:vAlign w:val="bottom"/>
            <w:tcBorders>
              <w:right w:val="single" w:sz="8" w:color="auto"/>
            </w:tcBorders>
          </w:tcPr>
          <w:p>
            <w:pPr>
              <w:spacing w:after="0"/>
              <w:rPr>
                <w:sz w:val="13"/>
                <w:szCs w:val="13"/>
                <w:color w:val="auto"/>
              </w:rPr>
            </w:pP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Incentive</w:t>
            </w:r>
          </w:p>
        </w:tc>
        <w:tc>
          <w:tcPr>
            <w:tcW w:w="1440" w:type="dxa"/>
            <w:vAlign w:val="bottom"/>
            <w:tcBorders>
              <w:right w:val="single" w:sz="8" w:color="auto"/>
            </w:tcBorders>
          </w:tcPr>
          <w:p>
            <w:pPr>
              <w:spacing w:after="0"/>
              <w:rPr>
                <w:sz w:val="14"/>
                <w:szCs w:val="14"/>
                <w:color w:val="auto"/>
              </w:rPr>
            </w:pP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Plan</w:t>
            </w:r>
          </w:p>
        </w:tc>
        <w:tc>
          <w:tcPr>
            <w:tcW w:w="1440" w:type="dxa"/>
            <w:vAlign w:val="bottom"/>
            <w:tcBorders>
              <w:right w:val="single" w:sz="8" w:color="auto"/>
            </w:tcBorders>
          </w:tcPr>
          <w:p>
            <w:pPr>
              <w:spacing w:after="0"/>
              <w:rPr>
                <w:sz w:val="14"/>
                <w:szCs w:val="14"/>
                <w:color w:val="auto"/>
              </w:rPr>
            </w:pP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Equity Incentive</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14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Plan Awards:</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Number</w:t>
            </w:r>
          </w:p>
        </w:tc>
        <w:tc>
          <w:tcPr>
            <w:tcW w:w="14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Unearned</w:t>
            </w:r>
          </w:p>
        </w:tc>
        <w:tc>
          <w:tcPr>
            <w:tcW w:w="14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Market or</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of Shares</w:t>
            </w:r>
          </w:p>
        </w:tc>
        <w:tc>
          <w:tcPr>
            <w:tcW w:w="14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Shares,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Payout Value of</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or Units</w:t>
            </w:r>
          </w:p>
        </w:tc>
        <w:tc>
          <w:tcPr>
            <w:tcW w:w="14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9"/>
              </w:rPr>
              <w:t>Market Value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Units or</w:t>
            </w:r>
          </w:p>
        </w:tc>
        <w:tc>
          <w:tcPr>
            <w:tcW w:w="14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Unearned</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color w:val="auto"/>
              </w:rPr>
              <w:t>of Stock</w:t>
            </w:r>
          </w:p>
        </w:tc>
        <w:tc>
          <w:tcPr>
            <w:tcW w:w="14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of Shares or</w:t>
            </w:r>
          </w:p>
        </w:tc>
        <w:tc>
          <w:tcPr>
            <w:tcW w:w="11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Other</w:t>
            </w:r>
          </w:p>
        </w:tc>
        <w:tc>
          <w:tcPr>
            <w:tcW w:w="14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Shares, Units or</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That</w:t>
            </w:r>
          </w:p>
        </w:tc>
        <w:tc>
          <w:tcPr>
            <w:tcW w:w="14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Units of Stock</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Rights</w:t>
            </w:r>
          </w:p>
        </w:tc>
        <w:tc>
          <w:tcPr>
            <w:tcW w:w="14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Other Rights</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Have Not</w:t>
            </w:r>
          </w:p>
        </w:tc>
        <w:tc>
          <w:tcPr>
            <w:tcW w:w="14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That Have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That Have</w:t>
            </w:r>
          </w:p>
        </w:tc>
        <w:tc>
          <w:tcPr>
            <w:tcW w:w="14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That Have Not</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Vested</w:t>
            </w:r>
          </w:p>
        </w:tc>
        <w:tc>
          <w:tcPr>
            <w:tcW w:w="142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Not 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Vested</w:t>
            </w:r>
          </w:p>
        </w:tc>
      </w:tr>
      <w:tr>
        <w:trPr>
          <w:trHeight w:val="162"/>
        </w:trPr>
        <w:tc>
          <w:tcPr>
            <w:tcW w:w="2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Vesting</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20" w:type="dxa"/>
            <w:vAlign w:val="bottom"/>
            <w:tcBorders>
              <w:right w:val="single" w:sz="8" w:color="auto"/>
            </w:tcBorders>
          </w:tcPr>
          <w:p>
            <w:pPr>
              <w:jc w:val="right"/>
              <w:ind w:right="568"/>
              <w:spacing w:after="0"/>
              <w:rPr>
                <w:sz w:val="20"/>
                <w:szCs w:val="20"/>
                <w:color w:val="auto"/>
              </w:rPr>
            </w:pPr>
            <w:r>
              <w:rPr>
                <w:rFonts w:ascii="Arial" w:cs="Arial" w:eastAsia="Arial" w:hAnsi="Arial"/>
                <w:sz w:val="14"/>
                <w:szCs w:val="14"/>
                <w:color w:val="auto"/>
              </w:rPr>
              <w:t>(2)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Vested</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w:t>
            </w:r>
          </w:p>
        </w:tc>
      </w:tr>
      <w:tr>
        <w:trPr>
          <w:trHeight w:val="157"/>
        </w:trPr>
        <w:tc>
          <w:tcPr>
            <w:tcW w:w="2800" w:type="dxa"/>
            <w:vAlign w:val="bottom"/>
            <w:tcBorders>
              <w:left w:val="single" w:sz="8" w:color="auto"/>
              <w:bottom w:val="single" w:sz="8" w:color="auto"/>
              <w:right w:val="single" w:sz="8" w:color="auto"/>
            </w:tcBorders>
          </w:tcPr>
          <w:p>
            <w:pPr>
              <w:ind w:left="1200"/>
              <w:spacing w:after="0" w:line="157" w:lineRule="exact"/>
              <w:rPr>
                <w:sz w:val="20"/>
                <w:szCs w:val="20"/>
                <w:color w:val="auto"/>
              </w:rPr>
            </w:pPr>
            <w:r>
              <w:rPr>
                <w:rFonts w:ascii="Arial" w:cs="Arial" w:eastAsia="Arial" w:hAnsi="Arial"/>
                <w:sz w:val="14"/>
                <w:szCs w:val="14"/>
                <w:color w:val="auto"/>
              </w:rPr>
              <w:t>Name</w:t>
            </w:r>
          </w:p>
        </w:tc>
        <w:tc>
          <w:tcPr>
            <w:tcW w:w="1240" w:type="dxa"/>
            <w:vAlign w:val="bottom"/>
            <w:tcBorders>
              <w:bottom w:val="single" w:sz="8" w:color="auto"/>
              <w:right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Grant Date</w:t>
            </w:r>
          </w:p>
        </w:tc>
        <w:tc>
          <w:tcPr>
            <w:tcW w:w="1240" w:type="dxa"/>
            <w:vAlign w:val="bottom"/>
            <w:tcBorders>
              <w:bottom w:val="single" w:sz="8" w:color="auto"/>
              <w:right w:val="single" w:sz="8" w:color="auto"/>
            </w:tcBorders>
          </w:tcPr>
          <w:p>
            <w:pPr>
              <w:jc w:val="right"/>
              <w:ind w:right="408"/>
              <w:spacing w:after="0" w:line="157" w:lineRule="exact"/>
              <w:rPr>
                <w:sz w:val="20"/>
                <w:szCs w:val="20"/>
                <w:color w:val="auto"/>
              </w:rPr>
            </w:pPr>
            <w:r>
              <w:rPr>
                <w:rFonts w:ascii="Arial" w:cs="Arial" w:eastAsia="Arial" w:hAnsi="Arial"/>
                <w:sz w:val="14"/>
                <w:szCs w:val="14"/>
                <w:color w:val="auto"/>
              </w:rPr>
              <w:t>Date</w:t>
            </w:r>
          </w:p>
        </w:tc>
        <w:tc>
          <w:tcPr>
            <w:tcW w:w="102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Matthew J. Missad</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02/25/16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02/25/21</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1,328</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$ 135,695</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02/18/21</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13,212</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1,350,002</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3,481</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355,689</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02/26/15</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02/26/20</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1,692</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172,889</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02/19/15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02/19/20</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3,575</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365,294</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02/19/15</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02/19/18</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4,660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476,159</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2,400</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245,232</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1,619</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165,429</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02/28/13</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02/28/18</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2,146</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219,278</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07/19/12</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07/19/17</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2,250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229,905</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02/27/12</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02/27/17</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2,502</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255,654</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Michael R. Cole</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02/25/21</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648</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66,213</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2,266</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231,540</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02/18/21</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1,716</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175,341</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02/26/20</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848</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86,649</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800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81,744</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843</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86,138</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02/28/13</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02/28/18</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1,083</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110,661</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07/19/12</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07/19/17</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1,125</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114,953</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Patrick M. Webster</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02/25/21</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1,236</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126,294</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02/18/21</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10,813</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1,104,872</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2,575</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263,114</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02/26/20</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1,687</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172,378</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02/19/15</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02/19/20</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3,392</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346,595</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02/19/15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02/19/18</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3,427</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350,171</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1,200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122,616</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1,619</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165,429</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02/28/13</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02/28/18</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2,146</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219,278</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4" w:name="page35"/>
    <w:bookmarkEnd w:id="34"/>
    <w:tbl>
      <w:tblPr>
        <w:tblLayout w:type="fixed"/>
        <w:tblInd w:w="590" w:type="dxa"/>
        <w:tblCellMar>
          <w:top w:w="0" w:type="dxa"/>
          <w:left w:w="0" w:type="dxa"/>
          <w:bottom w:w="0" w:type="dxa"/>
          <w:right w:w="0" w:type="dxa"/>
        </w:tblCellMar>
      </w:tblPr>
      <w:tr>
        <w:trPr>
          <w:trHeight w:val="176"/>
        </w:trPr>
        <w:tc>
          <w:tcPr>
            <w:tcW w:w="2800" w:type="dxa"/>
            <w:vAlign w:val="bottom"/>
            <w:tcBorders>
              <w:top w:val="single" w:sz="8" w:color="auto"/>
              <w:left w:val="single" w:sz="8" w:color="auto"/>
              <w:bottom w:val="single" w:sz="8" w:color="auto"/>
              <w:right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07/19/12</w:t>
            </w:r>
          </w:p>
        </w:tc>
        <w:tc>
          <w:tcPr>
            <w:tcW w:w="1240" w:type="dxa"/>
            <w:vAlign w:val="bottom"/>
            <w:tcBorders>
              <w:top w:val="single" w:sz="8" w:color="auto"/>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07/19/17</w:t>
            </w:r>
          </w:p>
        </w:tc>
        <w:tc>
          <w:tcPr>
            <w:tcW w:w="1020" w:type="dxa"/>
            <w:vAlign w:val="bottom"/>
            <w:tcBorders>
              <w:top w:val="single" w:sz="8" w:color="auto"/>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1,500</w:t>
            </w:r>
          </w:p>
        </w:tc>
        <w:tc>
          <w:tcPr>
            <w:tcW w:w="1420" w:type="dxa"/>
            <w:vAlign w:val="bottom"/>
            <w:tcBorders>
              <w:top w:val="single" w:sz="8" w:color="auto"/>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153,270</w:t>
            </w:r>
          </w:p>
        </w:tc>
        <w:tc>
          <w:tcPr>
            <w:tcW w:w="1120" w:type="dxa"/>
            <w:vAlign w:val="bottom"/>
            <w:tcBorders>
              <w:top w:val="single" w:sz="8" w:color="auto"/>
              <w:bottom w:val="single" w:sz="8" w:color="auto"/>
              <w:right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right w:val="single" w:sz="8" w:color="auto"/>
            </w:tcBorders>
            <w:shd w:val="clear" w:color="auto" w:fill="CCEEFF"/>
          </w:tcPr>
          <w:p>
            <w:pPr>
              <w:spacing w:after="0"/>
              <w:rPr>
                <w:sz w:val="15"/>
                <w:szCs w:val="15"/>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02/27/12</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02/27/17</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2,535</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259,026</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Patrick M. Benton</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02/25/16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02/25/21</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1,000</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102,180</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02/25/21</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710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72,548</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02/18/21</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6,434</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657,426</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350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35,763</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02/26/20</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1,000</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102,180</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02/26/15</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02/26/20</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421</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43,018</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300</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30,654</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155</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15,838</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02/28/13</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02/28/18</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351</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35,865</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01/15/08</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01/15/18</w:t>
            </w:r>
          </w:p>
        </w:tc>
        <w:tc>
          <w:tcPr>
            <w:tcW w:w="102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500</w:t>
            </w:r>
          </w:p>
        </w:tc>
        <w:tc>
          <w:tcPr>
            <w:tcW w:w="14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$51,090</w:t>
            </w: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01/16/07</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01/16/17</w:t>
            </w:r>
          </w:p>
        </w:tc>
        <w:tc>
          <w:tcPr>
            <w:tcW w:w="1020" w:type="dxa"/>
            <w:vAlign w:val="bottom"/>
            <w:tcBorders>
              <w:bottom w:val="single" w:sz="8" w:color="auto"/>
              <w:right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1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500</w:t>
            </w:r>
          </w:p>
        </w:tc>
        <w:tc>
          <w:tcPr>
            <w:tcW w:w="14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51,090</w:t>
            </w:r>
          </w:p>
        </w:tc>
      </w:tr>
      <w:tr>
        <w:trPr>
          <w:trHeight w:val="156"/>
        </w:trPr>
        <w:tc>
          <w:tcPr>
            <w:tcW w:w="28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Allen T. Peters</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02/25/21</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466</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47,616</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02/18/21</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6,231</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636,684</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02/18/16</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02/18/19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1,715</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175,239</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02/26/20</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675</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68,972</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02/19/15</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02/19/20</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1,178</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120,368</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02/19/15</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02/19/18</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2,254</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230,314</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800</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81,744</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02/27/14</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02/27/19</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745</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76,124</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02/28/13</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02/28/18</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63</w:t>
            </w:r>
          </w:p>
        </w:tc>
        <w:tc>
          <w:tcPr>
            <w:tcW w:w="14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6,437</w:t>
            </w:r>
          </w:p>
        </w:tc>
        <w:tc>
          <w:tcPr>
            <w:tcW w:w="11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07/19/12</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07/19/17</w:t>
            </w:r>
          </w:p>
        </w:tc>
        <w:tc>
          <w:tcPr>
            <w:tcW w:w="10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750</w:t>
            </w:r>
          </w:p>
        </w:tc>
        <w:tc>
          <w:tcPr>
            <w:tcW w:w="14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76,635</w:t>
            </w:r>
          </w:p>
        </w:tc>
        <w:tc>
          <w:tcPr>
            <w:tcW w:w="1120" w:type="dxa"/>
            <w:vAlign w:val="bottom"/>
            <w:tcBorders>
              <w:bottom w:val="single" w:sz="8" w:color="auto"/>
              <w:right w:val="single" w:sz="8" w:color="auto"/>
            </w:tcBorders>
            <w:shd w:val="clear" w:color="auto" w:fill="CCEEFF"/>
          </w:tcPr>
          <w:p>
            <w:pPr>
              <w:spacing w:after="0"/>
              <w:rPr>
                <w:sz w:val="13"/>
                <w:szCs w:val="13"/>
                <w:color w:val="auto"/>
              </w:rPr>
            </w:pPr>
          </w:p>
        </w:tc>
        <w:tc>
          <w:tcPr>
            <w:tcW w:w="14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01/15/08</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01/15/18</w:t>
            </w:r>
          </w:p>
        </w:tc>
        <w:tc>
          <w:tcPr>
            <w:tcW w:w="102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500</w:t>
            </w:r>
          </w:p>
        </w:tc>
        <w:tc>
          <w:tcPr>
            <w:tcW w:w="14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51,090</w:t>
            </w:r>
          </w:p>
        </w:tc>
      </w:tr>
      <w:tr>
        <w:trPr>
          <w:trHeight w:val="156"/>
        </w:trPr>
        <w:tc>
          <w:tcPr>
            <w:tcW w:w="28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01/16/07</w:t>
            </w:r>
          </w:p>
        </w:tc>
        <w:tc>
          <w:tcPr>
            <w:tcW w:w="12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01/16/17</w:t>
            </w:r>
          </w:p>
        </w:tc>
        <w:tc>
          <w:tcPr>
            <w:tcW w:w="1020" w:type="dxa"/>
            <w:vAlign w:val="bottom"/>
            <w:tcBorders>
              <w:bottom w:val="single" w:sz="8" w:color="auto"/>
              <w:right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1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500</w:t>
            </w:r>
          </w:p>
        </w:tc>
        <w:tc>
          <w:tcPr>
            <w:tcW w:w="14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51,090</w:t>
            </w:r>
          </w:p>
        </w:tc>
      </w:tr>
    </w:tbl>
    <w:p>
      <w:pPr>
        <w:spacing w:after="0" w:line="167" w:lineRule="exact"/>
        <w:rPr>
          <w:sz w:val="20"/>
          <w:szCs w:val="20"/>
          <w:color w:val="auto"/>
        </w:rPr>
      </w:pPr>
    </w:p>
    <w:p>
      <w:pPr>
        <w:ind w:left="340" w:hanging="332"/>
        <w:spacing w:after="0" w:line="25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shares of restricted stock granted to each Named Executive. The shares are subject to risks of forfeiture until they vest in full. Subject to accelerated vesting for death, disability, retirement, or a change in control of our Company, the shares vest in full on the third or fifth anniversary of the grant date.</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market value of the shares in these columns is based upon the closing price of our common stock on December 31, 2016 ($102.18).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information on the number and value of options exercised and stock grants vested in 2016 by the Named Executives.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9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720" w:type="dxa"/>
            <w:vAlign w:val="bottom"/>
            <w:tcBorders>
              <w:top w:val="single" w:sz="8" w:color="auto"/>
              <w:bottom w:val="single" w:sz="8" w:color="auto"/>
            </w:tcBorders>
            <w:gridSpan w:val="2"/>
          </w:tcPr>
          <w:p>
            <w:pPr>
              <w:ind w:left="1620"/>
              <w:spacing w:after="0"/>
              <w:rPr>
                <w:sz w:val="20"/>
                <w:szCs w:val="20"/>
                <w:color w:val="auto"/>
              </w:rPr>
            </w:pPr>
            <w:r>
              <w:rPr>
                <w:rFonts w:ascii="Arial" w:cs="Arial" w:eastAsia="Arial" w:hAnsi="Arial"/>
                <w:sz w:val="14"/>
                <w:szCs w:val="14"/>
                <w:color w:val="auto"/>
              </w:rPr>
              <w:t>Option Awards</w:t>
            </w:r>
          </w:p>
        </w:tc>
        <w:tc>
          <w:tcPr>
            <w:tcW w:w="1480" w:type="dxa"/>
            <w:vAlign w:val="bottom"/>
            <w:tcBorders>
              <w:top w:val="single" w:sz="8" w:color="auto"/>
              <w:bottom w:val="single" w:sz="8" w:color="auto"/>
              <w:right w:val="single" w:sz="8" w:color="auto"/>
            </w:tcBorders>
          </w:tcPr>
          <w:p>
            <w:pPr>
              <w:spacing w:after="0"/>
              <w:rPr>
                <w:sz w:val="15"/>
                <w:szCs w:val="15"/>
                <w:color w:val="auto"/>
              </w:rPr>
            </w:pPr>
          </w:p>
        </w:tc>
        <w:tc>
          <w:tcPr>
            <w:tcW w:w="2720" w:type="dxa"/>
            <w:vAlign w:val="bottom"/>
            <w:tcBorders>
              <w:top w:val="single" w:sz="8" w:color="auto"/>
              <w:bottom w:val="single" w:sz="8" w:color="auto"/>
            </w:tcBorders>
            <w:gridSpan w:val="2"/>
          </w:tcPr>
          <w:p>
            <w:pPr>
              <w:ind w:left="1720"/>
              <w:spacing w:after="0"/>
              <w:rPr>
                <w:sz w:val="20"/>
                <w:szCs w:val="20"/>
                <w:color w:val="auto"/>
              </w:rPr>
            </w:pPr>
            <w:r>
              <w:rPr>
                <w:rFonts w:ascii="Arial" w:cs="Arial" w:eastAsia="Arial" w:hAnsi="Arial"/>
                <w:sz w:val="14"/>
                <w:szCs w:val="14"/>
                <w:color w:val="auto"/>
              </w:rPr>
              <w:t>Stock Awards</w:t>
            </w:r>
          </w:p>
        </w:tc>
        <w:tc>
          <w:tcPr>
            <w:tcW w:w="1600" w:type="dxa"/>
            <w:vAlign w:val="bottom"/>
            <w:tcBorders>
              <w:top w:val="single" w:sz="8" w:color="auto"/>
              <w:bottom w:val="single" w:sz="8" w:color="auto"/>
              <w:right w:val="single" w:sz="8" w:color="auto"/>
            </w:tcBorders>
          </w:tcPr>
          <w:p>
            <w:pPr>
              <w:spacing w:after="0"/>
              <w:rPr>
                <w:sz w:val="15"/>
                <w:szCs w:val="15"/>
                <w:color w:val="auto"/>
              </w:rPr>
            </w:pPr>
          </w:p>
        </w:tc>
      </w:tr>
      <w:tr>
        <w:trPr>
          <w:trHeight w:val="160"/>
        </w:trPr>
        <w:tc>
          <w:tcPr>
            <w:tcW w:w="2900" w:type="dxa"/>
            <w:vAlign w:val="bottom"/>
            <w:tcBorders>
              <w:left w:val="single" w:sz="8" w:color="auto"/>
              <w:right w:val="single" w:sz="8" w:color="auto"/>
            </w:tcBorders>
          </w:tcPr>
          <w:p>
            <w:pPr>
              <w:spacing w:after="0"/>
              <w:rPr>
                <w:sz w:val="13"/>
                <w:szCs w:val="13"/>
                <w:color w:val="auto"/>
              </w:rPr>
            </w:pPr>
          </w:p>
        </w:tc>
        <w:tc>
          <w:tcPr>
            <w:tcW w:w="2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Number of Shares</w:t>
            </w:r>
          </w:p>
        </w:tc>
        <w:tc>
          <w:tcPr>
            <w:tcW w:w="340" w:type="dxa"/>
            <w:vAlign w:val="bottom"/>
          </w:tcPr>
          <w:p>
            <w:pPr>
              <w:spacing w:after="0"/>
              <w:rPr>
                <w:sz w:val="13"/>
                <w:szCs w:val="13"/>
                <w:color w:val="auto"/>
              </w:rPr>
            </w:pPr>
          </w:p>
        </w:tc>
        <w:tc>
          <w:tcPr>
            <w:tcW w:w="1480" w:type="dxa"/>
            <w:vAlign w:val="bottom"/>
            <w:tcBorders>
              <w:right w:val="single" w:sz="8" w:color="auto"/>
            </w:tcBorders>
          </w:tcPr>
          <w:p>
            <w:pPr>
              <w:jc w:val="center"/>
              <w:ind w:right="328"/>
              <w:spacing w:after="0"/>
              <w:rPr>
                <w:sz w:val="20"/>
                <w:szCs w:val="20"/>
                <w:color w:val="auto"/>
              </w:rPr>
            </w:pPr>
            <w:r>
              <w:rPr>
                <w:rFonts w:ascii="Arial" w:cs="Arial" w:eastAsia="Arial" w:hAnsi="Arial"/>
                <w:sz w:val="14"/>
                <w:szCs w:val="14"/>
                <w:color w:val="auto"/>
              </w:rPr>
              <w:t>Value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 Shares</w:t>
            </w:r>
          </w:p>
        </w:tc>
        <w:tc>
          <w:tcPr>
            <w:tcW w:w="320" w:type="dxa"/>
            <w:vAlign w:val="bottom"/>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r>
      <w:tr>
        <w:trPr>
          <w:trHeight w:val="162"/>
        </w:trPr>
        <w:tc>
          <w:tcPr>
            <w:tcW w:w="2900" w:type="dxa"/>
            <w:vAlign w:val="bottom"/>
            <w:tcBorders>
              <w:left w:val="single" w:sz="8" w:color="auto"/>
              <w:right w:val="single" w:sz="8" w:color="auto"/>
            </w:tcBorders>
          </w:tcPr>
          <w:p>
            <w:pPr>
              <w:spacing w:after="0"/>
              <w:rPr>
                <w:sz w:val="14"/>
                <w:szCs w:val="14"/>
                <w:color w:val="auto"/>
              </w:rPr>
            </w:pPr>
          </w:p>
        </w:tc>
        <w:tc>
          <w:tcPr>
            <w:tcW w:w="2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Acquired on</w:t>
            </w:r>
          </w:p>
        </w:tc>
        <w:tc>
          <w:tcPr>
            <w:tcW w:w="340" w:type="dxa"/>
            <w:vAlign w:val="bottom"/>
          </w:tcPr>
          <w:p>
            <w:pPr>
              <w:spacing w:after="0"/>
              <w:rPr>
                <w:sz w:val="14"/>
                <w:szCs w:val="14"/>
                <w:color w:val="auto"/>
              </w:rPr>
            </w:pPr>
          </w:p>
        </w:tc>
        <w:tc>
          <w:tcPr>
            <w:tcW w:w="1480" w:type="dxa"/>
            <w:vAlign w:val="bottom"/>
            <w:tcBorders>
              <w:right w:val="single" w:sz="8" w:color="auto"/>
            </w:tcBorders>
          </w:tcPr>
          <w:p>
            <w:pPr>
              <w:jc w:val="center"/>
              <w:ind w:right="328"/>
              <w:spacing w:after="0"/>
              <w:rPr>
                <w:sz w:val="20"/>
                <w:szCs w:val="20"/>
                <w:color w:val="auto"/>
              </w:rPr>
            </w:pPr>
            <w:r>
              <w:rPr>
                <w:rFonts w:ascii="Arial" w:cs="Arial" w:eastAsia="Arial" w:hAnsi="Arial"/>
                <w:sz w:val="14"/>
                <w:szCs w:val="14"/>
                <w:color w:val="auto"/>
              </w:rPr>
              <w:t>Realized 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Acquired on</w:t>
            </w:r>
          </w:p>
        </w:tc>
        <w:tc>
          <w:tcPr>
            <w:tcW w:w="320" w:type="dxa"/>
            <w:vAlign w:val="bottom"/>
          </w:tcPr>
          <w:p>
            <w:pPr>
              <w:spacing w:after="0"/>
              <w:rPr>
                <w:sz w:val="14"/>
                <w:szCs w:val="14"/>
                <w:color w:val="auto"/>
              </w:rPr>
            </w:pPr>
          </w:p>
        </w:tc>
        <w:tc>
          <w:tcPr>
            <w:tcW w:w="1600" w:type="dxa"/>
            <w:vAlign w:val="bottom"/>
            <w:tcBorders>
              <w:right w:val="single" w:sz="8" w:color="auto"/>
            </w:tcBorders>
          </w:tcPr>
          <w:p>
            <w:pPr>
              <w:jc w:val="center"/>
              <w:ind w:right="328"/>
              <w:spacing w:after="0"/>
              <w:rPr>
                <w:sz w:val="20"/>
                <w:szCs w:val="20"/>
                <w:color w:val="auto"/>
              </w:rPr>
            </w:pPr>
            <w:r>
              <w:rPr>
                <w:rFonts w:ascii="Arial" w:cs="Arial" w:eastAsia="Arial" w:hAnsi="Arial"/>
                <w:sz w:val="14"/>
                <w:szCs w:val="14"/>
                <w:color w:val="auto"/>
              </w:rPr>
              <w:t>Value Realized</w:t>
            </w:r>
          </w:p>
        </w:tc>
      </w:tr>
      <w:tr>
        <w:trPr>
          <w:trHeight w:val="162"/>
        </w:trPr>
        <w:tc>
          <w:tcPr>
            <w:tcW w:w="2900" w:type="dxa"/>
            <w:vAlign w:val="bottom"/>
            <w:tcBorders>
              <w:left w:val="single" w:sz="8" w:color="auto"/>
              <w:right w:val="single" w:sz="8" w:color="auto"/>
            </w:tcBorders>
          </w:tcPr>
          <w:p>
            <w:pPr>
              <w:ind w:left="1260"/>
              <w:spacing w:after="0"/>
              <w:rPr>
                <w:sz w:val="20"/>
                <w:szCs w:val="20"/>
                <w:color w:val="auto"/>
              </w:rPr>
            </w:pPr>
            <w:r>
              <w:rPr>
                <w:rFonts w:ascii="Arial" w:cs="Arial" w:eastAsia="Arial" w:hAnsi="Arial"/>
                <w:sz w:val="14"/>
                <w:szCs w:val="14"/>
                <w:color w:val="auto"/>
              </w:rPr>
              <w:t>Name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Exercise</w:t>
            </w:r>
          </w:p>
        </w:tc>
        <w:tc>
          <w:tcPr>
            <w:tcW w:w="340" w:type="dxa"/>
            <w:vAlign w:val="bottom"/>
          </w:tcPr>
          <w:p>
            <w:pPr>
              <w:spacing w:after="0"/>
              <w:rPr>
                <w:sz w:val="14"/>
                <w:szCs w:val="14"/>
                <w:color w:val="auto"/>
              </w:rPr>
            </w:pPr>
          </w:p>
        </w:tc>
        <w:tc>
          <w:tcPr>
            <w:tcW w:w="1480" w:type="dxa"/>
            <w:vAlign w:val="bottom"/>
            <w:tcBorders>
              <w:right w:val="single" w:sz="8" w:color="auto"/>
            </w:tcBorders>
          </w:tcPr>
          <w:p>
            <w:pPr>
              <w:jc w:val="center"/>
              <w:ind w:right="288"/>
              <w:spacing w:after="0"/>
              <w:rPr>
                <w:sz w:val="20"/>
                <w:szCs w:val="20"/>
                <w:color w:val="auto"/>
              </w:rPr>
            </w:pPr>
            <w:r>
              <w:rPr>
                <w:rFonts w:ascii="Arial" w:cs="Arial" w:eastAsia="Arial" w:hAnsi="Arial"/>
                <w:sz w:val="14"/>
                <w:szCs w:val="14"/>
                <w:color w:val="auto"/>
              </w:rPr>
              <w:t>Exercise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Vesting</w:t>
            </w:r>
          </w:p>
        </w:tc>
        <w:tc>
          <w:tcPr>
            <w:tcW w:w="320" w:type="dxa"/>
            <w:vAlign w:val="bottom"/>
          </w:tcPr>
          <w:p>
            <w:pPr>
              <w:spacing w:after="0"/>
              <w:rPr>
                <w:sz w:val="14"/>
                <w:szCs w:val="14"/>
                <w:color w:val="auto"/>
              </w:rPr>
            </w:pPr>
          </w:p>
        </w:tc>
        <w:tc>
          <w:tcPr>
            <w:tcW w:w="1600" w:type="dxa"/>
            <w:vAlign w:val="bottom"/>
            <w:tcBorders>
              <w:right w:val="single" w:sz="8" w:color="auto"/>
            </w:tcBorders>
          </w:tcPr>
          <w:p>
            <w:pPr>
              <w:jc w:val="center"/>
              <w:ind w:right="268"/>
              <w:spacing w:after="0"/>
              <w:rPr>
                <w:sz w:val="20"/>
                <w:szCs w:val="20"/>
                <w:color w:val="auto"/>
              </w:rPr>
            </w:pPr>
            <w:r>
              <w:rPr>
                <w:rFonts w:ascii="Arial" w:cs="Arial" w:eastAsia="Arial" w:hAnsi="Arial"/>
                <w:sz w:val="14"/>
                <w:szCs w:val="14"/>
                <w:color w:val="auto"/>
                <w:w w:val="99"/>
              </w:rPr>
              <w:t>on Vesting</w:t>
            </w:r>
          </w:p>
        </w:tc>
      </w:tr>
      <w:tr>
        <w:trPr>
          <w:trHeight w:val="157"/>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238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jc w:val="center"/>
              <w:ind w:right="288"/>
              <w:spacing w:after="0" w:line="157" w:lineRule="exact"/>
              <w:rPr>
                <w:sz w:val="20"/>
                <w:szCs w:val="20"/>
                <w:color w:val="auto"/>
              </w:rPr>
            </w:pPr>
            <w:r>
              <w:rPr>
                <w:rFonts w:ascii="Arial" w:cs="Arial" w:eastAsia="Arial" w:hAnsi="Arial"/>
                <w:sz w:val="14"/>
                <w:szCs w:val="14"/>
                <w:color w:val="auto"/>
                <w:w w:val="93"/>
              </w:rPr>
              <w:t>(1)</w:t>
            </w:r>
          </w:p>
        </w:tc>
        <w:tc>
          <w:tcPr>
            <w:tcW w:w="240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(2)</w:t>
            </w:r>
          </w:p>
        </w:tc>
      </w:tr>
      <w:tr>
        <w:trPr>
          <w:trHeight w:val="156"/>
        </w:trPr>
        <w:tc>
          <w:tcPr>
            <w:tcW w:w="290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Matthew J. Missad</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24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530</w:t>
            </w:r>
          </w:p>
        </w:tc>
        <w:tc>
          <w:tcPr>
            <w:tcW w:w="3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$34,249</w:t>
            </w:r>
          </w:p>
        </w:tc>
      </w:tr>
      <w:tr>
        <w:trPr>
          <w:trHeight w:val="156"/>
        </w:trPr>
        <w:tc>
          <w:tcPr>
            <w:tcW w:w="29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Michael R. Cole</w:t>
            </w:r>
          </w:p>
        </w:tc>
        <w:tc>
          <w:tcPr>
            <w:tcW w:w="23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24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530</w:t>
            </w: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34,249</w:t>
            </w:r>
          </w:p>
        </w:tc>
      </w:tr>
      <w:tr>
        <w:trPr>
          <w:trHeight w:val="156"/>
        </w:trPr>
        <w:tc>
          <w:tcPr>
            <w:tcW w:w="290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Patrick M. Webster</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24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3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r>
      <w:tr>
        <w:trPr>
          <w:trHeight w:val="156"/>
        </w:trPr>
        <w:tc>
          <w:tcPr>
            <w:tcW w:w="29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Patrick M. Benton</w:t>
            </w:r>
          </w:p>
        </w:tc>
        <w:tc>
          <w:tcPr>
            <w:tcW w:w="23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24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398</w:t>
            </w: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25,719</w:t>
            </w:r>
          </w:p>
        </w:tc>
      </w:tr>
      <w:tr>
        <w:trPr>
          <w:trHeight w:val="156"/>
        </w:trPr>
        <w:tc>
          <w:tcPr>
            <w:tcW w:w="290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Allen T. Peters</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24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398</w:t>
            </w:r>
          </w:p>
        </w:tc>
        <w:tc>
          <w:tcPr>
            <w:tcW w:w="3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25,719</w:t>
            </w:r>
          </w:p>
        </w:tc>
      </w:tr>
    </w:tbl>
    <w:p>
      <w:pPr>
        <w:spacing w:after="0" w:line="16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the common stock on the date of exercise.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Value based upon the closing market price ($64.62) of our Company’s common stock on the vesting date (February 2, 2016).</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540" w:type="dxa"/>
            <w:vAlign w:val="bottom"/>
            <w:tcBorders>
              <w:top w:val="single" w:sz="8" w:color="auto"/>
              <w:left w:val="single" w:sz="8" w:color="auto"/>
              <w:right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color w:val="auto"/>
              </w:rPr>
              <w:t>Aggregate</w:t>
            </w:r>
          </w:p>
        </w:tc>
        <w:tc>
          <w:tcPr>
            <w:tcW w:w="300" w:type="dxa"/>
            <w:vAlign w:val="bottom"/>
            <w:tcBorders>
              <w:top w:val="single" w:sz="8" w:color="auto"/>
              <w:right w:val="single" w:sz="8" w:color="auto"/>
            </w:tcBorders>
          </w:tcPr>
          <w:p>
            <w:pPr>
              <w:spacing w:after="0"/>
              <w:rPr>
                <w:sz w:val="15"/>
                <w:szCs w:val="15"/>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w:t>
            </w: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Executive</w:t>
            </w:r>
          </w:p>
        </w:tc>
        <w:tc>
          <w:tcPr>
            <w:tcW w:w="1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Company</w:t>
            </w:r>
          </w:p>
        </w:tc>
        <w:tc>
          <w:tcPr>
            <w:tcW w:w="1700" w:type="dxa"/>
            <w:vAlign w:val="bottom"/>
            <w:tcBorders>
              <w:right w:val="single" w:sz="8" w:color="auto"/>
            </w:tcBorders>
          </w:tcPr>
          <w:p>
            <w:pPr>
              <w:jc w:val="right"/>
              <w:ind w:right="488"/>
              <w:spacing w:after="0"/>
              <w:rPr>
                <w:sz w:val="20"/>
                <w:szCs w:val="20"/>
                <w:color w:val="auto"/>
              </w:rPr>
            </w:pPr>
            <w:r>
              <w:rPr>
                <w:rFonts w:ascii="Arial" w:cs="Arial" w:eastAsia="Arial" w:hAnsi="Arial"/>
                <w:sz w:val="14"/>
                <w:szCs w:val="14"/>
                <w:color w:val="auto"/>
              </w:rPr>
              <w:t>Aggregate</w:t>
            </w:r>
          </w:p>
        </w:tc>
        <w:tc>
          <w:tcPr>
            <w:tcW w:w="1400" w:type="dxa"/>
            <w:vAlign w:val="bottom"/>
          </w:tcPr>
          <w:p>
            <w:pPr>
              <w:jc w:val="center"/>
              <w:ind w:left="228"/>
              <w:spacing w:after="0"/>
              <w:rPr>
                <w:sz w:val="20"/>
                <w:szCs w:val="20"/>
                <w:color w:val="auto"/>
              </w:rPr>
            </w:pPr>
            <w:r>
              <w:rPr>
                <w:rFonts w:ascii="Arial" w:cs="Arial" w:eastAsia="Arial" w:hAnsi="Arial"/>
                <w:sz w:val="14"/>
                <w:szCs w:val="14"/>
                <w:color w:val="auto"/>
              </w:rPr>
              <w:t>Withdrawals /</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Balance at</w:t>
            </w: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Contributions</w:t>
            </w:r>
          </w:p>
        </w:tc>
        <w:tc>
          <w:tcPr>
            <w:tcW w:w="1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Contributions</w:t>
            </w:r>
          </w:p>
        </w:tc>
        <w:tc>
          <w:tcPr>
            <w:tcW w:w="1700" w:type="dxa"/>
            <w:vAlign w:val="bottom"/>
            <w:tcBorders>
              <w:right w:val="single" w:sz="8" w:color="auto"/>
            </w:tcBorders>
          </w:tcPr>
          <w:p>
            <w:pPr>
              <w:jc w:val="right"/>
              <w:ind w:right="448"/>
              <w:spacing w:after="0"/>
              <w:rPr>
                <w:sz w:val="20"/>
                <w:szCs w:val="20"/>
                <w:color w:val="auto"/>
              </w:rPr>
            </w:pPr>
            <w:r>
              <w:rPr>
                <w:rFonts w:ascii="Arial" w:cs="Arial" w:eastAsia="Arial" w:hAnsi="Arial"/>
                <w:sz w:val="14"/>
                <w:szCs w:val="14"/>
                <w:color w:val="auto"/>
              </w:rPr>
              <w:t>Earnings in</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rPr>
              <w:t>Distributions</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December 31,</w:t>
            </w:r>
          </w:p>
        </w:tc>
      </w:tr>
      <w:tr>
        <w:trPr>
          <w:trHeight w:val="162"/>
        </w:trPr>
        <w:tc>
          <w:tcPr>
            <w:tcW w:w="2540" w:type="dxa"/>
            <w:vAlign w:val="bottom"/>
            <w:tcBorders>
              <w:left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Names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in 2016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in 2016</w:t>
            </w:r>
          </w:p>
        </w:tc>
        <w:tc>
          <w:tcPr>
            <w:tcW w:w="1700" w:type="dxa"/>
            <w:vAlign w:val="bottom"/>
            <w:tcBorders>
              <w:right w:val="single" w:sz="8" w:color="auto"/>
            </w:tcBorders>
          </w:tcPr>
          <w:p>
            <w:pPr>
              <w:jc w:val="right"/>
              <w:ind w:right="628"/>
              <w:spacing w:after="0"/>
              <w:rPr>
                <w:sz w:val="20"/>
                <w:szCs w:val="20"/>
                <w:color w:val="auto"/>
              </w:rPr>
            </w:pPr>
            <w:r>
              <w:rPr>
                <w:rFonts w:ascii="Arial" w:cs="Arial" w:eastAsia="Arial" w:hAnsi="Arial"/>
                <w:sz w:val="14"/>
                <w:szCs w:val="14"/>
                <w:color w:val="auto"/>
              </w:rPr>
              <w:t>2016</w:t>
            </w:r>
          </w:p>
        </w:tc>
        <w:tc>
          <w:tcPr>
            <w:tcW w:w="1400" w:type="dxa"/>
            <w:vAlign w:val="bottom"/>
          </w:tcPr>
          <w:p>
            <w:pPr>
              <w:jc w:val="center"/>
              <w:ind w:left="208"/>
              <w:spacing w:after="0"/>
              <w:rPr>
                <w:sz w:val="20"/>
                <w:szCs w:val="20"/>
                <w:color w:val="auto"/>
              </w:rPr>
            </w:pPr>
            <w:r>
              <w:rPr>
                <w:rFonts w:ascii="Arial" w:cs="Arial" w:eastAsia="Arial" w:hAnsi="Arial"/>
                <w:sz w:val="14"/>
                <w:szCs w:val="14"/>
                <w:color w:val="auto"/>
              </w:rPr>
              <w:t>in 2016</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2016</w:t>
            </w:r>
          </w:p>
        </w:tc>
      </w:tr>
      <w:tr>
        <w:trPr>
          <w:trHeight w:val="157"/>
        </w:trPr>
        <w:tc>
          <w:tcPr>
            <w:tcW w:w="2540" w:type="dxa"/>
            <w:vAlign w:val="bottom"/>
            <w:tcBorders>
              <w:left w:val="single" w:sz="8" w:color="auto"/>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(1)</w:t>
            </w:r>
          </w:p>
        </w:tc>
        <w:tc>
          <w:tcPr>
            <w:tcW w:w="17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(2)</w:t>
            </w:r>
          </w:p>
        </w:tc>
        <w:tc>
          <w:tcPr>
            <w:tcW w:w="1700" w:type="dxa"/>
            <w:vAlign w:val="bottom"/>
            <w:tcBorders>
              <w:bottom w:val="single" w:sz="8" w:color="auto"/>
              <w:right w:val="single" w:sz="8" w:color="auto"/>
            </w:tcBorders>
          </w:tcPr>
          <w:p>
            <w:pPr>
              <w:jc w:val="right"/>
              <w:ind w:right="708"/>
              <w:spacing w:after="0" w:line="157" w:lineRule="exact"/>
              <w:rPr>
                <w:sz w:val="20"/>
                <w:szCs w:val="20"/>
                <w:color w:val="auto"/>
              </w:rPr>
            </w:pPr>
            <w:r>
              <w:rPr>
                <w:rFonts w:ascii="Arial" w:cs="Arial" w:eastAsia="Arial" w:hAnsi="Arial"/>
                <w:sz w:val="14"/>
                <w:szCs w:val="14"/>
                <w:color w:val="auto"/>
              </w:rPr>
              <w:t>(3)</w:t>
            </w:r>
          </w:p>
        </w:tc>
        <w:tc>
          <w:tcPr>
            <w:tcW w:w="14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r>
      <w:tr>
        <w:trPr>
          <w:trHeight w:val="156"/>
        </w:trPr>
        <w:tc>
          <w:tcPr>
            <w:tcW w:w="254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Matthew J. Missad</w:t>
            </w:r>
          </w:p>
        </w:tc>
        <w:tc>
          <w:tcPr>
            <w:tcW w:w="17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$115,000</w:t>
            </w:r>
          </w:p>
        </w:tc>
        <w:tc>
          <w:tcPr>
            <w:tcW w:w="17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$120,294</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$804,886</w:t>
            </w:r>
          </w:p>
        </w:tc>
        <w:tc>
          <w:tcPr>
            <w:tcW w:w="14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right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20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$2,420,766</w:t>
            </w:r>
          </w:p>
        </w:tc>
      </w:tr>
      <w:tr>
        <w:trPr>
          <w:trHeight w:val="156"/>
        </w:trPr>
        <w:tc>
          <w:tcPr>
            <w:tcW w:w="25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Michael R. Cole</w:t>
            </w:r>
          </w:p>
        </w:tc>
        <w:tc>
          <w:tcPr>
            <w:tcW w:w="17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55,000</w:t>
            </w:r>
          </w:p>
        </w:tc>
        <w:tc>
          <w:tcPr>
            <w:tcW w:w="17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43,823</w:t>
            </w:r>
          </w:p>
        </w:tc>
        <w:tc>
          <w:tcPr>
            <w:tcW w:w="17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307,284</w:t>
            </w:r>
          </w:p>
        </w:tc>
        <w:tc>
          <w:tcPr>
            <w:tcW w:w="14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20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924,956</w:t>
            </w:r>
          </w:p>
        </w:tc>
      </w:tr>
      <w:tr>
        <w:trPr>
          <w:trHeight w:val="156"/>
        </w:trPr>
        <w:tc>
          <w:tcPr>
            <w:tcW w:w="254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Patrick M. Webster</w:t>
            </w:r>
          </w:p>
        </w:tc>
        <w:tc>
          <w:tcPr>
            <w:tcW w:w="17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115,000</w:t>
            </w:r>
          </w:p>
        </w:tc>
        <w:tc>
          <w:tcPr>
            <w:tcW w:w="17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120,294</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1,318,014</w:t>
            </w:r>
          </w:p>
        </w:tc>
        <w:tc>
          <w:tcPr>
            <w:tcW w:w="14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right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20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4,169,372</w:t>
            </w:r>
          </w:p>
        </w:tc>
      </w:tr>
      <w:tr>
        <w:trPr>
          <w:trHeight w:val="156"/>
        </w:trPr>
        <w:tc>
          <w:tcPr>
            <w:tcW w:w="25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Patrick M. Benton</w:t>
            </w:r>
          </w:p>
        </w:tc>
        <w:tc>
          <w:tcPr>
            <w:tcW w:w="17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50,000</w:t>
            </w:r>
          </w:p>
        </w:tc>
        <w:tc>
          <w:tcPr>
            <w:tcW w:w="17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58,823</w:t>
            </w:r>
          </w:p>
        </w:tc>
        <w:tc>
          <w:tcPr>
            <w:tcW w:w="17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85,723</w:t>
            </w:r>
          </w:p>
        </w:tc>
        <w:tc>
          <w:tcPr>
            <w:tcW w:w="14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20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255,327</w:t>
            </w:r>
          </w:p>
        </w:tc>
      </w:tr>
      <w:tr>
        <w:trPr>
          <w:trHeight w:val="156"/>
        </w:trPr>
        <w:tc>
          <w:tcPr>
            <w:tcW w:w="254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Allen T. Peters</w:t>
            </w:r>
          </w:p>
        </w:tc>
        <w:tc>
          <w:tcPr>
            <w:tcW w:w="17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55,000</w:t>
            </w:r>
          </w:p>
        </w:tc>
        <w:tc>
          <w:tcPr>
            <w:tcW w:w="17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44,388</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95,074</w:t>
            </w:r>
          </w:p>
        </w:tc>
        <w:tc>
          <w:tcPr>
            <w:tcW w:w="14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right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204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282,862</w:t>
            </w:r>
          </w:p>
        </w:tc>
      </w:tr>
    </w:tbl>
    <w:p>
      <w:pPr>
        <w:spacing w:after="0" w:line="167" w:lineRule="exact"/>
        <w:rPr>
          <w:sz w:val="20"/>
          <w:szCs w:val="20"/>
          <w:color w:val="auto"/>
        </w:rPr>
      </w:pPr>
    </w:p>
    <w:p>
      <w:pPr>
        <w:jc w:val="both"/>
        <w:ind w:left="340" w:hanging="332"/>
        <w:spacing w:after="0" w:line="24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of the amounts reported in this column are also reported as non-equity incentive plan compensation or salary in the Summary Compensation Table. The amounts shown include deferrals under our DCP from the annual bonus earned for 2016 and monthly salary for 2016 for Mr. Missad of $100,000 and $15,000, respectively; from the annual bonus earned for 2016 and monthly salary for 2016 for Mr. Cole of $40,000 and $15,000, respectively; from the annual bonus earned for 2016 and monthly salary for 2016 for Mr. Webster of $100,000 and $15,000, respectively; from the annual bonus earned for 2016 for Mr. Benton of $50,000; and from the annual bonus earned for 2015 of Mr. Peters of $55,000.</w:t>
      </w:r>
    </w:p>
    <w:p>
      <w:pPr>
        <w:spacing w:after="0" w:line="150"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reflect the Company’s 15% discount for shares of Company common stock acquired under our DCP attributable to fiscal 2016 salary and/or bonus deferrals.</w:t>
      </w:r>
    </w:p>
    <w:p>
      <w:pPr>
        <w:spacing w:after="0" w:line="163"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shown are credited to the Named Executive’s deferred compensation account(s). The amounts reflect the earnings on various investments in the account(s), including investments in our common stock.</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DCP allows key employees to defer a portion of their incentive bonus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Post-Employment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14, 2010, the Committee approved an Executive Retirement Plan for officers with 20 or more years of service to the Company and at least ten years of service as an officer (which currently excludes our CEO). The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Potential Payments upon Termination, Death, Disability, Retirement, or Change in Control</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quantifies the incremental amounts that would have been vested and become payable on December 31, 2016 to each Named Executive in the event of death, permanent disability, retirement, or change in control.</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20" w:type="dxa"/>
            <w:vAlign w:val="bottom"/>
            <w:tcBorders>
              <w:top w:val="single" w:sz="8" w:color="auto"/>
              <w:left w:val="single" w:sz="8" w:color="auto"/>
              <w:right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Benefit</w:t>
            </w:r>
          </w:p>
        </w:tc>
        <w:tc>
          <w:tcPr>
            <w:tcW w:w="1040" w:type="dxa"/>
            <w:vAlign w:val="bottom"/>
            <w:tcBorders>
              <w:top w:val="single" w:sz="8" w:color="auto"/>
              <w:right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40" w:type="dxa"/>
            <w:vAlign w:val="bottom"/>
            <w:tcBorders>
              <w:top w:val="single" w:sz="8" w:color="auto"/>
              <w:right w:val="single" w:sz="8" w:color="auto"/>
            </w:tcBorders>
            <w:gridSpan w:val="2"/>
          </w:tcPr>
          <w:p>
            <w:pPr>
              <w:jc w:val="right"/>
              <w:ind w:right="560"/>
              <w:spacing w:after="0"/>
              <w:rPr>
                <w:sz w:val="20"/>
                <w:szCs w:val="20"/>
                <w:color w:val="auto"/>
              </w:rPr>
            </w:pPr>
            <w:r>
              <w:rPr>
                <w:rFonts w:ascii="Arial" w:cs="Arial" w:eastAsia="Arial" w:hAnsi="Arial"/>
                <w:sz w:val="14"/>
                <w:szCs w:val="14"/>
                <w:color w:val="auto"/>
                <w:w w:val="96"/>
              </w:rPr>
              <w:t>Death</w:t>
            </w:r>
          </w:p>
        </w:tc>
        <w:tc>
          <w:tcPr>
            <w:tcW w:w="1380" w:type="dxa"/>
            <w:vAlign w:val="bottom"/>
            <w:tcBorders>
              <w:top w:val="single" w:sz="8" w:color="auto"/>
              <w:right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Disability</w:t>
            </w: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right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Retirement</w:t>
            </w:r>
          </w:p>
        </w:tc>
        <w:tc>
          <w:tcPr>
            <w:tcW w:w="2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Change in Control</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w:t>
            </w:r>
          </w:p>
        </w:tc>
        <w:tc>
          <w:tcPr>
            <w:tcW w:w="4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(2)</w:t>
            </w:r>
          </w:p>
        </w:tc>
        <w:tc>
          <w:tcPr>
            <w:tcW w:w="560" w:type="dxa"/>
            <w:vAlign w:val="bottom"/>
            <w:tcBorders>
              <w:bottom w:val="single" w:sz="8" w:color="auto"/>
              <w:right w:val="single" w:sz="8" w:color="auto"/>
            </w:tcBorders>
          </w:tcPr>
          <w:p>
            <w:pPr>
              <w:spacing w:after="0"/>
              <w:rPr>
                <w:sz w:val="13"/>
                <w:szCs w:val="13"/>
                <w:color w:val="auto"/>
              </w:rPr>
            </w:pPr>
          </w:p>
        </w:tc>
      </w:tr>
      <w:tr>
        <w:trPr>
          <w:trHeight w:val="156"/>
        </w:trPr>
        <w:tc>
          <w:tcPr>
            <w:tcW w:w="232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Matthew J. Missad</w:t>
            </w: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Cash Severance (3)</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$1,205,319</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$1,205,319</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$1,205,319</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$1,950,000</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Equity: (4)</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 Restricted Stock</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3,971,225</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3,971,225</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3,971,225</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3,971,225</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Health and Welfare</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36,000</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auto"/>
            </w:tcBorders>
            <w:shd w:val="clear" w:color="auto" w:fill="CCEEFF"/>
          </w:tcPr>
          <w:p>
            <w:pPr>
              <w:ind w:left="440"/>
              <w:spacing w:after="0" w:line="155" w:lineRule="exact"/>
              <w:rPr>
                <w:sz w:val="20"/>
                <w:szCs w:val="20"/>
                <w:color w:val="auto"/>
              </w:rPr>
            </w:pPr>
            <w:r>
              <w:rPr>
                <w:rFonts w:ascii="Arial" w:cs="Arial" w:eastAsia="Arial" w:hAnsi="Arial"/>
                <w:sz w:val="14"/>
                <w:szCs w:val="14"/>
                <w:i w:val="1"/>
                <w:iCs w:val="1"/>
                <w:color w:val="auto"/>
              </w:rPr>
              <w:t>TOTAL:</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i w:val="1"/>
                <w:iCs w:val="1"/>
                <w:color w:val="auto"/>
              </w:rPr>
              <w:t>5,212,544</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5,212,544</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5,212,544</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5,957,225</w:t>
            </w:r>
          </w:p>
        </w:tc>
      </w:tr>
      <w:tr>
        <w:trPr>
          <w:trHeight w:val="156"/>
        </w:trPr>
        <w:tc>
          <w:tcPr>
            <w:tcW w:w="232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Michael R. Cole</w:t>
            </w: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Cash Severance (3)</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206,396</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206,396</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206,396</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711,966</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Equity: (4)</w:t>
            </w:r>
          </w:p>
        </w:tc>
        <w:tc>
          <w:tcPr>
            <w:tcW w:w="5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right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 Restricted Stock</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953,237</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953,237</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953,237</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953,237</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Health and Welfare</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36,000</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36,000</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ind w:left="440"/>
              <w:spacing w:after="0" w:line="155" w:lineRule="exact"/>
              <w:rPr>
                <w:sz w:val="20"/>
                <w:szCs w:val="20"/>
                <w:color w:val="auto"/>
              </w:rPr>
            </w:pPr>
            <w:r>
              <w:rPr>
                <w:rFonts w:ascii="Arial" w:cs="Arial" w:eastAsia="Arial" w:hAnsi="Arial"/>
                <w:sz w:val="14"/>
                <w:szCs w:val="14"/>
                <w:i w:val="1"/>
                <w:iCs w:val="1"/>
                <w:color w:val="auto"/>
              </w:rPr>
              <w:t>TOTAL:</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i w:val="1"/>
                <w:iCs w:val="1"/>
                <w:color w:val="auto"/>
              </w:rPr>
              <w:t>1,195,633</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i w:val="1"/>
                <w:iCs w:val="1"/>
                <w:color w:val="auto"/>
              </w:rPr>
              <w:t>1,195,633</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i w:val="1"/>
                <w:iCs w:val="1"/>
                <w:color w:val="auto"/>
              </w:rPr>
              <w:t>1,195,633</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i w:val="1"/>
                <w:iCs w:val="1"/>
                <w:color w:val="auto"/>
              </w:rPr>
              <w:t>1,701,203</w:t>
            </w:r>
          </w:p>
        </w:tc>
      </w:tr>
      <w:tr>
        <w:trPr>
          <w:trHeight w:val="156"/>
        </w:trPr>
        <w:tc>
          <w:tcPr>
            <w:tcW w:w="232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Patrick M. Webster</w:t>
            </w: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Cash Severance (3)</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458,804</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458,804</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458,804</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809,102</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Equity: (4)</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 Restricted Stock</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3,283,043</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3,283,043</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3,283,043</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3,283,043</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Health and Welfare</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36,000</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auto"/>
            </w:tcBorders>
            <w:shd w:val="clear" w:color="auto" w:fill="CCEEFF"/>
          </w:tcPr>
          <w:p>
            <w:pPr>
              <w:ind w:left="440"/>
              <w:spacing w:after="0" w:line="155" w:lineRule="exact"/>
              <w:rPr>
                <w:sz w:val="20"/>
                <w:szCs w:val="20"/>
                <w:color w:val="auto"/>
              </w:rPr>
            </w:pPr>
            <w:r>
              <w:rPr>
                <w:rFonts w:ascii="Arial" w:cs="Arial" w:eastAsia="Arial" w:hAnsi="Arial"/>
                <w:sz w:val="14"/>
                <w:szCs w:val="14"/>
                <w:i w:val="1"/>
                <w:iCs w:val="1"/>
                <w:color w:val="auto"/>
              </w:rPr>
              <w:t>TOTAL:</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i w:val="1"/>
                <w:iCs w:val="1"/>
                <w:color w:val="auto"/>
              </w:rPr>
              <w:t>3,777,847</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3,777,847</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3,777,847</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4,128,145</w:t>
            </w:r>
          </w:p>
        </w:tc>
      </w:tr>
      <w:tr>
        <w:trPr>
          <w:trHeight w:val="156"/>
        </w:trPr>
        <w:tc>
          <w:tcPr>
            <w:tcW w:w="232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Patrick M. Benton</w:t>
            </w: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Cash Severance (3)</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111,973</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111,973</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111,973</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510,000</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Equity: (4)</w:t>
            </w:r>
          </w:p>
        </w:tc>
        <w:tc>
          <w:tcPr>
            <w:tcW w:w="5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right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 Restricted Stock</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1,197,651</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1,197,651</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1,197,651</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1,197,651</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Health and Welfare</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36,000</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36,000</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ind w:left="440"/>
              <w:spacing w:after="0" w:line="155" w:lineRule="exact"/>
              <w:rPr>
                <w:sz w:val="20"/>
                <w:szCs w:val="20"/>
                <w:color w:val="auto"/>
              </w:rPr>
            </w:pPr>
            <w:r>
              <w:rPr>
                <w:rFonts w:ascii="Arial" w:cs="Arial" w:eastAsia="Arial" w:hAnsi="Arial"/>
                <w:sz w:val="14"/>
                <w:szCs w:val="14"/>
                <w:i w:val="1"/>
                <w:iCs w:val="1"/>
                <w:color w:val="auto"/>
              </w:rPr>
              <w:t>TOTAL:</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i w:val="1"/>
                <w:iCs w:val="1"/>
                <w:color w:val="auto"/>
              </w:rPr>
              <w:t>1,345,624</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i w:val="1"/>
                <w:iCs w:val="1"/>
                <w:color w:val="auto"/>
              </w:rPr>
              <w:t>1,345,624</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i w:val="1"/>
                <w:iCs w:val="1"/>
                <w:color w:val="auto"/>
              </w:rPr>
              <w:t>1,345,324</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i w:val="1"/>
                <w:iCs w:val="1"/>
                <w:color w:val="auto"/>
              </w:rPr>
              <w:t>1,743,651</w:t>
            </w:r>
          </w:p>
        </w:tc>
      </w:tr>
      <w:tr>
        <w:trPr>
          <w:trHeight w:val="156"/>
        </w:trPr>
        <w:tc>
          <w:tcPr>
            <w:tcW w:w="232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Allen T. Peters</w:t>
            </w: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Cash Severance (3)</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143,133</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143,133</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143,133</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539,000</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Equity: (4)</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2500" w:type="dxa"/>
            <w:vAlign w:val="bottom"/>
            <w:tcBorders>
              <w:bottom w:val="single" w:sz="8" w:color="auto"/>
              <w:right w:val="single" w:sz="8" w:color="auto"/>
            </w:tcBorders>
            <w:gridSpan w:val="3"/>
            <w:shd w:val="clear" w:color="auto" w:fill="CCEEFF"/>
          </w:tcPr>
          <w:p>
            <w:pPr>
              <w:ind w:left="80"/>
              <w:spacing w:after="0" w:line="155" w:lineRule="exact"/>
              <w:rPr>
                <w:sz w:val="20"/>
                <w:szCs w:val="20"/>
                <w:color w:val="auto"/>
              </w:rPr>
            </w:pPr>
            <w:r>
              <w:rPr>
                <w:rFonts w:ascii="Arial" w:cs="Arial" w:eastAsia="Arial" w:hAnsi="Arial"/>
                <w:sz w:val="14"/>
                <w:szCs w:val="14"/>
                <w:color w:val="auto"/>
              </w:rPr>
              <w:t>- Restricted Stock</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1,622,311</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1,622,311</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1,622,311</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1,622,311</w:t>
            </w: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Health and Welfare</w:t>
            </w:r>
          </w:p>
        </w:tc>
        <w:tc>
          <w:tcPr>
            <w:tcW w:w="1480" w:type="dxa"/>
            <w:vAlign w:val="bottom"/>
            <w:tcBorders>
              <w:bottom w:val="single" w:sz="8" w:color="auto"/>
              <w:right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36,000</w:t>
            </w:r>
          </w:p>
        </w:tc>
        <w:tc>
          <w:tcPr>
            <w:tcW w:w="13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148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c>
          <w:tcPr>
            <w:tcW w:w="2260" w:type="dxa"/>
            <w:vAlign w:val="bottom"/>
            <w:tcBorders>
              <w:bottom w:val="single" w:sz="8" w:color="auto"/>
              <w:right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rPr>
              <w:t>36,000</w:t>
            </w:r>
          </w:p>
        </w:tc>
      </w:tr>
      <w:tr>
        <w:trPr>
          <w:trHeight w:val="156"/>
        </w:trPr>
        <w:tc>
          <w:tcPr>
            <w:tcW w:w="23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auto"/>
            </w:tcBorders>
            <w:shd w:val="clear" w:color="auto" w:fill="CCEEFF"/>
          </w:tcPr>
          <w:p>
            <w:pPr>
              <w:ind w:left="440"/>
              <w:spacing w:after="0" w:line="155" w:lineRule="exact"/>
              <w:rPr>
                <w:sz w:val="20"/>
                <w:szCs w:val="20"/>
                <w:color w:val="auto"/>
              </w:rPr>
            </w:pPr>
            <w:r>
              <w:rPr>
                <w:rFonts w:ascii="Arial" w:cs="Arial" w:eastAsia="Arial" w:hAnsi="Arial"/>
                <w:sz w:val="14"/>
                <w:szCs w:val="14"/>
                <w:i w:val="1"/>
                <w:iCs w:val="1"/>
                <w:color w:val="auto"/>
              </w:rPr>
              <w:t>TOTAL:</w:t>
            </w:r>
          </w:p>
        </w:tc>
        <w:tc>
          <w:tcPr>
            <w:tcW w:w="1480" w:type="dxa"/>
            <w:vAlign w:val="bottom"/>
            <w:tcBorders>
              <w:bottom w:val="single" w:sz="8" w:color="auto"/>
              <w:right w:val="single" w:sz="8" w:color="auto"/>
            </w:tcBorders>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i w:val="1"/>
                <w:iCs w:val="1"/>
                <w:color w:val="auto"/>
              </w:rPr>
              <w:t>1,801,444</w:t>
            </w:r>
          </w:p>
        </w:tc>
        <w:tc>
          <w:tcPr>
            <w:tcW w:w="13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1,801,444</w:t>
            </w:r>
          </w:p>
        </w:tc>
        <w:tc>
          <w:tcPr>
            <w:tcW w:w="148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1,801,444</w:t>
            </w:r>
          </w:p>
        </w:tc>
        <w:tc>
          <w:tcPr>
            <w:tcW w:w="2260" w:type="dxa"/>
            <w:vAlign w:val="bottom"/>
            <w:tcBorders>
              <w:bottom w:val="single" w:sz="8" w:color="auto"/>
              <w:right w:val="single" w:sz="8" w:color="auto"/>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i w:val="1"/>
                <w:iCs w:val="1"/>
                <w:color w:val="auto"/>
              </w:rPr>
              <w:t>2,197,311</w:t>
            </w:r>
          </w:p>
        </w:tc>
      </w:tr>
    </w:tbl>
    <w:p>
      <w:pPr>
        <w:spacing w:after="0" w:line="1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Accounts of the Named Executives in deferred compensation plans and 401(k) plans are not included.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the event of a change in control, Mr. Missad would receive three years of salary, while Messrs. Cole, Webster, Benton, and Peters would receive two years of salary.</w:t>
      </w:r>
    </w:p>
    <w:p>
      <w:pPr>
        <w:spacing w:after="0" w:line="163"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None of our Named Executives has an employment agreement with the Company. In lieu of severance, our Board has approved an Executive Retirement Plan (“ERP”) for officers who have been employed by the Company for at least 20 years and have been officers for at least 10 years (which currently excludes our CEO).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None of the Named Executives has reached age 62. Benefits under the ERP are forfeited if the Named Executive competes with the Company while employed by the Company or any time while benefits are due. Each of the Named Executives, other than Messrs. Benton and Peters, have met the service requirements of the ERP. (The numbers set forth above are what would be paid to Messrs. Benton and Peters if they had met the service requirements.) In addition to the benefits provided under the ERP, the Named Executives are eligible for a stipend for health care.</w:t>
      </w:r>
    </w:p>
    <w:p>
      <w:pPr>
        <w:spacing w:after="0" w:line="316"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Stock awards that have already vested are not included in the table.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Director Compensation</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certain information regarding the compensation earned by or awarded to each non-employee director during fiscal 2016.</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560" w:type="dxa"/>
            <w:vAlign w:val="bottom"/>
            <w:tcBorders>
              <w:top w:val="single" w:sz="8" w:color="auto"/>
              <w:left w:val="single" w:sz="8" w:color="auto"/>
              <w:right w:val="single" w:sz="8" w:color="auto"/>
            </w:tcBorders>
          </w:tcPr>
          <w:p>
            <w:pPr>
              <w:spacing w:after="0"/>
              <w:rPr>
                <w:sz w:val="15"/>
                <w:szCs w:val="15"/>
                <w:color w:val="auto"/>
              </w:rPr>
            </w:pPr>
          </w:p>
        </w:tc>
        <w:tc>
          <w:tcPr>
            <w:tcW w:w="1960" w:type="dxa"/>
            <w:vAlign w:val="bottom"/>
            <w:tcBorders>
              <w:top w:val="single" w:sz="8" w:color="auto"/>
              <w:right w:val="single" w:sz="8" w:color="auto"/>
            </w:tcBorders>
          </w:tcPr>
          <w:p>
            <w:pPr>
              <w:jc w:val="right"/>
              <w:ind w:right="448"/>
              <w:spacing w:after="0"/>
              <w:rPr>
                <w:sz w:val="20"/>
                <w:szCs w:val="20"/>
                <w:color w:val="auto"/>
              </w:rPr>
            </w:pPr>
            <w:r>
              <w:rPr>
                <w:rFonts w:ascii="Arial" w:cs="Arial" w:eastAsia="Arial" w:hAnsi="Arial"/>
                <w:sz w:val="14"/>
                <w:szCs w:val="14"/>
                <w:color w:val="auto"/>
              </w:rPr>
              <w:t>Fees Earned or</w:t>
            </w:r>
          </w:p>
        </w:tc>
        <w:tc>
          <w:tcPr>
            <w:tcW w:w="1700" w:type="dxa"/>
            <w:vAlign w:val="bottom"/>
            <w:tcBorders>
              <w:top w:val="single" w:sz="8" w:color="auto"/>
              <w:right w:val="single" w:sz="8" w:color="auto"/>
            </w:tcBorders>
          </w:tcPr>
          <w:p>
            <w:pPr>
              <w:spacing w:after="0"/>
              <w:rPr>
                <w:sz w:val="15"/>
                <w:szCs w:val="15"/>
                <w:color w:val="auto"/>
              </w:rPr>
            </w:pPr>
          </w:p>
        </w:tc>
        <w:tc>
          <w:tcPr>
            <w:tcW w:w="2380" w:type="dxa"/>
            <w:vAlign w:val="bottom"/>
            <w:tcBorders>
              <w:top w:val="single" w:sz="8" w:color="auto"/>
              <w:right w:val="single" w:sz="8" w:color="auto"/>
            </w:tcBorders>
          </w:tcPr>
          <w:p>
            <w:pPr>
              <w:jc w:val="right"/>
              <w:ind w:right="868"/>
              <w:spacing w:after="0"/>
              <w:rPr>
                <w:sz w:val="20"/>
                <w:szCs w:val="20"/>
                <w:color w:val="auto"/>
              </w:rPr>
            </w:pPr>
            <w:r>
              <w:rPr>
                <w:rFonts w:ascii="Arial" w:cs="Arial" w:eastAsia="Arial" w:hAnsi="Arial"/>
                <w:sz w:val="14"/>
                <w:szCs w:val="14"/>
                <w:color w:val="auto"/>
              </w:rPr>
              <w:t>All Other</w:t>
            </w:r>
          </w:p>
        </w:tc>
        <w:tc>
          <w:tcPr>
            <w:tcW w:w="1820" w:type="dxa"/>
            <w:vAlign w:val="bottom"/>
            <w:tcBorders>
              <w:top w:val="single" w:sz="8" w:color="auto"/>
              <w:right w:val="single" w:sz="8" w:color="auto"/>
            </w:tcBorders>
          </w:tcPr>
          <w:p>
            <w:pPr>
              <w:spacing w:after="0"/>
              <w:rPr>
                <w:sz w:val="15"/>
                <w:szCs w:val="15"/>
                <w:color w:val="auto"/>
              </w:rPr>
            </w:pPr>
          </w:p>
        </w:tc>
      </w:tr>
      <w:tr>
        <w:trPr>
          <w:trHeight w:val="162"/>
        </w:trPr>
        <w:tc>
          <w:tcPr>
            <w:tcW w:w="3560" w:type="dxa"/>
            <w:vAlign w:val="bottom"/>
            <w:tcBorders>
              <w:left w:val="single" w:sz="8" w:color="auto"/>
              <w:right w:val="single" w:sz="8" w:color="auto"/>
            </w:tcBorders>
          </w:tcPr>
          <w:p>
            <w:pPr>
              <w:ind w:left="1560"/>
              <w:spacing w:after="0"/>
              <w:rPr>
                <w:sz w:val="20"/>
                <w:szCs w:val="20"/>
                <w:color w:val="auto"/>
              </w:rPr>
            </w:pPr>
            <w:r>
              <w:rPr>
                <w:rFonts w:ascii="Arial" w:cs="Arial" w:eastAsia="Arial" w:hAnsi="Arial"/>
                <w:sz w:val="14"/>
                <w:szCs w:val="14"/>
                <w:color w:val="auto"/>
              </w:rPr>
              <w:t>Names</w:t>
            </w:r>
          </w:p>
        </w:tc>
        <w:tc>
          <w:tcPr>
            <w:tcW w:w="1960" w:type="dxa"/>
            <w:vAlign w:val="bottom"/>
            <w:tcBorders>
              <w:right w:val="single" w:sz="8" w:color="auto"/>
            </w:tcBorders>
          </w:tcPr>
          <w:p>
            <w:pPr>
              <w:jc w:val="right"/>
              <w:ind w:right="508"/>
              <w:spacing w:after="0"/>
              <w:rPr>
                <w:sz w:val="20"/>
                <w:szCs w:val="20"/>
                <w:color w:val="auto"/>
              </w:rPr>
            </w:pPr>
            <w:r>
              <w:rPr>
                <w:rFonts w:ascii="Arial" w:cs="Arial" w:eastAsia="Arial" w:hAnsi="Arial"/>
                <w:sz w:val="14"/>
                <w:szCs w:val="14"/>
                <w:color w:val="auto"/>
              </w:rPr>
              <w:t>Paid in Cash</w:t>
            </w:r>
          </w:p>
        </w:tc>
        <w:tc>
          <w:tcPr>
            <w:tcW w:w="170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Stock Awards</w:t>
            </w:r>
          </w:p>
        </w:tc>
        <w:tc>
          <w:tcPr>
            <w:tcW w:w="2380" w:type="dxa"/>
            <w:vAlign w:val="bottom"/>
            <w:tcBorders>
              <w:right w:val="single" w:sz="8" w:color="auto"/>
            </w:tcBorders>
          </w:tcPr>
          <w:p>
            <w:pPr>
              <w:jc w:val="right"/>
              <w:ind w:right="668"/>
              <w:spacing w:after="0"/>
              <w:rPr>
                <w:sz w:val="20"/>
                <w:szCs w:val="20"/>
                <w:color w:val="auto"/>
              </w:rPr>
            </w:pPr>
            <w:r>
              <w:rPr>
                <w:rFonts w:ascii="Arial" w:cs="Arial" w:eastAsia="Arial" w:hAnsi="Arial"/>
                <w:sz w:val="14"/>
                <w:szCs w:val="14"/>
                <w:color w:val="auto"/>
              </w:rPr>
              <w:t>Compensation</w:t>
            </w:r>
          </w:p>
        </w:tc>
        <w:tc>
          <w:tcPr>
            <w:tcW w:w="1820" w:type="dxa"/>
            <w:vAlign w:val="bottom"/>
            <w:tcBorders>
              <w:right w:val="single" w:sz="8" w:color="auto"/>
            </w:tcBorders>
          </w:tcPr>
          <w:p>
            <w:pPr>
              <w:jc w:val="right"/>
              <w:ind w:right="688"/>
              <w:spacing w:after="0"/>
              <w:rPr>
                <w:sz w:val="20"/>
                <w:szCs w:val="20"/>
                <w:color w:val="auto"/>
              </w:rPr>
            </w:pPr>
            <w:r>
              <w:rPr>
                <w:rFonts w:ascii="Arial" w:cs="Arial" w:eastAsia="Arial" w:hAnsi="Arial"/>
                <w:sz w:val="14"/>
                <w:szCs w:val="14"/>
                <w:color w:val="auto"/>
              </w:rPr>
              <w:t>Total</w:t>
            </w:r>
          </w:p>
        </w:tc>
      </w:tr>
      <w:tr>
        <w:trPr>
          <w:trHeight w:val="157"/>
        </w:trPr>
        <w:tc>
          <w:tcPr>
            <w:tcW w:w="3560" w:type="dxa"/>
            <w:vAlign w:val="bottom"/>
            <w:tcBorders>
              <w:left w:val="single" w:sz="8" w:color="auto"/>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jc w:val="right"/>
              <w:ind w:right="828"/>
              <w:spacing w:after="0" w:line="157" w:lineRule="exact"/>
              <w:rPr>
                <w:sz w:val="20"/>
                <w:szCs w:val="20"/>
                <w:color w:val="auto"/>
              </w:rPr>
            </w:pPr>
            <w:r>
              <w:rPr>
                <w:rFonts w:ascii="Arial" w:cs="Arial" w:eastAsia="Arial" w:hAnsi="Arial"/>
                <w:sz w:val="14"/>
                <w:szCs w:val="14"/>
                <w:color w:val="auto"/>
              </w:rPr>
              <w:t>(1)</w:t>
            </w:r>
          </w:p>
        </w:tc>
        <w:tc>
          <w:tcPr>
            <w:tcW w:w="1700" w:type="dxa"/>
            <w:vAlign w:val="bottom"/>
            <w:tcBorders>
              <w:bottom w:val="single" w:sz="8" w:color="auto"/>
              <w:right w:val="single" w:sz="8" w:color="auto"/>
            </w:tcBorders>
          </w:tcPr>
          <w:p>
            <w:pPr>
              <w:jc w:val="right"/>
              <w:ind w:right="708"/>
              <w:spacing w:after="0" w:line="157" w:lineRule="exact"/>
              <w:rPr>
                <w:sz w:val="20"/>
                <w:szCs w:val="20"/>
                <w:color w:val="auto"/>
              </w:rPr>
            </w:pPr>
            <w:r>
              <w:rPr>
                <w:rFonts w:ascii="Arial" w:cs="Arial" w:eastAsia="Arial" w:hAnsi="Arial"/>
                <w:sz w:val="14"/>
                <w:szCs w:val="14"/>
                <w:color w:val="auto"/>
              </w:rPr>
              <w:t>(2)</w:t>
            </w:r>
          </w:p>
        </w:tc>
        <w:tc>
          <w:tcPr>
            <w:tcW w:w="238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r>
      <w:tr>
        <w:trPr>
          <w:trHeight w:val="156"/>
        </w:trPr>
        <w:tc>
          <w:tcPr>
            <w:tcW w:w="356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William G. Currie (3)</w:t>
            </w:r>
          </w:p>
        </w:tc>
        <w:tc>
          <w:tcPr>
            <w:tcW w:w="196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$112,740</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$192,180</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$114,566</w:t>
            </w:r>
          </w:p>
        </w:tc>
        <w:tc>
          <w:tcPr>
            <w:tcW w:w="18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$419,486</w:t>
            </w:r>
          </w:p>
        </w:tc>
      </w:tr>
      <w:tr>
        <w:trPr>
          <w:trHeight w:val="156"/>
        </w:trPr>
        <w:tc>
          <w:tcPr>
            <w:tcW w:w="35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John M. Engler (4)</w:t>
            </w:r>
          </w:p>
        </w:tc>
        <w:tc>
          <w:tcPr>
            <w:tcW w:w="19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7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209,458</w:t>
            </w:r>
          </w:p>
        </w:tc>
        <w:tc>
          <w:tcPr>
            <w:tcW w:w="23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209,458</w:t>
            </w:r>
          </w:p>
        </w:tc>
      </w:tr>
      <w:tr>
        <w:trPr>
          <w:trHeight w:val="156"/>
        </w:trPr>
        <w:tc>
          <w:tcPr>
            <w:tcW w:w="356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Gary F. Goode (5)</w:t>
            </w:r>
          </w:p>
        </w:tc>
        <w:tc>
          <w:tcPr>
            <w:tcW w:w="196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231,733</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231,733</w:t>
            </w:r>
          </w:p>
        </w:tc>
      </w:tr>
      <w:tr>
        <w:trPr>
          <w:trHeight w:val="156"/>
        </w:trPr>
        <w:tc>
          <w:tcPr>
            <w:tcW w:w="35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Bruce A. Merino (4)</w:t>
            </w:r>
          </w:p>
        </w:tc>
        <w:tc>
          <w:tcPr>
            <w:tcW w:w="19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71,870</w:t>
            </w:r>
          </w:p>
        </w:tc>
        <w:tc>
          <w:tcPr>
            <w:tcW w:w="17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134,526</w:t>
            </w:r>
          </w:p>
        </w:tc>
        <w:tc>
          <w:tcPr>
            <w:tcW w:w="23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206,396</w:t>
            </w:r>
          </w:p>
        </w:tc>
      </w:tr>
      <w:tr>
        <w:trPr>
          <w:trHeight w:val="156"/>
        </w:trPr>
        <w:tc>
          <w:tcPr>
            <w:tcW w:w="356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Thomas W. Rhodes</w:t>
            </w:r>
          </w:p>
        </w:tc>
        <w:tc>
          <w:tcPr>
            <w:tcW w:w="196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211,383</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211,383</w:t>
            </w:r>
          </w:p>
        </w:tc>
      </w:tr>
      <w:tr>
        <w:trPr>
          <w:trHeight w:val="156"/>
        </w:trPr>
        <w:tc>
          <w:tcPr>
            <w:tcW w:w="35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Louis A. Smith</w:t>
            </w:r>
          </w:p>
        </w:tc>
        <w:tc>
          <w:tcPr>
            <w:tcW w:w="19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7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208,083</w:t>
            </w:r>
          </w:p>
        </w:tc>
        <w:tc>
          <w:tcPr>
            <w:tcW w:w="23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208,083</w:t>
            </w:r>
          </w:p>
        </w:tc>
      </w:tr>
      <w:tr>
        <w:trPr>
          <w:trHeight w:val="156"/>
        </w:trPr>
        <w:tc>
          <w:tcPr>
            <w:tcW w:w="356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Mary E. Tuuk</w:t>
            </w:r>
          </w:p>
        </w:tc>
        <w:tc>
          <w:tcPr>
            <w:tcW w:w="196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71,370</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134,526</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205,896</w:t>
            </w:r>
          </w:p>
        </w:tc>
      </w:tr>
      <w:tr>
        <w:trPr>
          <w:trHeight w:val="156"/>
        </w:trPr>
        <w:tc>
          <w:tcPr>
            <w:tcW w:w="35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Brian C. Walker</w:t>
            </w:r>
          </w:p>
        </w:tc>
        <w:tc>
          <w:tcPr>
            <w:tcW w:w="19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7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208,083</w:t>
            </w:r>
          </w:p>
        </w:tc>
        <w:tc>
          <w:tcPr>
            <w:tcW w:w="23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208,083</w:t>
            </w:r>
          </w:p>
        </w:tc>
      </w:tr>
      <w:tr>
        <w:trPr>
          <w:trHeight w:val="156"/>
        </w:trPr>
        <w:tc>
          <w:tcPr>
            <w:tcW w:w="356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Michael G. Wooldridge</w:t>
            </w:r>
          </w:p>
        </w:tc>
        <w:tc>
          <w:tcPr>
            <w:tcW w:w="196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70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203,133</w:t>
            </w:r>
          </w:p>
        </w:tc>
        <w:tc>
          <w:tcPr>
            <w:tcW w:w="238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203,133</w:t>
            </w:r>
          </w:p>
        </w:tc>
      </w:tr>
    </w:tbl>
    <w:p>
      <w:pPr>
        <w:spacing w:after="0" w:line="167" w:lineRule="exact"/>
        <w:rPr>
          <w:sz w:val="20"/>
          <w:szCs w:val="20"/>
          <w:color w:val="auto"/>
        </w:rPr>
      </w:pPr>
    </w:p>
    <w:p>
      <w:pPr>
        <w:jc w:val="both"/>
        <w:ind w:left="340" w:hanging="332"/>
        <w:spacing w:after="0" w:line="24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2016, each non-employee director (except for Mr. Currie) received a $53,370 annual retainer fee, $1,500 for attendance at each regular and special meeting of the Board, and $1,500 for each committee meeting they attended. Each independent director may participate in the Restated Director Retainer Stock Plan (the “DRSP”). The DRSP provides that the director may elect to receive Company stock, on a deferred basis, at a rate of 110% of their deferred annual retainer, Board and committee meeting fees, and any committee chairperson fees (collectively, the “Deferred Retainer”) in lieu of cash compensation for the Deferred Retainer. Messrs. Engler, Goode, Rhodes, Smith, Walker and Wooldridge participated in the DRSP and were allocated shares of Company stock, in lieu of cash fees, in the following respective amounts during 2016: 1,402 shares; 1,752 shares; 1,022 shares; 1,068 shares; 1,315 shares; and 804 shares. The value of these deferral fees is included in the Stock Awards column of this table. Beginning in 2012, directors could elect to defer the receipt of shares earned under our Director Stock Grant Program, described in footnote (2) below.</w:t>
      </w:r>
    </w:p>
    <w:p>
      <w:pPr>
        <w:spacing w:after="0" w:line="150"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Under our ESGP, each independent director (except for Mr. Currie) was granted 1,000 shares of Company stock each year. Those shares are subject to vesting on the fifth anniversary of the date of grant, subject to earlier vesting upon the attainment of age 60, death, disability, or a change in control. Also, under our Director Stock Grant Program, each independent director (except for Mr. Currie) received 100 shares of common stock for each Board meeting they attend, up to a maximum of 400 shares per year. Each of the directors, other than Messrs. Merino, and Smith and Ms. Tuuk, elected to defer receipt of those shares under our DRSP. The amount set forth in this column represents the aggregate fair value of the stock awards as of the grant date, computed in accordance with FASB ASC Topic 718, “Compensation-Stock Compensation.” The assumptions used in calculating these amounts are based on a vesting period of five years, subject to acceleration upon reaching age 60.</w:t>
      </w:r>
    </w:p>
    <w:p>
      <w:pPr>
        <w:spacing w:after="0" w:line="152" w:lineRule="exact"/>
        <w:rPr>
          <w:rFonts w:ascii="Arial" w:cs="Arial" w:eastAsia="Arial" w:hAnsi="Arial"/>
          <w:sz w:val="14"/>
          <w:szCs w:val="14"/>
          <w:color w:val="auto"/>
        </w:rPr>
      </w:pPr>
    </w:p>
    <w:p>
      <w:pPr>
        <w:jc w:val="both"/>
        <w:ind w:left="340" w:right="20" w:hanging="332"/>
        <w:spacing w:after="0" w:line="25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Currie received $114,566 as a payout on a deferred compensation plan from amounts deferred in prior years, and $106,740 for serving as Chairman of the Board. As Chairman, Mr. Currie was granted 2,000 shares of Company stock each year under the ESGP. Mr. Currie also received $1,500 for each regular and special Board meeting he attended.</w:t>
      </w:r>
    </w:p>
    <w:p>
      <w:pPr>
        <w:spacing w:after="0" w:line="145"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Merino is Chairman of the Personnel and Compensation Committee and received an additional $5,000 per year for serving in that capacity. Mr. Engler became Chairman of the Nominating and Corporate Governance Committee in July 2016, and received an additional $1,250 for serving in that capacity in 2016.</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Goode is Chairman of the Audit Committee and received an additional $20,000 per year for serving in that capacity.</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8" w:name="page39"/>
    <w:bookmarkEnd w:id="38"/>
    <w:p>
      <w:pPr>
        <w:jc w:val="both"/>
        <w:spacing w:after="0"/>
        <w:rPr>
          <w:sz w:val="20"/>
          <w:szCs w:val="20"/>
          <w:color w:val="auto"/>
        </w:rPr>
      </w:pPr>
      <w:r>
        <w:rPr>
          <w:rFonts w:ascii="Arial" w:cs="Arial" w:eastAsia="Arial" w:hAnsi="Arial"/>
          <w:sz w:val="18"/>
          <w:szCs w:val="18"/>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2,500 shares of our Company stock within two years of joining our Board.</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Effective January 1, 2017, our directors are paid an annual retainer of $185,000, $60,000 of which is payable in cash and $125,000 of which is payable in the form of our Company’s common stock. There is no additional compensation for attendance at Board or committee meetings. Also, each member of the Audit Committee receives a $5,000 annual retainer, while each member of the Nominating and Corporate Governance Committee and each member of the Personnel and Compensation Committee receives a $3,000 annual retainer. The chairpersons of our Nominating and Corporate Governance Committee and Personnel and Compensation Committee each receive an additional $5,000 per year for serving in that capacity, while the chair of the Audit Committee receives $ 20,000 per year for serving in that capacity. For 2017, the Chairman of the Board is paid an annual retainer of $370,000, $120,000 of which is payable in cash and the balance is paid in the form of the Company’s common stock.</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annual retainer amounts, both cash (including committee retainers and chairperson fees) and stock consideration are paid quarterly and either or both (in total or in part) are subject to deferral under the terms of the DRSP. Under the terms of the DRSP, deferred cash is used to purchase Company stock on a deferred basis at the rate of 110% of the deferred cash amount. No such credit applies to the deferral of the stock portion of the retainer.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31, 2016.</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480" w:type="dxa"/>
            <w:vAlign w:val="bottom"/>
            <w:tcBorders>
              <w:top w:val="single" w:sz="8" w:color="auto"/>
              <w:left w:val="single" w:sz="8" w:color="auto"/>
              <w:right w:val="single" w:sz="8" w:color="auto"/>
            </w:tcBorders>
          </w:tcPr>
          <w:p>
            <w:pPr>
              <w:spacing w:after="0"/>
              <w:rPr>
                <w:sz w:val="15"/>
                <w:szCs w:val="15"/>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1820" w:type="dxa"/>
            <w:vAlign w:val="bottom"/>
            <w:tcBorders>
              <w:top w:val="single" w:sz="8" w:color="auto"/>
              <w:right w:val="single" w:sz="8" w:color="auto"/>
            </w:tcBorders>
          </w:tcPr>
          <w:p>
            <w:pPr>
              <w:spacing w:after="0"/>
              <w:rPr>
                <w:sz w:val="15"/>
                <w:szCs w:val="15"/>
                <w:color w:val="auto"/>
              </w:rPr>
            </w:pPr>
          </w:p>
        </w:tc>
        <w:tc>
          <w:tcPr>
            <w:tcW w:w="3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Number of shares</w:t>
            </w:r>
          </w:p>
        </w:tc>
      </w:tr>
      <w:tr>
        <w:trPr>
          <w:trHeight w:val="162"/>
        </w:trPr>
        <w:tc>
          <w:tcPr>
            <w:tcW w:w="44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shares to be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Weighted</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remaining available for</w:t>
            </w:r>
          </w:p>
        </w:tc>
      </w:tr>
      <w:tr>
        <w:trPr>
          <w:trHeight w:val="162"/>
        </w:trPr>
        <w:tc>
          <w:tcPr>
            <w:tcW w:w="44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issued upon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average</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future issuance under</w:t>
            </w:r>
          </w:p>
        </w:tc>
      </w:tr>
      <w:tr>
        <w:trPr>
          <w:trHeight w:val="162"/>
        </w:trPr>
        <w:tc>
          <w:tcPr>
            <w:tcW w:w="44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exercise of</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exercise price</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equity compensation plans</w:t>
            </w:r>
          </w:p>
        </w:tc>
      </w:tr>
      <w:tr>
        <w:trPr>
          <w:trHeight w:val="157"/>
        </w:trPr>
        <w:tc>
          <w:tcPr>
            <w:tcW w:w="448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outstanding</w:t>
            </w:r>
          </w:p>
        </w:tc>
        <w:tc>
          <w:tcPr>
            <w:tcW w:w="1820" w:type="dxa"/>
            <w:vAlign w:val="bottom"/>
            <w:tcBorders>
              <w:right w:val="single" w:sz="8" w:color="auto"/>
            </w:tcBorders>
          </w:tcPr>
          <w:p>
            <w:pPr>
              <w:jc w:val="center"/>
              <w:ind w:right="8"/>
              <w:spacing w:after="0" w:line="157" w:lineRule="exact"/>
              <w:rPr>
                <w:sz w:val="20"/>
                <w:szCs w:val="20"/>
                <w:color w:val="auto"/>
              </w:rPr>
            </w:pPr>
            <w:r>
              <w:rPr>
                <w:rFonts w:ascii="Arial" w:cs="Arial" w:eastAsia="Arial" w:hAnsi="Arial"/>
                <w:sz w:val="14"/>
                <w:szCs w:val="14"/>
                <w:color w:val="auto"/>
              </w:rPr>
              <w:t>of outstanding</w:t>
            </w:r>
          </w:p>
        </w:tc>
        <w:tc>
          <w:tcPr>
            <w:tcW w:w="3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[excluding shares reflected</w:t>
            </w:r>
          </w:p>
        </w:tc>
      </w:tr>
      <w:tr>
        <w:trPr>
          <w:trHeight w:val="194"/>
        </w:trPr>
        <w:tc>
          <w:tcPr>
            <w:tcW w:w="448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options</w:t>
            </w:r>
          </w:p>
        </w:tc>
        <w:tc>
          <w:tcPr>
            <w:tcW w:w="30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97"/>
              </w:rPr>
              <w:t xml:space="preserve">in column (a)] </w:t>
            </w:r>
            <w:r>
              <w:rPr>
                <w:rFonts w:ascii="Arial" w:cs="Arial" w:eastAsia="Arial" w:hAnsi="Arial"/>
                <w:sz w:val="22"/>
                <w:szCs w:val="22"/>
                <w:color w:val="auto"/>
                <w:w w:val="97"/>
                <w:vertAlign w:val="superscript"/>
              </w:rPr>
              <w:t>(1)</w:t>
            </w:r>
          </w:p>
        </w:tc>
      </w:tr>
      <w:tr>
        <w:trPr>
          <w:trHeight w:val="157"/>
        </w:trPr>
        <w:tc>
          <w:tcPr>
            <w:tcW w:w="44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(a)</w:t>
            </w:r>
          </w:p>
        </w:tc>
        <w:tc>
          <w:tcPr>
            <w:tcW w:w="18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(b)</w:t>
            </w:r>
          </w:p>
        </w:tc>
        <w:tc>
          <w:tcPr>
            <w:tcW w:w="30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7"/>
              </w:rPr>
              <w:t>(c)</w:t>
            </w:r>
          </w:p>
        </w:tc>
      </w:tr>
      <w:tr>
        <w:trPr>
          <w:trHeight w:val="156"/>
        </w:trPr>
        <w:tc>
          <w:tcPr>
            <w:tcW w:w="4480" w:type="dxa"/>
            <w:vAlign w:val="bottom"/>
            <w:tcBorders>
              <w:left w:val="single" w:sz="8" w:color="auto"/>
              <w:bottom w:val="single" w:sz="8" w:color="auto"/>
              <w:right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Equity compensation plans approved by security holders</w:t>
            </w:r>
          </w:p>
        </w:tc>
        <w:tc>
          <w:tcPr>
            <w:tcW w:w="206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0</w:t>
            </w:r>
          </w:p>
        </w:tc>
        <w:tc>
          <w:tcPr>
            <w:tcW w:w="182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$0.00</w:t>
            </w:r>
          </w:p>
        </w:tc>
        <w:tc>
          <w:tcPr>
            <w:tcW w:w="3060" w:type="dxa"/>
            <w:vAlign w:val="bottom"/>
            <w:tcBorders>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3,341,606</w:t>
            </w:r>
          </w:p>
        </w:tc>
      </w:tr>
      <w:tr>
        <w:trPr>
          <w:trHeight w:val="156"/>
        </w:trPr>
        <w:tc>
          <w:tcPr>
            <w:tcW w:w="44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Equity compensation plans not approved by security holders</w:t>
            </w:r>
          </w:p>
        </w:tc>
        <w:tc>
          <w:tcPr>
            <w:tcW w:w="20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none</w:t>
            </w:r>
          </w:p>
        </w:tc>
        <w:tc>
          <w:tcPr>
            <w:tcW w:w="18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spacing w:after="0"/>
              <w:rPr>
                <w:sz w:val="13"/>
                <w:szCs w:val="13"/>
                <w:color w:val="auto"/>
              </w:rPr>
            </w:pPr>
          </w:p>
        </w:tc>
      </w:tr>
    </w:tbl>
    <w:p>
      <w:pPr>
        <w:spacing w:after="0" w:line="207" w:lineRule="exact"/>
        <w:rPr>
          <w:sz w:val="20"/>
          <w:szCs w:val="20"/>
          <w:color w:val="auto"/>
        </w:rPr>
      </w:pPr>
    </w:p>
    <w:p>
      <w:pPr>
        <w:jc w:val="both"/>
        <w:ind w:left="340" w:hanging="332"/>
        <w:spacing w:after="0" w:line="24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shares remaining available for future issuance under equity compensation plans, excluding outstanding options, warrants, or similar rights, as of December 31, 2016, is as follows: 106,463 shares for the ESPP, 40,327 shares for the DRSP, and 4,764 shares for the Stock Gift Plan. In addition, the remaining 3,190,052 shares available for future issuance under the LTSIP, may be made in the form of options as well as stock appreciation rights, restricted stock, performance shares, or other stock-based awards.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On February 27, 2017, the Audit Committee submitted to the Board of Directors the following report: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Committee has reviewed and discussed with management our Company’s audited financial statements as of and for the year ended December 31, 2016.</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Committee has discussed with our independent auditors the matters covered by Public Company Accounting Oversight Board (PCAOB) standards, AU Section 380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has received from Deloitte the written disclosures and letter required by the applicable requirements of the Public Company Accounting Oversight Board regarding Deloitte’s communications with the Audit Committee concerning independence, has discussed with Deloitte their independence, and has satisfied itself as to Deloitte’s independence.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on the reviews and discussions referred to above, the Committee recommended to the Board of Directors that the audited financial statements referred to above be included in our Company’s Annual Report on Form 10-K for the year ended December 31, 2016.</w:t>
      </w:r>
    </w:p>
    <w:p>
      <w:pPr>
        <w:spacing w:after="0" w:line="1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F. Goode, Chairman</w:t>
      </w:r>
    </w:p>
    <w:p>
      <w:pPr>
        <w:ind w:left="5720"/>
        <w:spacing w:after="0" w:line="234" w:lineRule="auto"/>
        <w:rPr>
          <w:sz w:val="20"/>
          <w:szCs w:val="20"/>
          <w:color w:val="auto"/>
        </w:rPr>
      </w:pPr>
      <w:r>
        <w:rPr>
          <w:rFonts w:ascii="Arial" w:cs="Arial" w:eastAsia="Arial" w:hAnsi="Arial"/>
          <w:sz w:val="18"/>
          <w:szCs w:val="18"/>
          <w:color w:val="auto"/>
        </w:rPr>
        <w:t>Thomas W. Rhodes</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Mary E. Tuuk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40" w:name="page41"/>
    <w:bookmarkEnd w:id="40"/>
    <w:p>
      <w:pP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4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 except for Messrs. Benton, Cole, Missad, Peters, and Webster, along with Messrs. Jonathan West, Michael Mordell and Chad Uhlig-Eastin who each filed one late report covering one transaction.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w:t>
      </w:r>
    </w:p>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RELATED PARTY TRANSACTIONS</w:t>
      </w: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Audit Committee has a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our Company and is in the best interest of our shareholders. There were no reportable related party transactions during 2016.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AVAILABILITY OF FORM 10-K</w:t>
      </w:r>
    </w:p>
    <w:p>
      <w:pPr>
        <w:spacing w:after="0" w:line="2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SHAREHOLDER PROPOSALS</w:t>
      </w: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who intend to submit a proposal for inclusion in our proxy materials for our 2018 Annual Meeting of Shareholders may do so by following the procedures described in SEC Rule 14a-8. To be eligible for inclusion, shareholder proposals must be received by our Secretary no later than November 8, 2017. Proposals of shareholders should be addressed to the attention of Secretary, 2801 East Beltline NE, Grand Rapids, MI 49525. In addition, under our Bylaws, no business may be brought before</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41" w:name="page42"/>
    <w:bookmarkEnd w:id="41"/>
    <w:p>
      <w:pPr>
        <w:jc w:val="both"/>
        <w:spacing w:after="0" w:line="236" w:lineRule="auto"/>
        <w:rPr>
          <w:sz w:val="20"/>
          <w:szCs w:val="20"/>
          <w:color w:val="auto"/>
        </w:rPr>
      </w:pPr>
      <w:r>
        <w:rPr>
          <w:rFonts w:ascii="Arial" w:cs="Arial" w:eastAsia="Arial" w:hAnsi="Arial"/>
          <w:sz w:val="18"/>
          <w:szCs w:val="18"/>
          <w:color w:val="auto"/>
        </w:rPr>
        <w:t>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90 days nor more than 120 days prior to the date of the first anniversary of the preceding year’s annual meeting of shareholders. If our 2018 Annual Meeting of Shareholders is held more than 30 days before or more than 60 days after the first anniversary of our 2017 Annual Meeting of Shareholders,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19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the date of this Proxy Statement, we have not received any proposals from any shareholders to be presented at the 2017 Annual Meeting of Shareholders.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HOUSEHOLDING OF PROXY MATERIALS</w:t>
      </w:r>
    </w:p>
    <w:p>
      <w:pPr>
        <w:spacing w:after="0" w:line="2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Department, 2801 East Beltline NE, Grand Rapids, MI 49525, or call 800-598-9663.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126365</wp:posOffset>
            </wp:positionV>
            <wp:extent cx="1286510"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65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 Tutas, General Counsel and Secretary</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FOREST PRODUCTS,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ATTN: DAVID A. TUTAS</w:t>
      </w:r>
    </w:p>
    <w:p>
      <w:pPr>
        <w:spacing w:after="0" w:line="234" w:lineRule="auto"/>
        <w:rPr>
          <w:sz w:val="20"/>
          <w:szCs w:val="20"/>
          <w:color w:val="auto"/>
        </w:rPr>
      </w:pPr>
      <w:r>
        <w:rPr>
          <w:rFonts w:ascii="Arial" w:cs="Arial" w:eastAsia="Arial" w:hAnsi="Arial"/>
          <w:sz w:val="18"/>
          <w:szCs w:val="18"/>
          <w:b w:val="1"/>
          <w:bCs w:val="1"/>
          <w:i w:val="1"/>
          <w:iCs w:val="1"/>
          <w:color w:val="auto"/>
        </w:rPr>
        <w:t>2801 EAST BELTLINE AVE.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GRAND RAPIDS, MI 49525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9"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9"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meeting date. Have your proxy card in hand when you call and then follow the instructions.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IN PERSON</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For directions to the meeting location and other special instructions for attending the meeting and voting in person, please review the proxy statement (available through the means noted above). At the meeting, you will need to request a ballot to vote these shares.</w:t>
      </w:r>
    </w:p>
    <w:p>
      <w:pPr>
        <w:spacing w:after="0" w:line="200" w:lineRule="exact"/>
        <w:rPr>
          <w:sz w:val="20"/>
          <w:szCs w:val="20"/>
          <w:color w:val="auto"/>
        </w:rPr>
      </w:pPr>
    </w:p>
    <w:p>
      <w:pPr>
        <w:sectPr>
          <w:pgSz w:w="11900" w:h="16838" w:orient="portrait"/>
          <w:cols w:equalWidth="0" w:num="2">
            <w:col w:w="5000" w:space="720"/>
            <w:col w:w="5700"/>
          </w:cols>
          <w:pgMar w:left="240" w:top="950" w:right="239" w:bottom="4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8080" w:type="dxa"/>
            <w:vAlign w:val="bottom"/>
            <w:gridSpan w:val="8"/>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340" w:type="dxa"/>
            <w:vAlign w:val="bottom"/>
            <w:gridSpan w:val="6"/>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00" w:type="dxa"/>
            <w:vAlign w:val="bottom"/>
          </w:tcPr>
          <w:p>
            <w:pPr>
              <w:ind w:left="460"/>
              <w:spacing w:after="0"/>
              <w:rPr>
                <w:sz w:val="20"/>
                <w:szCs w:val="20"/>
                <w:color w:val="auto"/>
              </w:rPr>
            </w:pPr>
            <w:r>
              <w:rPr>
                <w:rFonts w:ascii="Arial" w:cs="Arial" w:eastAsia="Arial" w:hAnsi="Arial"/>
                <w:sz w:val="14"/>
                <w:szCs w:val="14"/>
                <w:color w:val="auto"/>
              </w:rPr>
              <w:t>E20497-P87030</w:t>
            </w:r>
          </w:p>
        </w:tc>
        <w:tc>
          <w:tcPr>
            <w:tcW w:w="33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0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340" w:type="dxa"/>
            <w:vAlign w:val="bottom"/>
            <w:gridSpan w:val="6"/>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73"/>
        </w:trPr>
        <w:tc>
          <w:tcPr>
            <w:tcW w:w="3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5020" w:type="dxa"/>
            <w:vAlign w:val="bottom"/>
            <w:tcBorders>
              <w:bottom w:val="single" w:sz="8" w:color="auto"/>
            </w:tcBorders>
            <w:gridSpan w:val="5"/>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760" w:type="dxa"/>
            <w:vAlign w:val="bottom"/>
            <w:tcBorders>
              <w:lef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UNIVERSAL FOREST PRODUCTS, INC.</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3760" w:type="dxa"/>
            <w:vAlign w:val="bottom"/>
            <w:tcBorders>
              <w:left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rPr>
              <w:t>The Board of Directors recommends you vote</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760" w:type="dxa"/>
            <w:vAlign w:val="bottom"/>
            <w:tcBorders>
              <w:left w:val="single" w:sz="8" w:color="auto"/>
            </w:tcBorders>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FOR the following nominees: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60" w:type="dxa"/>
            <w:vAlign w:val="bottom"/>
            <w:tcBorders>
              <w:left w:val="single" w:sz="8" w:color="auto"/>
            </w:tcBorders>
            <w:gridSpan w:val="4"/>
          </w:tcPr>
          <w:p>
            <w:pPr>
              <w:ind w:left="320"/>
              <w:spacing w:after="0"/>
              <w:rPr>
                <w:sz w:val="20"/>
                <w:szCs w:val="20"/>
                <w:color w:val="auto"/>
              </w:rPr>
            </w:pPr>
            <w:r>
              <w:rPr>
                <w:rFonts w:ascii="Arial" w:cs="Arial" w:eastAsia="Arial" w:hAnsi="Arial"/>
                <w:sz w:val="14"/>
                <w:szCs w:val="14"/>
                <w:color w:val="auto"/>
              </w:rPr>
              <w:t>1.   Election of Directors</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19"/>
                <w:szCs w:val="19"/>
                <w:color w:val="auto"/>
              </w:rPr>
            </w:pPr>
          </w:p>
        </w:tc>
        <w:tc>
          <w:tcPr>
            <w:tcW w:w="3420" w:type="dxa"/>
            <w:vAlign w:val="bottom"/>
            <w:gridSpan w:val="3"/>
          </w:tcPr>
          <w:p>
            <w:pPr>
              <w:ind w:left="300"/>
              <w:spacing w:after="0"/>
              <w:rPr>
                <w:sz w:val="20"/>
                <w:szCs w:val="20"/>
                <w:color w:val="auto"/>
              </w:rPr>
            </w:pPr>
            <w:r>
              <w:rPr>
                <w:rFonts w:ascii="Arial" w:cs="Arial" w:eastAsia="Arial" w:hAnsi="Arial"/>
                <w:sz w:val="14"/>
                <w:szCs w:val="14"/>
                <w:b w:val="1"/>
                <w:bCs w:val="1"/>
                <w:color w:val="auto"/>
              </w:rPr>
              <w:t>To elect three directors to serve until 2020</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3200" w:type="dxa"/>
            <w:vAlign w:val="bottom"/>
            <w:gridSpan w:val="2"/>
          </w:tcPr>
          <w:p>
            <w:pPr>
              <w:jc w:val="center"/>
              <w:ind w:right="2468"/>
              <w:spacing w:after="0"/>
              <w:rPr>
                <w:sz w:val="20"/>
                <w:szCs w:val="20"/>
                <w:color w:val="auto"/>
              </w:rPr>
            </w:pPr>
            <w:r>
              <w:rPr>
                <w:rFonts w:ascii="Arial" w:cs="Arial" w:eastAsia="Arial" w:hAnsi="Arial"/>
                <w:sz w:val="14"/>
                <w:szCs w:val="14"/>
                <w:b w:val="1"/>
                <w:bCs w:val="1"/>
                <w:color w:val="auto"/>
              </w:rPr>
              <w:t>Abstain</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3420" w:type="dxa"/>
            <w:vAlign w:val="bottom"/>
            <w:gridSpan w:val="3"/>
          </w:tcPr>
          <w:p>
            <w:pPr>
              <w:ind w:left="300"/>
              <w:spacing w:after="0"/>
              <w:rPr>
                <w:sz w:val="20"/>
                <w:szCs w:val="20"/>
                <w:color w:val="auto"/>
              </w:rPr>
            </w:pPr>
            <w:r>
              <w:rPr>
                <w:rFonts w:ascii="Arial" w:cs="Arial" w:eastAsia="Arial" w:hAnsi="Arial"/>
                <w:sz w:val="14"/>
                <w:szCs w:val="14"/>
                <w:b w:val="1"/>
                <w:bCs w:val="1"/>
                <w:color w:val="auto"/>
              </w:rPr>
              <w:t>Nominees: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0" w:type="dxa"/>
            <w:vAlign w:val="bottom"/>
            <w:tcBorders>
              <w:left w:val="single" w:sz="8" w:color="auto"/>
            </w:tcBorders>
          </w:tcPr>
          <w:p>
            <w:pPr>
              <w:spacing w:after="0"/>
              <w:rPr>
                <w:sz w:val="22"/>
                <w:szCs w:val="22"/>
                <w:color w:val="auto"/>
              </w:rPr>
            </w:pPr>
          </w:p>
        </w:tc>
        <w:tc>
          <w:tcPr>
            <w:tcW w:w="620" w:type="dxa"/>
            <w:vAlign w:val="bottom"/>
          </w:tcPr>
          <w:p>
            <w:pPr>
              <w:ind w:left="300"/>
              <w:spacing w:after="0"/>
              <w:rPr>
                <w:sz w:val="20"/>
                <w:szCs w:val="20"/>
                <w:color w:val="auto"/>
              </w:rPr>
            </w:pPr>
            <w:r>
              <w:rPr>
                <w:rFonts w:ascii="Arial" w:cs="Arial" w:eastAsia="Arial" w:hAnsi="Arial"/>
                <w:sz w:val="14"/>
                <w:szCs w:val="14"/>
                <w:color w:val="auto"/>
              </w:rPr>
              <w:t>1a.</w:t>
            </w:r>
          </w:p>
        </w:tc>
        <w:tc>
          <w:tcPr>
            <w:tcW w:w="2800" w:type="dxa"/>
            <w:vAlign w:val="bottom"/>
            <w:gridSpan w:val="2"/>
          </w:tcPr>
          <w:p>
            <w:pPr>
              <w:ind w:left="120"/>
              <w:spacing w:after="0"/>
              <w:rPr>
                <w:sz w:val="20"/>
                <w:szCs w:val="20"/>
                <w:color w:val="auto"/>
              </w:rPr>
            </w:pPr>
            <w:r>
              <w:rPr>
                <w:rFonts w:ascii="Arial" w:cs="Arial" w:eastAsia="Arial" w:hAnsi="Arial"/>
                <w:sz w:val="14"/>
                <w:szCs w:val="14"/>
                <w:color w:val="auto"/>
              </w:rPr>
              <w:t>Gary F. Goode</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3200" w:type="dxa"/>
            <w:vAlign w:val="bottom"/>
            <w:gridSpan w:val="2"/>
          </w:tcPr>
          <w:p>
            <w:pPr>
              <w:jc w:val="center"/>
              <w:ind w:right="2488"/>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40" w:type="dxa"/>
            <w:vAlign w:val="bottom"/>
            <w:tcBorders>
              <w:left w:val="single" w:sz="8" w:color="auto"/>
            </w:tcBorders>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4"/>
                <w:szCs w:val="14"/>
                <w:color w:val="auto"/>
              </w:rPr>
              <w:t>1b.</w:t>
            </w:r>
          </w:p>
        </w:tc>
        <w:tc>
          <w:tcPr>
            <w:tcW w:w="2800" w:type="dxa"/>
            <w:vAlign w:val="bottom"/>
            <w:gridSpan w:val="2"/>
          </w:tcPr>
          <w:p>
            <w:pPr>
              <w:ind w:left="120"/>
              <w:spacing w:after="0"/>
              <w:rPr>
                <w:sz w:val="20"/>
                <w:szCs w:val="20"/>
                <w:color w:val="auto"/>
              </w:rPr>
            </w:pPr>
            <w:r>
              <w:rPr>
                <w:rFonts w:ascii="Arial" w:cs="Arial" w:eastAsia="Arial" w:hAnsi="Arial"/>
                <w:sz w:val="14"/>
                <w:szCs w:val="14"/>
                <w:color w:val="auto"/>
              </w:rPr>
              <w:t>Mary E. Tuuk</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3200" w:type="dxa"/>
            <w:vAlign w:val="bottom"/>
            <w:gridSpan w:val="2"/>
          </w:tcPr>
          <w:p>
            <w:pPr>
              <w:jc w:val="center"/>
              <w:ind w:right="2488"/>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 w:type="dxa"/>
            <w:vAlign w:val="bottom"/>
            <w:tcBorders>
              <w:left w:val="single" w:sz="8" w:color="auto"/>
            </w:tcBorders>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4"/>
                <w:szCs w:val="14"/>
                <w:color w:val="auto"/>
              </w:rPr>
              <w:t>1c.</w:t>
            </w:r>
          </w:p>
        </w:tc>
        <w:tc>
          <w:tcPr>
            <w:tcW w:w="2800" w:type="dxa"/>
            <w:vAlign w:val="bottom"/>
            <w:gridSpan w:val="2"/>
          </w:tcPr>
          <w:p>
            <w:pPr>
              <w:ind w:left="120"/>
              <w:spacing w:after="0"/>
              <w:rPr>
                <w:sz w:val="20"/>
                <w:szCs w:val="20"/>
                <w:color w:val="auto"/>
              </w:rPr>
            </w:pPr>
            <w:r>
              <w:rPr>
                <w:rFonts w:ascii="Arial" w:cs="Arial" w:eastAsia="Arial" w:hAnsi="Arial"/>
                <w:sz w:val="14"/>
                <w:szCs w:val="14"/>
                <w:color w:val="auto"/>
              </w:rPr>
              <w:t>Michael G. Wooldridge</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3200" w:type="dxa"/>
            <w:vAlign w:val="bottom"/>
            <w:gridSpan w:val="2"/>
          </w:tcPr>
          <w:p>
            <w:pPr>
              <w:jc w:val="center"/>
              <w:ind w:right="2488"/>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4"/>
        </w:trPr>
        <w:tc>
          <w:tcPr>
            <w:tcW w:w="8080" w:type="dxa"/>
            <w:vAlign w:val="bottom"/>
            <w:tcBorders>
              <w:left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10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314"/>
        </w:trPr>
        <w:tc>
          <w:tcPr>
            <w:tcW w:w="9180" w:type="dxa"/>
            <w:vAlign w:val="bottom"/>
            <w:tcBorders>
              <w:left w:val="single" w:sz="8" w:color="auto"/>
            </w:tcBorders>
            <w:gridSpan w:val="10"/>
          </w:tcPr>
          <w:p>
            <w:pPr>
              <w:ind w:left="320"/>
              <w:spacing w:after="0"/>
              <w:rPr>
                <w:sz w:val="20"/>
                <w:szCs w:val="20"/>
                <w:color w:val="auto"/>
              </w:rPr>
            </w:pPr>
            <w:r>
              <w:rPr>
                <w:rFonts w:ascii="Arial" w:cs="Arial" w:eastAsia="Arial" w:hAnsi="Arial"/>
                <w:sz w:val="14"/>
                <w:szCs w:val="14"/>
                <w:color w:val="auto"/>
              </w:rPr>
              <w:t>2.   To consider and vote upon a proposal to approve of an Amendment to the Articles of Incorporation to add an additional 40,000,000</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20" w:type="dxa"/>
            <w:vAlign w:val="bottom"/>
            <w:tcBorders>
              <w:right w:val="single" w:sz="8" w:color="auto"/>
            </w:tcBorders>
            <w:gridSpan w:val="2"/>
          </w:tcPr>
          <w:p>
            <w:pPr>
              <w:jc w:val="center"/>
              <w:ind w:right="36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2"/>
        </w:trPr>
        <w:tc>
          <w:tcPr>
            <w:tcW w:w="340" w:type="dxa"/>
            <w:vAlign w:val="bottom"/>
            <w:tcBorders>
              <w:left w:val="single" w:sz="8" w:color="auto"/>
            </w:tcBorders>
          </w:tcPr>
          <w:p>
            <w:pPr>
              <w:spacing w:after="0"/>
              <w:rPr>
                <w:sz w:val="14"/>
                <w:szCs w:val="14"/>
                <w:color w:val="auto"/>
              </w:rPr>
            </w:pPr>
          </w:p>
        </w:tc>
        <w:tc>
          <w:tcPr>
            <w:tcW w:w="3420" w:type="dxa"/>
            <w:vAlign w:val="bottom"/>
            <w:gridSpan w:val="3"/>
          </w:tcPr>
          <w:p>
            <w:pPr>
              <w:ind w:left="300"/>
              <w:spacing w:after="0"/>
              <w:rPr>
                <w:sz w:val="20"/>
                <w:szCs w:val="20"/>
                <w:color w:val="auto"/>
              </w:rPr>
            </w:pPr>
            <w:r>
              <w:rPr>
                <w:rFonts w:ascii="Arial" w:cs="Arial" w:eastAsia="Arial" w:hAnsi="Arial"/>
                <w:sz w:val="14"/>
                <w:szCs w:val="14"/>
                <w:color w:val="auto"/>
              </w:rPr>
              <w:t>shares of Common Stock.</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9180" w:type="dxa"/>
            <w:vAlign w:val="bottom"/>
            <w:tcBorders>
              <w:left w:val="single" w:sz="8" w:color="auto"/>
            </w:tcBorders>
            <w:gridSpan w:val="10"/>
          </w:tcPr>
          <w:p>
            <w:pPr>
              <w:ind w:left="320"/>
              <w:spacing w:after="0"/>
              <w:rPr>
                <w:sz w:val="20"/>
                <w:szCs w:val="20"/>
                <w:color w:val="auto"/>
              </w:rPr>
            </w:pPr>
            <w:r>
              <w:rPr>
                <w:rFonts w:ascii="Arial" w:cs="Arial" w:eastAsia="Arial" w:hAnsi="Arial"/>
                <w:sz w:val="14"/>
                <w:szCs w:val="14"/>
                <w:color w:val="auto"/>
              </w:rPr>
              <w:t>3.   To ratify the appointment of Deloitte &amp; Touche LLP as the Company’s independent registered public accounting firm for fiscal 2017.</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20" w:type="dxa"/>
            <w:vAlign w:val="bottom"/>
            <w:tcBorders>
              <w:right w:val="single" w:sz="8" w:color="auto"/>
            </w:tcBorders>
            <w:gridSpan w:val="2"/>
          </w:tcPr>
          <w:p>
            <w:pPr>
              <w:jc w:val="center"/>
              <w:ind w:right="36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38"/>
        </w:trPr>
        <w:tc>
          <w:tcPr>
            <w:tcW w:w="8080" w:type="dxa"/>
            <w:vAlign w:val="bottom"/>
            <w:tcBorders>
              <w:left w:val="single" w:sz="8" w:color="auto"/>
            </w:tcBorders>
            <w:gridSpan w:val="8"/>
          </w:tcPr>
          <w:p>
            <w:pPr>
              <w:ind w:left="320"/>
              <w:spacing w:after="0"/>
              <w:rPr>
                <w:sz w:val="20"/>
                <w:szCs w:val="20"/>
                <w:color w:val="auto"/>
              </w:rPr>
            </w:pPr>
            <w:r>
              <w:rPr>
                <w:rFonts w:ascii="Arial" w:cs="Arial" w:eastAsia="Arial" w:hAnsi="Arial"/>
                <w:sz w:val="14"/>
                <w:szCs w:val="14"/>
                <w:color w:val="auto"/>
              </w:rPr>
              <w:t>4.   To approve, on an advisory basis, the compensation paid to our Named Executives.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20" w:type="dxa"/>
            <w:vAlign w:val="bottom"/>
            <w:tcBorders>
              <w:right w:val="single" w:sz="8" w:color="auto"/>
            </w:tcBorders>
            <w:gridSpan w:val="2"/>
          </w:tcPr>
          <w:p>
            <w:pPr>
              <w:jc w:val="center"/>
              <w:ind w:right="36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2"/>
        </w:trPr>
        <w:tc>
          <w:tcPr>
            <w:tcW w:w="8080" w:type="dxa"/>
            <w:vAlign w:val="bottom"/>
            <w:tcBorders>
              <w:left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6"/>
        </w:trPr>
        <w:tc>
          <w:tcPr>
            <w:tcW w:w="9180" w:type="dxa"/>
            <w:vAlign w:val="bottom"/>
            <w:tcBorders>
              <w:left w:val="single" w:sz="8" w:color="auto"/>
            </w:tcBorders>
            <w:gridSpan w:val="10"/>
          </w:tcPr>
          <w:p>
            <w:pPr>
              <w:ind w:left="320"/>
              <w:spacing w:after="0"/>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180" w:type="dxa"/>
            <w:vAlign w:val="bottom"/>
            <w:tcBorders>
              <w:left w:val="single" w:sz="8" w:color="auto"/>
            </w:tcBorders>
            <w:gridSpan w:val="10"/>
          </w:tcPr>
          <w:p>
            <w:pPr>
              <w:ind w:left="320"/>
              <w:spacing w:after="0"/>
              <w:rPr>
                <w:sz w:val="20"/>
                <w:szCs w:val="20"/>
                <w:color w:val="auto"/>
              </w:rPr>
            </w:pPr>
            <w:r>
              <w:rPr>
                <w:rFonts w:ascii="Arial" w:cs="Arial" w:eastAsia="Arial" w:hAnsi="Arial"/>
                <w:sz w:val="14"/>
                <w:szCs w:val="14"/>
                <w:color w:val="auto"/>
              </w:rPr>
              <w:t>full title as such. Joint owners should each sign personally. All holders must sign. If a corporation or partnership, please sign in full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60" w:type="dxa"/>
            <w:vAlign w:val="bottom"/>
            <w:tcBorders>
              <w:left w:val="single" w:sz="8" w:color="auto"/>
            </w:tcBorders>
            <w:gridSpan w:val="4"/>
          </w:tcPr>
          <w:p>
            <w:pPr>
              <w:ind w:left="320"/>
              <w:spacing w:after="0"/>
              <w:rPr>
                <w:sz w:val="20"/>
                <w:szCs w:val="20"/>
                <w:color w:val="auto"/>
              </w:rPr>
            </w:pPr>
            <w:r>
              <w:rPr>
                <w:rFonts w:ascii="Arial" w:cs="Arial" w:eastAsia="Arial" w:hAnsi="Arial"/>
                <w:sz w:val="14"/>
                <w:szCs w:val="14"/>
                <w:color w:val="auto"/>
              </w:rPr>
              <w:t>corporate or partnership name by authorized officer.</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2720" w:type="dxa"/>
            <w:vAlign w:val="bottom"/>
            <w:tcBorders>
              <w:bottom w:val="single" w:sz="8" w:color="auto"/>
            </w:tcBorders>
            <w:gridSpan w:val="2"/>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340" w:type="dxa"/>
            <w:vAlign w:val="bottom"/>
            <w:tcBorders>
              <w:left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760" w:type="dxa"/>
            <w:vAlign w:val="bottom"/>
            <w:tcBorders>
              <w:left w:val="single" w:sz="8" w:color="auto"/>
            </w:tcBorders>
            <w:gridSpan w:val="4"/>
          </w:tcPr>
          <w:p>
            <w:pPr>
              <w:ind w:left="320"/>
              <w:spacing w:after="0"/>
              <w:rPr>
                <w:sz w:val="20"/>
                <w:szCs w:val="20"/>
                <w:color w:val="auto"/>
              </w:rPr>
            </w:pPr>
            <w:r>
              <w:rPr>
                <w:rFonts w:ascii="Arial" w:cs="Arial" w:eastAsia="Arial" w:hAnsi="Arial"/>
                <w:sz w:val="14"/>
                <w:szCs w:val="14"/>
                <w:color w:val="auto"/>
              </w:rPr>
              <w:t>Signature [PLEASE SIGN WITHIN BOX]  Date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0" w:type="dxa"/>
            <w:vAlign w:val="bottom"/>
            <w:gridSpan w:val="2"/>
          </w:tcPr>
          <w:p>
            <w:pPr>
              <w:ind w:left="880"/>
              <w:spacing w:after="0"/>
              <w:rPr>
                <w:sz w:val="20"/>
                <w:szCs w:val="20"/>
                <w:color w:val="auto"/>
              </w:rPr>
            </w:pPr>
            <w:r>
              <w:rPr>
                <w:rFonts w:ascii="Arial" w:cs="Arial" w:eastAsia="Arial" w:hAnsi="Arial"/>
                <w:sz w:val="14"/>
                <w:szCs w:val="14"/>
                <w:color w:val="auto"/>
              </w:rPr>
              <w:t>Signature (Joint Owners)</w:t>
            </w:r>
          </w:p>
        </w:tc>
        <w:tc>
          <w:tcPr>
            <w:tcW w:w="1100" w:type="dxa"/>
            <w:vAlign w:val="bottom"/>
            <w:gridSpan w:val="2"/>
          </w:tcPr>
          <w:p>
            <w:pPr>
              <w:ind w:left="420"/>
              <w:spacing w:after="0"/>
              <w:rPr>
                <w:sz w:val="20"/>
                <w:szCs w:val="20"/>
                <w:color w:val="auto"/>
              </w:rPr>
            </w:pPr>
            <w:r>
              <w:rPr>
                <w:rFonts w:ascii="Arial" w:cs="Arial" w:eastAsia="Arial" w:hAnsi="Arial"/>
                <w:sz w:val="14"/>
                <w:szCs w:val="14"/>
                <w:color w:val="auto"/>
              </w:rPr>
              <w:t>Date</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-4728845</wp:posOffset>
            </wp:positionV>
            <wp:extent cx="72720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20"/>
          </w:cols>
          <w:pgMar w:left="240" w:top="950" w:right="239" w:bottom="427" w:gutter="0" w:footer="0" w:header="0"/>
          <w:type w:val="continuous"/>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1914525</wp:posOffset>
            </wp:positionV>
            <wp:extent cx="72720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E20498-P87030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48895</wp:posOffset>
            </wp:positionV>
            <wp:extent cx="7246620" cy="4150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UNIVERSAL FOREST PRODUCTS, INC.</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Annual Meeting of Shareholders</w:t>
      </w:r>
    </w:p>
    <w:p>
      <w:pPr>
        <w:jc w:val="center"/>
        <w:ind w:right="1140"/>
        <w:spacing w:after="0"/>
        <w:rPr>
          <w:sz w:val="20"/>
          <w:szCs w:val="20"/>
          <w:color w:val="auto"/>
        </w:rPr>
      </w:pPr>
      <w:r>
        <w:rPr>
          <w:rFonts w:ascii="Arial" w:cs="Arial" w:eastAsia="Arial" w:hAnsi="Arial"/>
          <w:sz w:val="22"/>
          <w:szCs w:val="22"/>
          <w:b w:val="1"/>
          <w:bCs w:val="1"/>
          <w:color w:val="auto"/>
        </w:rPr>
        <w:t>April 18, 2017, 8:30 AM, EDT</w:t>
      </w:r>
    </w:p>
    <w:p>
      <w:pPr>
        <w:spacing w:after="0" w:line="20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24" w:lineRule="exact"/>
        <w:rPr>
          <w:sz w:val="20"/>
          <w:szCs w:val="20"/>
          <w:color w:val="auto"/>
        </w:rPr>
      </w:pPr>
    </w:p>
    <w:p>
      <w:pPr>
        <w:jc w:val="both"/>
        <w:ind w:right="1140"/>
        <w:spacing w:after="0" w:line="239" w:lineRule="auto"/>
        <w:rPr>
          <w:sz w:val="20"/>
          <w:szCs w:val="20"/>
          <w:color w:val="auto"/>
        </w:rPr>
      </w:pPr>
      <w:r>
        <w:rPr>
          <w:rFonts w:ascii="Arial" w:cs="Arial" w:eastAsia="Arial" w:hAnsi="Arial"/>
          <w:sz w:val="18"/>
          <w:szCs w:val="18"/>
          <w:color w:val="auto"/>
        </w:rPr>
        <w:t>The undersigned hereby appoints Matthew J. Missad and David A. Tutas as Proxies, each with the power to appoint his substitute, and hereby authorizes them to represent and to vote, as designated on the reverse side, all the shares of Common Stock of Universal Forest Products, Inc. held of record by the undersigned on February 21, 2017 at the Annual Meeting of Shareholders to be held April 18, 2017, and at any adjournment thereof.</w:t>
      </w:r>
    </w:p>
    <w:p>
      <w:pPr>
        <w:spacing w:after="0" w:line="166" w:lineRule="exact"/>
        <w:rPr>
          <w:sz w:val="20"/>
          <w:szCs w:val="20"/>
          <w:color w:val="auto"/>
        </w:rPr>
      </w:pPr>
    </w:p>
    <w:p>
      <w:pPr>
        <w:jc w:val="both"/>
        <w:ind w:right="1160"/>
        <w:spacing w:after="0" w:line="24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The shares represented by this proxy will be voted in the discretion of the proxies on any other matters that may come before the meeting.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375285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60"/>
      </w:cols>
      <w:pgMar w:left="140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amp;"/>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2019-12-05T22:28:28Z</dcterms:created>
  <dcterms:modified xsi:type="dcterms:W3CDTF">2019-12-05T22:28:28Z</dcterms:modified>
</cp:coreProperties>
</file>