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1"/>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51"/>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551"/>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551"/>
        <w:spacing w:after="0"/>
        <w:rPr>
          <w:sz w:val="20"/>
          <w:szCs w:val="20"/>
          <w:color w:val="auto"/>
        </w:rPr>
      </w:pPr>
      <w:r>
        <w:rPr>
          <w:rFonts w:ascii="Arial" w:cs="Arial" w:eastAsia="Arial" w:hAnsi="Arial"/>
          <w:sz w:val="18"/>
          <w:szCs w:val="18"/>
          <w:b w:val="1"/>
          <w:bCs w:val="1"/>
          <w:color w:val="auto"/>
        </w:rPr>
        <w:t>Date of Report (Date of earliest event reported): April 15, 2009</w:t>
      </w:r>
    </w:p>
    <w:p>
      <w:pPr>
        <w:spacing w:after="0" w:line="200" w:lineRule="exact"/>
        <w:rPr>
          <w:sz w:val="24"/>
          <w:szCs w:val="24"/>
          <w:color w:val="auto"/>
        </w:rPr>
      </w:pPr>
    </w:p>
    <w:p>
      <w:pPr>
        <w:jc w:val="center"/>
        <w:ind w:right="551"/>
        <w:spacing w:after="0"/>
        <w:rPr>
          <w:sz w:val="20"/>
          <w:szCs w:val="20"/>
          <w:color w:val="auto"/>
        </w:rPr>
      </w:pPr>
      <w:r>
        <w:rPr>
          <w:rFonts w:ascii="Arial" w:cs="Arial" w:eastAsia="Arial" w:hAnsi="Arial"/>
          <w:sz w:val="43"/>
          <w:szCs w:val="43"/>
          <w:b w:val="1"/>
          <w:bCs w:val="1"/>
          <w:color w:val="auto"/>
        </w:rPr>
        <w:t>Universal Forest Products, Inc.</w:t>
      </w:r>
    </w:p>
    <w:p>
      <w:pPr>
        <w:spacing w:after="0" w:line="50" w:lineRule="exact"/>
        <w:rPr>
          <w:sz w:val="24"/>
          <w:szCs w:val="24"/>
          <w:color w:val="auto"/>
        </w:rPr>
      </w:pPr>
    </w:p>
    <w:p>
      <w:pPr>
        <w:ind w:left="2808"/>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8" w:type="dxa"/>
        <w:tblCellMar>
          <w:top w:w="0" w:type="dxa"/>
          <w:left w:w="0" w:type="dxa"/>
          <w:bottom w:w="0" w:type="dxa"/>
          <w:right w:w="0" w:type="dxa"/>
        </w:tblCellMar>
      </w:tblPr>
      <w:tr>
        <w:trPr>
          <w:trHeight w:val="234"/>
        </w:trPr>
        <w:tc>
          <w:tcPr>
            <w:tcW w:w="346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4"/>
              </w:rPr>
              <w:t>Michigan</w:t>
            </w:r>
          </w:p>
        </w:tc>
        <w:tc>
          <w:tcPr>
            <w:tcW w:w="2700" w:type="dxa"/>
            <w:vAlign w:val="bottom"/>
            <w:gridSpan w:val="3"/>
          </w:tcPr>
          <w:p>
            <w:pPr>
              <w:jc w:val="right"/>
              <w:ind w:right="1180"/>
              <w:spacing w:after="0"/>
              <w:rPr>
                <w:sz w:val="20"/>
                <w:szCs w:val="20"/>
                <w:color w:val="auto"/>
              </w:rPr>
            </w:pPr>
            <w:r>
              <w:rPr>
                <w:rFonts w:ascii="Arial" w:cs="Arial" w:eastAsia="Arial" w:hAnsi="Arial"/>
                <w:sz w:val="18"/>
                <w:szCs w:val="18"/>
                <w:b w:val="1"/>
                <w:bCs w:val="1"/>
                <w:color w:val="auto"/>
              </w:rPr>
              <w:t>0-22684</w:t>
            </w:r>
          </w:p>
        </w:tc>
        <w:tc>
          <w:tcPr>
            <w:tcW w:w="3160" w:type="dxa"/>
            <w:vAlign w:val="bottom"/>
            <w:gridSpan w:val="2"/>
          </w:tcPr>
          <w:p>
            <w:pPr>
              <w:jc w:val="right"/>
              <w:ind w:right="970"/>
              <w:spacing w:after="0"/>
              <w:rPr>
                <w:sz w:val="20"/>
                <w:szCs w:val="20"/>
                <w:color w:val="auto"/>
              </w:rPr>
            </w:pPr>
            <w:r>
              <w:rPr>
                <w:rFonts w:ascii="Arial" w:cs="Arial" w:eastAsia="Arial" w:hAnsi="Arial"/>
                <w:sz w:val="18"/>
                <w:szCs w:val="18"/>
                <w:b w:val="1"/>
                <w:bCs w:val="1"/>
                <w:color w:val="auto"/>
              </w:rPr>
              <w:t>38-1465835</w:t>
            </w:r>
          </w:p>
        </w:tc>
      </w:tr>
      <w:tr>
        <w:trPr>
          <w:trHeight w:val="209"/>
        </w:trPr>
        <w:tc>
          <w:tcPr>
            <w:tcW w:w="3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700" w:type="dxa"/>
            <w:vAlign w:val="bottom"/>
            <w:tcBorders>
              <w:top w:val="single" w:sz="8" w:color="auto"/>
            </w:tcBorders>
            <w:gridSpan w:val="3"/>
          </w:tcPr>
          <w:p>
            <w:pPr>
              <w:jc w:val="center"/>
              <w:ind w:right="280"/>
              <w:spacing w:after="0"/>
              <w:rPr>
                <w:sz w:val="20"/>
                <w:szCs w:val="20"/>
                <w:color w:val="auto"/>
              </w:rPr>
            </w:pPr>
            <w:r>
              <w:rPr>
                <w:rFonts w:ascii="Arial" w:cs="Arial" w:eastAsia="Arial" w:hAnsi="Arial"/>
                <w:sz w:val="18"/>
                <w:szCs w:val="18"/>
                <w:color w:val="auto"/>
                <w:w w:val="92"/>
              </w:rPr>
              <w:t>(Commission File Number)</w:t>
            </w:r>
          </w:p>
        </w:tc>
        <w:tc>
          <w:tcPr>
            <w:tcW w:w="180" w:type="dxa"/>
            <w:vAlign w:val="bottom"/>
          </w:tcPr>
          <w:p>
            <w:pPr>
              <w:spacing w:after="0"/>
              <w:rPr>
                <w:sz w:val="18"/>
                <w:szCs w:val="18"/>
                <w:color w:val="auto"/>
              </w:rPr>
            </w:pPr>
          </w:p>
        </w:tc>
        <w:tc>
          <w:tcPr>
            <w:tcW w:w="2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460" w:type="dxa"/>
            <w:vAlign w:val="bottom"/>
            <w:gridSpan w:val="3"/>
          </w:tcPr>
          <w:p>
            <w:pPr>
              <w:jc w:val="center"/>
              <w:ind w:right="480"/>
              <w:spacing w:after="0"/>
              <w:rPr>
                <w:sz w:val="20"/>
                <w:szCs w:val="20"/>
                <w:color w:val="auto"/>
              </w:rPr>
            </w:pPr>
            <w:r>
              <w:rPr>
                <w:rFonts w:ascii="Arial" w:cs="Arial" w:eastAsia="Arial" w:hAnsi="Arial"/>
                <w:sz w:val="18"/>
                <w:szCs w:val="18"/>
                <w:color w:val="auto"/>
                <w:w w:val="93"/>
              </w:rPr>
              <w:t>of incorporation)</w:t>
            </w: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414"/>
        </w:trPr>
        <w:tc>
          <w:tcPr>
            <w:tcW w:w="346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2801 East Beltline, NE</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34"/>
        </w:trPr>
        <w:tc>
          <w:tcPr>
            <w:tcW w:w="346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b w:val="1"/>
                <w:bCs w:val="1"/>
                <w:color w:val="auto"/>
                <w:w w:val="93"/>
              </w:rPr>
              <w:t>Grand Rapids, Michigan</w:t>
            </w:r>
          </w:p>
        </w:tc>
        <w:tc>
          <w:tcPr>
            <w:tcW w:w="11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2"/>
          </w:tcPr>
          <w:p>
            <w:pPr>
              <w:jc w:val="right"/>
              <w:ind w:right="1970"/>
              <w:spacing w:after="0"/>
              <w:rPr>
                <w:sz w:val="20"/>
                <w:szCs w:val="20"/>
                <w:color w:val="auto"/>
              </w:rPr>
            </w:pPr>
            <w:r>
              <w:rPr>
                <w:rFonts w:ascii="Arial" w:cs="Arial" w:eastAsia="Arial" w:hAnsi="Arial"/>
                <w:sz w:val="18"/>
                <w:szCs w:val="18"/>
                <w:b w:val="1"/>
                <w:bCs w:val="1"/>
                <w:color w:val="auto"/>
              </w:rPr>
              <w:t>49525</w:t>
            </w:r>
          </w:p>
        </w:tc>
      </w:tr>
      <w:tr>
        <w:trPr>
          <w:trHeight w:val="224"/>
        </w:trPr>
        <w:tc>
          <w:tcPr>
            <w:tcW w:w="456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80" w:type="dxa"/>
            <w:vAlign w:val="bottom"/>
          </w:tcPr>
          <w:p>
            <w:pPr>
              <w:jc w:val="center"/>
              <w:ind w:right="1510"/>
              <w:spacing w:after="0"/>
              <w:rPr>
                <w:sz w:val="20"/>
                <w:szCs w:val="20"/>
                <w:color w:val="auto"/>
              </w:rPr>
            </w:pPr>
            <w:r>
              <w:rPr>
                <w:rFonts w:ascii="Arial" w:cs="Arial" w:eastAsia="Arial" w:hAnsi="Arial"/>
                <w:sz w:val="18"/>
                <w:szCs w:val="18"/>
                <w:color w:val="auto"/>
                <w:w w:val="91"/>
              </w:rPr>
              <w:t>(Zip Code)</w:t>
            </w:r>
          </w:p>
        </w:tc>
      </w:tr>
    </w:tbl>
    <w:p>
      <w:pPr>
        <w:spacing w:after="0" w:line="197"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(616) 364-6161</w:t>
      </w:r>
    </w:p>
    <w:p>
      <w:pPr>
        <w:spacing w:after="0" w:line="225" w:lineRule="exact"/>
        <w:rPr>
          <w:sz w:val="24"/>
          <w:szCs w:val="24"/>
          <w:color w:val="auto"/>
        </w:rPr>
      </w:pPr>
    </w:p>
    <w:p>
      <w:pPr>
        <w:jc w:val="center"/>
        <w:ind w:right="551"/>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1543685</wp:posOffset>
            </wp:positionH>
            <wp:positionV relativeFrom="paragraph">
              <wp:posOffset>8890</wp:posOffset>
            </wp:positionV>
            <wp:extent cx="2838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7"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03" w:lineRule="exact"/>
        <w:rPr>
          <w:sz w:val="24"/>
          <w:szCs w:val="24"/>
          <w:color w:val="auto"/>
        </w:rPr>
      </w:pPr>
    </w:p>
    <w:p>
      <w:pPr>
        <w:jc w:val="both"/>
        <w:ind w:left="8"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59258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342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313055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522"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02" w:lineRule="exact"/>
        <w:rPr>
          <w:sz w:val="20"/>
          <w:szCs w:val="20"/>
          <w:color w:val="auto"/>
        </w:rPr>
      </w:pPr>
    </w:p>
    <w:p>
      <w:pPr>
        <w:ind w:left="360" w:right="559"/>
        <w:spacing w:after="0" w:line="277" w:lineRule="auto"/>
        <w:rPr>
          <w:sz w:val="20"/>
          <w:szCs w:val="20"/>
          <w:color w:val="auto"/>
        </w:rPr>
      </w:pPr>
      <w:r>
        <w:rPr>
          <w:rFonts w:ascii="Arial" w:cs="Arial" w:eastAsia="Arial" w:hAnsi="Arial"/>
          <w:sz w:val="18"/>
          <w:szCs w:val="18"/>
          <w:color w:val="auto"/>
        </w:rPr>
        <w:t>On April 15, 2009, the Registrant issued a press release announcing its financial results for the quarter ended March 28, 2009. A copy of the Registrant’s press release is attached as Exhibit 99(a) to this Current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Pro Forma Financial Information, and Exhibits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 Exhibits</w:t>
      </w:r>
    </w:p>
    <w:p>
      <w:pPr>
        <w:spacing w:after="0" w:line="225" w:lineRule="exact"/>
        <w:rPr>
          <w:sz w:val="20"/>
          <w:szCs w:val="20"/>
          <w:color w:val="auto"/>
        </w:rPr>
      </w:pPr>
    </w:p>
    <w:p>
      <w:pPr>
        <w:ind w:left="500"/>
        <w:spacing w:after="0"/>
        <w:tabs>
          <w:tab w:leader="none" w:pos="1440" w:val="left"/>
        </w:tabs>
        <w:rPr>
          <w:sz w:val="20"/>
          <w:szCs w:val="20"/>
          <w:color w:val="auto"/>
        </w:rPr>
      </w:pPr>
      <w:r>
        <w:rPr>
          <w:rFonts w:ascii="Arial" w:cs="Arial" w:eastAsia="Arial" w:hAnsi="Arial"/>
          <w:sz w:val="18"/>
          <w:szCs w:val="18"/>
          <w:color w:val="auto"/>
        </w:rPr>
        <w:t>99(a)</w:t>
      </w:r>
      <w:r>
        <w:rPr>
          <w:sz w:val="20"/>
          <w:szCs w:val="20"/>
          <w:color w:val="auto"/>
        </w:rPr>
        <w:tab/>
      </w:r>
      <w:r>
        <w:rPr>
          <w:rFonts w:ascii="Arial" w:cs="Arial" w:eastAsia="Arial" w:hAnsi="Arial"/>
          <w:sz w:val="18"/>
          <w:szCs w:val="18"/>
          <w:color w:val="auto"/>
        </w:rPr>
        <w:t>Press Release dated April 15, 2009.</w:t>
      </w:r>
    </w:p>
    <w:p>
      <w:pPr>
        <w:spacing w:after="0" w:line="200" w:lineRule="exact"/>
        <w:rPr>
          <w:sz w:val="20"/>
          <w:szCs w:val="20"/>
          <w:color w:val="auto"/>
        </w:rPr>
      </w:pPr>
    </w:p>
    <w:p>
      <w:pPr>
        <w:spacing w:after="0" w:line="39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2" w:name="page3"/>
    <w:bookmarkEnd w:id="2"/>
    <w:p>
      <w:pPr>
        <w:jc w:val="center"/>
        <w:ind w:right="1420"/>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left="340" w:right="1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5000" w:type="dxa"/>
            <w:vAlign w:val="bottom"/>
            <w:gridSpan w:val="2"/>
          </w:tcPr>
          <w:p>
            <w:pPr>
              <w:ind w:left="1380"/>
              <w:spacing w:after="0"/>
              <w:rPr>
                <w:sz w:val="20"/>
                <w:szCs w:val="20"/>
                <w:color w:val="auto"/>
              </w:rPr>
            </w:pPr>
            <w:r>
              <w:rPr>
                <w:rFonts w:ascii="Arial" w:cs="Arial" w:eastAsia="Arial" w:hAnsi="Arial"/>
                <w:sz w:val="18"/>
                <w:szCs w:val="18"/>
                <w:color w:val="auto"/>
              </w:rPr>
              <w:t>UNIVERSAL FOREST PRODUCTS, INC.</w:t>
            </w:r>
          </w:p>
        </w:tc>
        <w:tc>
          <w:tcPr>
            <w:tcW w:w="3120" w:type="dxa"/>
            <w:vAlign w:val="bottom"/>
          </w:tcPr>
          <w:p>
            <w:pPr>
              <w:spacing w:after="0"/>
              <w:rPr>
                <w:sz w:val="18"/>
                <w:szCs w:val="18"/>
                <w:color w:val="auto"/>
              </w:rPr>
            </w:pPr>
          </w:p>
        </w:tc>
      </w:tr>
      <w:tr>
        <w:trPr>
          <w:trHeight w:val="230"/>
        </w:trPr>
        <w:tc>
          <w:tcPr>
            <w:tcW w:w="3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260" w:type="dxa"/>
            <w:vAlign w:val="bottom"/>
          </w:tcPr>
          <w:p>
            <w:pPr>
              <w:ind w:left="820"/>
              <w:spacing w:after="0"/>
              <w:rPr>
                <w:sz w:val="20"/>
                <w:szCs w:val="20"/>
                <w:color w:val="auto"/>
              </w:rPr>
            </w:pPr>
            <w:r>
              <w:rPr>
                <w:rFonts w:ascii="Arial" w:cs="Arial" w:eastAsia="Arial" w:hAnsi="Arial"/>
                <w:sz w:val="18"/>
                <w:szCs w:val="18"/>
                <w:color w:val="auto"/>
              </w:rPr>
              <w:t>(Registrant)</w:t>
            </w:r>
          </w:p>
        </w:tc>
        <w:tc>
          <w:tcPr>
            <w:tcW w:w="3120" w:type="dxa"/>
            <w:vAlign w:val="bottom"/>
          </w:tcPr>
          <w:p>
            <w:pPr>
              <w:spacing w:after="0"/>
              <w:rPr>
                <w:sz w:val="20"/>
                <w:szCs w:val="20"/>
                <w:color w:val="auto"/>
              </w:rPr>
            </w:pPr>
          </w:p>
        </w:tc>
      </w:tr>
      <w:tr>
        <w:trPr>
          <w:trHeight w:val="432"/>
        </w:trPr>
        <w:tc>
          <w:tcPr>
            <w:tcW w:w="3300" w:type="dxa"/>
            <w:vAlign w:val="bottom"/>
          </w:tcPr>
          <w:p>
            <w:pPr>
              <w:ind w:left="340"/>
              <w:spacing w:after="0"/>
              <w:rPr>
                <w:sz w:val="20"/>
                <w:szCs w:val="20"/>
                <w:color w:val="auto"/>
              </w:rPr>
            </w:pPr>
            <w:r>
              <w:rPr>
                <w:rFonts w:ascii="Arial" w:cs="Arial" w:eastAsia="Arial" w:hAnsi="Arial"/>
                <w:sz w:val="18"/>
                <w:szCs w:val="18"/>
                <w:color w:val="auto"/>
              </w:rPr>
              <w:t>Dated: April 15, 2009</w:t>
            </w:r>
          </w:p>
        </w:tc>
        <w:tc>
          <w:tcPr>
            <w:tcW w:w="5000" w:type="dxa"/>
            <w:vAlign w:val="bottom"/>
            <w:gridSpan w:val="2"/>
          </w:tcPr>
          <w:p>
            <w:pPr>
              <w:ind w:left="1380"/>
              <w:spacing w:after="0"/>
              <w:rPr>
                <w:sz w:val="20"/>
                <w:szCs w:val="20"/>
                <w:color w:val="auto"/>
              </w:rPr>
            </w:pPr>
            <w:r>
              <w:rPr>
                <w:rFonts w:ascii="Arial" w:cs="Arial" w:eastAsia="Arial" w:hAnsi="Arial"/>
                <w:sz w:val="18"/>
                <w:szCs w:val="18"/>
                <w:color w:val="auto"/>
              </w:rPr>
              <w:t>By: /s/ Michael R. Cole</w:t>
            </w:r>
          </w:p>
        </w:tc>
        <w:tc>
          <w:tcPr>
            <w:tcW w:w="3120" w:type="dxa"/>
            <w:vAlign w:val="bottom"/>
          </w:tcPr>
          <w:p>
            <w:pPr>
              <w:spacing w:after="0"/>
              <w:rPr>
                <w:sz w:val="24"/>
                <w:szCs w:val="24"/>
                <w:color w:val="auto"/>
              </w:rPr>
            </w:pPr>
          </w:p>
        </w:tc>
      </w:tr>
      <w:tr>
        <w:trPr>
          <w:trHeight w:val="195"/>
        </w:trPr>
        <w:tc>
          <w:tcPr>
            <w:tcW w:w="3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R. Cole, Chief Financial Officer</w:t>
            </w:r>
          </w:p>
        </w:tc>
        <w:tc>
          <w:tcPr>
            <w:tcW w:w="3120" w:type="dxa"/>
            <w:vAlign w:val="bottom"/>
          </w:tcPr>
          <w:p>
            <w:pPr>
              <w:spacing w:after="0"/>
              <w:rPr>
                <w:sz w:val="16"/>
                <w:szCs w:val="16"/>
                <w:color w:val="auto"/>
              </w:rPr>
            </w:pPr>
          </w:p>
        </w:tc>
      </w:tr>
      <w:tr>
        <w:trPr>
          <w:trHeight w:val="230"/>
        </w:trPr>
        <w:tc>
          <w:tcPr>
            <w:tcW w:w="3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and Treasurer</w:t>
            </w:r>
          </w:p>
        </w:tc>
        <w:tc>
          <w:tcPr>
            <w:tcW w:w="3120" w:type="dxa"/>
            <w:vAlign w:val="bottom"/>
          </w:tcPr>
          <w:p>
            <w:pPr>
              <w:spacing w:after="0"/>
              <w:rPr>
                <w:sz w:val="20"/>
                <w:szCs w:val="20"/>
                <w:color w:val="auto"/>
              </w:rPr>
            </w:pPr>
          </w:p>
        </w:tc>
      </w:tr>
      <w:tr>
        <w:trPr>
          <w:trHeight w:val="783"/>
        </w:trPr>
        <w:tc>
          <w:tcPr>
            <w:tcW w:w="3300" w:type="dxa"/>
            <w:vAlign w:val="bottom"/>
          </w:tcPr>
          <w:p>
            <w:pPr>
              <w:spacing w:after="0"/>
              <w:rPr>
                <w:sz w:val="24"/>
                <w:szCs w:val="24"/>
                <w:color w:val="auto"/>
              </w:rPr>
            </w:pPr>
          </w:p>
        </w:tc>
        <w:tc>
          <w:tcPr>
            <w:tcW w:w="5000" w:type="dxa"/>
            <w:vAlign w:val="bottom"/>
            <w:gridSpan w:val="2"/>
          </w:tcPr>
          <w:p>
            <w:pPr>
              <w:jc w:val="right"/>
              <w:ind w:right="3170"/>
              <w:spacing w:after="0"/>
              <w:rPr>
                <w:sz w:val="20"/>
                <w:szCs w:val="20"/>
                <w:color w:val="auto"/>
              </w:rPr>
            </w:pPr>
            <w:r>
              <w:rPr>
                <w:rFonts w:ascii="Arial" w:cs="Arial" w:eastAsia="Arial" w:hAnsi="Arial"/>
                <w:sz w:val="18"/>
                <w:szCs w:val="18"/>
                <w:color w:val="auto"/>
              </w:rPr>
              <w:t>3</w:t>
            </w:r>
          </w:p>
        </w:tc>
        <w:tc>
          <w:tcPr>
            <w:tcW w:w="3120" w:type="dxa"/>
            <w:vAlign w:val="bottom"/>
          </w:tcPr>
          <w:p>
            <w:pPr>
              <w:spacing w:after="0"/>
              <w:rPr>
                <w:sz w:val="24"/>
                <w:szCs w:val="24"/>
                <w:color w:val="auto"/>
              </w:rPr>
            </w:pPr>
          </w:p>
        </w:tc>
      </w:tr>
      <w:tr>
        <w:trPr>
          <w:trHeight w:val="226"/>
        </w:trPr>
        <w:tc>
          <w:tcPr>
            <w:tcW w:w="330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INDEX</w:t>
            </w:r>
          </w:p>
        </w:tc>
        <w:tc>
          <w:tcPr>
            <w:tcW w:w="3960" w:type="dxa"/>
            <w:vAlign w:val="bottom"/>
          </w:tcPr>
          <w:p>
            <w:pPr>
              <w:spacing w:after="0"/>
              <w:rPr>
                <w:sz w:val="17"/>
                <w:szCs w:val="17"/>
                <w:color w:val="auto"/>
              </w:rPr>
            </w:pPr>
          </w:p>
        </w:tc>
      </w:tr>
      <w:tr>
        <w:trPr>
          <w:trHeight w:val="453"/>
        </w:trPr>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7"/>
              </w:rPr>
              <w:t>Exhibit Number</w:t>
            </w:r>
          </w:p>
        </w:tc>
        <w:tc>
          <w:tcPr>
            <w:tcW w:w="300" w:type="dxa"/>
            <w:vAlign w:val="bottom"/>
          </w:tcPr>
          <w:p>
            <w:pPr>
              <w:spacing w:after="0"/>
              <w:rPr>
                <w:sz w:val="24"/>
                <w:szCs w:val="24"/>
                <w:color w:val="auto"/>
              </w:rPr>
            </w:pPr>
          </w:p>
        </w:tc>
        <w:tc>
          <w:tcPr>
            <w:tcW w:w="77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Document</w:t>
            </w:r>
          </w:p>
        </w:tc>
      </w:tr>
      <w:tr>
        <w:trPr>
          <w:trHeight w:val="426"/>
        </w:trPr>
        <w:tc>
          <w:tcPr>
            <w:tcW w:w="1280" w:type="dxa"/>
            <w:vAlign w:val="bottom"/>
          </w:tcPr>
          <w:p>
            <w:pPr>
              <w:ind w:left="560"/>
              <w:spacing w:after="0"/>
              <w:rPr>
                <w:sz w:val="20"/>
                <w:szCs w:val="20"/>
                <w:color w:val="auto"/>
              </w:rPr>
            </w:pPr>
            <w:r>
              <w:rPr>
                <w:rFonts w:ascii="Arial" w:cs="Arial" w:eastAsia="Arial" w:hAnsi="Arial"/>
                <w:sz w:val="18"/>
                <w:szCs w:val="18"/>
                <w:color w:val="auto"/>
              </w:rPr>
              <w:t>99(a)</w:t>
            </w:r>
          </w:p>
        </w:tc>
        <w:tc>
          <w:tcPr>
            <w:tcW w:w="300" w:type="dxa"/>
            <w:vAlign w:val="bottom"/>
          </w:tcPr>
          <w:p>
            <w:pPr>
              <w:spacing w:after="0"/>
              <w:rPr>
                <w:sz w:val="24"/>
                <w:szCs w:val="24"/>
                <w:color w:val="auto"/>
              </w:rPr>
            </w:pPr>
          </w:p>
        </w:tc>
        <w:tc>
          <w:tcPr>
            <w:tcW w:w="7740" w:type="dxa"/>
            <w:vAlign w:val="bottom"/>
            <w:gridSpan w:val="3"/>
          </w:tcPr>
          <w:p>
            <w:pPr>
              <w:spacing w:after="0"/>
              <w:rPr>
                <w:sz w:val="20"/>
                <w:szCs w:val="20"/>
                <w:color w:val="auto"/>
              </w:rPr>
            </w:pPr>
            <w:r>
              <w:rPr>
                <w:rFonts w:ascii="Arial" w:cs="Arial" w:eastAsia="Arial" w:hAnsi="Arial"/>
                <w:sz w:val="18"/>
                <w:szCs w:val="18"/>
                <w:color w:val="auto"/>
              </w:rPr>
              <w:t>Press Release dated April 15, 2009.</w:t>
            </w:r>
          </w:p>
        </w:tc>
      </w:tr>
      <w:tr>
        <w:trPr>
          <w:trHeight w:val="783"/>
        </w:trPr>
        <w:tc>
          <w:tcPr>
            <w:tcW w:w="1280" w:type="dxa"/>
            <w:vAlign w:val="bottom"/>
          </w:tcPr>
          <w:p>
            <w:pPr>
              <w:spacing w:after="0"/>
              <w:rPr>
                <w:sz w:val="24"/>
                <w:szCs w:val="24"/>
                <w:color w:val="auto"/>
              </w:rPr>
            </w:pPr>
          </w:p>
        </w:tc>
        <w:tc>
          <w:tcPr>
            <w:tcW w:w="4080" w:type="dxa"/>
            <w:vAlign w:val="bottom"/>
            <w:gridSpan w:val="3"/>
          </w:tcPr>
          <w:p>
            <w:pPr>
              <w:jc w:val="right"/>
              <w:ind w:right="570"/>
              <w:spacing w:after="0"/>
              <w:rPr>
                <w:sz w:val="20"/>
                <w:szCs w:val="20"/>
                <w:color w:val="auto"/>
              </w:rPr>
            </w:pPr>
            <w:r>
              <w:rPr>
                <w:rFonts w:ascii="Arial" w:cs="Arial" w:eastAsia="Arial" w:hAnsi="Arial"/>
                <w:sz w:val="18"/>
                <w:szCs w:val="18"/>
                <w:color w:val="auto"/>
              </w:rPr>
              <w:t>4</w:t>
            </w:r>
          </w:p>
        </w:tc>
        <w:tc>
          <w:tcPr>
            <w:tcW w:w="3960" w:type="dxa"/>
            <w:vAlign w:val="bottom"/>
          </w:tcPr>
          <w:p>
            <w:pPr>
              <w:spacing w:after="0"/>
              <w:rPr>
                <w:sz w:val="24"/>
                <w:szCs w:val="24"/>
                <w:color w:val="auto"/>
              </w:rPr>
            </w:pPr>
          </w:p>
        </w:tc>
      </w:tr>
    </w:tbl>
    <w:p>
      <w:pPr>
        <w:sectPr>
          <w:pgSz w:w="11900" w:h="16838" w:orient="portrait"/>
          <w:cols w:equalWidth="0" w:num="1">
            <w:col w:w="9879"/>
          </w:cols>
          <w:pgMar w:left="580" w:top="1324" w:right="1440" w:bottom="1440" w:gutter="0" w:footer="0" w:header="0"/>
        </w:sectPr>
      </w:pPr>
    </w:p>
    <w:bookmarkStart w:id="4" w:name="page5"/>
    <w:bookmarkEnd w:id="4"/>
    <w:p>
      <w:pPr>
        <w:jc w:val="right"/>
        <w:ind w:right="559"/>
        <w:spacing w:after="0"/>
        <w:rPr>
          <w:sz w:val="20"/>
          <w:szCs w:val="20"/>
          <w:color w:val="auto"/>
        </w:rPr>
      </w:pPr>
      <w:r>
        <w:rPr>
          <w:rFonts w:ascii="Arial" w:cs="Arial" w:eastAsia="Arial" w:hAnsi="Arial"/>
          <w:sz w:val="18"/>
          <w:szCs w:val="18"/>
          <w:b w:val="1"/>
          <w:bCs w:val="1"/>
          <w:color w:val="auto"/>
        </w:rPr>
        <w:t>Exhibit 99(a)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 release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—AT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Lynn Afendoulis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(616) 365-1502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WEDNESDAY, APRIL 15, 2009</w:t>
      </w:r>
    </w:p>
    <w:p>
      <w:pPr>
        <w:spacing w:after="0" w:line="166"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Universal Forest Products strategies drive improved results and optimism in first quarter</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i w:val="1"/>
          <w:iCs w:val="1"/>
          <w:color w:val="auto"/>
        </w:rPr>
        <w:t>Loss narrows due to improved efficiencies and inventory management</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i w:val="1"/>
          <w:iCs w:val="1"/>
          <w:color w:val="auto"/>
        </w:rPr>
        <w:t>Sales hurt by depressed lumber market, weak economy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 April 15, 2009 — Universal Forest Products, Inc. (Nasdaq: UFPI) today announced a loss of</w:t>
      </w:r>
    </w:p>
    <w:p>
      <w:pPr>
        <w:spacing w:after="0" w:line="23" w:lineRule="exact"/>
        <w:rPr>
          <w:sz w:val="20"/>
          <w:szCs w:val="20"/>
          <w:color w:val="auto"/>
        </w:rPr>
      </w:pPr>
    </w:p>
    <w:p>
      <w:pPr>
        <w:jc w:val="both"/>
        <w:ind w:right="639"/>
        <w:spacing w:after="0" w:line="273" w:lineRule="auto"/>
        <w:rPr>
          <w:sz w:val="20"/>
          <w:szCs w:val="20"/>
          <w:color w:val="auto"/>
        </w:rPr>
      </w:pPr>
      <w:r>
        <w:rPr>
          <w:rFonts w:ascii="Arial" w:cs="Arial" w:eastAsia="Arial" w:hAnsi="Arial"/>
          <w:sz w:val="17"/>
          <w:szCs w:val="17"/>
          <w:color w:val="auto"/>
        </w:rPr>
        <w:t>$1.2 million, or ($0.06) per diluted share, on net sales of $361.7 million for the first quarter of 2009. That favorably compares to a loss of $4.6 million, or ($0.24) per diluted share, on net sales of $489.5 million for the first quarter of 2008. First quarter 2009 sales results reflect a lumber market composite price that was 19% lower than the previous year, which impacted selling prices; weak consumer spending; and the ongoing challenges of a depressed economy.</w:t>
      </w:r>
    </w:p>
    <w:p>
      <w:pPr>
        <w:spacing w:after="0" w:line="136" w:lineRule="exact"/>
        <w:rPr>
          <w:sz w:val="20"/>
          <w:szCs w:val="20"/>
          <w:color w:val="auto"/>
        </w:rPr>
      </w:pPr>
    </w:p>
    <w:p>
      <w:pPr>
        <w:ind w:right="699"/>
        <w:spacing w:after="0" w:line="286" w:lineRule="auto"/>
        <w:rPr>
          <w:sz w:val="20"/>
          <w:szCs w:val="20"/>
          <w:color w:val="auto"/>
        </w:rPr>
      </w:pPr>
      <w:r>
        <w:rPr>
          <w:rFonts w:ascii="Arial" w:cs="Arial" w:eastAsia="Arial" w:hAnsi="Arial"/>
          <w:sz w:val="17"/>
          <w:szCs w:val="17"/>
          <w:color w:val="auto"/>
        </w:rPr>
        <w:t>“We are pleased with results like these in tough economic times and in a quarter that historically comprises a slow selling season,” said CEO Michael B. Glenn. “These numbers reflect production efficiencies resulting from the improvement efforts of our employees and a strong business model that promotes sales to multiple industries and markets.”</w:t>
      </w:r>
    </w:p>
    <w:p>
      <w:pPr>
        <w:spacing w:after="0" w:line="125" w:lineRule="exact"/>
        <w:rPr>
          <w:sz w:val="20"/>
          <w:szCs w:val="20"/>
          <w:color w:val="auto"/>
        </w:rPr>
      </w:pPr>
    </w:p>
    <w:p>
      <w:pPr>
        <w:ind w:right="559"/>
        <w:spacing w:after="0" w:line="257" w:lineRule="auto"/>
        <w:rPr>
          <w:sz w:val="20"/>
          <w:szCs w:val="20"/>
          <w:color w:val="auto"/>
        </w:rPr>
      </w:pPr>
      <w:r>
        <w:rPr>
          <w:rFonts w:ascii="Arial" w:cs="Arial" w:eastAsia="Arial" w:hAnsi="Arial"/>
          <w:sz w:val="18"/>
          <w:szCs w:val="18"/>
          <w:color w:val="auto"/>
        </w:rPr>
        <w:t>Glenn noted that a renewed focus on the basics that have created success over the Company’s 54 years—an unwavering customer focus, optimizing inventory and collecting receivables, and an entrepreneurial spirit that encourages innovation, prudent risk-taking and a focus on daily improvement—is yielding positive results. “We continue to size our capacity to meet market demand as necessary, but after a year of difficult decisions and moves, there is a renewed optimism and a bounce in our step at Universal,” he added.</w:t>
      </w:r>
    </w:p>
    <w:p>
      <w:pPr>
        <w:spacing w:after="0" w:line="161" w:lineRule="exact"/>
        <w:rPr>
          <w:sz w:val="20"/>
          <w:szCs w:val="20"/>
          <w:color w:val="auto"/>
        </w:rPr>
      </w:pPr>
    </w:p>
    <w:p>
      <w:pPr>
        <w:jc w:val="right"/>
        <w:ind w:right="559"/>
        <w:spacing w:after="0"/>
        <w:rPr>
          <w:sz w:val="20"/>
          <w:szCs w:val="20"/>
          <w:color w:val="auto"/>
        </w:rPr>
      </w:pPr>
      <w:r>
        <w:rPr>
          <w:rFonts w:ascii="Arial" w:cs="Arial" w:eastAsia="Arial" w:hAnsi="Arial"/>
          <w:sz w:val="18"/>
          <w:szCs w:val="18"/>
          <w:i w:val="1"/>
          <w:i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647700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1"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By market, Universal posted the following gross sales results for the first quarter of 2009:</w:t>
      </w:r>
    </w:p>
    <w:p>
      <w:pPr>
        <w:spacing w:after="0" w:line="181" w:lineRule="exact"/>
        <w:rPr>
          <w:sz w:val="20"/>
          <w:szCs w:val="20"/>
          <w:color w:val="auto"/>
        </w:rPr>
      </w:pPr>
    </w:p>
    <w:p>
      <w:pPr>
        <w:ind w:right="719"/>
        <w:spacing w:after="0" w:line="277" w:lineRule="auto"/>
        <w:rPr>
          <w:sz w:val="20"/>
          <w:szCs w:val="20"/>
          <w:color w:val="auto"/>
        </w:rPr>
      </w:pPr>
      <w:r>
        <w:rPr>
          <w:rFonts w:ascii="Arial" w:cs="Arial" w:eastAsia="Arial" w:hAnsi="Arial"/>
          <w:sz w:val="17"/>
          <w:szCs w:val="17"/>
          <w:b w:val="1"/>
          <w:bCs w:val="1"/>
          <w:color w:val="auto"/>
        </w:rPr>
        <w:t xml:space="preserve">Do-It-Yourself/retail: $168.1 million, a decrease of 4.2% from the same period of 2008. </w:t>
      </w:r>
      <w:r>
        <w:rPr>
          <w:rFonts w:ascii="Arial" w:cs="Arial" w:eastAsia="Arial" w:hAnsi="Arial"/>
          <w:sz w:val="17"/>
          <w:szCs w:val="17"/>
          <w:color w:val="auto"/>
        </w:rPr>
        <w:t>That compares with recent double-digit declines in same-store sales at big box retailers, which comprise much of Universal’s DIY business. Universal was able to achieve market share gains by adding new products and programs, such as Capricorn™ decking and lawn and garden products, and by gaining additional customer locations. While experts predict that the overall economic downturn and low consumer confidence will keep this market weak through 2009, the long-term forecast is strong.</w:t>
      </w:r>
    </w:p>
    <w:p>
      <w:pPr>
        <w:spacing w:after="0" w:line="128" w:lineRule="exact"/>
        <w:rPr>
          <w:sz w:val="20"/>
          <w:szCs w:val="20"/>
          <w:color w:val="auto"/>
        </w:rPr>
      </w:pPr>
    </w:p>
    <w:p>
      <w:pPr>
        <w:ind w:right="699"/>
        <w:spacing w:after="0" w:line="258" w:lineRule="auto"/>
        <w:rPr>
          <w:sz w:val="20"/>
          <w:szCs w:val="20"/>
          <w:color w:val="auto"/>
        </w:rPr>
      </w:pPr>
      <w:r>
        <w:rPr>
          <w:rFonts w:ascii="Arial" w:cs="Arial" w:eastAsia="Arial" w:hAnsi="Arial"/>
          <w:sz w:val="18"/>
          <w:szCs w:val="18"/>
          <w:b w:val="1"/>
          <w:bCs w:val="1"/>
          <w:color w:val="auto"/>
        </w:rPr>
        <w:t xml:space="preserve">Industrial packaging/components: $103.7 million, a decrease of 25.8% from 2008. </w:t>
      </w:r>
      <w:r>
        <w:rPr>
          <w:rFonts w:ascii="Arial" w:cs="Arial" w:eastAsia="Arial" w:hAnsi="Arial"/>
          <w:sz w:val="18"/>
          <w:szCs w:val="18"/>
          <w:color w:val="auto"/>
        </w:rPr>
        <w:t>These results can be attributed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to a decline in demand by U.S. industrial users of wood packaging and other products, resulting from the depressed economy. However, Universal continues to see strong opportunity in this still largely-fragmented market as it expands its product offering and as the economy recovers. The Company also expects continued strong growth in its concrete forming business, which it launched in the second quarter of 2007.</w:t>
      </w:r>
    </w:p>
    <w:p>
      <w:pPr>
        <w:spacing w:after="0" w:line="157" w:lineRule="exact"/>
        <w:rPr>
          <w:sz w:val="20"/>
          <w:szCs w:val="20"/>
          <w:color w:val="auto"/>
        </w:rPr>
      </w:pPr>
    </w:p>
    <w:p>
      <w:pPr>
        <w:ind w:right="679"/>
        <w:spacing w:after="0" w:line="256" w:lineRule="auto"/>
        <w:rPr>
          <w:sz w:val="20"/>
          <w:szCs w:val="20"/>
          <w:color w:val="auto"/>
        </w:rPr>
      </w:pPr>
      <w:r>
        <w:rPr>
          <w:rFonts w:ascii="Arial" w:cs="Arial" w:eastAsia="Arial" w:hAnsi="Arial"/>
          <w:sz w:val="18"/>
          <w:szCs w:val="18"/>
          <w:b w:val="1"/>
          <w:bCs w:val="1"/>
          <w:color w:val="auto"/>
        </w:rPr>
        <w:t xml:space="preserve">Site-built construction: $60.8 million, a decrease of 43.2% from the same period of 2008. </w:t>
      </w:r>
      <w:r>
        <w:rPr>
          <w:rFonts w:ascii="Arial" w:cs="Arial" w:eastAsia="Arial" w:hAnsi="Arial"/>
          <w:sz w:val="18"/>
          <w:szCs w:val="18"/>
          <w:color w:val="auto"/>
        </w:rPr>
        <w:t>In February 2009, year-to-date</w:t>
      </w:r>
      <w:r>
        <w:rPr>
          <w:rFonts w:ascii="Arial" w:cs="Arial" w:eastAsia="Arial" w:hAnsi="Arial"/>
          <w:sz w:val="18"/>
          <w:szCs w:val="18"/>
          <w:b w:val="1"/>
          <w:bCs w:val="1"/>
          <w:color w:val="auto"/>
        </w:rPr>
        <w:t xml:space="preserve"> </w:t>
      </w:r>
      <w:r>
        <w:rPr>
          <w:rFonts w:ascii="Arial" w:cs="Arial" w:eastAsia="Arial" w:hAnsi="Arial"/>
          <w:sz w:val="18"/>
          <w:szCs w:val="18"/>
          <w:color w:val="auto"/>
        </w:rPr>
        <w:t>single-family housing and multifamily starts were down approximately 53% and 50%, respectively, from the same period of 2008. Industry experts forecast a continued decline in homebuilding before the market begins to stabilize in the latter part of the year. Universal is focusing on multifamily housing and commercial construction, where it has identified opportunities. In addition, the Company is seen as a preferred and reliable supplier given its strong financial position in an industry where many suppliers are facing financial difficulties.</w:t>
      </w:r>
    </w:p>
    <w:p>
      <w:pPr>
        <w:spacing w:after="0" w:line="147" w:lineRule="exact"/>
        <w:rPr>
          <w:sz w:val="20"/>
          <w:szCs w:val="20"/>
          <w:color w:val="auto"/>
        </w:rPr>
      </w:pPr>
    </w:p>
    <w:p>
      <w:pPr>
        <w:ind w:right="739"/>
        <w:spacing w:after="0" w:line="303" w:lineRule="auto"/>
        <w:rPr>
          <w:sz w:val="20"/>
          <w:szCs w:val="20"/>
          <w:color w:val="auto"/>
        </w:rPr>
      </w:pPr>
      <w:r>
        <w:rPr>
          <w:rFonts w:ascii="Arial" w:cs="Arial" w:eastAsia="Arial" w:hAnsi="Arial"/>
          <w:sz w:val="16"/>
          <w:szCs w:val="16"/>
          <w:b w:val="1"/>
          <w:bCs w:val="1"/>
          <w:color w:val="auto"/>
        </w:rPr>
        <w:t xml:space="preserve">Manufactured housing: $36.6 million, a decrease of 52.2% from 2008. </w:t>
      </w:r>
      <w:r>
        <w:rPr>
          <w:rFonts w:ascii="Arial" w:cs="Arial" w:eastAsia="Arial" w:hAnsi="Arial"/>
          <w:sz w:val="16"/>
          <w:szCs w:val="16"/>
          <w:color w:val="auto"/>
        </w:rPr>
        <w:t>According to the most recent statistics available,</w:t>
      </w:r>
      <w:r>
        <w:rPr>
          <w:rFonts w:ascii="Arial" w:cs="Arial" w:eastAsia="Arial" w:hAnsi="Arial"/>
          <w:sz w:val="16"/>
          <w:szCs w:val="16"/>
          <w:b w:val="1"/>
          <w:bCs w:val="1"/>
          <w:color w:val="auto"/>
        </w:rPr>
        <w:t xml:space="preserve"> </w:t>
      </w:r>
      <w:r>
        <w:rPr>
          <w:rFonts w:ascii="Arial" w:cs="Arial" w:eastAsia="Arial" w:hAnsi="Arial"/>
          <w:sz w:val="16"/>
          <w:szCs w:val="16"/>
          <w:color w:val="auto"/>
        </w:rPr>
        <w:t>shipments of HUD-code homes were down more than 46% for the year-to-date February 2009 compared to the same period of 2008. Forecasts call for industry shipments to continue their downward trend through 2009. The Company believes this market will remain depressed until the oversupply of site-built homes is absorbed and credit conditions improve.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02" w:lineRule="exact"/>
        <w:rPr>
          <w:sz w:val="20"/>
          <w:szCs w:val="20"/>
          <w:color w:val="auto"/>
        </w:rPr>
      </w:pPr>
    </w:p>
    <w:p>
      <w:pPr>
        <w:ind w:right="759"/>
        <w:spacing w:after="0" w:line="302" w:lineRule="auto"/>
        <w:rPr>
          <w:sz w:val="20"/>
          <w:szCs w:val="20"/>
          <w:color w:val="auto"/>
        </w:rPr>
      </w:pPr>
      <w:r>
        <w:rPr>
          <w:rFonts w:ascii="Arial" w:cs="Arial" w:eastAsia="Arial" w:hAnsi="Arial"/>
          <w:sz w:val="16"/>
          <w:szCs w:val="16"/>
          <w:color w:val="auto"/>
        </w:rPr>
        <w:t>The Company expects the current challenging conditions to prevail through 2009; however, its strong financial position, solid business model and diverse business opportunities position it better than most to endure challenging times. The Company believes that current economic conditions and uncertainties limit its ability to provide meaningful guidance for ranges of likely financial performance and has chosen to cease the practice of providing guidance for the foreseeable future.</w:t>
      </w:r>
    </w:p>
    <w:p>
      <w:pPr>
        <w:spacing w:after="0" w:line="114" w:lineRule="exact"/>
        <w:rPr>
          <w:sz w:val="20"/>
          <w:szCs w:val="20"/>
          <w:color w:val="auto"/>
        </w:rPr>
      </w:pPr>
    </w:p>
    <w:p>
      <w:pPr>
        <w:jc w:val="right"/>
        <w:ind w:right="559"/>
        <w:spacing w:after="0"/>
        <w:rPr>
          <w:sz w:val="20"/>
          <w:szCs w:val="20"/>
          <w:color w:val="auto"/>
        </w:rPr>
      </w:pPr>
      <w:r>
        <w:rPr>
          <w:rFonts w:ascii="Arial" w:cs="Arial" w:eastAsia="Arial" w:hAnsi="Arial"/>
          <w:sz w:val="18"/>
          <w:szCs w:val="18"/>
          <w:i w:val="1"/>
          <w:i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655955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89" w:lineRule="exact"/>
        <w:rPr>
          <w:sz w:val="20"/>
          <w:szCs w:val="20"/>
          <w:color w:val="auto"/>
        </w:rPr>
      </w:pPr>
    </w:p>
    <w:p>
      <w:pPr>
        <w:ind w:right="559"/>
        <w:spacing w:after="0" w:line="255" w:lineRule="auto"/>
        <w:rPr>
          <w:sz w:val="20"/>
          <w:szCs w:val="20"/>
          <w:color w:val="auto"/>
        </w:rPr>
      </w:pPr>
      <w:r>
        <w:rPr>
          <w:rFonts w:ascii="Arial" w:cs="Arial" w:eastAsia="Arial" w:hAnsi="Arial"/>
          <w:sz w:val="18"/>
          <w:szCs w:val="18"/>
          <w:color w:val="auto"/>
        </w:rPr>
        <w:t xml:space="preserve">Universal Forest Products will conduct a conference call to discuss information included in this news release and related matters at 8:30 a.m. ET on Thursday, April 16, 2009. The call will be hosted by Executive Chairman William G. Currie, CEO Michael B. Glenn and CFO Michael Cole, and will be available for analysts and institutional investors domestically at (800) 901-5217 or internationally at (617) 786-2964. Use conference passcode 89537502. The conference call will be available simultaneously and in its entirety to all interested investors and news media through a Web cast at </w:t>
      </w:r>
      <w:r>
        <w:rPr>
          <w:rFonts w:ascii="Arial" w:cs="Arial" w:eastAsia="Arial" w:hAnsi="Arial"/>
          <w:sz w:val="18"/>
          <w:szCs w:val="18"/>
          <w:u w:val="single" w:color="auto"/>
          <w:color w:val="auto"/>
        </w:rPr>
        <w:t>http://www.ufpi.com.</w:t>
      </w:r>
      <w:r>
        <w:rPr>
          <w:rFonts w:ascii="Arial" w:cs="Arial" w:eastAsia="Arial" w:hAnsi="Arial"/>
          <w:sz w:val="18"/>
          <w:szCs w:val="18"/>
          <w:color w:val="auto"/>
        </w:rPr>
        <w:t xml:space="preserve"> A replay of the call will be available through Friday, May 15, 2009, domestically at (888) 286-8010 and internationally at (617) 801-6888. Use replay passcode 32925458.</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02" w:lineRule="exact"/>
        <w:rPr>
          <w:sz w:val="20"/>
          <w:szCs w:val="20"/>
          <w:color w:val="auto"/>
        </w:rPr>
      </w:pPr>
    </w:p>
    <w:p>
      <w:pPr>
        <w:ind w:right="659"/>
        <w:spacing w:after="0" w:line="270" w:lineRule="auto"/>
        <w:rPr>
          <w:sz w:val="20"/>
          <w:szCs w:val="20"/>
          <w:color w:val="auto"/>
        </w:rPr>
      </w:pPr>
      <w:r>
        <w:rPr>
          <w:rFonts w:ascii="Arial" w:cs="Arial" w:eastAsia="Arial" w:hAnsi="Arial"/>
          <w:sz w:val="17"/>
          <w:szCs w:val="17"/>
          <w:color w:val="auto"/>
        </w:rPr>
        <w:t>Universal Forest Products, Inc. is a holding company that provides capital, management and administrative resources to subsidiaries that design, manufacture and market wood and wood-alternative products for DIY/retail home centers and other retailers, structural lumber products for the manufactured housing industry, engineered wood components for the site-built construction market, and specialty wood packaging and components for various industries. The Company’s consumer products subsidiary offers a large portfolio of outdoor living products, including wood composite decking, decorative balusters, post caps and plastic lattice, and its garden group offers an array of products, such as trellises and arches, to retailers nationwide. Universal’s subsidiaries also provide framing services for the site-built market and forming products for concrete construction. The 54-year-old company is headquartered in Grand Rapids, Mich., with facilities throughout North America. For more about Universal Forest Products, go to www.ufpi.com.</w:t>
      </w:r>
    </w:p>
    <w:p>
      <w:pPr>
        <w:spacing w:after="0" w:line="141" w:lineRule="exact"/>
        <w:rPr>
          <w:sz w:val="20"/>
          <w:szCs w:val="20"/>
          <w:color w:val="auto"/>
        </w:rPr>
      </w:pPr>
    </w:p>
    <w:p>
      <w:pPr>
        <w:ind w:right="759"/>
        <w:spacing w:after="0" w:line="271" w:lineRule="auto"/>
        <w:rPr>
          <w:sz w:val="20"/>
          <w:szCs w:val="20"/>
          <w:color w:val="auto"/>
        </w:rPr>
      </w:pPr>
      <w:r>
        <w:rPr>
          <w:rFonts w:ascii="Arial" w:cs="Arial" w:eastAsia="Arial" w:hAnsi="Arial"/>
          <w:sz w:val="17"/>
          <w:szCs w:val="17"/>
          <w:i w:val="1"/>
          <w:iCs w:val="1"/>
          <w:color w:val="auto"/>
        </w:rPr>
        <w:t>Please be aware that: Any statements included in this press release that are not historical facts are forward-looking statements within the meaning of Section 21E of the Securities Exchange Act of 1934, as amended. Such forward-looking statements are based on the beliefs of the Company’s management as well as on assumptions made by,</w:t>
      </w:r>
    </w:p>
    <w:p>
      <w:pPr>
        <w:ind w:right="579"/>
        <w:spacing w:after="0" w:line="288" w:lineRule="auto"/>
        <w:rPr>
          <w:sz w:val="20"/>
          <w:szCs w:val="20"/>
          <w:color w:val="auto"/>
        </w:rPr>
      </w:pPr>
      <w:r>
        <w:rPr>
          <w:rFonts w:ascii="Arial" w:cs="Arial" w:eastAsia="Arial" w:hAnsi="Arial"/>
          <w:sz w:val="16"/>
          <w:szCs w:val="16"/>
          <w:i w:val="1"/>
          <w:iCs w:val="1"/>
          <w:color w:val="auto"/>
        </w:rPr>
        <w:t>and information currently available to, the Company at the time such statements were made. The Company does not undertake to update forward-looking statements to reflect facts, circumstances, assumptions or events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Adverse lumber market trends, competitive activity, negative economic trends, government regulations and weather. Certain of these risk factors and additional information are included in the Company’s reports on Form 10-K and 10-Q on file with the Securities and Exchange Commission.</w:t>
      </w:r>
    </w:p>
    <w:p>
      <w:pPr>
        <w:spacing w:after="0" w:line="12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655955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7" w:name="page8"/>
    <w:bookmarkEnd w:id="7"/>
    <w:p>
      <w:pPr>
        <w:ind w:left="34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PAGE 4</w:t>
      </w:r>
    </w:p>
    <w:p>
      <w:pPr>
        <w:spacing w:after="0" w:line="180"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CONSOLIDATED STATEMENTS OF EARNINGS (UNAUDITED)</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FOR THE THREE MONTHS ENDED</w:t>
      </w:r>
    </w:p>
    <w:p>
      <w:pPr>
        <w:spacing w:after="0" w:line="9"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MARCH 2009/2008</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2500" w:type="dxa"/>
            <w:vAlign w:val="bottom"/>
            <w:gridSpan w:val="5"/>
            <w:vMerge w:val="restart"/>
          </w:tcPr>
          <w:p>
            <w:pPr>
              <w:spacing w:after="0"/>
              <w:rPr>
                <w:sz w:val="20"/>
                <w:szCs w:val="20"/>
                <w:color w:val="auto"/>
              </w:rPr>
            </w:pPr>
            <w:r>
              <w:rPr>
                <w:rFonts w:ascii="Arial" w:cs="Arial" w:eastAsia="Arial" w:hAnsi="Arial"/>
                <w:sz w:val="14"/>
                <w:szCs w:val="14"/>
                <w:b w:val="1"/>
                <w:bCs w:val="1"/>
                <w:color w:val="auto"/>
                <w:w w:val="99"/>
              </w:rPr>
              <w:t>(In thousands, except per share data)</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rPr>
              <w:t>Quarter Period</w:t>
            </w: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4"/>
                <w:szCs w:val="14"/>
                <w:b w:val="1"/>
                <w:bCs w:val="1"/>
                <w:color w:val="auto"/>
              </w:rPr>
              <w:t>Year to Date</w:t>
            </w: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50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67"/>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17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SALES</w:t>
            </w:r>
          </w:p>
        </w:tc>
        <w:tc>
          <w:tcPr>
            <w:tcW w:w="10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6"/>
              </w:rPr>
              <w:t>361,722</w:t>
            </w:r>
          </w:p>
        </w:tc>
        <w:tc>
          <w:tcPr>
            <w:tcW w:w="122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   $</w:t>
            </w:r>
          </w:p>
        </w:tc>
        <w:tc>
          <w:tcPr>
            <w:tcW w:w="5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6"/>
              </w:rPr>
              <w:t>489,512</w:t>
            </w:r>
          </w:p>
        </w:tc>
        <w:tc>
          <w:tcPr>
            <w:tcW w:w="9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1000" w:type="dxa"/>
            <w:vAlign w:val="bottom"/>
            <w:gridSpan w:val="5"/>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$ 361,722</w:t>
            </w:r>
          </w:p>
        </w:tc>
        <w:tc>
          <w:tcPr>
            <w:tcW w:w="8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100%</w:t>
            </w:r>
          </w:p>
        </w:tc>
        <w:tc>
          <w:tcPr>
            <w:tcW w:w="1000" w:type="dxa"/>
            <w:vAlign w:val="bottom"/>
            <w:gridSpan w:val="4"/>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$ 489,512</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340" w:type="dxa"/>
            <w:vAlign w:val="bottom"/>
          </w:tcPr>
          <w:p>
            <w:pPr>
              <w:spacing w:after="0"/>
              <w:rPr>
                <w:sz w:val="24"/>
                <w:szCs w:val="24"/>
                <w:color w:val="auto"/>
              </w:rPr>
            </w:pPr>
          </w:p>
        </w:tc>
        <w:tc>
          <w:tcPr>
            <w:tcW w:w="2000" w:type="dxa"/>
            <w:vAlign w:val="bottom"/>
            <w:gridSpan w:val="2"/>
          </w:tcPr>
          <w:p>
            <w:pPr>
              <w:spacing w:after="0"/>
              <w:rPr>
                <w:sz w:val="20"/>
                <w:szCs w:val="20"/>
                <w:color w:val="auto"/>
              </w:rPr>
            </w:pPr>
            <w:r>
              <w:rPr>
                <w:rFonts w:ascii="Arial" w:cs="Arial" w:eastAsia="Arial" w:hAnsi="Arial"/>
                <w:sz w:val="14"/>
                <w:szCs w:val="14"/>
                <w:b w:val="1"/>
                <w:bCs w:val="1"/>
                <w:color w:val="auto"/>
              </w:rPr>
              <w:t>COST OF GOODS SOLD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4"/>
          </w:tcPr>
          <w:p>
            <w:pPr>
              <w:jc w:val="right"/>
              <w:ind w:right="60"/>
              <w:spacing w:after="0"/>
              <w:rPr>
                <w:sz w:val="20"/>
                <w:szCs w:val="20"/>
                <w:color w:val="auto"/>
              </w:rPr>
            </w:pPr>
            <w:r>
              <w:rPr>
                <w:rFonts w:ascii="Arial" w:cs="Arial" w:eastAsia="Arial" w:hAnsi="Arial"/>
                <w:sz w:val="14"/>
                <w:szCs w:val="14"/>
                <w:color w:val="auto"/>
                <w:w w:val="86"/>
              </w:rPr>
              <w:t>314,901</w:t>
            </w: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87.1</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4"/>
                <w:szCs w:val="14"/>
                <w:color w:val="auto"/>
                <w:w w:val="86"/>
              </w:rPr>
              <w:t>434,692</w:t>
            </w:r>
          </w:p>
        </w:tc>
        <w:tc>
          <w:tcPr>
            <w:tcW w:w="900" w:type="dxa"/>
            <w:vAlign w:val="bottom"/>
            <w:gridSpan w:val="3"/>
          </w:tcPr>
          <w:p>
            <w:pPr>
              <w:jc w:val="right"/>
              <w:ind w:right="120"/>
              <w:spacing w:after="0"/>
              <w:rPr>
                <w:sz w:val="20"/>
                <w:szCs w:val="20"/>
                <w:color w:val="auto"/>
              </w:rPr>
            </w:pPr>
            <w:r>
              <w:rPr>
                <w:rFonts w:ascii="Arial" w:cs="Arial" w:eastAsia="Arial" w:hAnsi="Arial"/>
                <w:sz w:val="14"/>
                <w:szCs w:val="14"/>
                <w:color w:val="auto"/>
              </w:rPr>
              <w:t>88.8</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4"/>
                <w:szCs w:val="14"/>
                <w:color w:val="auto"/>
                <w:w w:val="90"/>
              </w:rPr>
              <w:t>314,901</w:t>
            </w:r>
          </w:p>
        </w:tc>
        <w:tc>
          <w:tcPr>
            <w:tcW w:w="880" w:type="dxa"/>
            <w:vAlign w:val="bottom"/>
            <w:gridSpan w:val="2"/>
          </w:tcPr>
          <w:p>
            <w:pPr>
              <w:jc w:val="right"/>
              <w:ind w:right="168"/>
              <w:spacing w:after="0"/>
              <w:rPr>
                <w:sz w:val="20"/>
                <w:szCs w:val="20"/>
                <w:color w:val="auto"/>
              </w:rPr>
            </w:pPr>
            <w:r>
              <w:rPr>
                <w:rFonts w:ascii="Arial" w:cs="Arial" w:eastAsia="Arial" w:hAnsi="Arial"/>
                <w:sz w:val="14"/>
                <w:szCs w:val="14"/>
                <w:color w:val="auto"/>
              </w:rPr>
              <w:t>87.1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w w:val="90"/>
              </w:rPr>
              <w:t>434,692</w:t>
            </w:r>
          </w:p>
        </w:tc>
        <w:tc>
          <w:tcPr>
            <w:tcW w:w="680" w:type="dxa"/>
            <w:vAlign w:val="bottom"/>
            <w:gridSpan w:val="3"/>
          </w:tcPr>
          <w:p>
            <w:pPr>
              <w:jc w:val="right"/>
              <w:ind w:right="120"/>
              <w:spacing w:after="0"/>
              <w:rPr>
                <w:sz w:val="20"/>
                <w:szCs w:val="20"/>
                <w:color w:val="auto"/>
              </w:rPr>
            </w:pPr>
            <w:r>
              <w:rPr>
                <w:rFonts w:ascii="Arial" w:cs="Arial" w:eastAsia="Arial" w:hAnsi="Arial"/>
                <w:sz w:val="14"/>
                <w:szCs w:val="14"/>
                <w:color w:val="auto"/>
              </w:rPr>
              <w:t>88.8</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GROSS PROFIT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46,821</w:t>
            </w:r>
          </w:p>
        </w:tc>
        <w:tc>
          <w:tcPr>
            <w:tcW w:w="8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12.9</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54,820</w:t>
            </w:r>
          </w:p>
        </w:tc>
        <w:tc>
          <w:tcPr>
            <w:tcW w:w="9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46,821</w:t>
            </w:r>
          </w:p>
        </w:tc>
        <w:tc>
          <w:tcPr>
            <w:tcW w:w="88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12.9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54,820</w:t>
            </w:r>
          </w:p>
        </w:tc>
        <w:tc>
          <w:tcPr>
            <w:tcW w:w="6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11.2</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340" w:type="dxa"/>
            <w:vAlign w:val="bottom"/>
          </w:tcPr>
          <w:p>
            <w:pPr>
              <w:spacing w:after="0"/>
              <w:rPr>
                <w:sz w:val="23"/>
                <w:szCs w:val="23"/>
                <w:color w:val="auto"/>
              </w:rPr>
            </w:pPr>
          </w:p>
        </w:tc>
        <w:tc>
          <w:tcPr>
            <w:tcW w:w="2000" w:type="dxa"/>
            <w:vAlign w:val="bottom"/>
            <w:gridSpan w:val="2"/>
          </w:tcPr>
          <w:p>
            <w:pPr>
              <w:spacing w:after="0"/>
              <w:rPr>
                <w:sz w:val="20"/>
                <w:szCs w:val="20"/>
                <w:color w:val="auto"/>
              </w:rPr>
            </w:pPr>
            <w:r>
              <w:rPr>
                <w:rFonts w:ascii="Arial" w:cs="Arial" w:eastAsia="Arial" w:hAnsi="Arial"/>
                <w:sz w:val="14"/>
                <w:szCs w:val="14"/>
                <w:b w:val="1"/>
                <w:bCs w:val="1"/>
                <w:color w:val="auto"/>
              </w:rPr>
              <w:t>SELLING, GENERAL AND</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2580" w:type="dxa"/>
            <w:vAlign w:val="bottom"/>
            <w:gridSpan w:val="6"/>
          </w:tcPr>
          <w:p>
            <w:pPr>
              <w:ind w:left="200"/>
              <w:spacing w:after="0"/>
              <w:rPr>
                <w:sz w:val="20"/>
                <w:szCs w:val="20"/>
                <w:color w:val="auto"/>
              </w:rPr>
            </w:pPr>
            <w:r>
              <w:rPr>
                <w:rFonts w:ascii="Arial" w:cs="Arial" w:eastAsia="Arial" w:hAnsi="Arial"/>
                <w:sz w:val="14"/>
                <w:szCs w:val="14"/>
                <w:b w:val="1"/>
                <w:bCs w:val="1"/>
                <w:color w:val="auto"/>
              </w:rPr>
              <w:t>ADMINISTRATIVE EXPENSES</w:t>
            </w:r>
          </w:p>
        </w:tc>
        <w:tc>
          <w:tcPr>
            <w:tcW w:w="520" w:type="dxa"/>
            <w:vAlign w:val="bottom"/>
            <w:gridSpan w:val="4"/>
          </w:tcPr>
          <w:p>
            <w:pPr>
              <w:jc w:val="right"/>
              <w:ind w:right="60"/>
              <w:spacing w:after="0"/>
              <w:rPr>
                <w:sz w:val="20"/>
                <w:szCs w:val="20"/>
                <w:color w:val="auto"/>
              </w:rPr>
            </w:pPr>
            <w:r>
              <w:rPr>
                <w:rFonts w:ascii="Arial" w:cs="Arial" w:eastAsia="Arial" w:hAnsi="Arial"/>
                <w:sz w:val="14"/>
                <w:szCs w:val="14"/>
                <w:color w:val="auto"/>
              </w:rPr>
              <w:t>49,092</w:t>
            </w: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13.6</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4"/>
                <w:szCs w:val="14"/>
                <w:color w:val="auto"/>
              </w:rPr>
              <w:t>58,544</w:t>
            </w:r>
          </w:p>
        </w:tc>
        <w:tc>
          <w:tcPr>
            <w:tcW w:w="900" w:type="dxa"/>
            <w:vAlign w:val="bottom"/>
            <w:gridSpan w:val="3"/>
          </w:tcPr>
          <w:p>
            <w:pPr>
              <w:jc w:val="right"/>
              <w:ind w:right="120"/>
              <w:spacing w:after="0"/>
              <w:rPr>
                <w:sz w:val="20"/>
                <w:szCs w:val="20"/>
                <w:color w:val="auto"/>
              </w:rPr>
            </w:pPr>
            <w:r>
              <w:rPr>
                <w:rFonts w:ascii="Arial" w:cs="Arial" w:eastAsia="Arial" w:hAnsi="Arial"/>
                <w:sz w:val="14"/>
                <w:szCs w:val="14"/>
                <w:color w:val="auto"/>
              </w:rPr>
              <w:t>12.0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4"/>
                <w:szCs w:val="14"/>
                <w:color w:val="auto"/>
              </w:rPr>
              <w:t>49,092</w:t>
            </w:r>
          </w:p>
        </w:tc>
        <w:tc>
          <w:tcPr>
            <w:tcW w:w="880" w:type="dxa"/>
            <w:vAlign w:val="bottom"/>
            <w:gridSpan w:val="2"/>
          </w:tcPr>
          <w:p>
            <w:pPr>
              <w:jc w:val="right"/>
              <w:ind w:right="168"/>
              <w:spacing w:after="0"/>
              <w:rPr>
                <w:sz w:val="20"/>
                <w:szCs w:val="20"/>
                <w:color w:val="auto"/>
              </w:rPr>
            </w:pPr>
            <w:r>
              <w:rPr>
                <w:rFonts w:ascii="Arial" w:cs="Arial" w:eastAsia="Arial" w:hAnsi="Arial"/>
                <w:sz w:val="14"/>
                <w:szCs w:val="14"/>
                <w:color w:val="auto"/>
              </w:rPr>
              <w:t>13.6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58,544</w:t>
            </w:r>
          </w:p>
        </w:tc>
        <w:tc>
          <w:tcPr>
            <w:tcW w:w="680" w:type="dxa"/>
            <w:vAlign w:val="bottom"/>
            <w:gridSpan w:val="3"/>
          </w:tcPr>
          <w:p>
            <w:pPr>
              <w:jc w:val="right"/>
              <w:ind w:right="120"/>
              <w:spacing w:after="0"/>
              <w:rPr>
                <w:sz w:val="20"/>
                <w:szCs w:val="20"/>
                <w:color w:val="auto"/>
              </w:rPr>
            </w:pPr>
            <w:r>
              <w:rPr>
                <w:rFonts w:ascii="Arial" w:cs="Arial" w:eastAsia="Arial" w:hAnsi="Arial"/>
                <w:sz w:val="14"/>
                <w:szCs w:val="14"/>
                <w:color w:val="auto"/>
              </w:rPr>
              <w:t>12.0</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0" w:type="dxa"/>
            <w:vAlign w:val="bottom"/>
          </w:tcPr>
          <w:p>
            <w:pPr>
              <w:spacing w:after="0"/>
              <w:rPr>
                <w:sz w:val="10"/>
                <w:szCs w:val="10"/>
                <w:color w:val="auto"/>
              </w:rPr>
            </w:pPr>
          </w:p>
        </w:tc>
        <w:tc>
          <w:tcPr>
            <w:tcW w:w="200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NET (GAIN) LOSS ON</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0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DISPOSITION OF ASSETS</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10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AND OTHER IMPAIRMENT</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200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AND EXIT CHARGES</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(1,136)</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807</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0.2</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(1,136)</w:t>
            </w:r>
          </w:p>
        </w:tc>
        <w:tc>
          <w:tcPr>
            <w:tcW w:w="88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(0.3)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807</w:t>
            </w: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0.2</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LOSS FROM OPERATIONS</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340" w:type="dxa"/>
            <w:vAlign w:val="bottom"/>
          </w:tcPr>
          <w:p>
            <w:pPr>
              <w:spacing w:after="0"/>
              <w:rPr>
                <w:sz w:val="24"/>
                <w:szCs w:val="24"/>
                <w:color w:val="auto"/>
              </w:rPr>
            </w:pPr>
          </w:p>
        </w:tc>
        <w:tc>
          <w:tcPr>
            <w:tcW w:w="20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4"/>
          </w:tcPr>
          <w:p>
            <w:pPr>
              <w:jc w:val="right"/>
              <w:spacing w:after="0"/>
              <w:rPr>
                <w:sz w:val="20"/>
                <w:szCs w:val="20"/>
                <w:color w:val="auto"/>
              </w:rPr>
            </w:pPr>
            <w:r>
              <w:rPr>
                <w:rFonts w:ascii="Arial" w:cs="Arial" w:eastAsia="Arial" w:hAnsi="Arial"/>
                <w:sz w:val="14"/>
                <w:szCs w:val="14"/>
                <w:color w:val="auto"/>
              </w:rPr>
              <w:t>(1,135)</w:t>
            </w: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(0.3)</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4"/>
                <w:szCs w:val="14"/>
                <w:color w:val="auto"/>
              </w:rPr>
              <w:t>(4,531)</w:t>
            </w:r>
          </w:p>
        </w:tc>
        <w:tc>
          <w:tcPr>
            <w:tcW w:w="900" w:type="dxa"/>
            <w:vAlign w:val="bottom"/>
            <w:gridSpan w:val="3"/>
          </w:tcPr>
          <w:p>
            <w:pPr>
              <w:jc w:val="right"/>
              <w:ind w:right="80"/>
              <w:spacing w:after="0"/>
              <w:rPr>
                <w:sz w:val="20"/>
                <w:szCs w:val="20"/>
                <w:color w:val="auto"/>
              </w:rPr>
            </w:pPr>
            <w:r>
              <w:rPr>
                <w:rFonts w:ascii="Arial" w:cs="Arial" w:eastAsia="Arial" w:hAnsi="Arial"/>
                <w:sz w:val="14"/>
                <w:szCs w:val="14"/>
                <w:color w:val="auto"/>
              </w:rPr>
              <w:t>(0.9)</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4"/>
                <w:szCs w:val="14"/>
                <w:color w:val="auto"/>
              </w:rPr>
              <w:t>(1,135)</w:t>
            </w:r>
          </w:p>
        </w:tc>
        <w:tc>
          <w:tcPr>
            <w:tcW w:w="880" w:type="dxa"/>
            <w:vAlign w:val="bottom"/>
            <w:gridSpan w:val="2"/>
          </w:tcPr>
          <w:p>
            <w:pPr>
              <w:jc w:val="right"/>
              <w:ind w:right="108"/>
              <w:spacing w:after="0"/>
              <w:rPr>
                <w:sz w:val="20"/>
                <w:szCs w:val="20"/>
                <w:color w:val="auto"/>
              </w:rPr>
            </w:pPr>
            <w:r>
              <w:rPr>
                <w:rFonts w:ascii="Arial" w:cs="Arial" w:eastAsia="Arial" w:hAnsi="Arial"/>
                <w:sz w:val="14"/>
                <w:szCs w:val="14"/>
                <w:color w:val="auto"/>
              </w:rPr>
              <w:t>(0.3)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(4,531)</w:t>
            </w:r>
          </w:p>
        </w:tc>
        <w:tc>
          <w:tcPr>
            <w:tcW w:w="680" w:type="dxa"/>
            <w:vAlign w:val="bottom"/>
            <w:gridSpan w:val="3"/>
          </w:tcPr>
          <w:p>
            <w:pPr>
              <w:jc w:val="right"/>
              <w:ind w:right="60"/>
              <w:spacing w:after="0"/>
              <w:rPr>
                <w:sz w:val="20"/>
                <w:szCs w:val="20"/>
                <w:color w:val="auto"/>
              </w:rPr>
            </w:pPr>
            <w:r>
              <w:rPr>
                <w:rFonts w:ascii="Arial" w:cs="Arial" w:eastAsia="Arial" w:hAnsi="Arial"/>
                <w:sz w:val="14"/>
                <w:szCs w:val="14"/>
                <w:color w:val="auto"/>
              </w:rPr>
              <w:t>(0.9)</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0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Interest expense</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1,074</w:t>
            </w:r>
          </w:p>
        </w:tc>
        <w:tc>
          <w:tcPr>
            <w:tcW w:w="8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3,594</w:t>
            </w:r>
          </w:p>
        </w:tc>
        <w:tc>
          <w:tcPr>
            <w:tcW w:w="9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1,074</w:t>
            </w:r>
          </w:p>
        </w:tc>
        <w:tc>
          <w:tcPr>
            <w:tcW w:w="88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0.3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3,594</w:t>
            </w:r>
          </w:p>
        </w:tc>
        <w:tc>
          <w:tcPr>
            <w:tcW w:w="6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0.7</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00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Interest income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(83)</w:t>
            </w:r>
          </w:p>
        </w:tc>
        <w:tc>
          <w:tcPr>
            <w:tcW w:w="40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(373)</w:t>
            </w:r>
          </w:p>
        </w:tc>
        <w:tc>
          <w:tcPr>
            <w:tcW w:w="9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(0.1)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(83)</w:t>
            </w:r>
          </w:p>
        </w:tc>
        <w:tc>
          <w:tcPr>
            <w:tcW w:w="500" w:type="dxa"/>
            <w:vAlign w:val="bottom"/>
          </w:tcPr>
          <w:p>
            <w:pPr>
              <w:spacing w:after="0"/>
              <w:rPr>
                <w:sz w:val="12"/>
                <w:szCs w:val="12"/>
                <w:color w:val="auto"/>
              </w:rPr>
            </w:pPr>
          </w:p>
        </w:tc>
        <w:tc>
          <w:tcPr>
            <w:tcW w:w="380" w:type="dxa"/>
            <w:vAlign w:val="bottom"/>
          </w:tcPr>
          <w:p>
            <w:pPr>
              <w:jc w:val="right"/>
              <w:ind w:right="168"/>
              <w:spacing w:after="0" w:line="149" w:lineRule="exact"/>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(373)</w:t>
            </w:r>
          </w:p>
        </w:tc>
        <w:tc>
          <w:tcPr>
            <w:tcW w:w="6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(0.1)</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40" w:type="dxa"/>
            <w:vAlign w:val="bottom"/>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991</w:t>
            </w:r>
          </w:p>
        </w:tc>
        <w:tc>
          <w:tcPr>
            <w:tcW w:w="8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3,221</w:t>
            </w:r>
          </w:p>
        </w:tc>
        <w:tc>
          <w:tcPr>
            <w:tcW w:w="9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991</w:t>
            </w:r>
          </w:p>
        </w:tc>
        <w:tc>
          <w:tcPr>
            <w:tcW w:w="88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0.3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3,221</w:t>
            </w:r>
          </w:p>
        </w:tc>
        <w:tc>
          <w:tcPr>
            <w:tcW w:w="6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0.7</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340" w:type="dxa"/>
            <w:vAlign w:val="bottom"/>
          </w:tcPr>
          <w:p>
            <w:pPr>
              <w:spacing w:after="0"/>
              <w:rPr>
                <w:sz w:val="24"/>
                <w:szCs w:val="24"/>
                <w:color w:val="auto"/>
              </w:rPr>
            </w:pPr>
          </w:p>
        </w:tc>
        <w:tc>
          <w:tcPr>
            <w:tcW w:w="2500" w:type="dxa"/>
            <w:vAlign w:val="bottom"/>
            <w:gridSpan w:val="5"/>
          </w:tcPr>
          <w:p>
            <w:pPr>
              <w:spacing w:after="0"/>
              <w:rPr>
                <w:sz w:val="20"/>
                <w:szCs w:val="20"/>
                <w:color w:val="auto"/>
              </w:rPr>
            </w:pPr>
            <w:r>
              <w:rPr>
                <w:rFonts w:ascii="Arial" w:cs="Arial" w:eastAsia="Arial" w:hAnsi="Arial"/>
                <w:sz w:val="14"/>
                <w:szCs w:val="14"/>
                <w:b w:val="1"/>
                <w:bCs w:val="1"/>
                <w:color w:val="auto"/>
              </w:rPr>
              <w:t>LOSS BEFORE INCOME TAXES</w:t>
            </w:r>
          </w:p>
        </w:tc>
        <w:tc>
          <w:tcPr>
            <w:tcW w:w="80" w:type="dxa"/>
            <w:vAlign w:val="bottom"/>
          </w:tcPr>
          <w:p>
            <w:pPr>
              <w:spacing w:after="0"/>
              <w:rPr>
                <w:sz w:val="24"/>
                <w:szCs w:val="24"/>
                <w:color w:val="auto"/>
              </w:rPr>
            </w:pPr>
          </w:p>
        </w:tc>
        <w:tc>
          <w:tcPr>
            <w:tcW w:w="520" w:type="dxa"/>
            <w:vAlign w:val="bottom"/>
            <w:gridSpan w:val="4"/>
          </w:tcPr>
          <w:p>
            <w:pPr>
              <w:jc w:val="right"/>
              <w:spacing w:after="0"/>
              <w:rPr>
                <w:sz w:val="20"/>
                <w:szCs w:val="20"/>
                <w:color w:val="auto"/>
              </w:rPr>
            </w:pPr>
            <w:r>
              <w:rPr>
                <w:rFonts w:ascii="Arial" w:cs="Arial" w:eastAsia="Arial" w:hAnsi="Arial"/>
                <w:sz w:val="14"/>
                <w:szCs w:val="14"/>
                <w:color w:val="auto"/>
              </w:rPr>
              <w:t>(2,126)</w:t>
            </w: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(0.6)</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4"/>
                <w:szCs w:val="14"/>
                <w:color w:val="auto"/>
              </w:rPr>
              <w:t>(7,752)</w:t>
            </w:r>
          </w:p>
        </w:tc>
        <w:tc>
          <w:tcPr>
            <w:tcW w:w="900" w:type="dxa"/>
            <w:vAlign w:val="bottom"/>
            <w:gridSpan w:val="3"/>
          </w:tcPr>
          <w:p>
            <w:pPr>
              <w:jc w:val="right"/>
              <w:ind w:right="80"/>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4"/>
                <w:szCs w:val="14"/>
                <w:color w:val="auto"/>
              </w:rPr>
              <w:t>(2,126)</w:t>
            </w:r>
          </w:p>
        </w:tc>
        <w:tc>
          <w:tcPr>
            <w:tcW w:w="880" w:type="dxa"/>
            <w:vAlign w:val="bottom"/>
            <w:gridSpan w:val="2"/>
          </w:tcPr>
          <w:p>
            <w:pPr>
              <w:jc w:val="right"/>
              <w:ind w:right="108"/>
              <w:spacing w:after="0"/>
              <w:rPr>
                <w:sz w:val="20"/>
                <w:szCs w:val="20"/>
                <w:color w:val="auto"/>
              </w:rPr>
            </w:pPr>
            <w:r>
              <w:rPr>
                <w:rFonts w:ascii="Arial" w:cs="Arial" w:eastAsia="Arial" w:hAnsi="Arial"/>
                <w:sz w:val="14"/>
                <w:szCs w:val="14"/>
                <w:color w:val="auto"/>
              </w:rPr>
              <w:t>(0.6)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(7,752)</w:t>
            </w:r>
          </w:p>
        </w:tc>
        <w:tc>
          <w:tcPr>
            <w:tcW w:w="680" w:type="dxa"/>
            <w:vAlign w:val="bottom"/>
            <w:gridSpan w:val="3"/>
          </w:tcPr>
          <w:p>
            <w:pPr>
              <w:jc w:val="right"/>
              <w:ind w:right="60"/>
              <w:spacing w:after="0"/>
              <w:rPr>
                <w:sz w:val="20"/>
                <w:szCs w:val="20"/>
                <w:color w:val="auto"/>
              </w:rPr>
            </w:pPr>
            <w:r>
              <w:rPr>
                <w:rFonts w:ascii="Arial" w:cs="Arial" w:eastAsia="Arial" w:hAnsi="Arial"/>
                <w:sz w:val="14"/>
                <w:szCs w:val="14"/>
                <w:color w:val="auto"/>
              </w:rPr>
              <w:t>(1.6)</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INCOME TAX BENEFIT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(963)</w:t>
            </w:r>
          </w:p>
        </w:tc>
        <w:tc>
          <w:tcPr>
            <w:tcW w:w="8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(3,350)</w:t>
            </w:r>
          </w:p>
        </w:tc>
        <w:tc>
          <w:tcPr>
            <w:tcW w:w="9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(963)</w:t>
            </w:r>
          </w:p>
        </w:tc>
        <w:tc>
          <w:tcPr>
            <w:tcW w:w="88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(3,350)</w:t>
            </w:r>
          </w:p>
        </w:tc>
        <w:tc>
          <w:tcPr>
            <w:tcW w:w="6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(0.7)</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LOSS</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340" w:type="dxa"/>
            <w:vAlign w:val="bottom"/>
          </w:tcPr>
          <w:p>
            <w:pPr>
              <w:spacing w:after="0"/>
              <w:rPr>
                <w:sz w:val="24"/>
                <w:szCs w:val="24"/>
                <w:color w:val="auto"/>
              </w:rPr>
            </w:pPr>
          </w:p>
        </w:tc>
        <w:tc>
          <w:tcPr>
            <w:tcW w:w="20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4"/>
          </w:tcPr>
          <w:p>
            <w:pPr>
              <w:jc w:val="right"/>
              <w:spacing w:after="0"/>
              <w:rPr>
                <w:sz w:val="20"/>
                <w:szCs w:val="20"/>
                <w:color w:val="auto"/>
              </w:rPr>
            </w:pPr>
            <w:r>
              <w:rPr>
                <w:rFonts w:ascii="Arial" w:cs="Arial" w:eastAsia="Arial" w:hAnsi="Arial"/>
                <w:sz w:val="14"/>
                <w:szCs w:val="14"/>
                <w:color w:val="auto"/>
              </w:rPr>
              <w:t>(1,163)</w:t>
            </w: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(0.3)</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4"/>
                <w:szCs w:val="14"/>
                <w:color w:val="auto"/>
              </w:rPr>
              <w:t>(4,402)</w:t>
            </w:r>
          </w:p>
        </w:tc>
        <w:tc>
          <w:tcPr>
            <w:tcW w:w="900" w:type="dxa"/>
            <w:vAlign w:val="bottom"/>
            <w:gridSpan w:val="3"/>
          </w:tcPr>
          <w:p>
            <w:pPr>
              <w:jc w:val="right"/>
              <w:ind w:right="80"/>
              <w:spacing w:after="0"/>
              <w:rPr>
                <w:sz w:val="20"/>
                <w:szCs w:val="20"/>
                <w:color w:val="auto"/>
              </w:rPr>
            </w:pPr>
            <w:r>
              <w:rPr>
                <w:rFonts w:ascii="Arial" w:cs="Arial" w:eastAsia="Arial" w:hAnsi="Arial"/>
                <w:sz w:val="14"/>
                <w:szCs w:val="14"/>
                <w:color w:val="auto"/>
              </w:rPr>
              <w:t>(0.9)</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4"/>
                <w:szCs w:val="14"/>
                <w:color w:val="auto"/>
              </w:rPr>
              <w:t>(1,163)</w:t>
            </w:r>
          </w:p>
        </w:tc>
        <w:tc>
          <w:tcPr>
            <w:tcW w:w="880" w:type="dxa"/>
            <w:vAlign w:val="bottom"/>
            <w:gridSpan w:val="2"/>
          </w:tcPr>
          <w:p>
            <w:pPr>
              <w:jc w:val="right"/>
              <w:ind w:right="108"/>
              <w:spacing w:after="0"/>
              <w:rPr>
                <w:sz w:val="20"/>
                <w:szCs w:val="20"/>
                <w:color w:val="auto"/>
              </w:rPr>
            </w:pPr>
            <w:r>
              <w:rPr>
                <w:rFonts w:ascii="Arial" w:cs="Arial" w:eastAsia="Arial" w:hAnsi="Arial"/>
                <w:sz w:val="14"/>
                <w:szCs w:val="14"/>
                <w:color w:val="auto"/>
              </w:rPr>
              <w:t>(0.3)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(4,402)</w:t>
            </w:r>
          </w:p>
        </w:tc>
        <w:tc>
          <w:tcPr>
            <w:tcW w:w="680" w:type="dxa"/>
            <w:vAlign w:val="bottom"/>
            <w:gridSpan w:val="3"/>
          </w:tcPr>
          <w:p>
            <w:pPr>
              <w:jc w:val="right"/>
              <w:ind w:right="60"/>
              <w:spacing w:after="0"/>
              <w:rPr>
                <w:sz w:val="20"/>
                <w:szCs w:val="20"/>
                <w:color w:val="auto"/>
              </w:rPr>
            </w:pPr>
            <w:r>
              <w:rPr>
                <w:rFonts w:ascii="Arial" w:cs="Arial" w:eastAsia="Arial" w:hAnsi="Arial"/>
                <w:sz w:val="14"/>
                <w:szCs w:val="14"/>
                <w:color w:val="auto"/>
              </w:rPr>
              <w:t>(0.9)</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40" w:type="dxa"/>
            <w:vAlign w:val="bottom"/>
          </w:tcPr>
          <w:p>
            <w:pPr>
              <w:spacing w:after="0"/>
              <w:rPr>
                <w:sz w:val="10"/>
                <w:szCs w:val="10"/>
                <w:color w:val="auto"/>
              </w:rPr>
            </w:pPr>
          </w:p>
        </w:tc>
        <w:tc>
          <w:tcPr>
            <w:tcW w:w="200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LESS NET EARNINGS</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0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ATTRIBUTABLE TO</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0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NONCONTROLLING</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200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INTEREST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4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(174)</w:t>
            </w:r>
          </w:p>
        </w:tc>
        <w:tc>
          <w:tcPr>
            <w:tcW w:w="5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(44)</w:t>
            </w: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(174)</w:t>
            </w: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LOSS ATTRIBUTABLE TO</w:t>
            </w: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340" w:type="dxa"/>
            <w:vAlign w:val="bottom"/>
          </w:tcPr>
          <w:p>
            <w:pPr>
              <w:spacing w:after="0"/>
              <w:rPr>
                <w:sz w:val="24"/>
                <w:szCs w:val="24"/>
                <w:color w:val="auto"/>
              </w:rPr>
            </w:pPr>
          </w:p>
        </w:tc>
        <w:tc>
          <w:tcPr>
            <w:tcW w:w="2100" w:type="dxa"/>
            <w:vAlign w:val="bottom"/>
            <w:gridSpan w:val="3"/>
            <w:vMerge w:val="continue"/>
          </w:tcPr>
          <w:p>
            <w:pPr>
              <w:spacing w:after="0"/>
              <w:rPr>
                <w:sz w:val="24"/>
                <w:szCs w:val="24"/>
                <w:color w:val="auto"/>
              </w:rPr>
            </w:pPr>
          </w:p>
        </w:tc>
        <w:tc>
          <w:tcPr>
            <w:tcW w:w="48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(1,207)</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rPr>
              <w:t>(4,576)</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(1,207)</w:t>
            </w: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(4,576)</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2100" w:type="dxa"/>
            <w:vAlign w:val="bottom"/>
            <w:gridSpan w:val="3"/>
          </w:tcPr>
          <w:p>
            <w:pPr>
              <w:ind w:left="200"/>
              <w:spacing w:after="0"/>
              <w:rPr>
                <w:sz w:val="20"/>
                <w:szCs w:val="20"/>
                <w:color w:val="auto"/>
              </w:rPr>
            </w:pPr>
            <w:r>
              <w:rPr>
                <w:rFonts w:ascii="Arial" w:cs="Arial" w:eastAsia="Arial" w:hAnsi="Arial"/>
                <w:sz w:val="14"/>
                <w:szCs w:val="14"/>
                <w:b w:val="1"/>
                <w:bCs w:val="1"/>
                <w:color w:val="auto"/>
              </w:rPr>
              <w:t>CONTROLLING INTEREST</w:t>
            </w:r>
          </w:p>
        </w:tc>
        <w:tc>
          <w:tcPr>
            <w:tcW w:w="480" w:type="dxa"/>
            <w:vAlign w:val="bottom"/>
            <w:gridSpan w:val="3"/>
            <w:vMerge w:val="continue"/>
          </w:tcPr>
          <w:p>
            <w:pPr>
              <w:spacing w:after="0"/>
              <w:rPr>
                <w:sz w:val="14"/>
                <w:szCs w:val="14"/>
                <w:color w:val="auto"/>
              </w:rPr>
            </w:pPr>
          </w:p>
        </w:tc>
        <w:tc>
          <w:tcPr>
            <w:tcW w:w="520" w:type="dxa"/>
            <w:vAlign w:val="bottom"/>
            <w:gridSpan w:val="4"/>
            <w:vMerge w:val="continue"/>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(0.3)</w:t>
            </w:r>
          </w:p>
        </w:tc>
        <w:tc>
          <w:tcPr>
            <w:tcW w:w="380" w:type="dxa"/>
            <w:vAlign w:val="bottom"/>
            <w:gridSpan w:val="2"/>
            <w:vMerge w:val="continue"/>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4"/>
                <w:szCs w:val="14"/>
                <w:color w:val="auto"/>
              </w:rPr>
              <w:t>(0.9)</w:t>
            </w:r>
          </w:p>
        </w:tc>
        <w:tc>
          <w:tcPr>
            <w:tcW w:w="320" w:type="dxa"/>
            <w:vAlign w:val="bottom"/>
            <w:gridSpan w:val="2"/>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880" w:type="dxa"/>
            <w:vAlign w:val="bottom"/>
            <w:gridSpan w:val="2"/>
          </w:tcPr>
          <w:p>
            <w:pPr>
              <w:jc w:val="right"/>
              <w:ind w:right="108"/>
              <w:spacing w:after="0"/>
              <w:rPr>
                <w:sz w:val="20"/>
                <w:szCs w:val="20"/>
                <w:color w:val="auto"/>
              </w:rPr>
            </w:pPr>
            <w:r>
              <w:rPr>
                <w:rFonts w:ascii="Arial" w:cs="Arial" w:eastAsia="Arial" w:hAnsi="Arial"/>
                <w:sz w:val="14"/>
                <w:szCs w:val="14"/>
                <w:color w:val="auto"/>
              </w:rPr>
              <w:t>(0.3)</w:t>
            </w:r>
          </w:p>
        </w:tc>
        <w:tc>
          <w:tcPr>
            <w:tcW w:w="2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4"/>
                <w:szCs w:val="14"/>
                <w:color w:val="auto"/>
              </w:rPr>
              <w:t>(0.9)</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LOSS PER SHARE — BASIC</w:t>
            </w:r>
          </w:p>
        </w:tc>
        <w:tc>
          <w:tcPr>
            <w:tcW w:w="10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(0.06)</w:t>
            </w: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(0.24)</w:t>
            </w: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(0.06)</w:t>
            </w: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(0.24)</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2"/>
        </w:trPr>
        <w:tc>
          <w:tcPr>
            <w:tcW w:w="340" w:type="dxa"/>
            <w:vAlign w:val="bottom"/>
          </w:tcPr>
          <w:p>
            <w:pPr>
              <w:spacing w:after="0"/>
              <w:rPr>
                <w:sz w:val="24"/>
                <w:szCs w:val="24"/>
                <w:color w:val="auto"/>
              </w:rPr>
            </w:pPr>
          </w:p>
        </w:tc>
        <w:tc>
          <w:tcPr>
            <w:tcW w:w="2100" w:type="dxa"/>
            <w:vAlign w:val="bottom"/>
            <w:gridSpan w:val="3"/>
          </w:tcPr>
          <w:p>
            <w:pPr>
              <w:spacing w:after="0"/>
              <w:rPr>
                <w:sz w:val="20"/>
                <w:szCs w:val="20"/>
                <w:color w:val="auto"/>
              </w:rPr>
            </w:pPr>
            <w:r>
              <w:rPr>
                <w:rFonts w:ascii="Arial" w:cs="Arial" w:eastAsia="Arial" w:hAnsi="Arial"/>
                <w:sz w:val="14"/>
                <w:szCs w:val="14"/>
                <w:b w:val="1"/>
                <w:bCs w:val="1"/>
                <w:color w:val="auto"/>
              </w:rPr>
              <w:t>LOSS PER SHARE — DILUTED</w:t>
            </w:r>
          </w:p>
        </w:tc>
        <w:tc>
          <w:tcPr>
            <w:tcW w:w="48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gridSpan w:val="4"/>
          </w:tcPr>
          <w:p>
            <w:pPr>
              <w:jc w:val="right"/>
              <w:spacing w:after="0"/>
              <w:rPr>
                <w:sz w:val="20"/>
                <w:szCs w:val="20"/>
                <w:color w:val="auto"/>
              </w:rPr>
            </w:pPr>
            <w:r>
              <w:rPr>
                <w:rFonts w:ascii="Arial" w:cs="Arial" w:eastAsia="Arial" w:hAnsi="Arial"/>
                <w:sz w:val="14"/>
                <w:szCs w:val="14"/>
                <w:color w:val="auto"/>
              </w:rPr>
              <w:t>(0.06)</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40" w:type="dxa"/>
            <w:vAlign w:val="bottom"/>
            <w:gridSpan w:val="3"/>
          </w:tcPr>
          <w:p>
            <w:pPr>
              <w:jc w:val="right"/>
              <w:ind w:right="20"/>
              <w:spacing w:after="0"/>
              <w:rPr>
                <w:sz w:val="20"/>
                <w:szCs w:val="20"/>
                <w:color w:val="auto"/>
              </w:rPr>
            </w:pPr>
            <w:r>
              <w:rPr>
                <w:rFonts w:ascii="Arial" w:cs="Arial" w:eastAsia="Arial" w:hAnsi="Arial"/>
                <w:sz w:val="14"/>
                <w:szCs w:val="14"/>
                <w:color w:val="auto"/>
              </w:rPr>
              <w:t>(0.24)</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160"/>
              <w:spacing w:after="0"/>
              <w:rPr>
                <w:sz w:val="20"/>
                <w:szCs w:val="20"/>
                <w:color w:val="auto"/>
              </w:rPr>
            </w:pPr>
            <w:r>
              <w:rPr>
                <w:rFonts w:ascii="Arial" w:cs="Arial" w:eastAsia="Arial" w:hAnsi="Arial"/>
                <w:sz w:val="14"/>
                <w:szCs w:val="14"/>
                <w:color w:val="auto"/>
              </w:rPr>
              <w:t>(0.06)</w:t>
            </w: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(0.24)</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500" w:type="dxa"/>
            <w:vAlign w:val="bottom"/>
            <w:gridSpan w:val="3"/>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40" w:type="dxa"/>
            <w:vAlign w:val="bottom"/>
          </w:tcPr>
          <w:p>
            <w:pPr>
              <w:spacing w:after="0"/>
              <w:rPr>
                <w:sz w:val="10"/>
                <w:szCs w:val="10"/>
                <w:color w:val="auto"/>
              </w:rPr>
            </w:pPr>
          </w:p>
        </w:tc>
        <w:tc>
          <w:tcPr>
            <w:tcW w:w="2580" w:type="dxa"/>
            <w:vAlign w:val="bottom"/>
            <w:gridSpan w:val="6"/>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WEIGHTED AVERAGE SHARES</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10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OUTSTANDING FOR BASIC</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200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LOSS</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19,184</w:t>
            </w:r>
          </w:p>
        </w:tc>
        <w:tc>
          <w:tcPr>
            <w:tcW w:w="4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18,996</w:t>
            </w: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19,184</w:t>
            </w: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18,996</w:t>
            </w: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340" w:type="dxa"/>
            <w:vAlign w:val="bottom"/>
          </w:tcPr>
          <w:p>
            <w:pPr>
              <w:spacing w:after="0"/>
              <w:rPr>
                <w:sz w:val="23"/>
                <w:szCs w:val="23"/>
                <w:color w:val="auto"/>
              </w:rPr>
            </w:pPr>
          </w:p>
        </w:tc>
        <w:tc>
          <w:tcPr>
            <w:tcW w:w="2580" w:type="dxa"/>
            <w:vAlign w:val="bottom"/>
            <w:gridSpan w:val="6"/>
          </w:tcPr>
          <w:p>
            <w:pPr>
              <w:spacing w:after="0"/>
              <w:rPr>
                <w:sz w:val="20"/>
                <w:szCs w:val="20"/>
                <w:color w:val="auto"/>
              </w:rPr>
            </w:pPr>
            <w:r>
              <w:rPr>
                <w:rFonts w:ascii="Arial" w:cs="Arial" w:eastAsia="Arial" w:hAnsi="Arial"/>
                <w:sz w:val="14"/>
                <w:szCs w:val="14"/>
                <w:b w:val="1"/>
                <w:bCs w:val="1"/>
                <w:color w:val="auto"/>
              </w:rPr>
              <w:t>WEIGHTED AVERAGE SHARES</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00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OUTSTANDING FOR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2000" w:type="dxa"/>
            <w:vAlign w:val="bottom"/>
            <w:gridSpan w:val="2"/>
          </w:tcPr>
          <w:p>
            <w:pPr>
              <w:ind w:left="200"/>
              <w:spacing w:after="0"/>
              <w:rPr>
                <w:sz w:val="20"/>
                <w:szCs w:val="20"/>
                <w:color w:val="auto"/>
              </w:rPr>
            </w:pPr>
            <w:r>
              <w:rPr>
                <w:rFonts w:ascii="Arial" w:cs="Arial" w:eastAsia="Arial" w:hAnsi="Arial"/>
                <w:sz w:val="14"/>
                <w:szCs w:val="14"/>
                <w:b w:val="1"/>
                <w:bCs w:val="1"/>
                <w:color w:val="auto"/>
              </w:rPr>
              <w:t>DILUTED LOSS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4"/>
          </w:tcPr>
          <w:p>
            <w:pPr>
              <w:jc w:val="right"/>
              <w:ind w:right="60"/>
              <w:spacing w:after="0"/>
              <w:rPr>
                <w:sz w:val="20"/>
                <w:szCs w:val="20"/>
                <w:color w:val="auto"/>
              </w:rPr>
            </w:pPr>
            <w:r>
              <w:rPr>
                <w:rFonts w:ascii="Arial" w:cs="Arial" w:eastAsia="Arial" w:hAnsi="Arial"/>
                <w:sz w:val="14"/>
                <w:szCs w:val="14"/>
                <w:color w:val="auto"/>
              </w:rPr>
              <w:t>19,184</w:t>
            </w: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4"/>
                <w:szCs w:val="14"/>
                <w:color w:val="auto"/>
              </w:rPr>
              <w:t>18,996</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4"/>
                <w:szCs w:val="14"/>
                <w:color w:val="auto"/>
              </w:rPr>
              <w:t>19,184</w:t>
            </w: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18,996</w:t>
            </w: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340" w:type="dxa"/>
            <w:vAlign w:val="bottom"/>
          </w:tcPr>
          <w:p>
            <w:pPr>
              <w:spacing w:after="0"/>
              <w:rPr>
                <w:sz w:val="24"/>
                <w:szCs w:val="24"/>
                <w:color w:val="auto"/>
              </w:rPr>
            </w:pPr>
          </w:p>
        </w:tc>
        <w:tc>
          <w:tcPr>
            <w:tcW w:w="3100" w:type="dxa"/>
            <w:vAlign w:val="bottom"/>
            <w:gridSpan w:val="10"/>
          </w:tcPr>
          <w:p>
            <w:pPr>
              <w:spacing w:after="0"/>
              <w:rPr>
                <w:sz w:val="20"/>
                <w:szCs w:val="20"/>
                <w:color w:val="auto"/>
              </w:rPr>
            </w:pPr>
            <w:r>
              <w:rPr>
                <w:rFonts w:ascii="Arial" w:cs="Arial" w:eastAsia="Arial" w:hAnsi="Arial"/>
                <w:sz w:val="18"/>
                <w:szCs w:val="18"/>
                <w:b w:val="1"/>
                <w:bCs w:val="1"/>
                <w:color w:val="auto"/>
              </w:rPr>
              <w:t>SUPPLEMENTAL SALES DATA</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40" w:type="dxa"/>
            <w:vAlign w:val="bottom"/>
          </w:tcPr>
          <w:p>
            <w:pPr>
              <w:spacing w:after="0"/>
              <w:rPr>
                <w:sz w:val="24"/>
                <w:szCs w:val="24"/>
                <w:color w:val="auto"/>
              </w:rPr>
            </w:pPr>
          </w:p>
        </w:tc>
        <w:tc>
          <w:tcPr>
            <w:tcW w:w="17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b w:val="1"/>
                <w:bCs w:val="1"/>
                <w:color w:val="auto"/>
                <w:w w:val="97"/>
              </w:rPr>
              <w:t>Market Classification</w:t>
            </w:r>
          </w:p>
        </w:tc>
        <w:tc>
          <w:tcPr>
            <w:tcW w:w="220" w:type="dxa"/>
            <w:vAlign w:val="bottom"/>
            <w:tcBorders>
              <w:top w:val="single" w:sz="8" w:color="auto"/>
              <w:bottom w:val="single" w:sz="8" w:color="auto"/>
            </w:tcBorders>
            <w:vMerge w:val="restart"/>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b w:val="1"/>
                <w:bCs w:val="1"/>
                <w:color w:val="auto"/>
                <w:w w:val="91"/>
              </w:rPr>
              <w:t>Quarter Period</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8"/>
                <w:szCs w:val="18"/>
                <w:b w:val="1"/>
                <w:bCs w:val="1"/>
                <w:color w:val="auto"/>
              </w:rPr>
              <w:t>Year to Date</w:t>
            </w:r>
          </w:p>
        </w:tc>
        <w:tc>
          <w:tcPr>
            <w:tcW w:w="5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78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2009</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81"/>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82"/>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bottom w:val="single" w:sz="8" w:color="auto"/>
            </w:tcBorders>
          </w:tcPr>
          <w:p>
            <w:pPr>
              <w:jc w:val="right"/>
              <w:ind w:right="82"/>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70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18"/>
                <w:szCs w:val="18"/>
                <w:color w:val="auto"/>
              </w:rPr>
            </w:pPr>
          </w:p>
        </w:tc>
        <w:tc>
          <w:tcPr>
            <w:tcW w:w="520" w:type="dxa"/>
            <w:vAlign w:val="bottom"/>
            <w:tcBorders>
              <w:bottom w:val="single" w:sz="8" w:color="auto"/>
            </w:tcBorders>
          </w:tcPr>
          <w:p>
            <w:pPr>
              <w:jc w:val="right"/>
              <w:ind w:right="83"/>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Do-It-Yourself/Retail</w:t>
            </w:r>
          </w:p>
        </w:tc>
        <w:tc>
          <w:tcPr>
            <w:tcW w:w="1040" w:type="dxa"/>
            <w:vAlign w:val="bottom"/>
            <w:tcBorders>
              <w:right w:val="single" w:sz="8" w:color="CCEEFF"/>
            </w:tcBorders>
            <w:gridSpan w:val="7"/>
            <w:shd w:val="clear" w:color="auto" w:fill="CCEEFF"/>
          </w:tcPr>
          <w:p>
            <w:pPr>
              <w:jc w:val="right"/>
              <w:ind w:right="340"/>
              <w:spacing w:after="0"/>
              <w:rPr>
                <w:sz w:val="20"/>
                <w:szCs w:val="20"/>
                <w:color w:val="auto"/>
              </w:rPr>
            </w:pPr>
            <w:r>
              <w:rPr>
                <w:rFonts w:ascii="Arial" w:cs="Arial" w:eastAsia="Arial" w:hAnsi="Arial"/>
                <w:sz w:val="18"/>
                <w:szCs w:val="18"/>
                <w:color w:val="auto"/>
                <w:w w:val="90"/>
              </w:rPr>
              <w:t>$168,134</w:t>
            </w:r>
          </w:p>
        </w:tc>
        <w:tc>
          <w:tcPr>
            <w:tcW w:w="60" w:type="dxa"/>
            <w:vAlign w:val="bottom"/>
            <w:shd w:val="clear" w:color="auto" w:fill="CCEEFF"/>
          </w:tcPr>
          <w:p>
            <w:pPr>
              <w:spacing w:after="0"/>
              <w:rPr>
                <w:sz w:val="18"/>
                <w:szCs w:val="18"/>
                <w:color w:val="auto"/>
              </w:rPr>
            </w:pPr>
          </w:p>
        </w:tc>
        <w:tc>
          <w:tcPr>
            <w:tcW w:w="1680" w:type="dxa"/>
            <w:vAlign w:val="bottom"/>
            <w:gridSpan w:val="7"/>
            <w:shd w:val="clear" w:color="auto" w:fill="CCEEFF"/>
          </w:tcPr>
          <w:p>
            <w:pPr>
              <w:jc w:val="right"/>
              <w:ind w:right="220"/>
              <w:spacing w:after="0"/>
              <w:rPr>
                <w:sz w:val="20"/>
                <w:szCs w:val="20"/>
                <w:color w:val="auto"/>
              </w:rPr>
            </w:pPr>
            <w:r>
              <w:rPr>
                <w:rFonts w:ascii="Arial" w:cs="Arial" w:eastAsia="Arial" w:hAnsi="Arial"/>
                <w:sz w:val="18"/>
                <w:szCs w:val="18"/>
                <w:color w:val="auto"/>
              </w:rPr>
              <w:t>46%   $175,460</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87"/>
              </w:rPr>
              <w:t>$168,134</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46%</w:t>
            </w:r>
          </w:p>
        </w:tc>
        <w:tc>
          <w:tcPr>
            <w:tcW w:w="10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w w:val="90"/>
              </w:rPr>
              <w:t>$175,460</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Arial" w:cs="Arial" w:eastAsia="Arial" w:hAnsi="Arial"/>
                <w:sz w:val="18"/>
                <w:szCs w:val="18"/>
                <w:b w:val="1"/>
                <w:bCs w:val="1"/>
                <w:color w:val="auto"/>
              </w:rPr>
              <w:t>Site-Built Construction</w:t>
            </w:r>
          </w:p>
        </w:tc>
        <w:tc>
          <w:tcPr>
            <w:tcW w:w="100" w:type="dxa"/>
            <w:vAlign w:val="bottom"/>
          </w:tcPr>
          <w:p>
            <w:pPr>
              <w:spacing w:after="0"/>
              <w:rPr>
                <w:sz w:val="18"/>
                <w:szCs w:val="18"/>
                <w:color w:val="auto"/>
              </w:rPr>
            </w:pPr>
          </w:p>
        </w:tc>
        <w:tc>
          <w:tcPr>
            <w:tcW w:w="940" w:type="dxa"/>
            <w:vAlign w:val="bottom"/>
            <w:gridSpan w:val="6"/>
          </w:tcPr>
          <w:p>
            <w:pPr>
              <w:jc w:val="right"/>
              <w:ind w:right="340"/>
              <w:spacing w:after="0"/>
              <w:rPr>
                <w:sz w:val="20"/>
                <w:szCs w:val="20"/>
                <w:color w:val="auto"/>
              </w:rPr>
            </w:pPr>
            <w:r>
              <w:rPr>
                <w:rFonts w:ascii="Arial" w:cs="Arial" w:eastAsia="Arial" w:hAnsi="Arial"/>
                <w:sz w:val="18"/>
                <w:szCs w:val="18"/>
                <w:color w:val="auto"/>
              </w:rPr>
              <w:t>60,765</w:t>
            </w:r>
          </w:p>
        </w:tc>
        <w:tc>
          <w:tcPr>
            <w:tcW w:w="60" w:type="dxa"/>
            <w:vAlign w:val="bottom"/>
          </w:tcPr>
          <w:p>
            <w:pPr>
              <w:spacing w:after="0"/>
              <w:rPr>
                <w:sz w:val="18"/>
                <w:szCs w:val="18"/>
                <w:color w:val="auto"/>
              </w:rPr>
            </w:pPr>
          </w:p>
        </w:tc>
        <w:tc>
          <w:tcPr>
            <w:tcW w:w="760" w:type="dxa"/>
            <w:vAlign w:val="bottom"/>
            <w:gridSpan w:val="2"/>
          </w:tcPr>
          <w:p>
            <w:pPr>
              <w:jc w:val="right"/>
              <w:ind w:right="148"/>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840" w:type="dxa"/>
            <w:vAlign w:val="bottom"/>
            <w:gridSpan w:val="4"/>
          </w:tcPr>
          <w:p>
            <w:pPr>
              <w:jc w:val="right"/>
              <w:ind w:right="220"/>
              <w:spacing w:after="0"/>
              <w:rPr>
                <w:sz w:val="20"/>
                <w:szCs w:val="20"/>
                <w:color w:val="auto"/>
              </w:rPr>
            </w:pPr>
            <w:r>
              <w:rPr>
                <w:rFonts w:ascii="Arial" w:cs="Arial" w:eastAsia="Arial" w:hAnsi="Arial"/>
                <w:sz w:val="18"/>
                <w:szCs w:val="18"/>
                <w:color w:val="auto"/>
                <w:w w:val="92"/>
              </w:rPr>
              <w:t>107,008</w:t>
            </w:r>
          </w:p>
        </w:tc>
        <w:tc>
          <w:tcPr>
            <w:tcW w:w="80" w:type="dxa"/>
            <w:vAlign w:val="bottom"/>
          </w:tcPr>
          <w:p>
            <w:pPr>
              <w:spacing w:after="0"/>
              <w:rPr>
                <w:sz w:val="18"/>
                <w:szCs w:val="18"/>
                <w:color w:val="auto"/>
              </w:rPr>
            </w:pPr>
          </w:p>
        </w:tc>
        <w:tc>
          <w:tcPr>
            <w:tcW w:w="780" w:type="dxa"/>
            <w:vAlign w:val="bottom"/>
            <w:gridSpan w:val="2"/>
          </w:tcPr>
          <w:p>
            <w:pPr>
              <w:jc w:val="right"/>
              <w:ind w:right="48"/>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60,765</w:t>
            </w:r>
          </w:p>
        </w:tc>
        <w:tc>
          <w:tcPr>
            <w:tcW w:w="200" w:type="dxa"/>
            <w:vAlign w:val="bottom"/>
          </w:tcPr>
          <w:p>
            <w:pPr>
              <w:spacing w:after="0"/>
              <w:rPr>
                <w:sz w:val="18"/>
                <w:szCs w:val="18"/>
                <w:color w:val="auto"/>
              </w:rPr>
            </w:pPr>
          </w:p>
        </w:tc>
        <w:tc>
          <w:tcPr>
            <w:tcW w:w="880" w:type="dxa"/>
            <w:vAlign w:val="bottom"/>
            <w:gridSpan w:val="2"/>
          </w:tcPr>
          <w:p>
            <w:pPr>
              <w:jc w:val="right"/>
              <w:ind w:right="168"/>
              <w:spacing w:after="0"/>
              <w:rPr>
                <w:sz w:val="20"/>
                <w:szCs w:val="20"/>
                <w:color w:val="auto"/>
              </w:rPr>
            </w:pPr>
            <w:r>
              <w:rPr>
                <w:rFonts w:ascii="Arial" w:cs="Arial" w:eastAsia="Arial" w:hAnsi="Arial"/>
                <w:sz w:val="18"/>
                <w:szCs w:val="18"/>
                <w:color w:val="auto"/>
              </w:rPr>
              <w:t>16%</w:t>
            </w:r>
          </w:p>
        </w:tc>
        <w:tc>
          <w:tcPr>
            <w:tcW w:w="1000" w:type="dxa"/>
            <w:vAlign w:val="bottom"/>
            <w:gridSpan w:val="4"/>
          </w:tcPr>
          <w:p>
            <w:pPr>
              <w:jc w:val="right"/>
              <w:ind w:right="300"/>
              <w:spacing w:after="0"/>
              <w:rPr>
                <w:sz w:val="20"/>
                <w:szCs w:val="20"/>
                <w:color w:val="auto"/>
              </w:rPr>
            </w:pPr>
            <w:r>
              <w:rPr>
                <w:rFonts w:ascii="Arial" w:cs="Arial" w:eastAsia="Arial" w:hAnsi="Arial"/>
                <w:sz w:val="18"/>
                <w:szCs w:val="18"/>
                <w:color w:val="auto"/>
              </w:rPr>
              <w:t>107,008</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Industrial</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6"/>
            <w:shd w:val="clear" w:color="auto" w:fill="CCEEFF"/>
          </w:tcPr>
          <w:p>
            <w:pPr>
              <w:jc w:val="right"/>
              <w:ind w:right="340"/>
              <w:spacing w:after="0"/>
              <w:rPr>
                <w:sz w:val="20"/>
                <w:szCs w:val="20"/>
                <w:color w:val="auto"/>
              </w:rPr>
            </w:pPr>
            <w:r>
              <w:rPr>
                <w:rFonts w:ascii="Arial" w:cs="Arial" w:eastAsia="Arial" w:hAnsi="Arial"/>
                <w:sz w:val="18"/>
                <w:szCs w:val="18"/>
                <w:color w:val="auto"/>
                <w:w w:val="89"/>
              </w:rPr>
              <w:t>103,658</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2"/>
              </w:rPr>
              <w:t>139,608</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103,658</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28%</w:t>
            </w:r>
          </w:p>
        </w:tc>
        <w:tc>
          <w:tcPr>
            <w:tcW w:w="10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139,608</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Arial" w:cs="Arial" w:eastAsia="Arial" w:hAnsi="Arial"/>
                <w:sz w:val="18"/>
                <w:szCs w:val="18"/>
                <w:b w:val="1"/>
                <w:bCs w:val="1"/>
                <w:color w:val="auto"/>
              </w:rPr>
              <w:t>Manufactured Housing</w:t>
            </w:r>
          </w:p>
        </w:tc>
        <w:tc>
          <w:tcPr>
            <w:tcW w:w="100" w:type="dxa"/>
            <w:vAlign w:val="bottom"/>
          </w:tcPr>
          <w:p>
            <w:pPr>
              <w:spacing w:after="0"/>
              <w:rPr>
                <w:sz w:val="18"/>
                <w:szCs w:val="18"/>
                <w:color w:val="auto"/>
              </w:rPr>
            </w:pP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36,550</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148"/>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76,441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8"/>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36,550</w:t>
            </w:r>
          </w:p>
        </w:tc>
        <w:tc>
          <w:tcPr>
            <w:tcW w:w="200" w:type="dxa"/>
            <w:vAlign w:val="bottom"/>
          </w:tcPr>
          <w:p>
            <w:pPr>
              <w:spacing w:after="0"/>
              <w:rPr>
                <w:sz w:val="18"/>
                <w:szCs w:val="18"/>
                <w:color w:val="auto"/>
              </w:rPr>
            </w:pPr>
          </w:p>
        </w:tc>
        <w:tc>
          <w:tcPr>
            <w:tcW w:w="880" w:type="dxa"/>
            <w:vAlign w:val="bottom"/>
            <w:gridSpan w:val="2"/>
          </w:tcPr>
          <w:p>
            <w:pPr>
              <w:jc w:val="right"/>
              <w:ind w:right="168"/>
              <w:spacing w:after="0"/>
              <w:rPr>
                <w:sz w:val="20"/>
                <w:szCs w:val="20"/>
                <w:color w:val="auto"/>
              </w:rPr>
            </w:pPr>
            <w:r>
              <w:rPr>
                <w:rFonts w:ascii="Arial" w:cs="Arial" w:eastAsia="Arial" w:hAnsi="Arial"/>
                <w:sz w:val="18"/>
                <w:szCs w:val="18"/>
                <w:color w:val="auto"/>
              </w:rPr>
              <w:t>10%</w:t>
            </w:r>
          </w:p>
        </w:tc>
        <w:tc>
          <w:tcPr>
            <w:tcW w:w="1000" w:type="dxa"/>
            <w:vAlign w:val="bottom"/>
            <w:gridSpan w:val="4"/>
          </w:tcPr>
          <w:p>
            <w:pPr>
              <w:jc w:val="right"/>
              <w:ind w:right="300"/>
              <w:spacing w:after="0"/>
              <w:rPr>
                <w:sz w:val="20"/>
                <w:szCs w:val="20"/>
                <w:color w:val="auto"/>
              </w:rPr>
            </w:pPr>
            <w:r>
              <w:rPr>
                <w:rFonts w:ascii="Arial" w:cs="Arial" w:eastAsia="Arial" w:hAnsi="Arial"/>
                <w:sz w:val="18"/>
                <w:szCs w:val="18"/>
                <w:color w:val="auto"/>
              </w:rPr>
              <w:t>76,441</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Gross Sales</w:t>
            </w:r>
          </w:p>
        </w:tc>
        <w:tc>
          <w:tcPr>
            <w:tcW w:w="10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89"/>
              </w:rPr>
              <w:t>369,107</w:t>
            </w:r>
          </w:p>
        </w:tc>
        <w:tc>
          <w:tcPr>
            <w:tcW w:w="3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498,517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369,107</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100%</w:t>
            </w:r>
          </w:p>
        </w:tc>
        <w:tc>
          <w:tcPr>
            <w:tcW w:w="10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498,517</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Arial" w:cs="Arial" w:eastAsia="Arial" w:hAnsi="Arial"/>
                <w:sz w:val="18"/>
                <w:szCs w:val="18"/>
                <w:b w:val="1"/>
                <w:bCs w:val="1"/>
                <w:color w:val="auto"/>
              </w:rPr>
              <w:t>Sales Allowances</w:t>
            </w:r>
          </w:p>
        </w:tc>
        <w:tc>
          <w:tcPr>
            <w:tcW w:w="100" w:type="dxa"/>
            <w:vAlign w:val="bottom"/>
          </w:tcPr>
          <w:p>
            <w:pPr>
              <w:spacing w:after="0"/>
              <w:rPr>
                <w:sz w:val="18"/>
                <w:szCs w:val="18"/>
                <w:color w:val="auto"/>
              </w:rPr>
            </w:pPr>
          </w:p>
        </w:tc>
        <w:tc>
          <w:tcPr>
            <w:tcW w:w="940" w:type="dxa"/>
            <w:vAlign w:val="bottom"/>
            <w:gridSpan w:val="6"/>
          </w:tcPr>
          <w:p>
            <w:pPr>
              <w:jc w:val="right"/>
              <w:ind w:right="280"/>
              <w:spacing w:after="0"/>
              <w:rPr>
                <w:sz w:val="20"/>
                <w:szCs w:val="20"/>
                <w:color w:val="auto"/>
              </w:rPr>
            </w:pPr>
            <w:r>
              <w:rPr>
                <w:rFonts w:ascii="Arial" w:cs="Arial" w:eastAsia="Arial" w:hAnsi="Arial"/>
                <w:sz w:val="18"/>
                <w:szCs w:val="18"/>
                <w:color w:val="auto"/>
              </w:rPr>
              <w:t>(7,385)</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4"/>
          </w:tcPr>
          <w:p>
            <w:pPr>
              <w:jc w:val="right"/>
              <w:ind w:right="160"/>
              <w:spacing w:after="0"/>
              <w:rPr>
                <w:sz w:val="20"/>
                <w:szCs w:val="20"/>
                <w:color w:val="auto"/>
              </w:rPr>
            </w:pPr>
            <w:r>
              <w:rPr>
                <w:rFonts w:ascii="Arial" w:cs="Arial" w:eastAsia="Arial" w:hAnsi="Arial"/>
                <w:sz w:val="18"/>
                <w:szCs w:val="18"/>
                <w:color w:val="auto"/>
              </w:rPr>
              <w:t>(9,005)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(7,385)</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(9,005)</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Sales</w:t>
            </w:r>
          </w:p>
        </w:tc>
        <w:tc>
          <w:tcPr>
            <w:tcW w:w="700" w:type="dxa"/>
            <w:vAlign w:val="bottom"/>
            <w:gridSpan w:val="6"/>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361,722</w:t>
            </w:r>
          </w:p>
        </w:tc>
        <w:tc>
          <w:tcPr>
            <w:tcW w:w="3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489,512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361,722</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489,512</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7"/>
        </w:trPr>
        <w:tc>
          <w:tcPr>
            <w:tcW w:w="34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 w:name="page9"/>
    <w:bookmarkEnd w:id="8"/>
    <w:p>
      <w:pPr>
        <w:ind w:left="34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PAGE 5</w:t>
      </w:r>
    </w:p>
    <w:p>
      <w:pPr>
        <w:spacing w:after="0" w:line="180"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MARCH 2009/2008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9,427</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33,584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180,021</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161,896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190,801</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260,292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Assets held for sale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5,490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10,412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17,879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38,003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560" w:type="dxa"/>
            <w:vAlign w:val="bottom"/>
            <w:vMerge w:val="restart"/>
          </w:tcPr>
          <w:p>
            <w:pPr>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65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403,618</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504,187</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7,747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b w:val="1"/>
                <w:bCs w:val="1"/>
                <w:color w:val="auto"/>
              </w:rPr>
              <w:t>INTANGIBLE ASSETS, NET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179,660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182,460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240,249</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267,048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560" w:type="dxa"/>
            <w:vAlign w:val="bottom"/>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6560" w:type="dxa"/>
            <w:vAlign w:val="bottom"/>
            <w:vMerge w:val="continue"/>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827,049</w:t>
            </w:r>
          </w:p>
        </w:tc>
        <w:tc>
          <w:tcPr>
            <w:tcW w:w="36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961,442</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74,345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103,198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63,048</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77,276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 and capital leases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16,223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560" w:type="dxa"/>
            <w:vAlign w:val="bottom"/>
            <w:vMerge w:val="restart"/>
          </w:tcPr>
          <w:p>
            <w:pPr>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65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153,616</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181,486</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65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LONG-TERM DEBT AND CAPITAL LEASE OBLIGATIONS,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less current portion</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96,235</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194,277</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29,861</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41,845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547,337</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543,834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56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 AND EQUITY</w:t>
            </w: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6560" w:type="dxa"/>
            <w:vAlign w:val="bottom"/>
            <w:vMerge w:val="continue"/>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827,049</w:t>
            </w:r>
          </w:p>
        </w:tc>
        <w:tc>
          <w:tcPr>
            <w:tcW w:w="36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961,442</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4"/>
        </w:trPr>
        <w:tc>
          <w:tcPr>
            <w:tcW w:w="340" w:type="dxa"/>
            <w:vAlign w:val="bottom"/>
            <w:tcBorders>
              <w:bottom w:val="single" w:sz="8" w:color="808080"/>
            </w:tcBorders>
          </w:tcPr>
          <w:p>
            <w:pPr>
              <w:spacing w:after="0"/>
              <w:rPr>
                <w:sz w:val="24"/>
                <w:szCs w:val="24"/>
                <w:color w:val="auto"/>
              </w:rPr>
            </w:pPr>
          </w:p>
        </w:tc>
        <w:tc>
          <w:tcPr>
            <w:tcW w:w="65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6</w:t>
      </w:r>
    </w:p>
    <w:p>
      <w:pPr>
        <w:spacing w:after="0" w:line="180" w:lineRule="exact"/>
        <w:rPr>
          <w:sz w:val="20"/>
          <w:szCs w:val="20"/>
          <w:color w:val="auto"/>
        </w:rPr>
      </w:pPr>
    </w:p>
    <w:p>
      <w:pPr>
        <w:jc w:val="center"/>
        <w:ind w:right="559"/>
        <w:spacing w:after="0" w:line="266" w:lineRule="auto"/>
        <w:rPr>
          <w:sz w:val="20"/>
          <w:szCs w:val="20"/>
          <w:color w:val="auto"/>
        </w:rPr>
      </w:pPr>
      <w:r>
        <w:rPr>
          <w:rFonts w:ascii="Arial" w:cs="Arial" w:eastAsia="Arial" w:hAnsi="Arial"/>
          <w:sz w:val="18"/>
          <w:szCs w:val="18"/>
          <w:b w:val="1"/>
          <w:bCs w:val="1"/>
          <w:color w:val="auto"/>
        </w:rPr>
        <w:t>CONSOLIDATED STATEMENTS OF CASH FLOWS (UNAUDITED) FOR THE THREE MONTHS ENDED MARCH 2009/2008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Net loss attributable to controlling interest</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(1,207)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(4,576)</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 from operating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8,417</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9,601</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2,563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2,280</w:t>
            </w:r>
          </w:p>
        </w:tc>
        <w:tc>
          <w:tcPr>
            <w:tcW w:w="0" w:type="dxa"/>
            <w:vAlign w:val="bottom"/>
          </w:tcPr>
          <w:p>
            <w:pPr>
              <w:spacing w:after="0"/>
              <w:rPr>
                <w:sz w:val="1"/>
                <w:szCs w:val="1"/>
                <w:color w:val="auto"/>
              </w:rPr>
            </w:pP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Expense associated with share-based compensation arrangements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637</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 associated with stock grant plans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214</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earnings attributable to noncontrolling interest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Net (gain) loss on disposition of assets and other impairment and exit charges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(1,599)</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(41,760)</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(17,053)</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2,353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(21,954)</w:t>
            </w:r>
          </w:p>
        </w:tc>
        <w:tc>
          <w:tcPr>
            <w:tcW w:w="0" w:type="dxa"/>
            <w:vAlign w:val="bottom"/>
          </w:tcPr>
          <w:p>
            <w:pPr>
              <w:spacing w:after="0"/>
              <w:rPr>
                <w:sz w:val="1"/>
                <w:szCs w:val="1"/>
                <w:color w:val="auto"/>
              </w:rPr>
            </w:pPr>
          </w:p>
        </w:tc>
      </w:tr>
      <w:tr>
        <w:trPr>
          <w:trHeight w:val="216"/>
        </w:trPr>
        <w:tc>
          <w:tcPr>
            <w:tcW w:w="656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11,231</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18,600</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liabilities and other</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7,077</w:t>
            </w:r>
          </w:p>
        </w:tc>
        <w:tc>
          <w:tcPr>
            <w:tcW w:w="0" w:type="dxa"/>
            <w:vAlign w:val="bottom"/>
          </w:tcPr>
          <w:p>
            <w:pPr>
              <w:spacing w:after="0"/>
              <w:rPr>
                <w:sz w:val="1"/>
                <w:szCs w:val="1"/>
                <w:color w:val="auto"/>
              </w:rPr>
            </w:pP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Excess tax benefits from share-based compensation arrangements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NET CASH FROM OPERATING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(18,056)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(5,383)</w:t>
            </w:r>
          </w:p>
        </w:tc>
        <w:tc>
          <w:tcPr>
            <w:tcW w:w="0" w:type="dxa"/>
            <w:vAlign w:val="bottom"/>
          </w:tcPr>
          <w:p>
            <w:pPr>
              <w:spacing w:after="0"/>
              <w:rPr>
                <w:sz w:val="1"/>
                <w:szCs w:val="1"/>
                <w:color w:val="auto"/>
              </w:rPr>
            </w:pPr>
          </w:p>
        </w:tc>
      </w:tr>
      <w:tr>
        <w:trPr>
          <w:trHeight w:val="432"/>
        </w:trPr>
        <w:tc>
          <w:tcPr>
            <w:tcW w:w="65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(3,217)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(5,612)</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Acquisitions, net of cash received</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(14,100)</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plant and equipment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5,575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26,660</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Collection of notes receivable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Advances of notes receivable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Insurance proceeds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242</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4"/>
        </w:trPr>
        <w:tc>
          <w:tcPr>
            <w:tcW w:w="6560" w:type="dxa"/>
            <w:vAlign w:val="bottom"/>
          </w:tcPr>
          <w:p>
            <w:pPr>
              <w:ind w:left="600"/>
              <w:spacing w:after="0"/>
              <w:rPr>
                <w:sz w:val="20"/>
                <w:szCs w:val="20"/>
                <w:color w:val="auto"/>
              </w:rPr>
            </w:pPr>
            <w:r>
              <w:rPr>
                <w:rFonts w:ascii="Arial" w:cs="Arial" w:eastAsia="Arial" w:hAnsi="Arial"/>
                <w:sz w:val="18"/>
                <w:szCs w:val="18"/>
                <w:b w:val="1"/>
                <w:bCs w:val="1"/>
                <w:color w:val="auto"/>
              </w:rPr>
              <w:t>NET CASH FROM INVESTING ACTIVITIES</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2,625</w:t>
            </w: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Net (repayments) borrowings under revolving credit facilities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10,577</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(11,271)</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Repayment of long-term debt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Borrowings of long-term debt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800</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Distributions to noncontrolling interest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 from share-based compensation arrangements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NET CASH FROM FINANCING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11,521</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(11,119)</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5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(3,910)</w:t>
            </w:r>
          </w:p>
        </w:tc>
        <w:tc>
          <w:tcPr>
            <w:tcW w:w="22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(10,021)</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13,337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43,605</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560" w:type="dxa"/>
            <w:vAlign w:val="bottom"/>
            <w:vMerge w:val="continue"/>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9,427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33,584</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Interest paid</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444</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paid (refunded)</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(7,138)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(10,521)</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879"/>
      </w:cols>
      <w:pgMar w:left="58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2019-12-10T11:30:39Z</dcterms:created>
  <dcterms:modified xsi:type="dcterms:W3CDTF">2019-12-10T11:30:39Z</dcterms:modified>
</cp:coreProperties>
</file>