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ind w:left="1460" w:right="85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27, 2008</w:t>
      </w:r>
      <w:r>
        <w:rPr>
          <w:rFonts w:ascii="Arial" w:cs="Arial" w:eastAsia="Arial" w:hAnsi="Arial"/>
          <w:sz w:val="18"/>
          <w:szCs w:val="18"/>
          <w:b w:val="1"/>
          <w:bCs w:val="1"/>
          <w:color w:val="auto"/>
        </w:rPr>
        <w:t>.</w:t>
      </w:r>
    </w:p>
    <w:p>
      <w:pPr>
        <w:spacing w:after="0" w:line="18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520" w:val="left"/>
          <w:tab w:leader="none" w:pos="5620" w:val="left"/>
        </w:tabs>
        <w:rPr>
          <w:sz w:val="20"/>
          <w:szCs w:val="20"/>
          <w:color w:val="auto"/>
        </w:rPr>
      </w:pPr>
      <w:r>
        <w:rPr>
          <w:rFonts w:ascii="Arial" w:cs="Arial" w:eastAsia="Arial" w:hAnsi="Arial"/>
          <w:sz w:val="18"/>
          <w:szCs w:val="18"/>
          <w:b w:val="1"/>
          <w:bCs w:val="1"/>
          <w:color w:val="auto"/>
        </w:rPr>
        <w:t>For the transition period of</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0-22684</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4"/>
              </w:rPr>
              <w:t>Michigan</w:t>
            </w:r>
          </w:p>
        </w:tc>
        <w:tc>
          <w:tcPr>
            <w:tcW w:w="490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rPr>
              <w:t>38-1465835</w:t>
            </w:r>
          </w:p>
        </w:tc>
      </w:tr>
      <w:tr>
        <w:trPr>
          <w:trHeight w:val="216"/>
        </w:trPr>
        <w:tc>
          <w:tcPr>
            <w:tcW w:w="442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2"/>
              </w:rPr>
              <w:t>2801 East Beltline, N.E., Grand Rapids, Michigan</w:t>
            </w:r>
          </w:p>
        </w:tc>
        <w:tc>
          <w:tcPr>
            <w:tcW w:w="4900" w:type="dxa"/>
            <w:vAlign w:val="bottom"/>
            <w:gridSpan w:val="2"/>
          </w:tcPr>
          <w:p>
            <w:pPr>
              <w:jc w:val="right"/>
              <w:ind w:right="1910"/>
              <w:spacing w:after="0"/>
              <w:rPr>
                <w:sz w:val="20"/>
                <w:szCs w:val="20"/>
                <w:color w:val="auto"/>
              </w:rPr>
            </w:pPr>
            <w:r>
              <w:rPr>
                <w:rFonts w:ascii="Arial" w:cs="Arial" w:eastAsia="Arial" w:hAnsi="Arial"/>
                <w:sz w:val="18"/>
                <w:szCs w:val="18"/>
                <w:b w:val="1"/>
                <w:bCs w:val="1"/>
                <w:color w:val="auto"/>
              </w:rPr>
              <w:t>49525</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05"/>
        </w:trPr>
        <w:tc>
          <w:tcPr>
            <w:tcW w:w="9320" w:type="dxa"/>
            <w:vAlign w:val="bottom"/>
            <w:gridSpan w:val="3"/>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(616) 364-6161</w:t>
            </w:r>
          </w:p>
        </w:tc>
      </w:tr>
      <w:tr>
        <w:trPr>
          <w:trHeight w:val="432"/>
        </w:trPr>
        <w:tc>
          <w:tcPr>
            <w:tcW w:w="9320" w:type="dxa"/>
            <w:vAlign w:val="bottom"/>
            <w:gridSpan w:val="3"/>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3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Title Of Each Class</w:t>
            </w:r>
          </w:p>
        </w:tc>
        <w:tc>
          <w:tcPr>
            <w:tcW w:w="460" w:type="dxa"/>
            <w:vAlign w:val="bottom"/>
          </w:tcPr>
          <w:p>
            <w:pPr>
              <w:spacing w:after="0"/>
              <w:rPr>
                <w:sz w:val="24"/>
                <w:szCs w:val="24"/>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28"/>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8"/>
              </w:rPr>
              <w:t>None</w:t>
            </w:r>
          </w:p>
        </w:tc>
        <w:tc>
          <w:tcPr>
            <w:tcW w:w="460" w:type="dxa"/>
            <w:vAlign w:val="bottom"/>
          </w:tcPr>
          <w:p>
            <w:pPr>
              <w:spacing w:after="0"/>
              <w:rPr>
                <w:sz w:val="19"/>
                <w:szCs w:val="19"/>
                <w:color w:val="auto"/>
              </w:rPr>
            </w:pPr>
          </w:p>
        </w:tc>
        <w:tc>
          <w:tcPr>
            <w:tcW w:w="4440" w:type="dxa"/>
            <w:vAlign w:val="bottom"/>
          </w:tcPr>
          <w:p>
            <w:pPr>
              <w:spacing w:after="0"/>
              <w:rPr>
                <w:sz w:val="19"/>
                <w:szCs w:val="19"/>
                <w:color w:val="auto"/>
              </w:rPr>
            </w:pPr>
          </w:p>
        </w:tc>
      </w:tr>
    </w:tbl>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 no par value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 of Class)</w:t>
      </w:r>
    </w:p>
    <w:p>
      <w:pPr>
        <w:spacing w:after="0" w:line="184" w:lineRule="exact"/>
        <w:rPr>
          <w:sz w:val="20"/>
          <w:szCs w:val="20"/>
          <w:color w:val="auto"/>
        </w:rPr>
      </w:pPr>
    </w:p>
    <w:p>
      <w:pPr>
        <w:jc w:val="both"/>
        <w:ind w:left="340" w:right="559"/>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left="340" w:right="559"/>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in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559"/>
        <w:spacing w:after="0" w:line="227" w:lineRule="exact"/>
        <w:rPr>
          <w:sz w:val="20"/>
          <w:szCs w:val="20"/>
          <w:color w:val="auto"/>
        </w:rPr>
      </w:pPr>
      <w:r>
        <w:rPr>
          <w:rFonts w:ascii="Arial" w:cs="Arial" w:eastAsia="Arial" w:hAnsi="Arial"/>
          <w:sz w:val="18"/>
          <w:szCs w:val="18"/>
          <w:color w:val="auto"/>
        </w:rPr>
        <w:t xml:space="preserve">Indicate by checkmark if disclosure of delinquent filers pursuant to Items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43"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(Check one):</w:t>
      </w:r>
    </w:p>
    <w:p>
      <w:pPr>
        <w:spacing w:after="0" w:line="138" w:lineRule="exact"/>
        <w:rPr>
          <w:sz w:val="20"/>
          <w:szCs w:val="20"/>
          <w:color w:val="auto"/>
        </w:rPr>
      </w:pPr>
    </w:p>
    <w:p>
      <w:pPr>
        <w:ind w:left="340"/>
        <w:spacing w:after="0" w:line="207" w:lineRule="exact"/>
        <w:tabs>
          <w:tab w:leader="none" w:pos="3040" w:val="left"/>
          <w:tab w:leader="none" w:pos="5240" w:val="left"/>
          <w:tab w:leader="none" w:pos="74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12-2 of the Act.) Yes o No </w:t>
      </w:r>
      <w:r>
        <w:rPr>
          <w:rFonts w:ascii="MS PGothic" w:cs="MS PGothic" w:eastAsia="MS PGothic" w:hAnsi="MS PGothic"/>
          <w:sz w:val="18"/>
          <w:szCs w:val="18"/>
          <w:color w:val="auto"/>
        </w:rPr>
        <w:t>☑</w:t>
      </w:r>
    </w:p>
    <w:p>
      <w:pPr>
        <w:spacing w:after="0" w:line="23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aggregate market value of the common stock held by non-affiliates of the registrant (i.e. excluding shares held by executive officers, directors, and control persons as defined in Rule 405, 17 CFR 230.405) on June 28, 2008 was $504,439,465 computed at the closing price of $31.06 on that date.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2009, 19,121,770 shares of the registrant’s common stock, no par value, were outstanding.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Documents incorporated by reference:</w:t>
      </w:r>
    </w:p>
    <w:p>
      <w:pPr>
        <w:spacing w:after="0" w:line="198" w:lineRule="exact"/>
        <w:rPr>
          <w:sz w:val="20"/>
          <w:szCs w:val="20"/>
          <w:color w:val="auto"/>
        </w:rPr>
      </w:pPr>
    </w:p>
    <w:p>
      <w:pPr>
        <w:ind w:left="680" w:right="559" w:hanging="348"/>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the registrant’s Annual Report to Shareholders for the fiscal year ended December 27, 2008 are incorporated by reference into Part I and II of this Report.</w:t>
      </w:r>
    </w:p>
    <w:p>
      <w:pPr>
        <w:sectPr>
          <w:pgSz w:w="11900" w:h="16838" w:orient="portrait"/>
          <w:cols w:equalWidth="0" w:num="1">
            <w:col w:w="10219"/>
          </w:cols>
          <w:pgMar w:left="240" w:top="122" w:right="1440" w:bottom="0" w:gutter="0" w:footer="0" w:header="0"/>
        </w:sectPr>
      </w:pPr>
    </w:p>
    <w:bookmarkStart w:id="2" w:name="page3"/>
    <w:bookmarkEnd w:id="2"/>
    <w:p>
      <w:pPr>
        <w:ind w:left="348" w:right="559" w:hanging="348"/>
        <w:spacing w:after="0" w:line="277" w:lineRule="auto"/>
        <w:tabs>
          <w:tab w:leader="none" w:pos="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portions of the registrant’s Proxy Statement for its 2009 Annual Meeting of Shareholders are incorporated by reference into Part III of this Report.</w:t>
      </w:r>
    </w:p>
    <w:p>
      <w:pPr>
        <w:spacing w:after="0" w:line="130"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Exhibit Index located on page E-1.</w:t>
      </w:r>
    </w:p>
    <w:p>
      <w:pPr>
        <w:spacing w:after="0" w:line="23"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Page 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809625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40" w:type="dxa"/>
            <w:vAlign w:val="bottom"/>
            <w:gridSpan w:val="20"/>
          </w:tcPr>
          <w:p>
            <w:pPr>
              <w:jc w:val="center"/>
              <w:ind w:right="1860"/>
              <w:spacing w:after="0"/>
              <w:rPr>
                <w:sz w:val="20"/>
                <w:szCs w:val="20"/>
                <w:color w:val="auto"/>
              </w:rPr>
            </w:pPr>
            <w:r>
              <w:rPr>
                <w:rFonts w:ascii="Arial" w:cs="Arial" w:eastAsia="Arial" w:hAnsi="Arial"/>
                <w:sz w:val="18"/>
                <w:szCs w:val="18"/>
                <w:b w:val="1"/>
                <w:bCs w:val="1"/>
                <w:color w:val="auto"/>
                <w:w w:val="99"/>
              </w:rPr>
              <w:t>ANNUAL REPORT ON FORM 10-K</w:t>
            </w:r>
          </w:p>
        </w:tc>
        <w:tc>
          <w:tcPr>
            <w:tcW w:w="7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gridSpan w:val="18"/>
          </w:tcPr>
          <w:p>
            <w:pPr>
              <w:jc w:val="center"/>
              <w:ind w:right="2940"/>
              <w:spacing w:after="0"/>
              <w:rPr>
                <w:sz w:val="20"/>
                <w:szCs w:val="20"/>
                <w:color w:val="auto"/>
              </w:rPr>
            </w:pPr>
            <w:r>
              <w:rPr>
                <w:rFonts w:ascii="Arial" w:cs="Arial" w:eastAsia="Arial" w:hAnsi="Arial"/>
                <w:sz w:val="18"/>
                <w:szCs w:val="18"/>
                <w:b w:val="1"/>
                <w:bCs w:val="1"/>
                <w:color w:val="auto"/>
                <w:w w:val="96"/>
              </w:rPr>
              <w:t>DECEMBER 27, 2008</w:t>
            </w:r>
          </w:p>
        </w:tc>
        <w:tc>
          <w:tcPr>
            <w:tcW w:w="7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60" w:type="dxa"/>
            <w:vAlign w:val="bottom"/>
            <w:gridSpan w:val="19"/>
          </w:tcPr>
          <w:p>
            <w:pPr>
              <w:jc w:val="center"/>
              <w:ind w:right="264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350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8460" w:type="dxa"/>
            <w:vAlign w:val="bottom"/>
            <w:gridSpan w:val="3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46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Item 1A. 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1B. Unresolved Staff Comments</w:t>
              </w:r>
            </w:hyperlink>
          </w:p>
        </w:tc>
        <w:tc>
          <w:tcPr>
            <w:tcW w:w="5740" w:type="dxa"/>
            <w:vAlign w:val="bottom"/>
            <w:gridSpan w:val="2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12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Item 2. Properties</w:t>
              </w:r>
            </w:hyperlink>
          </w:p>
        </w:tc>
        <w:tc>
          <w:tcPr>
            <w:tcW w:w="7180" w:type="dxa"/>
            <w:vAlign w:val="bottom"/>
            <w:gridSpan w:val="2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8460" w:type="dxa"/>
            <w:vAlign w:val="bottom"/>
            <w:gridSpan w:val="3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3. 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434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4. Submission of Matters to a Vote of Security Holders</w:t>
              </w:r>
            </w:hyperlink>
          </w:p>
        </w:tc>
        <w:tc>
          <w:tcPr>
            <w:tcW w:w="412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8460" w:type="dxa"/>
            <w:vAlign w:val="bottom"/>
            <w:gridSpan w:val="3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Additional item: Executive Officers of the Registrant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13"/>
          </w:tcPr>
          <w:p>
            <w:pPr>
              <w:jc w:val="center"/>
              <w:ind w:right="3480"/>
              <w:spacing w:after="0"/>
              <w:rPr>
                <w:rFonts w:ascii="Arial" w:cs="Arial" w:eastAsia="Arial" w:hAnsi="Arial"/>
                <w:sz w:val="18"/>
                <w:szCs w:val="18"/>
                <w:b w:val="1"/>
                <w:bCs w:val="1"/>
                <w:color w:val="0000EE"/>
                <w:w w:val="99"/>
              </w:rPr>
            </w:pPr>
            <w:hyperlink w:anchor="page14">
              <w:r>
                <w:rPr>
                  <w:rFonts w:ascii="Arial" w:cs="Arial" w:eastAsia="Arial" w:hAnsi="Arial"/>
                  <w:sz w:val="18"/>
                  <w:szCs w:val="18"/>
                  <w:b w:val="1"/>
                  <w:bCs w:val="1"/>
                  <w:color w:val="0000EE"/>
                  <w:w w:val="99"/>
                </w:rPr>
                <w:t>PART II</w:t>
              </w:r>
            </w:hyperlink>
          </w:p>
        </w:tc>
        <w:tc>
          <w:tcPr>
            <w:tcW w:w="7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460" w:type="dxa"/>
            <w:vAlign w:val="bottom"/>
            <w:gridSpan w:val="34"/>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Item 5. Market for Registrant’s Common Equity, Related Shareholder Matters and Issuer Purchases of Equity</w:t>
              </w:r>
            </w:hyperlink>
          </w:p>
        </w:tc>
        <w:tc>
          <w:tcPr>
            <w:tcW w:w="78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Securities</w:t>
              </w:r>
            </w:hyperlink>
          </w:p>
        </w:tc>
        <w:tc>
          <w:tcPr>
            <w:tcW w:w="6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2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6. Selected Financial Data</w:t>
              </w:r>
            </w:hyperlink>
          </w:p>
        </w:tc>
        <w:tc>
          <w:tcPr>
            <w:tcW w:w="6200" w:type="dxa"/>
            <w:vAlign w:val="bottom"/>
            <w:gridSpan w:val="2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8460" w:type="dxa"/>
            <w:vAlign w:val="bottom"/>
            <w:gridSpan w:val="3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7. 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5060" w:type="dxa"/>
            <w:vAlign w:val="bottom"/>
            <w:tcBorders>
              <w:top w:val="single" w:sz="8" w:color="0000EE"/>
              <w:bottom w:val="single" w:sz="8" w:color="0000EE"/>
            </w:tcBorders>
            <w:gridSpan w:val="28"/>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Item 7A. Quantitative and Qualitative Disclosures About Market Risk</w:t>
              </w:r>
            </w:hyperlink>
          </w:p>
        </w:tc>
        <w:tc>
          <w:tcPr>
            <w:tcW w:w="1940" w:type="dxa"/>
            <w:vAlign w:val="bottom"/>
            <w:tcBorders>
              <w:top w:val="single" w:sz="8" w:color="0000EE"/>
            </w:tcBorders>
            <w:gridSpan w:val="2"/>
          </w:tcPr>
          <w:p>
            <w:pPr>
              <w:spacing w:after="0"/>
              <w:rPr>
                <w:sz w:val="24"/>
                <w:szCs w:val="24"/>
                <w:color w:val="auto"/>
              </w:rPr>
            </w:pPr>
          </w:p>
        </w:tc>
        <w:tc>
          <w:tcPr>
            <w:tcW w:w="146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38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8. Financial Statements and Supplementary Data</w:t>
              </w:r>
            </w:hyperlink>
          </w:p>
        </w:tc>
        <w:tc>
          <w:tcPr>
            <w:tcW w:w="458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704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9. Changes In and Disagreements with Accountants on Accounting and Financial Disclosure</w:t>
              </w:r>
            </w:hyperlink>
          </w:p>
        </w:tc>
        <w:tc>
          <w:tcPr>
            <w:tcW w:w="142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24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9A. Controls and Procedures</w:t>
              </w:r>
            </w:hyperlink>
          </w:p>
        </w:tc>
        <w:tc>
          <w:tcPr>
            <w:tcW w:w="6000" w:type="dxa"/>
            <w:vAlign w:val="bottom"/>
            <w:gridSpan w:val="2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8460" w:type="dxa"/>
            <w:vAlign w:val="bottom"/>
            <w:gridSpan w:val="3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9B. 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III</w:t>
              </w:r>
            </w:hyperlink>
          </w:p>
        </w:tc>
        <w:tc>
          <w:tcPr>
            <w:tcW w:w="34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474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10. Directors, Executive Officers and Corporate Governance</w:t>
              </w:r>
            </w:hyperlink>
          </w:p>
        </w:tc>
        <w:tc>
          <w:tcPr>
            <w:tcW w:w="372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24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11. Executive Compensation</w:t>
              </w:r>
            </w:hyperlink>
          </w:p>
        </w:tc>
        <w:tc>
          <w:tcPr>
            <w:tcW w:w="6020" w:type="dxa"/>
            <w:vAlign w:val="bottom"/>
            <w:gridSpan w:val="2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734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12. Security Ownership of Certain Beneficial Owners and Management and Related Shareholder</w:t>
              </w:r>
            </w:hyperlink>
          </w:p>
        </w:tc>
        <w:tc>
          <w:tcPr>
            <w:tcW w:w="11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3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Matters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460" w:type="dxa"/>
            <w:vAlign w:val="bottom"/>
            <w:gridSpan w:val="3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13. 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6080" w:type="dxa"/>
            <w:vAlign w:val="bottom"/>
            <w:tcBorders>
              <w:top w:val="single" w:sz="8" w:color="0000EE"/>
            </w:tcBorders>
            <w:gridSpan w:val="2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14. Principal Accountant Fees and Services</w:t>
              </w:r>
            </w:hyperlink>
          </w:p>
        </w:tc>
        <w:tc>
          <w:tcPr>
            <w:tcW w:w="238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60" w:type="dxa"/>
            <w:vAlign w:val="bottom"/>
            <w:gridSpan w:val="15"/>
          </w:tcPr>
          <w:p>
            <w:pPr>
              <w:jc w:val="center"/>
              <w:ind w:right="3440"/>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IV</w:t>
              </w:r>
            </w:hyperlink>
          </w:p>
        </w:tc>
        <w:tc>
          <w:tcPr>
            <w:tcW w:w="780" w:type="dxa"/>
            <w:vAlign w:val="bottom"/>
          </w:tcPr>
          <w:p>
            <w:pPr>
              <w:spacing w:after="0"/>
              <w:rPr>
                <w:sz w:val="24"/>
                <w:szCs w:val="24"/>
                <w:color w:val="auto"/>
              </w:rPr>
            </w:pPr>
          </w:p>
        </w:tc>
      </w:tr>
      <w:tr>
        <w:trPr>
          <w:trHeight w:val="412"/>
        </w:trPr>
        <w:tc>
          <w:tcPr>
            <w:tcW w:w="38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15. Exhibits and Financial Statement Schedules</w:t>
              </w:r>
            </w:hyperlink>
          </w:p>
        </w:tc>
        <w:tc>
          <w:tcPr>
            <w:tcW w:w="520" w:type="dxa"/>
            <w:vAlign w:val="bottom"/>
            <w:gridSpan w:val="4"/>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344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4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 13</w:t>
            </w:r>
          </w:p>
        </w:tc>
        <w:tc>
          <w:tcPr>
            <w:tcW w:w="7680" w:type="dxa"/>
            <w:vAlign w:val="bottom"/>
            <w:gridSpan w:val="30"/>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Exhibit 21</w:t>
            </w:r>
          </w:p>
        </w:tc>
        <w:tc>
          <w:tcPr>
            <w:tcW w:w="7680" w:type="dxa"/>
            <w:vAlign w:val="bottom"/>
            <w:gridSpan w:val="30"/>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Exhibit 23</w:t>
            </w:r>
          </w:p>
        </w:tc>
        <w:tc>
          <w:tcPr>
            <w:tcW w:w="7680" w:type="dxa"/>
            <w:vAlign w:val="bottom"/>
            <w:gridSpan w:val="30"/>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20" w:type="dxa"/>
            <w:vAlign w:val="bottom"/>
            <w:gridSpan w:val="33"/>
          </w:tcPr>
          <w:p>
            <w:pPr>
              <w:spacing w:after="0" w:line="196" w:lineRule="exact"/>
              <w:rPr>
                <w:sz w:val="20"/>
                <w:szCs w:val="20"/>
                <w:color w:val="auto"/>
              </w:rPr>
            </w:pPr>
            <w:r>
              <w:rPr>
                <w:rFonts w:ascii="Arial" w:cs="Arial" w:eastAsia="Arial" w:hAnsi="Arial"/>
                <w:sz w:val="18"/>
                <w:szCs w:val="18"/>
                <w:color w:val="0000EE"/>
              </w:rPr>
              <w:t>Exhibit 31(a)</w:t>
            </w:r>
          </w:p>
        </w:tc>
        <w:tc>
          <w:tcPr>
            <w:tcW w:w="7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31(b)</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32(b)</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153"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General Development of the Business</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Universal Forest Products, Inc. was organized as a Michigan corporation in 1955. We engineer, manufacture, treat, distribute and install lumber, composite wood, plastic and other building products to the do-it-yourself/retail (“DIY/retail”), site-built construction, manufactured housing, and industrial markets. We currently operate facilities throughout the United States, Canada, and Mexico.</w:t>
      </w:r>
    </w:p>
    <w:p>
      <w:pPr>
        <w:spacing w:after="0" w:line="16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Information relating to current developments in our business is incorporated by reference from our Annual Report to Shareholders for the fiscal year ended December 27, 2008 (“2008 Annual Report”) under the caption “Management’s Discussion and Analysis of Financial Condition and Results of Operations.” Selected portions of the 2008 Annual Report are filed as Exhibit 13 with this Form 10-K Report.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Financial Information About Segments.</w:t>
      </w:r>
    </w:p>
    <w:p>
      <w:pPr>
        <w:spacing w:after="0" w:line="189"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 xml:space="preserve">Statement of Financial Accounting Standards (“SFAS”) No. 131, </w:t>
      </w:r>
      <w:r>
        <w:rPr>
          <w:rFonts w:ascii="Arial" w:cs="Arial" w:eastAsia="Arial" w:hAnsi="Arial"/>
          <w:sz w:val="18"/>
          <w:szCs w:val="18"/>
          <w:i w:val="1"/>
          <w:iCs w:val="1"/>
          <w:color w:val="auto"/>
        </w:rPr>
        <w:t>Disclosures about Segments of an Enterprise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(“SFAS 131”) defines operating segments as components of an enterprise about which separate financial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is available that is evaluated regularly by the chief operating decision maker in deciding how to allocate resources and in assessing performance. Under the definition of a segment, our Eastern, Western and Consumer Products Divisions may be considered an operating segment of our business. Under SFAS 131, segments may be aggregated if the segments have similar economic characteristics and if the nature of the products, distribution methods, customers and regulatory environments are similar. We have aggregated our Eastern and Western divisions into one reporting segment, consistent with SFAS 131. Our Consumer Products Division, which was formed in 2006, is included in “All Other.” Separate Financial information about industry segments is incorporated by reference from Note P of the Consolidated Financial Statements presented under Item 8 herein.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Narrative Description of Business</w:t>
      </w:r>
      <w:r>
        <w:rPr>
          <w:rFonts w:ascii="Arial" w:cs="Arial" w:eastAsia="Arial" w:hAnsi="Arial"/>
          <w:sz w:val="18"/>
          <w:szCs w:val="18"/>
          <w:color w:val="auto"/>
        </w:rPr>
        <w:t>.</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presently engineer, manufacture, treat, distribute and install lumber, composite wood, plastic and other building products for the DIY/retail, site-built construction, manufactured housing, and industrial markets. Each of these markets is discussed in the paragraphs which follow.</w:t>
      </w:r>
    </w:p>
    <w:p>
      <w:pPr>
        <w:spacing w:after="0" w:line="14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u w:val="single" w:color="auto"/>
          <w:color w:val="auto"/>
        </w:rPr>
        <w:t>DIY/Retail Market</w:t>
      </w:r>
      <w:r>
        <w:rPr>
          <w:rFonts w:ascii="Arial" w:cs="Arial" w:eastAsia="Arial" w:hAnsi="Arial"/>
          <w:sz w:val="18"/>
          <w:szCs w:val="18"/>
          <w:color w:val="auto"/>
        </w:rPr>
        <w:t>. The customers comprising this market are primarily national home center retailers, retail-oriented regional lumberyards and contractor-oriented lumberyards. Generally, terms of sale are established for annual periods, and orders are placed with our regional facilities in accordance with established terms. One customer, The Home Depot, accounted for approximately 27% of our total net sales in fiscal 2008, 26% in 2007, and 22% in 2006.</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From time to time we enter into certain sales contracts with The Home Depot. The contracts are limited to the establishment of general sales terms and conditions, such as delivery, invoicing, warranties and other standard, commercial matters. Sales are made by the release of purchase orders to us for particular quantities of certain products. We also enter into marketing agreements and rebate agreements with The Home Depot. The marketing agreements provide a certain percentage of our sales revenue or a minimum dollar amount will be committed to generate sales for us and The Home Depot.</w:t>
      </w:r>
    </w:p>
    <w:p>
      <w:pPr>
        <w:spacing w:after="0" w:line="13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currently supply customers in this market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close proximity of our regional facilities to the various outlets of these customers is a significant advantage when negotiating annual sales programs.</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products offered to customers in this market include dimensional lumber (both preserved and unpreserved) and various “value-added products,” some of which are sold under our trademarks. In addition to our conventional lumber products, we offer composite wood and plastic products. We also sell engineered wood products to this market, which include roof trusses, wall panels and engineered floor systems (see “Site-Built Construction Market” below).</w:t>
      </w:r>
    </w:p>
    <w:p>
      <w:pPr>
        <w:spacing w:after="0" w:line="14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are not aware of any competitor that currently manufactures, treats and distributes a full line of both value-added and commodity products on a national basis. We face competition on individual products from several different producers, but the majority of these competitors tend to be regional in their efforts and/or do not offer a full line of outdoor lumber products. We believe the breadth of our product offering, geographic dispersion, customer relationships, close proximity of our plants to core customers, purchasing and manufacturing expertise and service capabilities provide significant competitive advantages in this market.</w:t>
      </w:r>
    </w:p>
    <w:p>
      <w:pPr>
        <w:spacing w:after="0" w:line="16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u w:val="single" w:color="auto"/>
          <w:color w:val="auto"/>
        </w:rPr>
        <w:t>Site-Built Construction Market</w:t>
      </w:r>
      <w:r>
        <w:rPr>
          <w:rFonts w:ascii="Arial" w:cs="Arial" w:eastAsia="Arial" w:hAnsi="Arial"/>
          <w:sz w:val="18"/>
          <w:szCs w:val="18"/>
          <w:color w:val="auto"/>
        </w:rPr>
        <w:t>. We entered the site-built construction market through strategic business acquisitions. The residential housing customers comprising this market are primarily large-volume, multi-tract builders and smaller volume custom builders. We also supply builders engaged in multi-family and commercial construction. Generally, terms of sale and pricing are determined based on quotes for each order.</w:t>
      </w:r>
    </w:p>
    <w:p>
      <w:pPr>
        <w:spacing w:after="0" w:line="146" w:lineRule="exact"/>
        <w:rPr>
          <w:sz w:val="20"/>
          <w:szCs w:val="20"/>
          <w:color w:val="auto"/>
        </w:rPr>
      </w:pPr>
    </w:p>
    <w:p>
      <w:pPr>
        <w:jc w:val="both"/>
        <w:ind w:left="340" w:right="559"/>
        <w:spacing w:after="0" w:line="241" w:lineRule="auto"/>
        <w:rPr>
          <w:sz w:val="20"/>
          <w:szCs w:val="20"/>
          <w:color w:val="auto"/>
        </w:rPr>
      </w:pPr>
      <w:r>
        <w:rPr>
          <w:rFonts w:ascii="Arial" w:cs="Arial" w:eastAsia="Arial" w:hAnsi="Arial"/>
          <w:sz w:val="17"/>
          <w:szCs w:val="17"/>
          <w:color w:val="auto"/>
        </w:rPr>
        <w:t>We currently supply customers in this market from manufacturing facilities located in many different states and Ontario, Canada. These facilities manufacture various engineered wood components used to frame residential or commercial projects, including roof and floor trusses, wall panels, Open Joist 2000</w:t>
      </w:r>
      <w:r>
        <w:rPr>
          <w:rFonts w:ascii="Arial" w:cs="Arial" w:eastAsia="Arial" w:hAnsi="Arial"/>
          <w:sz w:val="25"/>
          <w:szCs w:val="25"/>
          <w:color w:val="auto"/>
          <w:vertAlign w:val="superscript"/>
        </w:rPr>
        <w:t>®</w:t>
      </w:r>
      <w:r>
        <w:rPr>
          <w:rFonts w:ascii="Arial" w:cs="Arial" w:eastAsia="Arial" w:hAnsi="Arial"/>
          <w:sz w:val="17"/>
          <w:szCs w:val="17"/>
          <w:color w:val="auto"/>
        </w:rPr>
        <w:t>, I-joists and lumber packages. Freight costs are a factor in the ability to competitively service this market due to the space requirements of these products on each truckload.</w:t>
      </w: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also provide framing services for customers in certain regional markets, in which we erect the wood structure. We believe that providing a comprehensive framing package, including installation, provides a competitive advantage. Terms of sale are based on a construction contract.</w:t>
      </w:r>
    </w:p>
    <w:p>
      <w:pPr>
        <w:spacing w:after="0" w:line="154"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Competition in this market is primarily fragmented, but we do compete with a small number of national and regional retail contractor yards who also manufacture components and provide framing services, as well as regional manufacturers of components. Our long-term objective is to continue to increase our manufacturing capacity and framing capabilities for this market in certain regions we do not currently serve in order to expand our a national presence. We believe our primary competitive advantages relate to the engineering and design capabilities of our regional staff, customer relationships, purchasing and manufacturing expertise, product quality and timeliness of delivery.</w:t>
      </w:r>
    </w:p>
    <w:p>
      <w:pPr>
        <w:spacing w:after="0" w:line="13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u w:val="single" w:color="auto"/>
          <w:color w:val="auto"/>
        </w:rPr>
        <w:t>Manufactured Housing Market</w:t>
      </w:r>
      <w:r>
        <w:rPr>
          <w:rFonts w:ascii="Arial" w:cs="Arial" w:eastAsia="Arial" w:hAnsi="Arial"/>
          <w:sz w:val="18"/>
          <w:szCs w:val="18"/>
          <w:color w:val="auto"/>
        </w:rPr>
        <w:t>. The customers comprising the manufactured housing market are producers of mobile, modular and prefabricated homes and recreational vehicles. Products sold to customers in this market consist primarily of roof trusses, lumber cut and shaped to the customer’s specification, plywood, particle board and dimensional lumber, all intended for use in the construction of manufactured housing. Sales are made by personnel located at each regional facility based on customer orders.</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principal competitive advantages include our customer relationships, product knowledge, the strength of our engineering support services, the close proximity of our regional facilities to our customers, our purchasing and manufacturing expertise and our ability to provide national sales programs to certain customers. These factors have enabled us to accumulate significant market share in the products we supply.</w:t>
      </w:r>
    </w:p>
    <w:p>
      <w:pPr>
        <w:spacing w:after="0" w:line="16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u w:val="single" w:color="auto"/>
          <w:color w:val="auto"/>
        </w:rPr>
        <w:t>Industrial Market</w:t>
      </w:r>
      <w:r>
        <w:rPr>
          <w:rFonts w:ascii="Arial" w:cs="Arial" w:eastAsia="Arial" w:hAnsi="Arial"/>
          <w:sz w:val="17"/>
          <w:szCs w:val="17"/>
          <w:color w:val="auto"/>
        </w:rPr>
        <w:t>. We define our industrial market as industrial manufacturers and agricultural customers who use pallets, specialty crates and wooden boxes for packaging, shipping and material handling purposes. Many of the products sold to this market may be produced from the by-product of other manufactured products, thereby allowing us to increase our raw material yields while expanding our business. Competition is fragmented and includes virtually every supplier of lumber convenient to the customer. We service this market with our dedicated local sales teams and national sales support efforts, combined with our competitive advantages in manufacturing, purchasing, and material utilization.</w:t>
      </w:r>
    </w:p>
    <w:p>
      <w:pPr>
        <w:spacing w:after="0" w:line="13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u w:val="single" w:color="auto"/>
          <w:color w:val="auto"/>
        </w:rPr>
        <w:t>Suppliers</w:t>
      </w:r>
      <w:r>
        <w:rPr>
          <w:rFonts w:ascii="Arial" w:cs="Arial" w:eastAsia="Arial" w:hAnsi="Arial"/>
          <w:sz w:val="17"/>
          <w:szCs w:val="17"/>
          <w:color w:val="auto"/>
        </w:rPr>
        <w:t>. We are one of the largest domestic buyers of solid sawn soft wood lumber from primary producers (lumber mills). We use primarily Southern Yellow Pine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 spruce. There are numerous primary producers for all varieties we use, and we are not dependent on any particular source of supply. Our financial resources and size, in combination with our strong sales network and ability to remanufacture lumber, enable us to purchase a large percentage of a primary producer’s output, (as opposed to only those dimensions or grades in immediate need), thereby lowering our average cost of raw materials and allowing us to obtain programs such as consigned inventory. We believe this represents a competitive advantage.</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27"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u w:val="single" w:color="auto"/>
          <w:color w:val="auto"/>
        </w:rPr>
        <w:t>Backlog</w:t>
      </w:r>
      <w:r>
        <w:rPr>
          <w:rFonts w:ascii="Arial" w:cs="Arial" w:eastAsia="Arial" w:hAnsi="Arial"/>
          <w:sz w:val="18"/>
          <w:szCs w:val="18"/>
          <w:color w:val="auto"/>
        </w:rPr>
        <w:t>. Due to the nature of our DIY/retail, manufactured housing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14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On December 27, 2008 and December 29, 2007, we estimate that backlog orders associated with the site-built construction business approximated $57.7 million and $101.6 million, respectively. With respect to the former, we expect that these orders will be primarily filled within the current fiscal year, however, it is possible that some orders could be canceled.</w:t>
      </w:r>
    </w:p>
    <w:p>
      <w:pPr>
        <w:spacing w:after="0" w:line="12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Information required for environmental disclosures is incorporated by reference from Note N of the Consolidated Financial Statements presented under Item 8 herein.</w:t>
      </w:r>
    </w:p>
    <w:p>
      <w:pPr>
        <w:spacing w:after="0" w:line="143"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u w:val="single" w:color="auto"/>
          <w:color w:val="auto"/>
        </w:rPr>
        <w:t>Seasonality.</w:t>
      </w:r>
      <w:r>
        <w:rPr>
          <w:rFonts w:ascii="Arial" w:cs="Arial" w:eastAsia="Arial" w:hAnsi="Arial"/>
          <w:sz w:val="18"/>
          <w:szCs w:val="18"/>
          <w:color w:val="auto"/>
        </w:rPr>
        <w:t xml:space="preserve"> Information required for seasonality disclosures is incorporated by reference from Item 1A. Risk Factors under the caption “</w:t>
      </w:r>
      <w:r>
        <w:rPr>
          <w:rFonts w:ascii="Arial" w:cs="Arial" w:eastAsia="Arial" w:hAnsi="Arial"/>
          <w:sz w:val="18"/>
          <w:szCs w:val="18"/>
          <w:i w:val="1"/>
          <w:iCs w:val="1"/>
          <w:color w:val="auto"/>
        </w:rPr>
        <w:t>Seasonality and weather conditions could adversely affect us</w:t>
      </w:r>
      <w:r>
        <w:rPr>
          <w:rFonts w:ascii="Arial" w:cs="Arial" w:eastAsia="Arial" w:hAnsi="Arial"/>
          <w:sz w:val="18"/>
          <w:szCs w:val="18"/>
          <w:color w:val="auto"/>
        </w:rPr>
        <w: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On December 27, 2008, we had approximately 6,200 employees.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Financial Information About Geographic Areas.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dominant portion of our operations and sales occur in the United States. Separate financial information about foreign and domestic operations and export sales is incorporated by reference from Note P of the Consolidated Financial Statements presented under Item 8 herein.</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02"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Reports to Security Holders.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Enforceability of Civil Liabilities Against Foreign Persons.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 xml:space="preserve">We are subject to regional, national and global economic conditions. </w:t>
      </w:r>
      <w:r>
        <w:rPr>
          <w:rFonts w:ascii="Arial" w:cs="Arial" w:eastAsia="Arial" w:hAnsi="Arial"/>
          <w:sz w:val="18"/>
          <w:szCs w:val="18"/>
          <w:color w:val="auto"/>
        </w:rPr>
        <w:t>The unprecedented decline in economics throughout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could depress demand for our products further.</w:t>
      </w:r>
    </w:p>
    <w:p>
      <w:pPr>
        <w:spacing w:after="0" w:line="13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b w:val="1"/>
          <w:bCs w:val="1"/>
          <w:i w:val="1"/>
          <w:iCs w:val="1"/>
          <w:color w:val="auto"/>
        </w:rPr>
        <w:t xml:space="preserve">A sustained downturn in our markets could adversely impact our credit agreements. </w:t>
      </w:r>
      <w:r>
        <w:rPr>
          <w:rFonts w:ascii="Arial" w:cs="Arial" w:eastAsia="Arial" w:hAnsi="Arial"/>
          <w:sz w:val="18"/>
          <w:szCs w:val="18"/>
          <w:color w:val="auto"/>
        </w:rPr>
        <w:t>As of December 27, 2008,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industrial revenue bond and lease obligations, we had approximately $85 million of outstanding indebtedness, all of which are unsecured, comprised of the following:</w:t>
      </w:r>
    </w:p>
    <w:p>
      <w:pPr>
        <w:spacing w:after="0" w:line="141"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$15 million senior notes due December 2009</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$40 million senior notes due December 2012</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$30 million revolving credit facility due February 2012</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addition, we had approximately $32.2 million outstanding under letters of credit, which principally relate to certain insurance contracts and industrial revenue bond obligations. Amounts outstanding under such letters reduced the availability under our $300 million revolving credit facility due February 2012.</w:t>
      </w:r>
    </w:p>
    <w:p>
      <w:pPr>
        <w:spacing w:after="0" w:line="154"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noted elsewhere in this report, we have been experiencing a significant deterioration in the various markets in which we compete. A sustained and continued, significant deterioration in these markets may adversely impact our ability to meet certain of our covenants under one or more of our existing obligations. Management continues to evaluate what, if any, action or actions may be available or necessary to maintain compliance with these various covenants or, if necessary, refinance or replace these obligations.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b w:val="1"/>
          <w:bCs w:val="1"/>
          <w:i w:val="1"/>
          <w:iCs w:val="1"/>
          <w:color w:val="auto"/>
        </w:rPr>
        <w:t>We are subject to fluctuations in the price of lumber</w:t>
      </w:r>
      <w:r>
        <w:rPr>
          <w:rFonts w:ascii="Arial" w:cs="Arial" w:eastAsia="Arial" w:hAnsi="Arial"/>
          <w:sz w:val="18"/>
          <w:szCs w:val="18"/>
          <w:color w:val="auto"/>
        </w:rPr>
        <w:t>. We experience significant fluctuations in the cost of commodity lumber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from primary producers (the “Lumber Market”). A variety of factors over which we have no control, including government regulations, environmental regulations, weather conditions, economic conditions, and natural disasters, impact the cost of lumber products and our selling prices. While we attempt to minimize our risk from severe price fluctuations, substantial, prolonged trends in lumber prices can negatively affect our sales volume, our gross margins, and our profitability. We anticipate that these fluctuations will continue in the future.</w:t>
      </w:r>
    </w:p>
    <w:p>
      <w:pPr>
        <w:spacing w:after="0" w:line="16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b w:val="1"/>
          <w:bCs w:val="1"/>
          <w:i w:val="1"/>
          <w:iCs w:val="1"/>
          <w:color w:val="auto"/>
        </w:rPr>
        <w:t xml:space="preserve">Our growth may be limited by the markets we serve. </w:t>
      </w:r>
      <w:r>
        <w:rPr>
          <w:rFonts w:ascii="Arial" w:cs="Arial" w:eastAsia="Arial" w:hAnsi="Arial"/>
          <w:sz w:val="18"/>
          <w:szCs w:val="18"/>
          <w:color w:val="auto"/>
        </w:rPr>
        <w:t>Our sales growth is dependent, in part, upon the growth of the markets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 If our markets do not achieve anticipated growth, or if we fail to maintain our market share, financial results could be impaired.</w:t>
      </w:r>
    </w:p>
    <w:p>
      <w:pPr>
        <w:spacing w:after="0" w:line="14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Our ability to achieve sales and margin goals, particularly on sales to the site-built construction market, is impacted by housing starts. If housing starts decline significantly, our financial results could be negatively impacted. Single-family housing starts fell approximately 41% in 2008 compared to 2007. Single-family housing starts are predicted to decline even further in 2009. The manufactured housing market is constricted due in part to lack of available long-term financing and lack of credit-worth buyers. While current government initiatives are designed to improve the flow of capital to this market, the availability and restrictions of its use could lead to further depressed demand.</w:t>
      </w:r>
    </w:p>
    <w:p>
      <w:pPr>
        <w:spacing w:after="0" w:line="153"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are witnessing consolidation by our customers in each of the markets we serve. These consolidations will result in a larger portion of our sales being made to some customers and may limit the customer base we are able to serve.</w:t>
      </w:r>
    </w:p>
    <w:p>
      <w:pPr>
        <w:spacing w:after="0" w:line="143"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are concentrated with one customer</w:t>
      </w:r>
      <w:r>
        <w:rPr>
          <w:rFonts w:ascii="Arial" w:cs="Arial" w:eastAsia="Arial" w:hAnsi="Arial"/>
          <w:sz w:val="18"/>
          <w:szCs w:val="18"/>
          <w:color w:val="auto"/>
        </w:rPr>
        <w:t>. Our sales to The Home Depot comprised 27%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sales in 2008, 26% in 2007, and 22% in 2006.</w:t>
      </w:r>
    </w:p>
    <w:p>
      <w:pPr>
        <w:spacing w:after="0" w:line="130"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b w:val="1"/>
          <w:bCs w:val="1"/>
          <w:i w:val="1"/>
          <w:iCs w:val="1"/>
          <w:color w:val="auto"/>
        </w:rPr>
        <w:t xml:space="preserve">Current economic and credit market conditions have increased the risk that we may not collect a greater percentage of our receivables. </w:t>
      </w:r>
      <w:r>
        <w:rPr>
          <w:rFonts w:ascii="Arial" w:cs="Arial" w:eastAsia="Arial" w:hAnsi="Arial"/>
          <w:sz w:val="16"/>
          <w:szCs w:val="16"/>
          <w:color w:val="auto"/>
        </w:rPr>
        <w:t>Economic and credit conditions may significantly impact our bad debt expense. We continue to monitor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credit profiles carefully and make changes in our terms when necessary in response to this heightened risk.</w:t>
      </w:r>
    </w:p>
    <w:p>
      <w:pPr>
        <w:spacing w:after="0" w:line="10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b w:val="1"/>
          <w:bCs w:val="1"/>
          <w:i w:val="1"/>
          <w:iCs w:val="1"/>
          <w:color w:val="auto"/>
        </w:rPr>
        <w:t xml:space="preserve">Our growth may be limited by our ability to make successful acquisitions. </w:t>
      </w:r>
      <w:r>
        <w:rPr>
          <w:rFonts w:ascii="Arial" w:cs="Arial" w:eastAsia="Arial" w:hAnsi="Arial"/>
          <w:sz w:val="18"/>
          <w:szCs w:val="18"/>
          <w:color w:val="auto"/>
        </w:rPr>
        <w:t>A key component of our growth strategy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complete 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b w:val="1"/>
          <w:bCs w:val="1"/>
          <w:i w:val="1"/>
          <w:iCs w:val="1"/>
          <w:color w:val="auto"/>
        </w:rPr>
        <w:t xml:space="preserve">We may be adversely affected by the impact of environmental and safety regulations. </w:t>
      </w:r>
      <w:r>
        <w:rPr>
          <w:rFonts w:ascii="Arial" w:cs="Arial" w:eastAsia="Arial" w:hAnsi="Arial"/>
          <w:sz w:val="16"/>
          <w:szCs w:val="16"/>
          <w:color w:val="auto"/>
        </w:rPr>
        <w:t>We are subject to the requirements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in the future, which restrict our ability to manufacture and market our products, including our treated lumber products, it could adversely affect our sales and profits. If existing laws are interpreted differently, it could also increase our financial costs. If laws regarding carbon emission, more expensive energy choices, or taxes and fees on resource use are enacted, it could significantly increase our costs of operation, raise costs to our customers, and create a further barrier to demand for United States manufactured products.</w:t>
      </w:r>
    </w:p>
    <w:p>
      <w:pPr>
        <w:spacing w:after="0" w:line="13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b w:val="1"/>
          <w:bCs w:val="1"/>
          <w:i w:val="1"/>
          <w:iCs w:val="1"/>
          <w:color w:val="auto"/>
        </w:rPr>
        <w:t>Seasonality and weather conditions could adversely affect us</w:t>
      </w:r>
      <w:r>
        <w:rPr>
          <w:rFonts w:ascii="Arial" w:cs="Arial" w:eastAsia="Arial" w:hAnsi="Arial"/>
          <w:sz w:val="16"/>
          <w:szCs w:val="16"/>
          <w:color w:val="auto"/>
        </w:rPr>
        <w:t>. Some aspects of our business are seasonal in nature and results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vary from quarter to quarter. Our treated lumber and outdoor specialty products, such as fencing, decking, and lattice, experience the greatest seasonal effects. Sales of treated lumber, primarily consisting of Southern Yellow Pine, also experience the greatest Lumber Market risk (see “Historical Lumber Prices” in Management’s Discussion and Analysis of Financial Condition and Results of Operations which is presented under Item 7 of this Form 10-K and is incorporated herein by reference). Treated lumber sales are generally at their highest levels between April and August. This sales peak, combined with capacity constraints in the wood treatment process, requires us to build our inventory of treated lumber throughout the winter and spring. (This also has an impact on our receivables balances, which tend to be significantly higher at the end of the second and third quarters.) Because sales prices of treated lumber products may be indexed to the Lumber Market at the time they are shipped, our profits can be negatively affected by prolonged declines in the Lumber Market during our primary selling season. To mitigate this risk, consignment inventory programs are negotiated with certain vendors that are intended to decrease our exposure to the Lumber Market by correlating the purchase price of the material with the related sell price to the customer. These programs include those materials which are most susceptible to adverse changes in the Lumber Market.</w:t>
      </w:r>
    </w:p>
    <w:p>
      <w:pPr>
        <w:spacing w:after="0" w:line="134"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majority of our products are used or installed in outdoor construction activities; therefore, short-term sales volume, our gross margins, and our profits can be negatively affected by adverse weather conditions, particularly in our first and fourth quarters. In addition, adverse weather conditions can negatively impact our productivity and costs per unit.</w:t>
      </w:r>
    </w:p>
    <w:p>
      <w:pPr>
        <w:spacing w:after="0" w:line="12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b w:val="1"/>
          <w:bCs w:val="1"/>
          <w:i w:val="1"/>
          <w:iCs w:val="1"/>
          <w:color w:val="auto"/>
        </w:rPr>
        <w:t xml:space="preserve">Inbound and outbound transportation costs represent a significant part of our cost structure. </w:t>
      </w:r>
      <w:r>
        <w:rPr>
          <w:rFonts w:ascii="Arial" w:cs="Arial" w:eastAsia="Arial" w:hAnsi="Arial"/>
          <w:sz w:val="18"/>
          <w:szCs w:val="18"/>
          <w:color w:val="auto"/>
        </w:rPr>
        <w:t>A rapid and prolonged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fuel prices will significantly increase our costs. While we attempt to pass these costs along to our customers, there can be no assurance that they would agree to these price increases.</w:t>
      </w:r>
    </w:p>
    <w:p>
      <w:pPr>
        <w:spacing w:after="0" w:line="154" w:lineRule="exact"/>
        <w:rPr>
          <w:sz w:val="20"/>
          <w:szCs w:val="20"/>
          <w:color w:val="auto"/>
        </w:rPr>
      </w:pPr>
    </w:p>
    <w:p>
      <w:pPr>
        <w:jc w:val="both"/>
        <w:ind w:left="340" w:right="559"/>
        <w:spacing w:after="0" w:line="233" w:lineRule="auto"/>
        <w:rPr>
          <w:sz w:val="20"/>
          <w:szCs w:val="20"/>
          <w:color w:val="auto"/>
        </w:rPr>
      </w:pPr>
      <w:r>
        <w:rPr>
          <w:rFonts w:ascii="Arial" w:cs="Arial" w:eastAsia="Arial" w:hAnsi="Arial"/>
          <w:sz w:val="18"/>
          <w:szCs w:val="18"/>
          <w:b w:val="1"/>
          <w:bCs w:val="1"/>
          <w:i w:val="1"/>
          <w:iCs w:val="1"/>
          <w:color w:val="auto"/>
        </w:rPr>
        <w:t xml:space="preserve">New preservatives will be developed to treat our products. </w:t>
      </w:r>
      <w:r>
        <w:rPr>
          <w:rFonts w:ascii="Arial" w:cs="Arial" w:eastAsia="Arial" w:hAnsi="Arial"/>
          <w:sz w:val="18"/>
          <w:szCs w:val="18"/>
          <w:color w:val="auto"/>
        </w:rPr>
        <w:t>The manufacturers of preservatives continue to develop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preservatives. All of our wood preservation facilities utilize either Amine Copper Quaternary (“ACQ”), ProWood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Micro or borates. While we believe treated products are reasonably priced relative to alternative products such as composites or vinyl, consumer acceptance may be impacted which would in turn affect our future operating results. In addition, new preservatives could increase our cost of treating products in the future.</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89"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Our corporate headquarters building is located in suburban Grand Rapids, Michigan. We currently have approximately 85 facilities located throughout the United States, Canada, and Mexico. Depending upon function and location, these facilities typically utilize office space, manufacturing space, treating space and covered storage.</w:t>
      </w:r>
    </w:p>
    <w:p>
      <w:pPr>
        <w:spacing w:after="0" w:line="154"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We own all of our properties, free from any significant mortgage or other encumbrance, except for approximately 20 regional facilities which are leased. We believe all of these operating facilities are adequate in capacity and condition to service existing customer locations.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89"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Information regarding our legal proceedings is set forth in Note M of our Consolidated Financial Statements which are presented under Item 8 of this Form 10-K and are incorporated herein by reference.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Additional Item: Executive Officers of the Registrant.</w:t>
      </w:r>
    </w:p>
    <w:p>
      <w:pPr>
        <w:spacing w:after="0" w:line="202" w:lineRule="exact"/>
        <w:rPr>
          <w:sz w:val="20"/>
          <w:szCs w:val="20"/>
          <w:color w:val="auto"/>
        </w:rPr>
      </w:pPr>
    </w:p>
    <w:p>
      <w:pPr>
        <w:jc w:val="both"/>
        <w:ind w:left="340" w:right="1760"/>
        <w:spacing w:after="0" w:line="342" w:lineRule="auto"/>
        <w:rPr>
          <w:sz w:val="20"/>
          <w:szCs w:val="20"/>
          <w:color w:val="auto"/>
        </w:rPr>
      </w:pPr>
      <w:r>
        <w:rPr>
          <w:rFonts w:ascii="Arial" w:cs="Arial" w:eastAsia="Arial" w:hAnsi="Arial"/>
          <w:sz w:val="16"/>
          <w:szCs w:val="16"/>
          <w:color w:val="auto"/>
        </w:rPr>
        <w:t>The following table lists the names, ages, and positions of our executive officers as of February 1, 2009. Executive officers are elected annually by the Board of Directors at the first meeting of the Board following the annual meeting of shareholders.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280" w:type="dxa"/>
            <w:vAlign w:val="bottom"/>
          </w:tcPr>
          <w:p>
            <w:pPr>
              <w:spacing w:after="0"/>
              <w:rPr>
                <w:sz w:val="20"/>
                <w:szCs w:val="20"/>
                <w:color w:val="auto"/>
              </w:rPr>
            </w:pPr>
          </w:p>
        </w:tc>
        <w:tc>
          <w:tcPr>
            <w:tcW w:w="6800" w:type="dxa"/>
            <w:vAlign w:val="bottom"/>
            <w:tcBorders>
              <w:bottom w:val="single" w:sz="8" w:color="auto"/>
            </w:tcBorders>
          </w:tcPr>
          <w:p>
            <w:pPr>
              <w:ind w:left="3100"/>
              <w:spacing w:after="0"/>
              <w:rPr>
                <w:sz w:val="20"/>
                <w:szCs w:val="20"/>
                <w:color w:val="auto"/>
              </w:rPr>
            </w:pPr>
            <w:r>
              <w:rPr>
                <w:rFonts w:ascii="Arial" w:cs="Arial" w:eastAsia="Arial" w:hAnsi="Arial"/>
                <w:sz w:val="18"/>
                <w:szCs w:val="18"/>
                <w:color w:val="auto"/>
              </w:rPr>
              <w:t>Position</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5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61</w:t>
            </w:r>
          </w:p>
        </w:tc>
        <w:tc>
          <w:tcPr>
            <w:tcW w:w="28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 Universal Forest Products,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Michael B. Glenn</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57</w:t>
            </w:r>
          </w:p>
        </w:tc>
        <w:tc>
          <w:tcPr>
            <w:tcW w:w="2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Chief Executive Officer, Universal Forest Products,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Patrick M. Webster</w:t>
            </w:r>
          </w:p>
        </w:tc>
        <w:tc>
          <w:tcPr>
            <w:tcW w:w="5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49</w:t>
            </w:r>
          </w:p>
        </w:tc>
        <w:tc>
          <w:tcPr>
            <w:tcW w:w="28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Operating Officer, Universal Forest Products,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 Scott Greene</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53</w:t>
            </w:r>
          </w:p>
        </w:tc>
        <w:tc>
          <w:tcPr>
            <w:tcW w:w="2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President, Universal Forest Products Eastern Division,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Richard C. Frazier</w:t>
            </w:r>
          </w:p>
        </w:tc>
        <w:tc>
          <w:tcPr>
            <w:tcW w:w="5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66</w:t>
            </w:r>
          </w:p>
        </w:tc>
        <w:tc>
          <w:tcPr>
            <w:tcW w:w="28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President, Universal Forest Products Western Division,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Robert D. Coleman</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54</w:t>
            </w:r>
          </w:p>
        </w:tc>
        <w:tc>
          <w:tcPr>
            <w:tcW w:w="2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Executive Vice President of Manufacturing, Universal Forest Products,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Matthew J. Missad</w:t>
            </w:r>
          </w:p>
        </w:tc>
        <w:tc>
          <w:tcPr>
            <w:tcW w:w="5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48</w:t>
            </w:r>
          </w:p>
        </w:tc>
        <w:tc>
          <w:tcPr>
            <w:tcW w:w="28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Secretary, Universal Forest Products,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Michael R. Cole</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42</w:t>
            </w:r>
          </w:p>
        </w:tc>
        <w:tc>
          <w:tcPr>
            <w:tcW w:w="2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Chief Financial Officer and Treasurer, Universal Forest Products, Inc.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Ronald G. Klyn</w:t>
            </w:r>
          </w:p>
        </w:tc>
        <w:tc>
          <w:tcPr>
            <w:tcW w:w="5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51</w:t>
            </w:r>
          </w:p>
        </w:tc>
        <w:tc>
          <w:tcPr>
            <w:tcW w:w="28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Chief Information Officer, Universal Forest Products, Inc.</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Joseph F. Granger</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43</w:t>
            </w:r>
          </w:p>
        </w:tc>
        <w:tc>
          <w:tcPr>
            <w:tcW w:w="28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Executive Vice President of Sales and Marketing, Universal Forest Products, Inc.</w:t>
            </w: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2"/>
          </w:tcPr>
          <w:p>
            <w:pPr>
              <w:jc w:val="right"/>
              <w:ind w:right="4490"/>
              <w:spacing w:after="0"/>
              <w:rPr>
                <w:sz w:val="20"/>
                <w:szCs w:val="20"/>
                <w:color w:val="auto"/>
              </w:rPr>
            </w:pPr>
            <w:r>
              <w:rPr>
                <w:rFonts w:ascii="Arial" w:cs="Arial" w:eastAsia="Arial" w:hAnsi="Arial"/>
                <w:sz w:val="18"/>
                <w:szCs w:val="18"/>
                <w:color w:val="auto"/>
              </w:rPr>
              <w:t>10</w:t>
            </w: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i w:val="1"/>
          <w:iCs w:val="1"/>
          <w:color w:val="auto"/>
        </w:rPr>
        <w:t xml:space="preserve">William G. Currie </w:t>
      </w:r>
      <w:r>
        <w:rPr>
          <w:rFonts w:ascii="Arial" w:cs="Arial" w:eastAsia="Arial" w:hAnsi="Arial"/>
          <w:sz w:val="18"/>
          <w:szCs w:val="18"/>
          <w:color w:val="auto"/>
        </w:rPr>
        <w:t>joined us in 1971. From 1983 to 1990, Mr. Currie was President of Universal Forest Products, Inc., and he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President and Chief Executive Officer of The Universal Companies, Inc. from 1989 until the merger to form Universal Forest Products, Inc. in 1993. On January 1, 2000, Mr. Currie also became Vice Chairman of the Board. On April 19, 2006, Mr. Currie became Executive Chairman.</w:t>
      </w:r>
    </w:p>
    <w:p>
      <w:pPr>
        <w:spacing w:after="0" w:line="160"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i w:val="1"/>
          <w:iCs w:val="1"/>
          <w:color w:val="auto"/>
        </w:rPr>
        <w:t xml:space="preserve">Michael B. Glenn </w:t>
      </w:r>
      <w:r>
        <w:rPr>
          <w:rFonts w:ascii="Arial" w:cs="Arial" w:eastAsia="Arial" w:hAnsi="Arial"/>
          <w:sz w:val="16"/>
          <w:szCs w:val="16"/>
          <w:color w:val="auto"/>
        </w:rPr>
        <w:t>joined us in 1974. In June of 1989, Mr. Glenn was elected Senior Vice President of our Southwest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on December 1, 1997, became President of Universal Forest Products Western Division, Inc. Effective January 1, 2000, Mr. Glenn was promoted to President and Chief Operating Officer. On July 1, 2006, Mr. Glenn became Chief Executive Officer.</w:t>
      </w:r>
    </w:p>
    <w:p>
      <w:pPr>
        <w:spacing w:after="0" w:line="106"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i w:val="1"/>
          <w:iCs w:val="1"/>
          <w:color w:val="auto"/>
        </w:rPr>
        <w:t xml:space="preserve">Patrick M. Webster </w:t>
      </w:r>
      <w:r>
        <w:rPr>
          <w:rFonts w:ascii="Arial" w:cs="Arial" w:eastAsia="Arial" w:hAnsi="Arial"/>
          <w:sz w:val="16"/>
          <w:szCs w:val="16"/>
          <w:color w:val="auto"/>
        </w:rPr>
        <w:t>joined us in 1985. He has held various sales, purchasing and management positions throughout his career</w:t>
      </w:r>
      <w:r>
        <w:rPr>
          <w:rFonts w:ascii="Arial" w:cs="Arial" w:eastAsia="Arial" w:hAnsi="Arial"/>
          <w:sz w:val="16"/>
          <w:szCs w:val="16"/>
          <w:i w:val="1"/>
          <w:iCs w:val="1"/>
          <w:color w:val="auto"/>
        </w:rPr>
        <w:t xml:space="preserve"> </w:t>
      </w:r>
      <w:r>
        <w:rPr>
          <w:rFonts w:ascii="Arial" w:cs="Arial" w:eastAsia="Arial" w:hAnsi="Arial"/>
          <w:sz w:val="16"/>
          <w:szCs w:val="16"/>
          <w:color w:val="auto"/>
        </w:rPr>
        <w:t>with us. Mr. Webster became Vice President of the Far West Region in 1999, on July 1, 2007, became President of Universal Forest Products Western Division, Inc., and on January 1, 2009 became our President and Chief Operating Officer.</w:t>
      </w:r>
    </w:p>
    <w:p>
      <w:pPr>
        <w:spacing w:after="0" w:line="10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 xml:space="preserve">C. Scott Greene </w:t>
      </w:r>
      <w:r>
        <w:rPr>
          <w:rFonts w:ascii="Arial" w:cs="Arial" w:eastAsia="Arial" w:hAnsi="Arial"/>
          <w:sz w:val="18"/>
          <w:szCs w:val="18"/>
          <w:color w:val="auto"/>
        </w:rPr>
        <w:t>joined us in 1991. In November of 1996 he became General Manager of Operations for our Florida Region,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of 1999 became Vice President of Marketing for Universal Forest Products, Inc. During early 2000, Mr. Greene became President of Universal Forest Products Eastern Division, Inc.</w:t>
      </w:r>
    </w:p>
    <w:p>
      <w:pPr>
        <w:spacing w:after="0" w:line="15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 xml:space="preserve">Richard C. Frazier </w:t>
      </w:r>
      <w:r>
        <w:rPr>
          <w:rFonts w:ascii="Arial" w:cs="Arial" w:eastAsia="Arial" w:hAnsi="Arial"/>
          <w:sz w:val="18"/>
          <w:szCs w:val="18"/>
          <w:color w:val="auto"/>
        </w:rPr>
        <w:t>joined us in 1985 as Vice President of our Southwest Region. He held this position until January 1, 2008,</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took on a new position to work on special projects throughout Company. On January 1, 2009, Mr. Frazier became President of the Universal Forest Products Western Division, Inc.</w:t>
      </w:r>
    </w:p>
    <w:p>
      <w:pPr>
        <w:spacing w:after="0" w:line="14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i w:val="1"/>
          <w:iCs w:val="1"/>
          <w:color w:val="auto"/>
        </w:rPr>
        <w:t>Robert D. Coleman</w:t>
      </w:r>
      <w:r>
        <w:rPr>
          <w:rFonts w:ascii="Arial" w:cs="Arial" w:eastAsia="Arial" w:hAnsi="Arial"/>
          <w:sz w:val="18"/>
          <w:szCs w:val="18"/>
          <w:color w:val="auto"/>
        </w:rPr>
        <w:t>, joined us in 1979. Mr. Coleman was promoted to Senior Vice President of our Midwest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1993. On December 1, 1997, Mr. Coleman became the Executive Vice President of Manufacturing of the Universal Forest Products Eastern Division, Inc. On January 1, 1999, Mr. Coleman was named the Executive Vice President of Manufacturing.</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 xml:space="preserve">Matthew J. Missad </w:t>
      </w:r>
      <w:r>
        <w:rPr>
          <w:rFonts w:ascii="Arial" w:cs="Arial" w:eastAsia="Arial" w:hAnsi="Arial"/>
          <w:sz w:val="18"/>
          <w:szCs w:val="18"/>
          <w:color w:val="auto"/>
        </w:rPr>
        <w:t>joined us in 1985. Mr. Missad has served as General Counsel and Secretary since December 1, 1987, and</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Corporate Compliance since August 1989. In February 1996, Mr. Missad was promoted to Executive Vice President.</w:t>
      </w:r>
    </w:p>
    <w:p>
      <w:pPr>
        <w:spacing w:after="0" w:line="154"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i w:val="1"/>
          <w:iCs w:val="1"/>
          <w:color w:val="auto"/>
        </w:rPr>
        <w:t>Michael R. Cole</w:t>
      </w:r>
      <w:r>
        <w:rPr>
          <w:rFonts w:ascii="Arial" w:cs="Arial" w:eastAsia="Arial" w:hAnsi="Arial"/>
          <w:sz w:val="16"/>
          <w:szCs w:val="16"/>
          <w:color w:val="auto"/>
        </w:rPr>
        <w:t>, CPA, CMA, joined us in 1993. In January of 1997, Mr. Cole was promoted to Director of Finance, and on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2000 was made Vice President of Finance and Treasurer. On July 19, 2000, Mr. Cole became Chief Financial Officer.</w:t>
      </w:r>
    </w:p>
    <w:p>
      <w:pPr>
        <w:spacing w:after="0" w:line="83"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 xml:space="preserve">Ronald G. Klyn </w:t>
      </w:r>
      <w:r>
        <w:rPr>
          <w:rFonts w:ascii="Arial" w:cs="Arial" w:eastAsia="Arial" w:hAnsi="Arial"/>
          <w:sz w:val="18"/>
          <w:szCs w:val="18"/>
          <w:color w:val="auto"/>
        </w:rPr>
        <w:t>joined us in 1993 as Information Services Manager. In October of 1999, Mr. Klyn was promoted to Chief</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Officer.</w:t>
      </w:r>
    </w:p>
    <w:p>
      <w:pPr>
        <w:spacing w:after="0" w:line="130"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i w:val="1"/>
          <w:iCs w:val="1"/>
          <w:color w:val="auto"/>
        </w:rPr>
        <w:t xml:space="preserve">Joseph F. Granger </w:t>
      </w:r>
      <w:r>
        <w:rPr>
          <w:rFonts w:ascii="Arial" w:cs="Arial" w:eastAsia="Arial" w:hAnsi="Arial"/>
          <w:sz w:val="16"/>
          <w:szCs w:val="16"/>
          <w:color w:val="auto"/>
        </w:rPr>
        <w:t>joined us in 1988. In 1997 he became Vice President of the Atlantic Region, in 2002 he became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the Southeast Region, and on January 1, 2007, he became Executive Vice President of Sales and Marketing.</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information items in this Part II, which are contained in the 2008 Annual Report, are specifically incorporated by reference into this Form 10-K Report. These portions of the 2008 Annual Report that are specifically incorporated by reference are filed as Exhibit 13 with this Form 10-K Report.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Item 5. Market for Registrant’s Common Equity, Related Shareholder Matters and Issuer Purchases of Equity Securities.</w:t>
      </w:r>
    </w:p>
    <w:p>
      <w:pPr>
        <w:spacing w:after="0" w:line="212" w:lineRule="exact"/>
        <w:rPr>
          <w:sz w:val="20"/>
          <w:szCs w:val="20"/>
          <w:color w:val="auto"/>
        </w:rPr>
      </w:pPr>
    </w:p>
    <w:p>
      <w:pPr>
        <w:ind w:left="680" w:right="559" w:hanging="348"/>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relating to market, holders and dividends is incorporated by reference from the 2008 Annual Report under the caption “Price Range of Common Stock and Dividends.”</w:t>
      </w:r>
    </w:p>
    <w:p>
      <w:pPr>
        <w:spacing w:after="0" w:line="102"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There were no recent sales of unregistered securities.</w:t>
      </w:r>
    </w:p>
    <w:p>
      <w:pPr>
        <w:spacing w:after="0" w:line="157"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7"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Issuer purchases of equity securities during the fourth quarter.</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Fiscal Month</w:t>
            </w:r>
          </w:p>
        </w:tc>
        <w:tc>
          <w:tcPr>
            <w:tcW w:w="28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(d)</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September 28 – November 1, 2008</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1,227,314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November 2 – 29, 2008</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w w:val="97"/>
              </w:rPr>
              <w:t>1,227,314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November 30 – December 27, 2008</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2,461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2,461</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1,224,853</w:t>
            </w:r>
          </w:p>
        </w:tc>
      </w:tr>
    </w:tbl>
    <w:p>
      <w:pPr>
        <w:spacing w:after="0" w:line="107"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680" w:right="559" w:hanging="348"/>
        <w:spacing w:after="0" w:line="264"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As of December 27, 2008, the cumulative total of authorized shares available for repurchase is 1.2 million shares.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2008 Annual Report under the caption “Selected Financial Data.”</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2008 Annual Report under the caption “Management’s Discussion and Analysis of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2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On December 27, 2008, the estimated fair value of our long-term debt, including the current portion, was $101.7 million, which was $0.5 million greater than the carrying value. The estimated fair value is based on rates anticipated to be available to us for debt with similar terms and maturities. The estimated fair value of notes payable included in current liabilities and the revolving credit facility approximated the carrying values.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cash flows over the next five years related to debt instruments are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i w:val="1"/>
                <w:iCs w:val="1"/>
                <w:u w:val="single" w:color="auto"/>
                <w:color w:val="auto"/>
                <w:w w:val="89"/>
              </w:rPr>
              <w:t>($</w:t>
            </w:r>
            <w:r>
              <w:rPr>
                <w:rFonts w:ascii="Arial" w:cs="Arial" w:eastAsia="Arial" w:hAnsi="Arial"/>
                <w:sz w:val="18"/>
                <w:szCs w:val="18"/>
                <w:i w:val="1"/>
                <w:iCs w:val="1"/>
                <w:color w:val="auto"/>
                <w:w w:val="89"/>
              </w:rPr>
              <w:t>US equivalents, 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2009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2011</w:t>
            </w:r>
          </w:p>
        </w:tc>
        <w:tc>
          <w:tcPr>
            <w:tcW w:w="34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Total</w:t>
            </w: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ind w:left="200"/>
              <w:spacing w:after="0"/>
              <w:rPr>
                <w:sz w:val="20"/>
                <w:szCs w:val="20"/>
                <w:color w:val="auto"/>
              </w:rPr>
            </w:pPr>
            <w:r>
              <w:rPr>
                <w:rFonts w:ascii="Arial" w:cs="Arial" w:eastAsia="Arial" w:hAnsi="Arial"/>
                <w:sz w:val="18"/>
                <w:szCs w:val="18"/>
                <w:color w:val="auto"/>
              </w:rPr>
              <w:t>Fixed Rate ($US)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15,000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$ 40,000</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$ 55,000</w:t>
            </w:r>
          </w:p>
        </w:tc>
      </w:tr>
      <w:tr>
        <w:trPr>
          <w:trHeight w:val="216"/>
        </w:trPr>
        <w:tc>
          <w:tcPr>
            <w:tcW w:w="2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Average interest rate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ind w:left="200"/>
              <w:spacing w:after="0"/>
              <w:rPr>
                <w:sz w:val="20"/>
                <w:szCs w:val="20"/>
                <w:color w:val="auto"/>
              </w:rPr>
            </w:pPr>
            <w:r>
              <w:rPr>
                <w:rFonts w:ascii="Arial" w:cs="Arial" w:eastAsia="Arial" w:hAnsi="Arial"/>
                <w:sz w:val="18"/>
                <w:szCs w:val="18"/>
                <w:color w:val="auto"/>
              </w:rPr>
              <w:t>Variable Rate ($US)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254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$ 30,527</w:t>
            </w:r>
          </w:p>
        </w:tc>
        <w:tc>
          <w:tcPr>
            <w:tcW w:w="6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14,600</w:t>
            </w:r>
          </w:p>
        </w:tc>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$ 46,174</w:t>
            </w:r>
          </w:p>
        </w:tc>
      </w:tr>
      <w:tr>
        <w:trPr>
          <w:trHeight w:val="216"/>
        </w:trPr>
        <w:tc>
          <w:tcPr>
            <w:tcW w:w="2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Average interest rate</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5"/>
          <w:szCs w:val="15"/>
          <w:color w:val="auto"/>
        </w:rPr>
      </w:pPr>
      <w:r>
        <w:rPr>
          <w:rFonts w:ascii="Arial" w:cs="Arial" w:eastAsia="Arial" w:hAnsi="Arial"/>
          <w:sz w:val="18"/>
          <w:szCs w:val="18"/>
          <w:color w:val="auto"/>
        </w:rPr>
        <w:t>Average of rates at December 27, 2008.</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incorporated by reference from the 2008 Annual Report under the following captions: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On Financial Statements”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Earnings”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02" w:lineRule="exact"/>
        <w:rPr>
          <w:sz w:val="20"/>
          <w:szCs w:val="20"/>
          <w:color w:val="auto"/>
        </w:rPr>
      </w:pPr>
    </w:p>
    <w:p>
      <w:pPr>
        <w:jc w:val="both"/>
        <w:ind w:left="680" w:right="559" w:hanging="348"/>
        <w:spacing w:after="0" w:line="25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27, 2008 (the “Evaluation Date”), have concluded that, as of such date, our disclosure controls and procedures were effective.</w:t>
      </w:r>
    </w:p>
    <w:p>
      <w:pPr>
        <w:spacing w:after="0" w:line="146" w:lineRule="exact"/>
        <w:rPr>
          <w:rFonts w:ascii="Arial" w:cs="Arial" w:eastAsia="Arial" w:hAnsi="Arial"/>
          <w:sz w:val="18"/>
          <w:szCs w:val="18"/>
          <w:color w:val="auto"/>
        </w:rPr>
      </w:pPr>
    </w:p>
    <w:p>
      <w:pPr>
        <w:jc w:val="both"/>
        <w:ind w:left="680" w:right="559" w:hanging="348"/>
        <w:spacing w:after="0" w:line="255"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Management’s Annual Report on Internal Control Over Financial Reporting</w:t>
      </w:r>
      <w:r>
        <w:rPr>
          <w:rFonts w:ascii="Arial" w:cs="Arial" w:eastAsia="Arial" w:hAnsi="Arial"/>
          <w:sz w:val="18"/>
          <w:szCs w:val="18"/>
          <w:color w:val="auto"/>
        </w:rPr>
        <w:t>. Management’s Annual Report on Internal Control Over Financial Reporting is included in the 2008 Annual Report under the caption “Management’s Annual Report on Internal Control Over Financial Reporting” and is incorporated herein by reference. Our accounting firm’s attestation Report on our internal control over financial reporting is also included in the 2008 Annual Report in the caption “Report of Independent Registered Public Accounting Firm On Internal Control over Financial Reporting” and is incorporated herein by reference.</w:t>
      </w:r>
    </w:p>
    <w:p>
      <w:pPr>
        <w:spacing w:after="0" w:line="152" w:lineRule="exact"/>
        <w:rPr>
          <w:rFonts w:ascii="Arial" w:cs="Arial" w:eastAsia="Arial" w:hAnsi="Arial"/>
          <w:sz w:val="18"/>
          <w:szCs w:val="18"/>
          <w:color w:val="auto"/>
        </w:rPr>
      </w:pPr>
    </w:p>
    <w:p>
      <w:pPr>
        <w:jc w:val="both"/>
        <w:ind w:left="680" w:right="559" w:hanging="348"/>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fourth quarter ended December 27, 2008, there were no changes in our internal control over financial reporting that materially affected, or is reasonably likely to materially affect, our internal control over financial reporting.</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189"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Information relating to our directors, compliance with Section 16(a) of the Securities and Exchange Act of 1934 and various corporate governance matters is incorporated by reference from our definitive Proxy Statement for the year ended December 27, 2008 for the 2009 Annual Meeting of Shareholders, as filed with the Commission (“2009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11. Executive Compensation</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Information relating to director and executive compensation is incorporated by reference from the 2009 Proxy Statement under the caption “Executive Compensation.” The “Personnel and Compensation Committee Report” included in the 2009 Proxy Statement is incorporated hereby by reference for the purpose of being furnished herein and is not and shall not be deemed to be filed under the Securities Exchange Act of 1934, as amended.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Shareholder Matters</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left="340" w:right="1760"/>
        <w:spacing w:after="0" w:line="308" w:lineRule="auto"/>
        <w:rPr>
          <w:sz w:val="20"/>
          <w:szCs w:val="20"/>
          <w:color w:val="auto"/>
        </w:rPr>
      </w:pPr>
      <w:r>
        <w:rPr>
          <w:rFonts w:ascii="Arial" w:cs="Arial" w:eastAsia="Arial" w:hAnsi="Arial"/>
          <w:sz w:val="17"/>
          <w:szCs w:val="17"/>
          <w:color w:val="auto"/>
        </w:rPr>
        <w:t>Information relating to security ownership of certain beneficial owners and management is incorporated by reference from our 2009 Proxy Statement under the captions “Ownership of Common Stock” and “Securities Ownership of Management.”</w:t>
      </w:r>
    </w:p>
    <w:p>
      <w:pPr>
        <w:spacing w:after="0" w:line="120"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Information relating to securities authorized for issuance under equity compensation plans as of December 27, 2008,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Number of shares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remaining</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available for future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issuance under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shares to be</w:t>
            </w: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average</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equity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issued upon</w:t>
            </w: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compensation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exercise of</w:t>
            </w:r>
          </w:p>
        </w:tc>
        <w:tc>
          <w:tcPr>
            <w:tcW w:w="1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price of</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plans [excluding</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outstanding</w:t>
            </w: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outstanding</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shares reflected in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options</w:t>
            </w:r>
          </w:p>
        </w:tc>
        <w:tc>
          <w:tcPr>
            <w:tcW w:w="1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options</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column (a)]</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(b)</w:t>
            </w:r>
          </w:p>
        </w:tc>
        <w:tc>
          <w:tcPr>
            <w:tcW w:w="3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214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600,047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22.16</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1,031,979</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2"/>
              </w:rPr>
              <w:t>Equity compensation plans not approved by security holders</w:t>
            </w:r>
          </w:p>
        </w:tc>
        <w:tc>
          <w:tcPr>
            <w:tcW w:w="88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80" w:type="dxa"/>
            <w:vAlign w:val="bottom"/>
          </w:tcPr>
          <w:p>
            <w:pPr>
              <w:jc w:val="right"/>
              <w:ind w:right="51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Information relating to certain relationships and related transactions, and director independence is incorporated by reference from the 2009 Proxy Statement under the captions “Election of Directors”, “Affirmative Determination Regarding Director Independence and Other Matters” and “Related Party Transactions.”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Information relating to the types of services rendered by our Independent Auditors and the fees paid for these services is incorporated by reference from our 2009 Proxy Statement under the caption “Independent Public Accountants – Disclosure of Fees.”</w:t>
      </w:r>
    </w:p>
    <w:p>
      <w:pPr>
        <w:spacing w:after="0" w:line="1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r>
        <w:rPr>
          <w:rFonts w:ascii="Arial" w:cs="Arial" w:eastAsia="Arial" w:hAnsi="Arial"/>
          <w:sz w:val="18"/>
          <w:szCs w:val="18"/>
          <w:b w:val="1"/>
          <w:bCs w:val="1"/>
          <w:color w:val="auto"/>
        </w:rPr>
        <w:t>.</w:t>
      </w:r>
    </w:p>
    <w:p>
      <w:pPr>
        <w:spacing w:after="0" w:line="189" w:lineRule="exact"/>
        <w:rPr>
          <w:sz w:val="20"/>
          <w:szCs w:val="20"/>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1. Financial Statements</w:t>
      </w:r>
      <w:r>
        <w:rPr>
          <w:rFonts w:ascii="Arial" w:cs="Arial" w:eastAsia="Arial" w:hAnsi="Arial"/>
          <w:sz w:val="18"/>
          <w:szCs w:val="18"/>
          <w:color w:val="auto"/>
        </w:rPr>
        <w:t>. The following are incorporated by reference, under Item 8 of this report, from the 2008 Annual Report: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On Financial Statements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Earnings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jc w:val="both"/>
        <w:ind w:left="700" w:right="559" w:firstLine="5"/>
        <w:spacing w:after="0" w:line="264" w:lineRule="auto"/>
        <w:tabs>
          <w:tab w:leader="none" w:pos="889" w:val="left"/>
        </w:tabs>
        <w:numPr>
          <w:ilvl w:val="1"/>
          <w:numId w:val="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54" w:lineRule="exact"/>
        <w:rPr>
          <w:rFonts w:ascii="Arial" w:cs="Arial" w:eastAsia="Arial" w:hAnsi="Arial"/>
          <w:sz w:val="18"/>
          <w:szCs w:val="18"/>
          <w:u w:val="single" w:color="auto"/>
          <w:color w:val="auto"/>
        </w:rPr>
      </w:pPr>
    </w:p>
    <w:p>
      <w:pPr>
        <w:ind w:left="880" w:hanging="175"/>
        <w:spacing w:after="0"/>
        <w:tabs>
          <w:tab w:leader="none" w:pos="880" w:val="left"/>
        </w:tabs>
        <w:numPr>
          <w:ilvl w:val="1"/>
          <w:numId w:val="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Reference is made to the Exhibit Index which is included in this Form 10-K Report.</w:t>
      </w:r>
    </w:p>
    <w:p>
      <w:pPr>
        <w:spacing w:after="0" w:line="184" w:lineRule="exact"/>
        <w:rPr>
          <w:rFonts w:ascii="Arial" w:cs="Arial" w:eastAsia="Arial" w:hAnsi="Arial"/>
          <w:sz w:val="18"/>
          <w:szCs w:val="18"/>
          <w:u w:val="single" w:color="auto"/>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Reference is made to the Exhibit Index which is included in this Form 10-K Report.</w:t>
      </w:r>
    </w:p>
    <w:p>
      <w:pPr>
        <w:spacing w:after="0" w:line="157" w:lineRule="exact"/>
        <w:rPr>
          <w:rFonts w:ascii="Arial" w:cs="Arial" w:eastAsia="Arial" w:hAnsi="Arial"/>
          <w:sz w:val="18"/>
          <w:szCs w:val="18"/>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89"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340"/>
        <w:spacing w:after="0"/>
        <w:tabs>
          <w:tab w:leader="none" w:pos="4620" w:val="left"/>
        </w:tabs>
        <w:rPr>
          <w:sz w:val="20"/>
          <w:szCs w:val="20"/>
          <w:color w:val="auto"/>
        </w:rPr>
      </w:pPr>
      <w:r>
        <w:rPr>
          <w:rFonts w:ascii="Arial" w:cs="Arial" w:eastAsia="Arial" w:hAnsi="Arial"/>
          <w:sz w:val="18"/>
          <w:szCs w:val="18"/>
          <w:color w:val="auto"/>
        </w:rPr>
        <w:t>Dated: February 25, 2009</w:t>
      </w:r>
      <w:r>
        <w:rPr>
          <w:sz w:val="20"/>
          <w:szCs w:val="20"/>
          <w:color w:val="auto"/>
        </w:rPr>
        <w:tab/>
      </w:r>
      <w:r>
        <w:rPr>
          <w:rFonts w:ascii="Arial" w:cs="Arial" w:eastAsia="Arial" w:hAnsi="Arial"/>
          <w:sz w:val="17"/>
          <w:szCs w:val="17"/>
          <w:color w:val="auto"/>
        </w:rPr>
        <w:t>UNIVERSAL FOREST PRODUCTS, INC.</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Michael B. Glenn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Michael B. Glenn,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-130810</wp:posOffset>
            </wp:positionV>
            <wp:extent cx="21183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Michael R. Cole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Michael R. Cole,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25th day of February, 2009, by the following persons on behalf of us and in the capacities indicated.</w:t>
      </w:r>
    </w:p>
    <w:p>
      <w:pPr>
        <w:spacing w:after="0" w:line="130"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Each Director whose signature appears below hereby appoints Matthew J. Missad and Michael R. Cole, and each of them individually, as his attorney-in-fact to sign in his name and on his behalf as a Director, and to file with the Commission any and all amendments to this report on Form 10-K to the same extent and with the same effect as if done personally.</w:t>
      </w:r>
    </w:p>
    <w:p>
      <w:pPr>
        <w:sectPr>
          <w:pgSz w:w="11900" w:h="16838" w:orient="portrait"/>
          <w:cols w:equalWidth="0" w:num="1">
            <w:col w:w="10219"/>
          </w:cols>
          <w:pgMar w:left="240" w:top="419" w:right="1440" w:bottom="1440" w:gutter="0" w:footer="0" w:header="0"/>
        </w:sectPr>
      </w:pP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Peter F. Secchia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298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Peter F. Secchia, Director</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Dan M. 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298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Dan M. Dutton, Director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John W. Garside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2980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John W. Garside, Director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Gary F. 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2980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Gary F. Goode, Director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William R.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298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William R. Payne, 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6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William G. Currie, Director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M. Engler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69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 Engler,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69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B. Glenn, Director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Mark A.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69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A. Murray,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Louis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069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Louis A. Smith, Director</w:t>
      </w:r>
    </w:p>
    <w:p>
      <w:pPr>
        <w:spacing w:after="0" w:line="200" w:lineRule="exact"/>
        <w:rPr>
          <w:sz w:val="20"/>
          <w:szCs w:val="20"/>
          <w:color w:val="auto"/>
        </w:rPr>
      </w:pPr>
    </w:p>
    <w:p>
      <w:pPr>
        <w:sectPr>
          <w:pgSz w:w="11900" w:h="16838" w:orient="portrait"/>
          <w:cols w:equalWidth="0" w:num="2">
            <w:col w:w="5320" w:space="720"/>
            <w:col w:w="4179"/>
          </w:cols>
          <w:pgMar w:left="240" w:top="419" w:right="1440" w:bottom="1440" w:gutter="0" w:footer="0" w:header="0"/>
          <w:type w:val="continuous"/>
        </w:sectPr>
      </w:pPr>
    </w:p>
    <w:p>
      <w:pPr>
        <w:spacing w:after="0" w:line="39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Exhibit #</w:t>
      </w:r>
      <w:r>
        <w:rPr>
          <w:sz w:val="20"/>
          <w:szCs w:val="20"/>
          <w:color w:val="auto"/>
        </w:rPr>
        <w:tab/>
      </w:r>
      <w:r>
        <w:rPr>
          <w:rFonts w:ascii="Arial" w:cs="Arial" w:eastAsia="Arial" w:hAnsi="Arial"/>
          <w:sz w:val="16"/>
          <w:szCs w:val="16"/>
          <w:u w:val="single" w:color="auto"/>
          <w:color w:val="auto"/>
        </w:rPr>
        <w:t>Description</w:t>
      </w:r>
    </w:p>
    <w:p>
      <w:pPr>
        <w:spacing w:after="0" w:line="23" w:lineRule="exact"/>
        <w:rPr>
          <w:sz w:val="20"/>
          <w:szCs w:val="20"/>
          <w:color w:val="auto"/>
        </w:rPr>
      </w:pPr>
    </w:p>
    <w:p>
      <w:pPr>
        <w:ind w:left="1400" w:hanging="1067"/>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24" w:lineRule="exact"/>
        <w:rPr>
          <w:rFonts w:ascii="Arial" w:cs="Arial" w:eastAsia="Arial" w:hAnsi="Arial"/>
          <w:sz w:val="18"/>
          <w:szCs w:val="18"/>
          <w:color w:val="auto"/>
        </w:rPr>
      </w:pPr>
    </w:p>
    <w:p>
      <w:pPr>
        <w:ind w:left="2340" w:right="1760" w:hanging="940"/>
        <w:spacing w:after="0" w:line="277" w:lineRule="auto"/>
        <w:tabs>
          <w:tab w:leader="none" w:pos="2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Registrant’s Articles of Incorporation were filed as Exhibit 3(a) to a Registration Statement on Form S-1 (No. 33-69474) and the same is incorporated herein by reference.</w:t>
      </w:r>
    </w:p>
    <w:p>
      <w:pPr>
        <w:spacing w:after="0" w:line="170" w:lineRule="exact"/>
        <w:rPr>
          <w:rFonts w:ascii="Arial" w:cs="Arial" w:eastAsia="Arial" w:hAnsi="Arial"/>
          <w:sz w:val="18"/>
          <w:szCs w:val="18"/>
          <w:color w:val="auto"/>
        </w:rPr>
      </w:pPr>
    </w:p>
    <w:p>
      <w:pPr>
        <w:ind w:left="2340" w:right="1760" w:hanging="940"/>
        <w:spacing w:after="0" w:line="277" w:lineRule="auto"/>
        <w:tabs>
          <w:tab w:leader="none" w:pos="2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Registrant’s Bylaws were filed as Exhibit 3(b) to a Registration Statement on Form S-1 (No. 33-69474) and the same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-988060</wp:posOffset>
            </wp:positionV>
            <wp:extent cx="514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50" w:lineRule="exact"/>
        <w:rPr>
          <w:sz w:val="20"/>
          <w:szCs w:val="20"/>
          <w:color w:val="auto"/>
        </w:rPr>
      </w:pPr>
    </w:p>
    <w:p>
      <w:pPr>
        <w:ind w:left="1400" w:hanging="1067"/>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(a)</w:t>
            </w:r>
          </w:p>
        </w:tc>
        <w:tc>
          <w:tcPr>
            <w:tcW w:w="9300" w:type="dxa"/>
            <w:vAlign w:val="bottom"/>
          </w:tcPr>
          <w:p>
            <w:pPr>
              <w:ind w:left="220"/>
              <w:spacing w:after="0"/>
              <w:rPr>
                <w:sz w:val="20"/>
                <w:szCs w:val="20"/>
                <w:color w:val="auto"/>
              </w:rPr>
            </w:pPr>
            <w:r>
              <w:rPr>
                <w:rFonts w:ascii="Arial" w:cs="Arial" w:eastAsia="Arial" w:hAnsi="Arial"/>
                <w:sz w:val="18"/>
                <w:szCs w:val="18"/>
                <w:color w:val="auto"/>
              </w:rPr>
              <w:t>Specimen form of Stock Certificate for Common Stock was filed as Exhibit 4(a) to a Registration</w:t>
            </w:r>
          </w:p>
        </w:tc>
      </w:tr>
      <w:tr>
        <w:trPr>
          <w:trHeight w:val="230"/>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Statement on Form S-1 (No. 33-69474) and the same is incorporated herein by reference.</w:t>
            </w:r>
          </w:p>
        </w:tc>
      </w:tr>
      <w:tr>
        <w:trPr>
          <w:trHeight w:val="432"/>
        </w:trPr>
        <w:tc>
          <w:tcPr>
            <w:tcW w:w="96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10460" w:type="dxa"/>
            <w:vAlign w:val="bottom"/>
            <w:gridSpan w:val="2"/>
          </w:tcPr>
          <w:p>
            <w:pPr>
              <w:ind w:left="440"/>
              <w:spacing w:after="0"/>
              <w:rPr>
                <w:sz w:val="20"/>
                <w:szCs w:val="20"/>
                <w:color w:val="auto"/>
              </w:rPr>
            </w:pPr>
            <w:r>
              <w:rPr>
                <w:rFonts w:ascii="Arial" w:cs="Arial" w:eastAsia="Arial" w:hAnsi="Arial"/>
                <w:sz w:val="18"/>
                <w:szCs w:val="18"/>
                <w:color w:val="auto"/>
              </w:rPr>
              <w:t>Material Contracts.</w:t>
            </w:r>
          </w:p>
        </w:tc>
      </w:tr>
      <w:tr>
        <w:trPr>
          <w:trHeight w:val="418"/>
        </w:trPr>
        <w:tc>
          <w:tcPr>
            <w:tcW w:w="960" w:type="dxa"/>
            <w:vAlign w:val="bottom"/>
          </w:tcPr>
          <w:p>
            <w:pPr>
              <w:spacing w:after="0"/>
              <w:rPr>
                <w:sz w:val="24"/>
                <w:szCs w:val="24"/>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*(a)(3)</w:t>
            </w:r>
          </w:p>
        </w:tc>
        <w:tc>
          <w:tcPr>
            <w:tcW w:w="9300" w:type="dxa"/>
            <w:vAlign w:val="bottom"/>
          </w:tcPr>
          <w:p>
            <w:pPr>
              <w:ind w:left="220"/>
              <w:spacing w:after="0"/>
              <w:rPr>
                <w:sz w:val="20"/>
                <w:szCs w:val="20"/>
                <w:color w:val="auto"/>
              </w:rPr>
            </w:pPr>
            <w:r>
              <w:rPr>
                <w:rFonts w:ascii="Arial" w:cs="Arial" w:eastAsia="Arial" w:hAnsi="Arial"/>
                <w:sz w:val="18"/>
                <w:szCs w:val="18"/>
                <w:color w:val="auto"/>
              </w:rPr>
              <w:t>Consulting Agreement with Peter F. Secchia, dated December 31, 2002, and Assignment dated</w:t>
            </w:r>
          </w:p>
        </w:tc>
      </w:tr>
      <w:tr>
        <w:trPr>
          <w:trHeight w:val="216"/>
        </w:trPr>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January 1, 2003 was filed as Exhibit 10(a)(3) to a Form 10-K, Annual Report for the year ended</w:t>
            </w:r>
          </w:p>
        </w:tc>
      </w:tr>
      <w:tr>
        <w:trPr>
          <w:trHeight w:val="230"/>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December 28, 2002 and the same is incorporated herein by reference.</w:t>
            </w:r>
          </w:p>
        </w:tc>
      </w:tr>
      <w:tr>
        <w:trPr>
          <w:trHeight w:val="418"/>
        </w:trPr>
        <w:tc>
          <w:tcPr>
            <w:tcW w:w="960" w:type="dxa"/>
            <w:vAlign w:val="bottom"/>
          </w:tcPr>
          <w:p>
            <w:pPr>
              <w:spacing w:after="0"/>
              <w:rPr>
                <w:sz w:val="24"/>
                <w:szCs w:val="24"/>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*(a)(4)</w:t>
            </w:r>
          </w:p>
        </w:tc>
        <w:tc>
          <w:tcPr>
            <w:tcW w:w="9300" w:type="dxa"/>
            <w:vAlign w:val="bottom"/>
          </w:tcPr>
          <w:p>
            <w:pPr>
              <w:ind w:left="220"/>
              <w:spacing w:after="0"/>
              <w:rPr>
                <w:sz w:val="20"/>
                <w:szCs w:val="20"/>
                <w:color w:val="auto"/>
              </w:rPr>
            </w:pPr>
            <w:r>
              <w:rPr>
                <w:rFonts w:ascii="Arial" w:cs="Arial" w:eastAsia="Arial" w:hAnsi="Arial"/>
                <w:sz w:val="18"/>
                <w:szCs w:val="18"/>
                <w:color w:val="auto"/>
              </w:rPr>
              <w:t>Nondisclosure and Non-Compete Agreement with Peter F. Secchia, dated December 31, 2002 was</w:t>
            </w:r>
          </w:p>
        </w:tc>
      </w:tr>
      <w:tr>
        <w:trPr>
          <w:trHeight w:val="216"/>
        </w:trPr>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filed as Exhibit 10(a)(4) to a Form 10-K, Annual Report for the year ended December 28, 2002 and</w:t>
            </w:r>
          </w:p>
        </w:tc>
      </w:tr>
      <w:tr>
        <w:trPr>
          <w:trHeight w:val="230"/>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the same is incorporated herein by reference.</w:t>
            </w:r>
          </w:p>
        </w:tc>
      </w:tr>
      <w:tr>
        <w:trPr>
          <w:trHeight w:val="418"/>
        </w:trPr>
        <w:tc>
          <w:tcPr>
            <w:tcW w:w="960" w:type="dxa"/>
            <w:vAlign w:val="bottom"/>
          </w:tcPr>
          <w:p>
            <w:pPr>
              <w:spacing w:after="0"/>
              <w:rPr>
                <w:sz w:val="24"/>
                <w:szCs w:val="24"/>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*(a)(5)</w:t>
            </w:r>
          </w:p>
        </w:tc>
        <w:tc>
          <w:tcPr>
            <w:tcW w:w="9300" w:type="dxa"/>
            <w:vAlign w:val="bottom"/>
          </w:tcPr>
          <w:p>
            <w:pPr>
              <w:ind w:left="220"/>
              <w:spacing w:after="0"/>
              <w:rPr>
                <w:sz w:val="20"/>
                <w:szCs w:val="20"/>
                <w:color w:val="auto"/>
              </w:rPr>
            </w:pPr>
            <w:r>
              <w:rPr>
                <w:rFonts w:ascii="Arial" w:cs="Arial" w:eastAsia="Arial" w:hAnsi="Arial"/>
                <w:sz w:val="18"/>
                <w:szCs w:val="18"/>
                <w:color w:val="auto"/>
              </w:rPr>
              <w:t>Conditional Share Grant Agreement with William G. Currie dated April 17, 2002 was filed as</w:t>
            </w:r>
          </w:p>
        </w:tc>
      </w:tr>
      <w:tr>
        <w:trPr>
          <w:trHeight w:val="216"/>
        </w:trPr>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Exhibit 10(a)(5) to a Form 10-K, Annual Report for the year ended December 28, 2002 and the same</w:t>
            </w:r>
          </w:p>
        </w:tc>
      </w:tr>
      <w:tr>
        <w:trPr>
          <w:trHeight w:val="230"/>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is incorporated herein by reference.</w:t>
            </w:r>
          </w:p>
        </w:tc>
      </w:tr>
      <w:tr>
        <w:trPr>
          <w:trHeight w:val="418"/>
        </w:trPr>
        <w:tc>
          <w:tcPr>
            <w:tcW w:w="960" w:type="dxa"/>
            <w:vAlign w:val="bottom"/>
          </w:tcPr>
          <w:p>
            <w:pPr>
              <w:spacing w:after="0"/>
              <w:rPr>
                <w:sz w:val="24"/>
                <w:szCs w:val="24"/>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*(a)(6)</w:t>
            </w:r>
          </w:p>
        </w:tc>
        <w:tc>
          <w:tcPr>
            <w:tcW w:w="9300" w:type="dxa"/>
            <w:vAlign w:val="bottom"/>
          </w:tcPr>
          <w:p>
            <w:pPr>
              <w:ind w:left="220"/>
              <w:spacing w:after="0"/>
              <w:rPr>
                <w:sz w:val="20"/>
                <w:szCs w:val="20"/>
                <w:color w:val="auto"/>
              </w:rPr>
            </w:pPr>
            <w:r>
              <w:rPr>
                <w:rFonts w:ascii="Arial" w:cs="Arial" w:eastAsia="Arial" w:hAnsi="Arial"/>
                <w:sz w:val="18"/>
                <w:szCs w:val="18"/>
                <w:color w:val="auto"/>
              </w:rPr>
              <w:t>Form of Conditional Share Grant Agreement utilized under the Company’s Long Term Stock</w:t>
            </w:r>
          </w:p>
        </w:tc>
      </w:tr>
      <w:tr>
        <w:trPr>
          <w:trHeight w:val="216"/>
        </w:trPr>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Incentive Plan, was filed as Exhibit 10(a) to a Form 10-Q Quarterly Report for the quarter ended</w:t>
            </w:r>
          </w:p>
        </w:tc>
      </w:tr>
      <w:tr>
        <w:trPr>
          <w:trHeight w:val="230"/>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September 25, 2004 and the same is incorporated herein by reference.</w:t>
            </w:r>
          </w:p>
        </w:tc>
      </w:tr>
      <w:tr>
        <w:trPr>
          <w:trHeight w:val="418"/>
        </w:trPr>
        <w:tc>
          <w:tcPr>
            <w:tcW w:w="960" w:type="dxa"/>
            <w:vAlign w:val="bottom"/>
          </w:tcPr>
          <w:p>
            <w:pPr>
              <w:spacing w:after="0"/>
              <w:rPr>
                <w:sz w:val="24"/>
                <w:szCs w:val="24"/>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*(a)(7)</w:t>
            </w:r>
          </w:p>
        </w:tc>
        <w:tc>
          <w:tcPr>
            <w:tcW w:w="9300" w:type="dxa"/>
            <w:vAlign w:val="bottom"/>
          </w:tcPr>
          <w:p>
            <w:pPr>
              <w:ind w:left="220"/>
              <w:spacing w:after="0"/>
              <w:rPr>
                <w:sz w:val="20"/>
                <w:szCs w:val="20"/>
                <w:color w:val="auto"/>
              </w:rPr>
            </w:pPr>
            <w:r>
              <w:rPr>
                <w:rFonts w:ascii="Arial" w:cs="Arial" w:eastAsia="Arial" w:hAnsi="Arial"/>
                <w:sz w:val="18"/>
                <w:szCs w:val="18"/>
                <w:color w:val="auto"/>
              </w:rPr>
              <w:t>Consulting and Non-Compete Agreement with William G. Currie, dated December 17, 2007 was</w:t>
            </w:r>
          </w:p>
        </w:tc>
      </w:tr>
      <w:tr>
        <w:trPr>
          <w:trHeight w:val="216"/>
        </w:trPr>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filed as Exhibit 10(a)(7) to a Form 10-K, Annual Report for the year ended December 29, 2007 and</w:t>
            </w:r>
          </w:p>
        </w:tc>
      </w:tr>
      <w:tr>
        <w:trPr>
          <w:trHeight w:val="230"/>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00" w:type="dxa"/>
            <w:vAlign w:val="bottom"/>
          </w:tcPr>
          <w:p>
            <w:pPr>
              <w:ind w:left="220"/>
              <w:spacing w:after="0"/>
              <w:rPr>
                <w:sz w:val="20"/>
                <w:szCs w:val="20"/>
                <w:color w:val="auto"/>
              </w:rPr>
            </w:pPr>
            <w:r>
              <w:rPr>
                <w:rFonts w:ascii="Arial" w:cs="Arial" w:eastAsia="Arial" w:hAnsi="Arial"/>
                <w:sz w:val="18"/>
                <w:szCs w:val="18"/>
                <w:color w:val="auto"/>
              </w:rPr>
              <w:t>the same is incorporated herein by reference.</w:t>
            </w:r>
          </w:p>
        </w:tc>
      </w:tr>
      <w:tr>
        <w:trPr>
          <w:trHeight w:val="797"/>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300" w:type="dxa"/>
            <w:vAlign w:val="bottom"/>
          </w:tcPr>
          <w:p>
            <w:pPr>
              <w:ind w:left="2740"/>
              <w:spacing w:after="0"/>
              <w:rPr>
                <w:sz w:val="20"/>
                <w:szCs w:val="20"/>
                <w:color w:val="auto"/>
              </w:rPr>
            </w:pPr>
            <w:r>
              <w:rPr>
                <w:rFonts w:ascii="Arial" w:cs="Arial" w:eastAsia="Arial" w:hAnsi="Arial"/>
                <w:sz w:val="18"/>
                <w:szCs w:val="18"/>
                <w:color w:val="auto"/>
              </w:rPr>
              <w:t>E-1</w:t>
            </w:r>
          </w:p>
        </w:tc>
      </w:tr>
      <w:tr>
        <w:trPr>
          <w:trHeight w:val="226"/>
        </w:trPr>
        <w:tc>
          <w:tcPr>
            <w:tcW w:w="9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9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w:t>
            </w:r>
          </w:p>
        </w:tc>
        <w:tc>
          <w:tcPr>
            <w:tcW w:w="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9180" w:type="dxa"/>
            <w:vAlign w:val="bottom"/>
          </w:tcPr>
          <w:p>
            <w:pPr>
              <w:spacing w:after="0"/>
              <w:rPr>
                <w:sz w:val="20"/>
                <w:szCs w:val="20"/>
                <w:color w:val="auto"/>
              </w:rPr>
            </w:pPr>
          </w:p>
        </w:tc>
      </w:tr>
      <w:tr>
        <w:trPr>
          <w:trHeight w:val="411"/>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*(a)(8)</w:t>
            </w:r>
          </w:p>
        </w:tc>
        <w:tc>
          <w:tcPr>
            <w:tcW w:w="9180" w:type="dxa"/>
            <w:vAlign w:val="bottom"/>
          </w:tcPr>
          <w:p>
            <w:pPr>
              <w:ind w:left="100"/>
              <w:spacing w:after="0"/>
              <w:rPr>
                <w:sz w:val="20"/>
                <w:szCs w:val="20"/>
                <w:color w:val="auto"/>
              </w:rPr>
            </w:pPr>
            <w:r>
              <w:rPr>
                <w:rFonts w:ascii="Arial" w:cs="Arial" w:eastAsia="Arial" w:hAnsi="Arial"/>
                <w:sz w:val="18"/>
                <w:szCs w:val="18"/>
                <w:color w:val="auto"/>
              </w:rPr>
              <w:t>Employment, Consulting (and Non-Competition) Agreement with Robert K. Hill, dated June 15,</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2007 was filed as Exhibit 10(a)(8) to a Form 10-K, Annual Report for the year ended December 29,</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2007 and the same is incorporated herein 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(b)</w:t>
            </w:r>
          </w:p>
        </w:tc>
        <w:tc>
          <w:tcPr>
            <w:tcW w:w="9180" w:type="dxa"/>
            <w:vAlign w:val="bottom"/>
          </w:tcPr>
          <w:p>
            <w:pPr>
              <w:ind w:left="100"/>
              <w:spacing w:after="0"/>
              <w:rPr>
                <w:sz w:val="20"/>
                <w:szCs w:val="20"/>
                <w:color w:val="auto"/>
              </w:rPr>
            </w:pPr>
            <w:r>
              <w:rPr>
                <w:rFonts w:ascii="Arial" w:cs="Arial" w:eastAsia="Arial" w:hAnsi="Arial"/>
                <w:sz w:val="18"/>
                <w:szCs w:val="18"/>
                <w:color w:val="auto"/>
              </w:rPr>
              <w:t>Form of Indemnity Agreement entered into between the Registrant and each of its directors was filed</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as Exhibit 10(b) to a Registration Statement on Form S-1 (No. 33-69474) and the same is</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*(e)(1)</w:t>
            </w:r>
          </w:p>
        </w:tc>
        <w:tc>
          <w:tcPr>
            <w:tcW w:w="9180" w:type="dxa"/>
            <w:vAlign w:val="bottom"/>
          </w:tcPr>
          <w:p>
            <w:pPr>
              <w:ind w:left="100"/>
              <w:spacing w:after="0"/>
              <w:rPr>
                <w:sz w:val="20"/>
                <w:szCs w:val="20"/>
                <w:color w:val="auto"/>
              </w:rPr>
            </w:pPr>
            <w:r>
              <w:rPr>
                <w:rFonts w:ascii="Arial" w:cs="Arial" w:eastAsia="Arial" w:hAnsi="Arial"/>
                <w:sz w:val="18"/>
                <w:szCs w:val="18"/>
                <w:color w:val="auto"/>
              </w:rPr>
              <w:t>Form of Executive Stock Option Agreement was filed as Exhibit 10(e)(1) to a Registration Statement</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on Form S-1 (No. 33-69474) and the same is incorporated herein 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*(e)(2)</w:t>
            </w:r>
          </w:p>
        </w:tc>
        <w:tc>
          <w:tcPr>
            <w:tcW w:w="9180" w:type="dxa"/>
            <w:vAlign w:val="bottom"/>
          </w:tcPr>
          <w:p>
            <w:pPr>
              <w:ind w:left="100"/>
              <w:spacing w:after="0"/>
              <w:rPr>
                <w:sz w:val="20"/>
                <w:szCs w:val="20"/>
                <w:color w:val="auto"/>
              </w:rPr>
            </w:pPr>
            <w:r>
              <w:rPr>
                <w:rFonts w:ascii="Arial" w:cs="Arial" w:eastAsia="Arial" w:hAnsi="Arial"/>
                <w:sz w:val="18"/>
                <w:szCs w:val="18"/>
                <w:color w:val="auto"/>
              </w:rPr>
              <w:t>Form of Officers’ Stock Option Agreement was filed as Exhibit 10(e)(2) to a Registration Statement</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on Form S-1 (No. 33-69474) and the same is incorporated herein 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*(f)</w:t>
            </w:r>
          </w:p>
        </w:tc>
        <w:tc>
          <w:tcPr>
            <w:tcW w:w="9180" w:type="dxa"/>
            <w:vAlign w:val="bottom"/>
          </w:tcPr>
          <w:p>
            <w:pPr>
              <w:ind w:left="100"/>
              <w:spacing w:after="0"/>
              <w:rPr>
                <w:sz w:val="20"/>
                <w:szCs w:val="20"/>
                <w:color w:val="auto"/>
              </w:rPr>
            </w:pPr>
            <w:r>
              <w:rPr>
                <w:rFonts w:ascii="Arial" w:cs="Arial" w:eastAsia="Arial" w:hAnsi="Arial"/>
                <w:sz w:val="18"/>
                <w:szCs w:val="18"/>
                <w:color w:val="auto"/>
              </w:rPr>
              <w:t>Salaried Employee Bonus Plan was filed as Exhibit 10(f) to a Registration Statement on Form S-1</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(No. 33-69474) and the same is incorporated herein 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(i)(4)</w:t>
            </w:r>
          </w:p>
        </w:tc>
        <w:tc>
          <w:tcPr>
            <w:tcW w:w="9180" w:type="dxa"/>
            <w:vAlign w:val="bottom"/>
          </w:tcPr>
          <w:p>
            <w:pPr>
              <w:ind w:left="100"/>
              <w:spacing w:after="0"/>
              <w:rPr>
                <w:sz w:val="20"/>
                <w:szCs w:val="20"/>
                <w:color w:val="auto"/>
              </w:rPr>
            </w:pPr>
            <w:r>
              <w:rPr>
                <w:rFonts w:ascii="Arial" w:cs="Arial" w:eastAsia="Arial" w:hAnsi="Arial"/>
                <w:sz w:val="18"/>
                <w:szCs w:val="18"/>
                <w:color w:val="auto"/>
              </w:rPr>
              <w:t>Series 2004-A, Credit Agreement dated December 20, 2004 was filed as Exhibit 10(i) to a Form 8-K</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Current Report dated December 21, 2004 and the same is incorporated herein 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(i)(5)</w:t>
            </w:r>
          </w:p>
        </w:tc>
        <w:tc>
          <w:tcPr>
            <w:tcW w:w="9180" w:type="dxa"/>
            <w:vAlign w:val="bottom"/>
          </w:tcPr>
          <w:p>
            <w:pPr>
              <w:ind w:left="100"/>
              <w:spacing w:after="0"/>
              <w:rPr>
                <w:sz w:val="20"/>
                <w:szCs w:val="20"/>
                <w:color w:val="auto"/>
              </w:rPr>
            </w:pPr>
            <w:r>
              <w:rPr>
                <w:rFonts w:ascii="Arial" w:cs="Arial" w:eastAsia="Arial" w:hAnsi="Arial"/>
                <w:sz w:val="18"/>
                <w:szCs w:val="18"/>
                <w:color w:val="auto"/>
              </w:rPr>
              <w:t>First Amendment dated February 12, 2007 relating to Series 2004-A, Credit Agreement dated</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December 20, 2004 was filed as Exhibit 10(i) to a Form 8-K Current Report dated February 15, 2007</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and the same is incorporated herein 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(j)(1)</w:t>
            </w:r>
          </w:p>
        </w:tc>
        <w:tc>
          <w:tcPr>
            <w:tcW w:w="9180" w:type="dxa"/>
            <w:vAlign w:val="bottom"/>
          </w:tcPr>
          <w:p>
            <w:pPr>
              <w:ind w:left="100"/>
              <w:spacing w:after="0"/>
              <w:rPr>
                <w:sz w:val="20"/>
                <w:szCs w:val="20"/>
                <w:color w:val="auto"/>
              </w:rPr>
            </w:pPr>
            <w:r>
              <w:rPr>
                <w:rFonts w:ascii="Arial" w:cs="Arial" w:eastAsia="Arial" w:hAnsi="Arial"/>
                <w:sz w:val="18"/>
                <w:szCs w:val="18"/>
                <w:color w:val="auto"/>
              </w:rPr>
              <w:t>Series 1998-A, Senior Note Agreement dated December 21, 1998 was filed as Exhibit 10(j)(1) to a</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Form 10-K Annual Report for the year ended December 26, 1998, and the same is incorporated</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herein 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(j)(2)</w:t>
            </w:r>
          </w:p>
        </w:tc>
        <w:tc>
          <w:tcPr>
            <w:tcW w:w="9180" w:type="dxa"/>
            <w:vAlign w:val="bottom"/>
          </w:tcPr>
          <w:p>
            <w:pPr>
              <w:ind w:left="100"/>
              <w:spacing w:after="0"/>
              <w:rPr>
                <w:sz w:val="20"/>
                <w:szCs w:val="20"/>
                <w:color w:val="auto"/>
              </w:rPr>
            </w:pPr>
            <w:r>
              <w:rPr>
                <w:rFonts w:ascii="Arial" w:cs="Arial" w:eastAsia="Arial" w:hAnsi="Arial"/>
                <w:sz w:val="18"/>
                <w:szCs w:val="18"/>
                <w:color w:val="auto"/>
              </w:rPr>
              <w:t>Series 2002-A, Senior Note Agreement dated December 18, 2002 was filed as Exhibit 10(j)(2) to a</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Form 10-K Annual Report for the year ended December 28, 2002 and the same is incorporated herein</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by reference.</w:t>
            </w:r>
          </w:p>
        </w:tc>
      </w:tr>
      <w:tr>
        <w:trPr>
          <w:trHeight w:val="418"/>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(k)(4)</w:t>
            </w:r>
          </w:p>
        </w:tc>
        <w:tc>
          <w:tcPr>
            <w:tcW w:w="9180" w:type="dxa"/>
            <w:vAlign w:val="bottom"/>
          </w:tcPr>
          <w:p>
            <w:pPr>
              <w:ind w:left="100"/>
              <w:spacing w:after="0"/>
              <w:rPr>
                <w:sz w:val="20"/>
                <w:szCs w:val="20"/>
                <w:color w:val="auto"/>
              </w:rPr>
            </w:pPr>
            <w:r>
              <w:rPr>
                <w:rFonts w:ascii="Arial" w:cs="Arial" w:eastAsia="Arial" w:hAnsi="Arial"/>
                <w:sz w:val="18"/>
                <w:szCs w:val="18"/>
                <w:color w:val="auto"/>
              </w:rPr>
              <w:t>Program for Accounts Receivable Transfer (“PARTS”) Agreement dated March 7, 2006 was filed as</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Exhibit 10(k)(4) to a Form 10-K Annual Report for the year ended December 31, 2005 and the same</w:t>
            </w:r>
          </w:p>
        </w:tc>
      </w:tr>
      <w:tr>
        <w:trPr>
          <w:trHeight w:val="230"/>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is incorporated herein by reference.</w:t>
            </w:r>
          </w:p>
        </w:tc>
      </w:tr>
      <w:tr>
        <w:trPr>
          <w:trHeight w:val="797"/>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80" w:type="dxa"/>
            <w:vAlign w:val="bottom"/>
          </w:tcPr>
          <w:p>
            <w:pPr>
              <w:ind w:left="2620"/>
              <w:spacing w:after="0"/>
              <w:rPr>
                <w:sz w:val="20"/>
                <w:szCs w:val="20"/>
                <w:color w:val="auto"/>
              </w:rPr>
            </w:pPr>
            <w:r>
              <w:rPr>
                <w:rFonts w:ascii="Arial" w:cs="Arial" w:eastAsia="Arial" w:hAnsi="Arial"/>
                <w:sz w:val="18"/>
                <w:szCs w:val="18"/>
                <w:color w:val="auto"/>
              </w:rPr>
              <w:t>E-2</w:t>
            </w:r>
          </w:p>
        </w:tc>
      </w:tr>
      <w:tr>
        <w:trPr>
          <w:trHeight w:val="226"/>
        </w:trPr>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Exhibit #</w:t>
      </w:r>
      <w:r>
        <w:rPr>
          <w:sz w:val="20"/>
          <w:szCs w:val="20"/>
          <w:color w:val="auto"/>
        </w:rPr>
        <w:tab/>
      </w:r>
      <w:r>
        <w:rPr>
          <w:rFonts w:ascii="Arial" w:cs="Arial" w:eastAsia="Arial" w:hAnsi="Arial"/>
          <w:sz w:val="16"/>
          <w:szCs w:val="16"/>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514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19" w:lineRule="exact"/>
        <w:rPr>
          <w:sz w:val="20"/>
          <w:szCs w:val="20"/>
          <w:color w:val="auto"/>
        </w:rPr>
      </w:pPr>
    </w:p>
    <w:p>
      <w:pPr>
        <w:ind w:left="1400" w:hanging="1067"/>
        <w:spacing w:after="0"/>
        <w:tabs>
          <w:tab w:leader="none" w:pos="14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Selected portions of the Company’s Annual Report to Shareholders for the fiscal year ended December 27, 2008.</w:t>
      </w:r>
    </w:p>
    <w:p>
      <w:pPr>
        <w:spacing w:after="0" w:line="248" w:lineRule="exact"/>
        <w:rPr>
          <w:rFonts w:ascii="Arial" w:cs="Arial" w:eastAsia="Arial" w:hAnsi="Arial"/>
          <w:sz w:val="16"/>
          <w:szCs w:val="16"/>
          <w:color w:val="auto"/>
        </w:rPr>
      </w:pPr>
    </w:p>
    <w:p>
      <w:pPr>
        <w:ind w:left="1400" w:hanging="1067"/>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Code of Ethics for Senior Financial Officers</w:t>
      </w:r>
    </w:p>
    <w:p>
      <w:pPr>
        <w:spacing w:after="0" w:line="225" w:lineRule="exact"/>
        <w:rPr>
          <w:rFonts w:ascii="Arial" w:cs="Arial" w:eastAsia="Arial" w:hAnsi="Arial"/>
          <w:sz w:val="18"/>
          <w:szCs w:val="18"/>
          <w:color w:val="auto"/>
        </w:rPr>
      </w:pPr>
    </w:p>
    <w:p>
      <w:pPr>
        <w:ind w:left="2340" w:right="559" w:hanging="940"/>
        <w:spacing w:after="0" w:line="308" w:lineRule="auto"/>
        <w:tabs>
          <w:tab w:leader="none" w:pos="2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Code of Ethics for Chief Financial Officer was filed as Exhibit 14(a) to a Form 10-K, Annual Report for the year ended December 25, 2004 and the same is incorporated herein by reference.</w:t>
      </w:r>
    </w:p>
    <w:p>
      <w:pPr>
        <w:spacing w:after="0" w:line="146" w:lineRule="exact"/>
        <w:rPr>
          <w:rFonts w:ascii="Arial" w:cs="Arial" w:eastAsia="Arial" w:hAnsi="Arial"/>
          <w:sz w:val="17"/>
          <w:szCs w:val="17"/>
          <w:color w:val="auto"/>
        </w:rPr>
      </w:pPr>
    </w:p>
    <w:p>
      <w:pPr>
        <w:jc w:val="both"/>
        <w:ind w:left="2340" w:right="559" w:hanging="940"/>
        <w:spacing w:after="0" w:line="264" w:lineRule="auto"/>
        <w:tabs>
          <w:tab w:leader="none" w:pos="2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Code of Ethics for Vice President of Accounting and Administration was filed as Exhibit 14(a) to a Form 10-K, Annual Report for the year ended December 25, 2004 and the same is incorporated herein by reference.</w:t>
      </w:r>
    </w:p>
    <w:p>
      <w:pPr>
        <w:spacing w:after="0" w:line="181" w:lineRule="exact"/>
        <w:rPr>
          <w:rFonts w:ascii="Arial" w:cs="Arial" w:eastAsia="Arial" w:hAnsi="Arial"/>
          <w:sz w:val="18"/>
          <w:szCs w:val="18"/>
          <w:color w:val="auto"/>
        </w:rPr>
      </w:pPr>
    </w:p>
    <w:p>
      <w:pPr>
        <w:ind w:left="2340" w:right="559" w:hanging="940"/>
        <w:spacing w:after="0" w:line="308" w:lineRule="auto"/>
        <w:tabs>
          <w:tab w:leader="none" w:pos="23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Code of Ethics for Vice President of Accounting was filed as Exhibit 14(c) to a Form 10-K, Annual Report for the year ended December 31, 2005 and the same is incorporated herein by reference.</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20" w:type="dxa"/>
            <w:vAlign w:val="bottom"/>
          </w:tcPr>
          <w:p>
            <w:pPr>
              <w:jc w:val="right"/>
              <w:ind w:right="350"/>
              <w:spacing w:after="0"/>
              <w:rPr>
                <w:sz w:val="20"/>
                <w:szCs w:val="20"/>
                <w:color w:val="auto"/>
              </w:rPr>
            </w:pPr>
            <w:r>
              <w:rPr>
                <w:rFonts w:ascii="Arial" w:cs="Arial" w:eastAsia="Arial" w:hAnsi="Arial"/>
                <w:sz w:val="18"/>
                <w:szCs w:val="18"/>
                <w:color w:val="auto"/>
                <w:w w:val="79"/>
              </w:rPr>
              <w:t>21</w:t>
            </w:r>
          </w:p>
        </w:tc>
        <w:tc>
          <w:tcPr>
            <w:tcW w:w="2740" w:type="dxa"/>
            <w:vAlign w:val="bottom"/>
          </w:tcPr>
          <w:p>
            <w:pPr>
              <w:ind w:left="440"/>
              <w:spacing w:after="0"/>
              <w:rPr>
                <w:sz w:val="20"/>
                <w:szCs w:val="20"/>
                <w:color w:val="auto"/>
              </w:rPr>
            </w:pPr>
            <w:r>
              <w:rPr>
                <w:rFonts w:ascii="Arial" w:cs="Arial" w:eastAsia="Arial" w:hAnsi="Arial"/>
                <w:sz w:val="18"/>
                <w:szCs w:val="18"/>
                <w:color w:val="auto"/>
                <w:w w:val="94"/>
              </w:rPr>
              <w:t>Subsidiaries of the Registrant.</w:t>
            </w:r>
          </w:p>
        </w:tc>
      </w:tr>
      <w:tr>
        <w:trPr>
          <w:trHeight w:val="432"/>
        </w:trPr>
        <w:tc>
          <w:tcPr>
            <w:tcW w:w="620" w:type="dxa"/>
            <w:vAlign w:val="bottom"/>
          </w:tcPr>
          <w:p>
            <w:pPr>
              <w:jc w:val="right"/>
              <w:ind w:right="350"/>
              <w:spacing w:after="0"/>
              <w:rPr>
                <w:sz w:val="20"/>
                <w:szCs w:val="20"/>
                <w:color w:val="auto"/>
              </w:rPr>
            </w:pPr>
            <w:r>
              <w:rPr>
                <w:rFonts w:ascii="Arial" w:cs="Arial" w:eastAsia="Arial" w:hAnsi="Arial"/>
                <w:sz w:val="18"/>
                <w:szCs w:val="18"/>
                <w:color w:val="auto"/>
                <w:w w:val="79"/>
              </w:rPr>
              <w:t>23</w:t>
            </w:r>
          </w:p>
        </w:tc>
        <w:tc>
          <w:tcPr>
            <w:tcW w:w="2740" w:type="dxa"/>
            <w:vAlign w:val="bottom"/>
          </w:tcPr>
          <w:p>
            <w:pPr>
              <w:ind w:left="440"/>
              <w:spacing w:after="0"/>
              <w:rPr>
                <w:sz w:val="20"/>
                <w:szCs w:val="20"/>
                <w:color w:val="auto"/>
              </w:rPr>
            </w:pPr>
            <w:r>
              <w:rPr>
                <w:rFonts w:ascii="Arial" w:cs="Arial" w:eastAsia="Arial" w:hAnsi="Arial"/>
                <w:sz w:val="18"/>
                <w:szCs w:val="18"/>
                <w:color w:val="auto"/>
                <w:w w:val="91"/>
              </w:rPr>
              <w:t>Consent of Ernst &amp; Young LLP.</w:t>
            </w:r>
          </w:p>
        </w:tc>
      </w:tr>
    </w:tbl>
    <w:p>
      <w:pPr>
        <w:spacing w:after="0" w:line="202" w:lineRule="exact"/>
        <w:rPr>
          <w:sz w:val="20"/>
          <w:szCs w:val="20"/>
          <w:color w:val="auto"/>
        </w:rPr>
      </w:pPr>
    </w:p>
    <w:p>
      <w:pPr>
        <w:ind w:left="1400" w:hanging="1067"/>
        <w:spacing w:after="0"/>
        <w:tabs>
          <w:tab w:leader="none" w:pos="1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340" w:right="559" w:hanging="940"/>
        <w:spacing w:after="0" w:line="277" w:lineRule="auto"/>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2340" w:right="559" w:hanging="940"/>
        <w:spacing w:after="0" w:line="277" w:lineRule="auto"/>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400" w:hanging="1067"/>
        <w:spacing w:after="0"/>
        <w:tabs>
          <w:tab w:leader="none" w:pos="1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340" w:right="559" w:hanging="940"/>
        <w:spacing w:after="0" w:line="277" w:lineRule="auto"/>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2340" w:right="559" w:hanging="940"/>
        <w:spacing w:after="0" w:line="277" w:lineRule="auto"/>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Indicates a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-207645</wp:posOffset>
            </wp:positionV>
            <wp:extent cx="1063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219"/>
          </w:cols>
          <w:pgMar w:left="240" w:top="41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060" w:type="dxa"/>
            <w:vAlign w:val="bottom"/>
          </w:tcPr>
          <w:p>
            <w:pPr>
              <w:jc w:val="right"/>
              <w:ind w:right="1670"/>
              <w:spacing w:after="0"/>
              <w:rPr>
                <w:sz w:val="20"/>
                <w:szCs w:val="20"/>
                <w:color w:val="auto"/>
              </w:rPr>
            </w:pPr>
            <w:r>
              <w:rPr>
                <w:rFonts w:ascii="Arial" w:cs="Arial" w:eastAsia="Arial" w:hAnsi="Arial"/>
                <w:sz w:val="18"/>
                <w:szCs w:val="18"/>
                <w:b w:val="1"/>
                <w:bCs w:val="1"/>
                <w:color w:val="auto"/>
              </w:rPr>
              <w:t>Exhibit 13</w:t>
            </w:r>
          </w:p>
        </w:tc>
      </w:tr>
      <w:tr>
        <w:trPr>
          <w:trHeight w:val="373"/>
        </w:trPr>
        <w:tc>
          <w:tcPr>
            <w:tcW w:w="836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UNIVERSAL FOREST PRODUCTS, INC.</w:t>
            </w:r>
          </w:p>
        </w:tc>
        <w:tc>
          <w:tcPr>
            <w:tcW w:w="3060" w:type="dxa"/>
            <w:vAlign w:val="bottom"/>
          </w:tcPr>
          <w:p>
            <w:pPr>
              <w:spacing w:after="0"/>
              <w:rPr>
                <w:sz w:val="24"/>
                <w:szCs w:val="24"/>
                <w:color w:val="auto"/>
              </w:rPr>
            </w:pPr>
          </w:p>
        </w:tc>
      </w:tr>
      <w:tr>
        <w:trPr>
          <w:trHeight w:val="234"/>
        </w:trPr>
        <w:tc>
          <w:tcPr>
            <w:tcW w:w="8360" w:type="dxa"/>
            <w:vAlign w:val="bottom"/>
          </w:tcPr>
          <w:p>
            <w:pPr>
              <w:jc w:val="center"/>
              <w:ind w:left="1550"/>
              <w:spacing w:after="0"/>
              <w:rPr>
                <w:sz w:val="20"/>
                <w:szCs w:val="20"/>
                <w:color w:val="auto"/>
              </w:rPr>
            </w:pPr>
            <w:r>
              <w:rPr>
                <w:rFonts w:ascii="Arial" w:cs="Arial" w:eastAsia="Arial" w:hAnsi="Arial"/>
                <w:sz w:val="18"/>
                <w:szCs w:val="18"/>
                <w:b w:val="1"/>
                <w:bCs w:val="1"/>
                <w:color w:val="auto"/>
              </w:rPr>
              <w:t>FINANCIAL INFORMATION</w:t>
            </w:r>
          </w:p>
        </w:tc>
        <w:tc>
          <w:tcPr>
            <w:tcW w:w="3060" w:type="dxa"/>
            <w:vAlign w:val="bottom"/>
          </w:tcPr>
          <w:p>
            <w:pPr>
              <w:spacing w:after="0"/>
              <w:rPr>
                <w:sz w:val="20"/>
                <w:szCs w:val="20"/>
                <w:color w:val="auto"/>
              </w:rPr>
            </w:pPr>
          </w:p>
        </w:tc>
      </w:tr>
      <w:tr>
        <w:trPr>
          <w:trHeight w:val="405"/>
        </w:trPr>
        <w:tc>
          <w:tcPr>
            <w:tcW w:w="8360" w:type="dxa"/>
            <w:vAlign w:val="bottom"/>
          </w:tcPr>
          <w:p>
            <w:pPr>
              <w:jc w:val="center"/>
              <w:ind w:left="1550"/>
              <w:spacing w:after="0"/>
              <w:rPr>
                <w:sz w:val="20"/>
                <w:szCs w:val="20"/>
                <w:color w:val="auto"/>
              </w:rPr>
            </w:pPr>
            <w:r>
              <w:rPr>
                <w:rFonts w:ascii="Arial" w:cs="Arial" w:eastAsia="Arial" w:hAnsi="Arial"/>
                <w:sz w:val="18"/>
                <w:szCs w:val="18"/>
                <w:b w:val="1"/>
                <w:bCs w:val="1"/>
                <w:color w:val="auto"/>
                <w:w w:val="89"/>
              </w:rPr>
              <w:t>Table of Contents</w:t>
            </w:r>
          </w:p>
        </w:tc>
        <w:tc>
          <w:tcPr>
            <w:tcW w:w="3060" w:type="dxa"/>
            <w:vAlign w:val="bottom"/>
          </w:tcPr>
          <w:p>
            <w:pPr>
              <w:spacing w:after="0"/>
              <w:rPr>
                <w:sz w:val="24"/>
                <w:szCs w:val="24"/>
                <w:color w:val="auto"/>
              </w:rPr>
            </w:pP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Selected Financial Data</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20</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w w:val="97"/>
              </w:rPr>
              <w:t>Report of Independent Registered Public Accounting Firm on Internal Control Over Financial Reporting</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21</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 on Financial Statements</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22</w:t>
            </w:r>
          </w:p>
        </w:tc>
      </w:tr>
      <w:tr>
        <w:trPr>
          <w:trHeight w:val="418"/>
        </w:trPr>
        <w:tc>
          <w:tcPr>
            <w:tcW w:w="8360" w:type="dxa"/>
            <w:vAlign w:val="bottom"/>
          </w:tcPr>
          <w:p>
            <w:pPr>
              <w:ind w:left="340"/>
              <w:spacing w:after="0"/>
              <w:rPr>
                <w:sz w:val="20"/>
                <w:szCs w:val="20"/>
                <w:color w:val="auto"/>
              </w:rPr>
            </w:pPr>
            <w:r>
              <w:rPr>
                <w:rFonts w:ascii="Arial" w:cs="Arial" w:eastAsia="Arial" w:hAnsi="Arial"/>
                <w:sz w:val="18"/>
                <w:szCs w:val="18"/>
                <w:color w:val="auto"/>
              </w:rPr>
              <w:t>Consolidated Balance Sheets as of</w:t>
            </w:r>
          </w:p>
        </w:tc>
        <w:tc>
          <w:tcPr>
            <w:tcW w:w="3060" w:type="dxa"/>
            <w:vAlign w:val="bottom"/>
          </w:tcPr>
          <w:p>
            <w:pPr>
              <w:spacing w:after="0"/>
              <w:rPr>
                <w:sz w:val="24"/>
                <w:szCs w:val="24"/>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December 27, 2008 and December 29, 2007</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23</w:t>
            </w:r>
          </w:p>
        </w:tc>
      </w:tr>
      <w:tr>
        <w:trPr>
          <w:trHeight w:val="418"/>
        </w:trPr>
        <w:tc>
          <w:tcPr>
            <w:tcW w:w="8360" w:type="dxa"/>
            <w:vAlign w:val="bottom"/>
          </w:tcPr>
          <w:p>
            <w:pPr>
              <w:ind w:left="340"/>
              <w:spacing w:after="0"/>
              <w:rPr>
                <w:sz w:val="20"/>
                <w:szCs w:val="20"/>
                <w:color w:val="auto"/>
              </w:rPr>
            </w:pPr>
            <w:r>
              <w:rPr>
                <w:rFonts w:ascii="Arial" w:cs="Arial" w:eastAsia="Arial" w:hAnsi="Arial"/>
                <w:sz w:val="18"/>
                <w:szCs w:val="18"/>
                <w:color w:val="auto"/>
              </w:rPr>
              <w:t>Consolidated Statements of Earnings for the Years Ended</w:t>
            </w:r>
          </w:p>
        </w:tc>
        <w:tc>
          <w:tcPr>
            <w:tcW w:w="3060" w:type="dxa"/>
            <w:vAlign w:val="bottom"/>
          </w:tcPr>
          <w:p>
            <w:pPr>
              <w:spacing w:after="0"/>
              <w:rPr>
                <w:sz w:val="24"/>
                <w:szCs w:val="24"/>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December 27, 2008, December 29, 2007, and December 30, 2006</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24</w:t>
            </w:r>
          </w:p>
        </w:tc>
      </w:tr>
      <w:tr>
        <w:trPr>
          <w:trHeight w:val="418"/>
        </w:trPr>
        <w:tc>
          <w:tcPr>
            <w:tcW w:w="8360" w:type="dxa"/>
            <w:vAlign w:val="bottom"/>
          </w:tcPr>
          <w:p>
            <w:pPr>
              <w:ind w:left="340"/>
              <w:spacing w:after="0"/>
              <w:rPr>
                <w:sz w:val="20"/>
                <w:szCs w:val="20"/>
                <w:color w:val="auto"/>
              </w:rPr>
            </w:pPr>
            <w:r>
              <w:rPr>
                <w:rFonts w:ascii="Arial" w:cs="Arial" w:eastAsia="Arial" w:hAnsi="Arial"/>
                <w:sz w:val="18"/>
                <w:szCs w:val="18"/>
                <w:color w:val="auto"/>
              </w:rPr>
              <w:t>Consolidated Statements of Shareholders’ Equity for the Years Ended</w:t>
            </w:r>
          </w:p>
        </w:tc>
        <w:tc>
          <w:tcPr>
            <w:tcW w:w="3060" w:type="dxa"/>
            <w:vAlign w:val="bottom"/>
          </w:tcPr>
          <w:p>
            <w:pPr>
              <w:spacing w:after="0"/>
              <w:rPr>
                <w:sz w:val="24"/>
                <w:szCs w:val="24"/>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December 27, 2008, December 29, 2007, and December 30, 2006</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25</w:t>
            </w:r>
          </w:p>
        </w:tc>
      </w:tr>
      <w:tr>
        <w:trPr>
          <w:trHeight w:val="418"/>
        </w:trPr>
        <w:tc>
          <w:tcPr>
            <w:tcW w:w="836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the Years Ended</w:t>
            </w:r>
          </w:p>
        </w:tc>
        <w:tc>
          <w:tcPr>
            <w:tcW w:w="3060" w:type="dxa"/>
            <w:vAlign w:val="bottom"/>
          </w:tcPr>
          <w:p>
            <w:pPr>
              <w:spacing w:after="0"/>
              <w:rPr>
                <w:sz w:val="24"/>
                <w:szCs w:val="24"/>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December 27, 2008, December 29, 2007, and December 30, 2006</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26</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28</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Price Range of Common Stock and Dividends</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57</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Stock Performance Graph</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58</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Directors and Executive Officers</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59</w:t>
            </w:r>
          </w:p>
        </w:tc>
      </w:tr>
      <w:tr>
        <w:trPr>
          <w:trHeight w:val="432"/>
        </w:trPr>
        <w:tc>
          <w:tcPr>
            <w:tcW w:w="8360" w:type="dxa"/>
            <w:vAlign w:val="bottom"/>
          </w:tcPr>
          <w:p>
            <w:pPr>
              <w:ind w:left="340"/>
              <w:spacing w:after="0"/>
              <w:rPr>
                <w:sz w:val="20"/>
                <w:szCs w:val="20"/>
                <w:color w:val="auto"/>
              </w:rPr>
            </w:pPr>
            <w:r>
              <w:rPr>
                <w:rFonts w:ascii="Arial" w:cs="Arial" w:eastAsia="Arial" w:hAnsi="Arial"/>
                <w:sz w:val="18"/>
                <w:szCs w:val="18"/>
                <w:color w:val="auto"/>
              </w:rPr>
              <w:t>Shareholder Information</w:t>
            </w:r>
          </w:p>
        </w:tc>
        <w:tc>
          <w:tcPr>
            <w:tcW w:w="3060" w:type="dxa"/>
            <w:vAlign w:val="bottom"/>
          </w:tcPr>
          <w:p>
            <w:pPr>
              <w:jc w:val="right"/>
              <w:ind w:right="1750"/>
              <w:spacing w:after="0"/>
              <w:rPr>
                <w:sz w:val="20"/>
                <w:szCs w:val="20"/>
                <w:color w:val="auto"/>
              </w:rPr>
            </w:pPr>
            <w:r>
              <w:rPr>
                <w:rFonts w:ascii="Arial" w:cs="Arial" w:eastAsia="Arial" w:hAnsi="Arial"/>
                <w:sz w:val="18"/>
                <w:szCs w:val="18"/>
                <w:color w:val="auto"/>
              </w:rPr>
              <w:t>60</w:t>
            </w:r>
          </w:p>
        </w:tc>
      </w:tr>
      <w:tr>
        <w:trPr>
          <w:trHeight w:val="1226"/>
        </w:trPr>
        <w:tc>
          <w:tcPr>
            <w:tcW w:w="836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8"/>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(In thousands, except per share and statistics data)</w:t>
      </w:r>
    </w:p>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20"/>
                <w:szCs w:val="20"/>
                <w:color w:val="auto"/>
              </w:rPr>
            </w:pPr>
          </w:p>
        </w:tc>
      </w:tr>
      <w:tr>
        <w:trPr>
          <w:trHeight w:val="191"/>
        </w:trPr>
        <w:tc>
          <w:tcPr>
            <w:tcW w:w="28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Consolidated Statement of</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Earnings Data</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2,232,394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2,513,178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2,664,572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2,691,522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2,453,281</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254,201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309,029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381,682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359,256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296,253</w:t>
            </w:r>
          </w:p>
        </w:tc>
      </w:tr>
      <w:tr>
        <w:trPr>
          <w:trHeight w:val="202"/>
        </w:trPr>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Earnings before income taxes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60" w:type="dxa"/>
            <w:vAlign w:val="bottom"/>
          </w:tcPr>
          <w:p>
            <w:pPr>
              <w:ind w:left="400"/>
              <w:spacing w:after="0"/>
              <w:rPr>
                <w:sz w:val="20"/>
                <w:szCs w:val="20"/>
                <w:color w:val="auto"/>
              </w:rPr>
            </w:pPr>
            <w:r>
              <w:rPr>
                <w:rFonts w:ascii="Arial" w:cs="Arial" w:eastAsia="Arial" w:hAnsi="Arial"/>
                <w:sz w:val="18"/>
                <w:szCs w:val="18"/>
                <w:color w:val="auto"/>
              </w:rPr>
              <w:t>and minority interest</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7,146</w:t>
            </w:r>
          </w:p>
        </w:tc>
        <w:tc>
          <w:tcPr>
            <w:tcW w:w="16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38,609</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112,135</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110,772</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83,059</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4,343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21,045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70,125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67,373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48,603</w:t>
            </w: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0.100</w:t>
            </w:r>
          </w:p>
        </w:tc>
      </w:tr>
      <w:tr>
        <w:trPr>
          <w:trHeight w:val="202"/>
        </w:trPr>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Weighted average shares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860" w:type="dxa"/>
            <w:vAlign w:val="bottom"/>
          </w:tcPr>
          <w:p>
            <w:pPr>
              <w:ind w:left="400"/>
              <w:spacing w:after="0"/>
              <w:rPr>
                <w:sz w:val="20"/>
                <w:szCs w:val="20"/>
                <w:color w:val="auto"/>
              </w:rPr>
            </w:pPr>
            <w:r>
              <w:rPr>
                <w:rFonts w:ascii="Arial" w:cs="Arial" w:eastAsia="Arial" w:hAnsi="Arial"/>
                <w:sz w:val="18"/>
                <w:szCs w:val="18"/>
                <w:color w:val="auto"/>
              </w:rPr>
              <w:t>outstanding with common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60" w:type="dxa"/>
            <w:vAlign w:val="bottom"/>
          </w:tcPr>
          <w:p>
            <w:pPr>
              <w:ind w:left="400"/>
              <w:spacing w:after="0"/>
              <w:rPr>
                <w:sz w:val="20"/>
                <w:szCs w:val="20"/>
                <w:color w:val="auto"/>
              </w:rPr>
            </w:pPr>
            <w:r>
              <w:rPr>
                <w:rFonts w:ascii="Arial" w:cs="Arial" w:eastAsia="Arial" w:hAnsi="Arial"/>
                <w:sz w:val="18"/>
                <w:szCs w:val="18"/>
                <w:color w:val="auto"/>
              </w:rPr>
              <w:t>stock equivalents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19,225</w:t>
            </w:r>
          </w:p>
        </w:tc>
        <w:tc>
          <w:tcPr>
            <w:tcW w:w="16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19,362</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19,370</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19,106</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18,771</w:t>
            </w: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Consolidated Balance Sheet Data</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230,308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337,800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282,913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298,027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222,618</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816,019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957,000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913,441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876,920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762,360</w:t>
            </w:r>
          </w:p>
        </w:tc>
      </w:tr>
      <w:tr>
        <w:trPr>
          <w:trHeight w:val="202"/>
        </w:trPr>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Total debt and capital lease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60" w:type="dxa"/>
            <w:vAlign w:val="bottom"/>
          </w:tcPr>
          <w:p>
            <w:pPr>
              <w:ind w:left="40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101,174</w:t>
            </w:r>
          </w:p>
        </w:tc>
        <w:tc>
          <w:tcPr>
            <w:tcW w:w="16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206,071</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170,097</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209,497</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207,142</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541,883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536,668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514,742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431,852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356,769</w:t>
            </w:r>
          </w:p>
        </w:tc>
      </w:tr>
      <w:tr>
        <w:trPr>
          <w:trHeight w:val="432"/>
        </w:trPr>
        <w:tc>
          <w:tcPr>
            <w:tcW w:w="2860" w:type="dxa"/>
            <w:vAlign w:val="bottom"/>
          </w:tcPr>
          <w:p>
            <w:pPr>
              <w:spacing w:after="0"/>
              <w:rPr>
                <w:sz w:val="20"/>
                <w:szCs w:val="20"/>
                <w:color w:val="auto"/>
              </w:rPr>
            </w:pPr>
            <w:r>
              <w:rPr>
                <w:rFonts w:ascii="Arial" w:cs="Arial" w:eastAsia="Arial" w:hAnsi="Arial"/>
                <w:sz w:val="18"/>
                <w:szCs w:val="18"/>
                <w:b w:val="1"/>
                <w:bCs w:val="1"/>
                <w:color w:val="auto"/>
              </w:rPr>
              <w:t>Statistics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2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Gross profit as a percentage of</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2"/>
        </w:trPr>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Net earnings as a percentage of</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60" w:type="dxa"/>
            <w:vAlign w:val="bottom"/>
          </w:tcPr>
          <w:p>
            <w:pPr>
              <w:ind w:left="400"/>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on beginning equity</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rPr>
              <w:t>Current ratio</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to equity ratio</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Book value per common share</w:t>
            </w:r>
            <w:r>
              <w:rPr>
                <w:rFonts w:ascii="Arial" w:cs="Arial" w:eastAsia="Arial" w:hAnsi="Arial"/>
                <w:sz w:val="15"/>
                <w:szCs w:val="15"/>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27.29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23.47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19.82</w:t>
            </w:r>
          </w:p>
        </w:tc>
      </w:tr>
    </w:tbl>
    <w:p>
      <w:pPr>
        <w:spacing w:after="0" w:line="93" w:lineRule="exact"/>
        <w:rPr>
          <w:sz w:val="20"/>
          <w:szCs w:val="20"/>
          <w:color w:val="auto"/>
        </w:rPr>
      </w:pPr>
    </w:p>
    <w:p>
      <w:pPr>
        <w:ind w:left="348" w:hanging="348"/>
        <w:spacing w:after="0"/>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assets less current liabilities.</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earnings divided by beginning shareholders’ equity.</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Shareholders’ equity divided by common stock outstanding.</w:t>
      </w:r>
    </w:p>
    <w:p>
      <w:pPr>
        <w:spacing w:after="0" w:line="200" w:lineRule="exact"/>
        <w:rPr>
          <w:sz w:val="20"/>
          <w:szCs w:val="20"/>
          <w:color w:val="auto"/>
        </w:rPr>
      </w:pPr>
    </w:p>
    <w:p>
      <w:pPr>
        <w:spacing w:after="0" w:line="390"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5" w:name="page26"/>
    <w:bookmarkEnd w:id="25"/>
    <w:p>
      <w:pPr>
        <w:jc w:val="center"/>
        <w:ind w:left="580" w:right="19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53" w:lineRule="exact"/>
        <w:rPr>
          <w:sz w:val="20"/>
          <w:szCs w:val="20"/>
          <w:color w:val="auto"/>
        </w:rPr>
      </w:pPr>
    </w:p>
    <w:p>
      <w:pPr>
        <w:jc w:val="both"/>
        <w:ind w:left="8" w:right="559"/>
        <w:spacing w:after="0" w:line="297" w:lineRule="auto"/>
        <w:rPr>
          <w:sz w:val="20"/>
          <w:szCs w:val="20"/>
          <w:color w:val="auto"/>
        </w:rPr>
      </w:pPr>
      <w:r>
        <w:rPr>
          <w:rFonts w:ascii="Arial" w:cs="Arial" w:eastAsia="Arial" w:hAnsi="Arial"/>
          <w:sz w:val="16"/>
          <w:szCs w:val="16"/>
          <w:color w:val="auto"/>
        </w:rPr>
        <w:t>We advise you to read the issues discussed in Management’s Discussion and Analysis of Financial Condition and Results of Operations in conjunction with our Consolidated Financial Statements and the Notes to the Consolidated Financial Statements included in this Annual Report for the year ended December 27, 2008. We also encourage you to read our Annual Report on Form 10-K, filed with the United States Securities and Exchange Commission. That report includes “Risk Factors” that you should consider in connection with any decision to buy or sell our securities. We are pleased to present this overview of 2008.</w:t>
      </w:r>
    </w:p>
    <w:p>
      <w:pPr>
        <w:spacing w:after="0" w:line="114" w:lineRule="exact"/>
        <w:rPr>
          <w:sz w:val="20"/>
          <w:szCs w:val="20"/>
          <w:color w:val="auto"/>
        </w:rPr>
      </w:pPr>
    </w:p>
    <w:p>
      <w:pPr>
        <w:ind w:left="4168"/>
        <w:spacing w:after="0"/>
        <w:rPr>
          <w:sz w:val="20"/>
          <w:szCs w:val="20"/>
          <w:color w:val="auto"/>
        </w:rPr>
      </w:pPr>
      <w:r>
        <w:rPr>
          <w:rFonts w:ascii="Arial" w:cs="Arial" w:eastAsia="Arial" w:hAnsi="Arial"/>
          <w:sz w:val="18"/>
          <w:szCs w:val="18"/>
          <w:b w:val="1"/>
          <w:bCs w:val="1"/>
          <w:u w:val="single" w:color="auto"/>
          <w:color w:val="auto"/>
        </w:rPr>
        <w:t>OVERVIEW</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Our results for 2008 were impacted by the following:</w:t>
      </w:r>
    </w:p>
    <w:p>
      <w:pPr>
        <w:spacing w:after="0" w:line="198" w:lineRule="exact"/>
        <w:rPr>
          <w:sz w:val="20"/>
          <w:szCs w:val="20"/>
          <w:color w:val="auto"/>
        </w:rPr>
      </w:pPr>
    </w:p>
    <w:p>
      <w:pPr>
        <w:jc w:val="both"/>
        <w:ind w:left="348" w:right="559" w:hanging="348"/>
        <w:spacing w:after="0" w:line="259" w:lineRule="auto"/>
        <w:tabs>
          <w:tab w:leader="none" w:pos="348"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We experienced sales decreases in our site-built construction, manufactured housing, and DIY/retail markets, while we continued to grow sales to the industrial market. We believe we have gained additional share in each of the markets we serve except manufactured housing. We have been able to maintain our significant market share of manufactured housing business.</w:t>
      </w:r>
    </w:p>
    <w:p>
      <w:pPr>
        <w:spacing w:after="0" w:line="146" w:lineRule="exact"/>
        <w:rPr>
          <w:rFonts w:ascii="Arial" w:cs="Arial" w:eastAsia="Arial" w:hAnsi="Arial"/>
          <w:sz w:val="18"/>
          <w:szCs w:val="18"/>
          <w:b w:val="1"/>
          <w:bCs w:val="1"/>
          <w:color w:val="auto"/>
        </w:rPr>
      </w:pPr>
    </w:p>
    <w:p>
      <w:pPr>
        <w:ind w:left="348" w:right="559" w:hanging="348"/>
        <w:spacing w:after="0" w:line="342" w:lineRule="auto"/>
        <w:tabs>
          <w:tab w:leader="none" w:pos="348"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Our overall unit sales decreased 9% in 2008 compared to 2007, as sales out of existing facilities and operations we closed decreased by 12% and we experienced a 3% increase in unit sales as a result of acquisitions and new operations.</w:t>
      </w:r>
    </w:p>
    <w:p>
      <w:pPr>
        <w:spacing w:after="0" w:line="83" w:lineRule="exact"/>
        <w:rPr>
          <w:rFonts w:ascii="Arial" w:cs="Arial" w:eastAsia="Arial" w:hAnsi="Arial"/>
          <w:sz w:val="16"/>
          <w:szCs w:val="16"/>
          <w:b w:val="1"/>
          <w:bCs w:val="1"/>
          <w:color w:val="auto"/>
        </w:rPr>
      </w:pPr>
    </w:p>
    <w:p>
      <w:pPr>
        <w:jc w:val="both"/>
        <w:ind w:left="348" w:right="559" w:hanging="348"/>
        <w:spacing w:after="0" w:line="264" w:lineRule="auto"/>
        <w:tabs>
          <w:tab w:leader="none" w:pos="348"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Lumber prices were 11% lower in 2008 compared to 2007, reducing our overall selling prices (see “Impact of the Lumber Market on Our Operating Results” below) and sales dollars. In addition, competition for business was a challenge in 2008 as each of our markets we serve contracted and thus impacted our selling prices and margins.</w:t>
      </w:r>
    </w:p>
    <w:p>
      <w:pPr>
        <w:spacing w:after="0" w:line="154"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Single-family housing starts decreased approximately 41% in 2008 compared to 2007 as a result of an excess supply of homes, tighter credit conditions, and an increase in foreclosures. In addition, tight credit conditions in the second half of 2008 resulted in a decline in multi-family and light commercial construction activity.</w:t>
      </w:r>
    </w:p>
    <w:p>
      <w:pPr>
        <w:spacing w:after="0" w:line="140" w:lineRule="exact"/>
        <w:rPr>
          <w:rFonts w:ascii="Arial" w:cs="Arial" w:eastAsia="Arial" w:hAnsi="Arial"/>
          <w:sz w:val="18"/>
          <w:szCs w:val="18"/>
          <w:b w:val="1"/>
          <w:bCs w:val="1"/>
          <w:color w:val="auto"/>
        </w:rPr>
      </w:pPr>
    </w:p>
    <w:p>
      <w:pPr>
        <w:jc w:val="both"/>
        <w:ind w:left="348" w:right="559" w:hanging="348"/>
        <w:spacing w:after="0" w:line="286" w:lineRule="auto"/>
        <w:tabs>
          <w:tab w:leader="none" w:pos="348"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Consumer spending for large repair/remodel projects decreased as many homeowners have lost equity in devalued homes and had less disposable income as a result of higher costs for necessities such as food, fuel and utilities. The Consumer Confidence Index has fallen from 87.3 at the beginning of the year to 38 at the end of December.</w:t>
      </w:r>
    </w:p>
    <w:p>
      <w:pPr>
        <w:spacing w:after="0" w:line="125" w:lineRule="exact"/>
        <w:rPr>
          <w:rFonts w:ascii="Arial" w:cs="Arial" w:eastAsia="Arial" w:hAnsi="Arial"/>
          <w:sz w:val="17"/>
          <w:szCs w:val="17"/>
          <w:b w:val="1"/>
          <w:bCs w:val="1"/>
          <w:color w:val="auto"/>
        </w:rPr>
      </w:pPr>
    </w:p>
    <w:p>
      <w:pPr>
        <w:ind w:left="348" w:right="559" w:hanging="348"/>
        <w:spacing w:after="0" w:line="277" w:lineRule="auto"/>
        <w:tabs>
          <w:tab w:leader="none" w:pos="348"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Shipments of HUD code manufactured homes were down 14% in 2008 and industry sales of modular homes have also continued to decline due, in part, to an excess supply of site-built homes and tight credit conditions.</w:t>
      </w:r>
    </w:p>
    <w:p>
      <w:pPr>
        <w:spacing w:after="0" w:line="143"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industrial market is declining due to the general weakening of the U.S. economy. We gained additional share and increased sales to this market due, in part, to acquisitions, adding new customers, and adding new concrete forming business.</w:t>
      </w:r>
    </w:p>
    <w:p>
      <w:pPr>
        <w:spacing w:after="0" w:line="200" w:lineRule="exact"/>
        <w:rPr>
          <w:sz w:val="20"/>
          <w:szCs w:val="20"/>
          <w:color w:val="auto"/>
        </w:rPr>
      </w:pPr>
    </w:p>
    <w:p>
      <w:pPr>
        <w:spacing w:after="0" w:line="332"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6" w:name="page27"/>
    <w:bookmarkEnd w:id="26"/>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CONDITION AND RESULTS OF OPERATIONS</w:t>
      </w:r>
    </w:p>
    <w:p>
      <w:pPr>
        <w:spacing w:after="0" w:line="170" w:lineRule="exact"/>
        <w:rPr>
          <w:sz w:val="20"/>
          <w:szCs w:val="20"/>
          <w:color w:val="auto"/>
        </w:rPr>
      </w:pPr>
    </w:p>
    <w:p>
      <w:pPr>
        <w:jc w:val="both"/>
        <w:ind w:left="680" w:right="1760" w:hanging="348"/>
        <w:spacing w:after="0" w:line="259" w:lineRule="auto"/>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gross profits decreased approximately 18% compared to the same period of 2007 due to 1) a combination of lower unit sales out of existing facilities and fixed manufacturing costs; 2) intense pricing pressure, particularly in the site-built construction market; and 3) higher transportation costs in the second and third quarters of 2008 primarily due to an increase in diesel fuel prices and a decline in the number of available carriers.</w:t>
      </w:r>
    </w:p>
    <w:p>
      <w:pPr>
        <w:spacing w:after="0" w:line="146" w:lineRule="exact"/>
        <w:rPr>
          <w:rFonts w:ascii="Arial" w:cs="Arial" w:eastAsia="Arial" w:hAnsi="Arial"/>
          <w:sz w:val="18"/>
          <w:szCs w:val="18"/>
          <w:b w:val="1"/>
          <w:bCs w:val="1"/>
          <w:color w:val="auto"/>
        </w:rPr>
      </w:pPr>
    </w:p>
    <w:p>
      <w:pPr>
        <w:ind w:left="680" w:right="1760" w:hanging="348"/>
        <w:spacing w:after="0" w:line="308" w:lineRule="auto"/>
        <w:tabs>
          <w:tab w:leader="none" w:pos="68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We recorded a $7.2 million expense for asset impairments and other exit costs associated with facilities and equipment we decided to idle. We believe these actions will improve our cost structure, profitability and cash flow.</w:t>
      </w:r>
    </w:p>
    <w:p>
      <w:pPr>
        <w:spacing w:after="0" w:line="119" w:lineRule="exact"/>
        <w:rPr>
          <w:rFonts w:ascii="Arial" w:cs="Arial" w:eastAsia="Arial" w:hAnsi="Arial"/>
          <w:sz w:val="17"/>
          <w:szCs w:val="17"/>
          <w:b w:val="1"/>
          <w:bCs w:val="1"/>
          <w:color w:val="auto"/>
        </w:rPr>
      </w:pPr>
    </w:p>
    <w:p>
      <w:pPr>
        <w:jc w:val="both"/>
        <w:ind w:left="680" w:right="1760" w:hanging="348"/>
        <w:spacing w:after="0" w:line="264" w:lineRule="auto"/>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Since the beginning of this difficult economic cycle, we have focused on cash flow and working capital management. We are pleased to have reduced our debt by approximately $105 million and our sale of receivables program by approximately $27 million.</w:t>
      </w:r>
    </w:p>
    <w:p>
      <w:pPr>
        <w:spacing w:after="0" w:line="141"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We expect the current challenging conditions to prevail throughout 2009; however, our strong financial position, solid business model, diverse business opportunities and ability to adjust appropriately to our opportunities position us better than most to endure challenging times. We believe that current economic conditions and uncertainties limit our ability to provide meaningful guidance for ranges of likely financial performance; therefore, we will not provide sales or net earnings targets for the foreseeable future.</w:t>
      </w:r>
    </w:p>
    <w:p>
      <w:pPr>
        <w:spacing w:after="0" w:line="144"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u w:val="single" w:color="auto"/>
          <w:color w:val="auto"/>
        </w:rPr>
        <w:t>HISTORICAL LUMBER PRICES</w:t>
      </w:r>
    </w:p>
    <w:p>
      <w:pPr>
        <w:spacing w:after="0" w:line="202"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presents the Random Lengths framing lumber composite price for the years ended December 27, 2008, December 29, 2007, and December 30, 2006.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7"/>
          </w:tcPr>
          <w:p>
            <w:pPr>
              <w:jc w:val="right"/>
              <w:ind w:right="10"/>
              <w:spacing w:after="0"/>
              <w:rPr>
                <w:sz w:val="20"/>
                <w:szCs w:val="20"/>
                <w:color w:val="auto"/>
              </w:rPr>
            </w:pPr>
            <w:r>
              <w:rPr>
                <w:rFonts w:ascii="Arial" w:cs="Arial" w:eastAsia="Arial" w:hAnsi="Arial"/>
                <w:sz w:val="18"/>
                <w:szCs w:val="18"/>
                <w:color w:val="auto"/>
              </w:rPr>
              <w:t>Random Lengths Composite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8"/>
                <w:szCs w:val="18"/>
                <w:color w:val="auto"/>
                <w:w w:val="92"/>
              </w:rPr>
              <w:t>Average $/MBF</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February</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April</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June</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August</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October</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December</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Annual average</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Annual percentage change</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20" w:type="dxa"/>
            <w:vAlign w:val="bottom"/>
          </w:tcPr>
          <w:p>
            <w:pPr>
              <w:jc w:val="right"/>
              <w:ind w:right="59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7" w:name="page28"/>
    <w:bookmarkEnd w:id="27"/>
    <w:p>
      <w:pPr>
        <w:jc w:val="both"/>
        <w:ind w:left="8" w:right="559"/>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may comprise up to 50% of our sales volume.</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80" w:type="dxa"/>
            <w:vAlign w:val="bottom"/>
            <w:gridSpan w:val="5"/>
          </w:tcPr>
          <w:p>
            <w:pPr>
              <w:jc w:val="center"/>
              <w:spacing w:after="0"/>
              <w:rPr>
                <w:sz w:val="20"/>
                <w:szCs w:val="20"/>
                <w:color w:val="auto"/>
              </w:rPr>
            </w:pPr>
            <w:r>
              <w:rPr>
                <w:rFonts w:ascii="Arial" w:cs="Arial" w:eastAsia="Arial" w:hAnsi="Arial"/>
                <w:sz w:val="18"/>
                <w:szCs w:val="18"/>
                <w:color w:val="auto"/>
                <w:w w:val="90"/>
              </w:rPr>
              <w:t>Random Lengths SYP</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color w:val="auto"/>
                <w:w w:val="92"/>
              </w:rPr>
              <w:t>Average $/MBF</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2007</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337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February</w:t>
            </w:r>
          </w:p>
        </w:tc>
        <w:tc>
          <w:tcPr>
            <w:tcW w:w="18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April</w:t>
            </w:r>
          </w:p>
        </w:tc>
        <w:tc>
          <w:tcPr>
            <w:tcW w:w="18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June</w:t>
            </w:r>
          </w:p>
        </w:tc>
        <w:tc>
          <w:tcPr>
            <w:tcW w:w="18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August</w:t>
            </w:r>
          </w:p>
        </w:tc>
        <w:tc>
          <w:tcPr>
            <w:tcW w:w="18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October</w:t>
            </w:r>
          </w:p>
        </w:tc>
        <w:tc>
          <w:tcPr>
            <w:tcW w:w="18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December</w:t>
            </w:r>
          </w:p>
        </w:tc>
        <w:tc>
          <w:tcPr>
            <w:tcW w:w="18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Annual average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366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Annual percentage change</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w:t>
            </w:r>
          </w:p>
        </w:tc>
      </w:tr>
    </w:tbl>
    <w:p>
      <w:pPr>
        <w:spacing w:after="0" w:line="156"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u w:val="single" w:color="auto"/>
          <w:color w:val="auto"/>
        </w:rPr>
        <w:t>IMPACT OF THE LUMBER MARKET ON OUR OPERATING PROFITS</w:t>
      </w:r>
    </w:p>
    <w:p>
      <w:pPr>
        <w:spacing w:after="0" w:line="189"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48"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 xml:space="preserve">Our gross margins are impacted by both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348" w:right="559" w:hanging="348"/>
        <w:spacing w:after="0" w:line="255" w:lineRule="auto"/>
        <w:tabs>
          <w:tab w:leader="none" w:pos="348" w:val="left"/>
        </w:tabs>
        <w:numPr>
          <w:ilvl w:val="0"/>
          <w:numId w:val="21"/>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200" w:lineRule="exact"/>
        <w:rPr>
          <w:sz w:val="20"/>
          <w:szCs w:val="20"/>
          <w:color w:val="auto"/>
        </w:rPr>
      </w:pPr>
    </w:p>
    <w:p>
      <w:pPr>
        <w:spacing w:after="0" w:line="354"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28" w:name="page29"/>
    <w:bookmarkEnd w:id="28"/>
    <w:p>
      <w:pPr>
        <w:jc w:val="both"/>
        <w:ind w:left="348" w:right="559" w:hanging="348"/>
        <w:spacing w:after="0" w:line="297" w:lineRule="auto"/>
        <w:tabs>
          <w:tab w:leader="none" w:pos="348" w:val="left"/>
        </w:tabs>
        <w:numPr>
          <w:ilvl w:val="0"/>
          <w:numId w:val="22"/>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lumber prices.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85" w:lineRule="exact"/>
        <w:rPr>
          <w:sz w:val="20"/>
          <w:szCs w:val="20"/>
          <w:color w:val="auto"/>
        </w:rPr>
      </w:pPr>
    </w:p>
    <w:p>
      <w:pPr>
        <w:jc w:val="both"/>
        <w:ind w:left="348" w:right="559" w:hanging="348"/>
        <w:spacing w:after="0" w:line="272" w:lineRule="auto"/>
        <w:tabs>
          <w:tab w:leader="none" w:pos="348" w:val="left"/>
        </w:tabs>
        <w:numPr>
          <w:ilvl w:val="0"/>
          <w:numId w:val="23"/>
        </w:numPr>
        <w:rPr>
          <w:rFonts w:ascii="Arial" w:cs="Arial" w:eastAsia="Arial" w:hAnsi="Arial"/>
          <w:sz w:val="17"/>
          <w:szCs w:val="17"/>
          <w:b w:val="1"/>
          <w:bCs w:val="1"/>
          <w:color w:val="auto"/>
        </w:rPr>
      </w:pPr>
      <w:r>
        <w:rPr>
          <w:rFonts w:ascii="Arial" w:cs="Arial" w:eastAsia="Arial" w:hAnsi="Arial"/>
          <w:sz w:val="17"/>
          <w:szCs w:val="17"/>
          <w:u w:val="single" w:color="auto"/>
          <w:color w:val="auto"/>
        </w:rPr>
        <w:t xml:space="preserve">Products with significant inventory levels with low turnover rates, whose selling prices are indexed to the Lumber Market. </w:t>
      </w:r>
      <w:r>
        <w:rPr>
          <w:rFonts w:ascii="Arial" w:cs="Arial" w:eastAsia="Arial" w:hAnsi="Arial"/>
          <w:sz w:val="17"/>
          <w:szCs w:val="17"/>
          <w:color w:val="auto"/>
        </w:rPr>
        <w:t>In other words, the longer the period of time these products remain in inventory, the greater the exposure to changes in the price of lumber. This would include treated lumber, which comprises approximately 17%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7"/>
          <w:szCs w:val="17"/>
          <w:i w:val="1"/>
          <w:iCs w:val="1"/>
          <w:color w:val="auto"/>
        </w:rPr>
        <w:t>Please refer to the “Risk Factors” section of our annual report on form 10-K, filed with</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Securities and Exchange Commission.</w:t>
      </w:r>
      <w:r>
        <w:rPr>
          <w:rFonts w:ascii="Arial" w:cs="Arial" w:eastAsia="Arial" w:hAnsi="Arial"/>
          <w:sz w:val="17"/>
          <w:szCs w:val="17"/>
          <w:color w:val="auto"/>
        </w:rPr>
        <w:t>)</w:t>
      </w:r>
    </w:p>
    <w:p>
      <w:pPr>
        <w:spacing w:after="0" w:line="110" w:lineRule="exact"/>
        <w:rPr>
          <w:rFonts w:ascii="Arial" w:cs="Arial" w:eastAsia="Arial" w:hAnsi="Arial"/>
          <w:sz w:val="17"/>
          <w:szCs w:val="17"/>
          <w:b w:val="1"/>
          <w:bCs w:val="1"/>
          <w:color w:val="auto"/>
        </w:rPr>
      </w:pPr>
    </w:p>
    <w:p>
      <w:pPr>
        <w:ind w:left="348" w:right="559" w:hanging="348"/>
        <w:spacing w:after="0" w:line="277" w:lineRule="auto"/>
        <w:tabs>
          <w:tab w:leader="none" w:pos="348" w:val="left"/>
        </w:tabs>
        <w:numPr>
          <w:ilvl w:val="0"/>
          <w:numId w:val="23"/>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30" w:lineRule="exact"/>
        <w:rPr>
          <w:sz w:val="20"/>
          <w:szCs w:val="20"/>
          <w:color w:val="auto"/>
        </w:rPr>
      </w:pPr>
    </w:p>
    <w:p>
      <w:pPr>
        <w:jc w:val="both"/>
        <w:ind w:left="8" w:right="559"/>
        <w:spacing w:after="0" w:line="312" w:lineRule="auto"/>
        <w:rPr>
          <w:sz w:val="20"/>
          <w:szCs w:val="20"/>
          <w:color w:val="auto"/>
        </w:rPr>
      </w:pPr>
      <w:r>
        <w:rPr>
          <w:rFonts w:ascii="Arial" w:cs="Arial" w:eastAsia="Arial" w:hAnsi="Arial"/>
          <w:sz w:val="16"/>
          <w:szCs w:val="16"/>
          <w:color w:val="auto"/>
        </w:rPr>
        <w:t xml:space="preserve">In addition to the impact of the Lumber Market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on gross margins, changes in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within each period.</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Period 1</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Period 2</w:t>
            </w:r>
          </w:p>
        </w:tc>
        <w:tc>
          <w:tcPr>
            <w:tcW w:w="180" w:type="dxa"/>
            <w:vAlign w:val="bottom"/>
          </w:tcPr>
          <w:p>
            <w:pPr>
              <w:spacing w:after="0"/>
              <w:rPr>
                <w:sz w:val="20"/>
                <w:szCs w:val="20"/>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Conversion cost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Adder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60"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332"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29" w:name="page30"/>
    <w:bookmarkEnd w:id="29"/>
    <w:p>
      <w:pPr>
        <w:ind w:left="2408"/>
        <w:spacing w:after="0"/>
        <w:rPr>
          <w:sz w:val="20"/>
          <w:szCs w:val="20"/>
          <w:color w:val="auto"/>
        </w:rPr>
      </w:pPr>
      <w:r>
        <w:rPr>
          <w:rFonts w:ascii="Arial" w:cs="Arial" w:eastAsia="Arial" w:hAnsi="Arial"/>
          <w:sz w:val="18"/>
          <w:szCs w:val="18"/>
          <w:b w:val="1"/>
          <w:bCs w:val="1"/>
          <w:u w:val="single" w:color="auto"/>
          <w:color w:val="auto"/>
        </w:rPr>
        <w:t>BUSINESS COMBINATIONS AND ASSET PURCHASES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See Notes to Consolidated Financial Statements, Note B, “Business Combinations.”</w:t>
      </w:r>
    </w:p>
    <w:p>
      <w:pPr>
        <w:spacing w:after="0" w:line="181" w:lineRule="exact"/>
        <w:rPr>
          <w:sz w:val="20"/>
          <w:szCs w:val="20"/>
          <w:color w:val="auto"/>
        </w:rPr>
      </w:pPr>
    </w:p>
    <w:p>
      <w:pPr>
        <w:ind w:left="3508"/>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89"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Statements of Earnings as a percentage of net sales.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86"/>
              </w:rPr>
              <w:t>Years Ended</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420" w:type="dxa"/>
            <w:vAlign w:val="bottom"/>
            <w:gridSpan w:val="2"/>
          </w:tcPr>
          <w:p>
            <w:pPr>
              <w:jc w:val="right"/>
              <w:ind w:right="400"/>
              <w:spacing w:after="0" w:line="195" w:lineRule="exact"/>
              <w:rPr>
                <w:sz w:val="20"/>
                <w:szCs w:val="20"/>
                <w:color w:val="auto"/>
              </w:rPr>
            </w:pPr>
            <w:r>
              <w:rPr>
                <w:rFonts w:ascii="Arial" w:cs="Arial" w:eastAsia="Arial" w:hAnsi="Arial"/>
                <w:sz w:val="18"/>
                <w:szCs w:val="18"/>
                <w:color w:val="auto"/>
                <w:w w:val="88"/>
              </w:rPr>
              <w:t>December 27,</w:t>
            </w:r>
          </w:p>
        </w:tc>
        <w:tc>
          <w:tcPr>
            <w:tcW w:w="142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90"/>
              </w:rPr>
              <w:t>December 29,</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w w:val="86"/>
              </w:rPr>
              <w:t>December 30,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4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88.6</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87.7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9.8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on disposition of assets and other impairment and exit</w:t>
            </w: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Earnings before minority interest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Net earnings</w:t>
            </w: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GROSS SALES</w:t>
      </w:r>
    </w:p>
    <w:p>
      <w:pPr>
        <w:spacing w:after="0" w:line="189" w:lineRule="exact"/>
        <w:rPr>
          <w:sz w:val="20"/>
          <w:szCs w:val="20"/>
          <w:color w:val="auto"/>
        </w:rPr>
      </w:pPr>
    </w:p>
    <w:p>
      <w:pPr>
        <w:jc w:val="both"/>
        <w:ind w:left="8" w:right="559"/>
        <w:spacing w:after="0" w:line="279" w:lineRule="auto"/>
        <w:rPr>
          <w:sz w:val="20"/>
          <w:szCs w:val="20"/>
          <w:color w:val="auto"/>
        </w:rPr>
      </w:pPr>
      <w:r>
        <w:rPr>
          <w:rFonts w:ascii="Arial" w:cs="Arial" w:eastAsia="Arial" w:hAnsi="Arial"/>
          <w:sz w:val="17"/>
          <w:szCs w:val="17"/>
          <w:color w:val="auto"/>
        </w:rPr>
        <w:t>We market, manufacture and engineer wood and wood-alternative products for the do-it-yourself/retail (“D-I-Y/retail”) market, structural lumber products for the manufactured housing market, engineered wood components for the site-built construction market, and specialty wood packaging for various markets. We also provide framing services for the site-built construction market and various forms for concrete construction. Our strategic long-term sales objectives include:</w:t>
      </w:r>
    </w:p>
    <w:p>
      <w:pPr>
        <w:spacing w:after="0" w:line="131" w:lineRule="exact"/>
        <w:rPr>
          <w:sz w:val="20"/>
          <w:szCs w:val="20"/>
          <w:color w:val="auto"/>
        </w:rPr>
      </w:pPr>
    </w:p>
    <w:p>
      <w:pPr>
        <w:jc w:val="both"/>
        <w:ind w:left="348" w:right="559" w:hanging="348"/>
        <w:spacing w:after="0" w:line="264" w:lineRule="auto"/>
        <w:tabs>
          <w:tab w:leader="none" w:pos="34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Diversifying our end market sales mix by increasing sales of specialty wood packing to industrial users, penetrating the concrete forms market, and increasing our sales of engineered wood components for custom home, multi-family and light commercial construction.</w:t>
      </w:r>
    </w:p>
    <w:p>
      <w:pPr>
        <w:spacing w:after="0" w:line="113" w:lineRule="exact"/>
        <w:rPr>
          <w:rFonts w:ascii="Arial" w:cs="Arial" w:eastAsia="Arial" w:hAnsi="Arial"/>
          <w:sz w:val="18"/>
          <w:szCs w:val="18"/>
          <w:b w:val="1"/>
          <w:bCs w:val="1"/>
          <w:color w:val="auto"/>
        </w:rPr>
      </w:pPr>
    </w:p>
    <w:p>
      <w:pPr>
        <w:ind w:left="348" w:hanging="348"/>
        <w:spacing w:after="0"/>
        <w:tabs>
          <w:tab w:leader="none" w:pos="34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157" w:lineRule="exact"/>
        <w:rPr>
          <w:rFonts w:ascii="Arial" w:cs="Arial" w:eastAsia="Arial" w:hAnsi="Arial"/>
          <w:sz w:val="18"/>
          <w:szCs w:val="18"/>
          <w:b w:val="1"/>
          <w:bCs w:val="1"/>
          <w:color w:val="auto"/>
        </w:rPr>
      </w:pPr>
    </w:p>
    <w:p>
      <w:pPr>
        <w:jc w:val="both"/>
        <w:ind w:left="348" w:right="559" w:hanging="348"/>
        <w:spacing w:after="0" w:line="255" w:lineRule="auto"/>
        <w:tabs>
          <w:tab w:leader="none" w:pos="34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25" w:lineRule="exact"/>
        <w:rPr>
          <w:rFonts w:ascii="Arial" w:cs="Arial" w:eastAsia="Arial" w:hAnsi="Arial"/>
          <w:sz w:val="18"/>
          <w:szCs w:val="18"/>
          <w:b w:val="1"/>
          <w:bCs w:val="1"/>
          <w:color w:val="auto"/>
        </w:rPr>
      </w:pPr>
    </w:p>
    <w:p>
      <w:pPr>
        <w:ind w:left="348" w:hanging="348"/>
        <w:spacing w:after="0"/>
        <w:tabs>
          <w:tab w:leader="none" w:pos="34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200" w:lineRule="exact"/>
        <w:rPr>
          <w:sz w:val="20"/>
          <w:szCs w:val="20"/>
          <w:color w:val="auto"/>
        </w:rPr>
      </w:pPr>
    </w:p>
    <w:p>
      <w:pPr>
        <w:spacing w:after="0" w:line="390"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0" w:name="page31"/>
    <w:bookmarkEnd w:id="30"/>
    <w:p>
      <w:pPr>
        <w:jc w:val="both"/>
        <w:ind w:right="55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86"/>
              </w:rPr>
              <w:t>Years Ended</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spacing w:after="0" w:line="195" w:lineRule="exact"/>
              <w:rPr>
                <w:sz w:val="20"/>
                <w:szCs w:val="20"/>
                <w:color w:val="auto"/>
              </w:rPr>
            </w:pPr>
            <w:r>
              <w:rPr>
                <w:rFonts w:ascii="Arial" w:cs="Arial" w:eastAsia="Arial" w:hAnsi="Arial"/>
                <w:sz w:val="18"/>
                <w:szCs w:val="18"/>
                <w:color w:val="auto"/>
              </w:rPr>
              <w:t>December 27,</w:t>
            </w:r>
          </w:p>
        </w:tc>
        <w:tc>
          <w:tcPr>
            <w:tcW w:w="92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36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92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000" w:type="dxa"/>
            <w:vAlign w:val="bottom"/>
            <w:gridSpan w:val="2"/>
          </w:tcPr>
          <w:p>
            <w:pPr>
              <w:spacing w:after="0" w:line="195" w:lineRule="exact"/>
              <w:rPr>
                <w:sz w:val="20"/>
                <w:szCs w:val="20"/>
                <w:color w:val="auto"/>
              </w:rPr>
            </w:pPr>
            <w:r>
              <w:rPr>
                <w:rFonts w:ascii="Arial" w:cs="Arial" w:eastAsia="Arial" w:hAnsi="Arial"/>
                <w:sz w:val="18"/>
                <w:szCs w:val="18"/>
                <w:color w:val="auto"/>
                <w:w w:val="86"/>
              </w:rPr>
              <w:t>December 30,</w:t>
            </w:r>
          </w:p>
        </w:tc>
        <w:tc>
          <w:tcPr>
            <w:tcW w:w="80" w:type="dxa"/>
            <w:vAlign w:val="bottom"/>
          </w:tcPr>
          <w:p>
            <w:pPr>
              <w:spacing w:after="0"/>
              <w:rPr>
                <w:sz w:val="16"/>
                <w:szCs w:val="16"/>
                <w:color w:val="auto"/>
              </w:rPr>
            </w:pPr>
          </w:p>
        </w:tc>
      </w:tr>
      <w:tr>
        <w:trPr>
          <w:trHeight w:val="230"/>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Market Classification</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DIY/Retail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910,679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988,175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962,240</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Site-Built Construction</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454,846</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588,778</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811,923</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605,143</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592,369</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550,669</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Manufactured Housing</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303,523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392,163</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382,203</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2,274,191</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2,561,485</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2,707,035</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(41,797)</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(48,307)</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(42,463)</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2,232,394</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2,513,178</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2,664,572</w:t>
            </w:r>
          </w:p>
        </w:tc>
      </w:tr>
      <w:tr>
        <w:trPr>
          <w:trHeight w:val="20"/>
        </w:trPr>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 following table presents estimates, for the periods indicated, of our percentage change in gross sales which were attributable to changes in overall selling prices versus changes in units shipped.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 Change</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34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in Sales</w:t>
            </w:r>
          </w:p>
        </w:tc>
        <w:tc>
          <w:tcPr>
            <w:tcW w:w="42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in Selling Prices</w:t>
            </w:r>
          </w:p>
        </w:tc>
        <w:tc>
          <w:tcPr>
            <w:tcW w:w="900" w:type="dxa"/>
            <w:vAlign w:val="bottom"/>
          </w:tcPr>
          <w:p>
            <w:pPr>
              <w:ind w:left="160"/>
              <w:spacing w:after="0"/>
              <w:rPr>
                <w:sz w:val="20"/>
                <w:szCs w:val="20"/>
                <w:color w:val="auto"/>
              </w:rPr>
            </w:pPr>
            <w:r>
              <w:rPr>
                <w:rFonts w:ascii="Arial" w:cs="Arial" w:eastAsia="Arial" w:hAnsi="Arial"/>
                <w:sz w:val="18"/>
                <w:szCs w:val="18"/>
                <w:color w:val="auto"/>
              </w:rPr>
              <w:t>in Units</w:t>
            </w:r>
          </w:p>
        </w:tc>
        <w:tc>
          <w:tcPr>
            <w:tcW w:w="16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2008 versus 2007</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2007 versus 2006</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2006 versus 2005</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161"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Gross sales in 2008 decreased 11% compared to 2007. We estimate that our unit sales decreased by 9% and overall selling prices decreased by 2% comparing the two periods. We estimate our unit sales increased 3% as a result of acquisitions and new facilities, while unit sales from existing and closed facilities decreased 12%. Our overall selling prices fluctuate as a result of the Lumber Market (see “Historical Lumber Prices”) and were negatively impacted by pricing pressure primarily in the site-built construction market.</w:t>
      </w:r>
    </w:p>
    <w:p>
      <w:pPr>
        <w:spacing w:after="0" w:line="148"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Gross sales in 2007 decreased 5% compared to 2006. We estimate that our unit sales remained flat while overall selling prices decreased by 5% comparing the two periods. We estimate our unit sales increased 9% as a result of acquisitions and new facilities, while unit sales from existing and closed facilities decreased 9%.</w:t>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Changes in our sales by market are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DIY/Retail:</w:t>
      </w:r>
    </w:p>
    <w:p>
      <w:pPr>
        <w:spacing w:after="0" w:line="189"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Gross sales to the DIY/retail market decreased 8% in 2008 compared to 2007, as a result of an estimated 7% decrease in overall unit sales combined with an estimated 1% decrease in overall selling prices. We estimate that our unit sales increased 2% as a result of acquisitions, while unit sales from existing and closed facilities decreased 9%. Unit sales declined due to the impact of the housing market on our retail customers whose business is closely correlated with single-family housing starts and a decline in consumer spending as evidenced by a decline in same store sales of our “big box” customers.</w:t>
      </w:r>
    </w:p>
    <w:p>
      <w:pPr>
        <w:spacing w:after="0" w:line="118"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Gross sales to the DIY/retail market increased 3% in 2007 compared to 2006, as a result of a 7% increase in unit sales offset by a 4% decrease in selling prices due to a soft Lumber Market. We estimate that our unit sales increased as a result of our acquisitions of GeoMatrix and Aljoma and the significant market share gains we realized with “big box” retail customers. Our sales to these customers increased 12% (8% due to acquisitions and 4% due to existing facilities) while our sales to other retailers whose business is more closely correlated with housing starts was off 17% (a 10% increase due to acquisitions offset by a 27% decrease due to existing facilities). Our increase in sales to “big box” customers was less than expected, which we believe was caused by a decline in consumer spending on large home improvement projects.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Site-Built Construction:</w:t>
      </w:r>
    </w:p>
    <w:p>
      <w:pPr>
        <w:spacing w:after="0" w:line="189"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Gross sales to the site-built construction market decreased 23% in 2008 compared to 2007, due to an estimated 14% decrease in unit sales out of existing facilities and an estimated 9% decrease in average selling prices primarily due to intense pricing pressure and a soft Lumber Market. National single-family housing starts were off a reported 40.5% for 2008 compared to 2007. In the first half of 2008, we were able to mitigate some of the decrease in the single-family market by pursuing multi-family and light commercial business and increasing our turn-key framing activities. However, these markets have recently been impacted by tight credit conditions as well as other economic factors.</w:t>
      </w:r>
    </w:p>
    <w:p>
      <w:pPr>
        <w:spacing w:after="0" w:line="138"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Gross sales to the site-built construction market decreased 28% in 2007 compared to 2006, due to a 14% decrease in unit sales out of existing facilities, a 4% decline due to our decision to exit the Las Vegas framing market, and a 10% decrease in selling prices due to a soft Lumber Market and competitive pricing pressure, particularly in our third and fourth quarters. Single-family housing starts have fallen approximately 29% in 2007 compared to 2006 as a result of an excess supply of homes, tighter credit conditions, and an increase in foreclosures associated with sub-prime lending practices. These decreases were offset by market share gains we have realized in the multi-family and light commercial market and a 1% increase in unit sales due to our acquisitions of Dura-Bilt and Perfection.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89"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Gross sales to the industrial market increased 2% in 2008 compared to 2007, due to an estimated 3% increase in unit sales and an estimated 1% decrease in selling prices. Acquisitions and our continued focus on adding new customers, including concrete forming, helped us mitigate the effect of a decline in sales to certain customers that supply the housing market or have been impacted by the weakening U.S. economy.</w:t>
      </w:r>
    </w:p>
    <w:p>
      <w:pPr>
        <w:spacing w:after="0" w:line="146"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Gross sales to the industrial market increased 8% in 2007 compared to 2006, due to an 8% increase in units shipped offset by a slight decrease in selling prices. Our acquisitions of United and Aljoma and our continued focus on adding new customers, including concrete forming, helped us mitigate the effect of a decline in sales to certain customers that supply the housing market.</w:t>
      </w:r>
    </w:p>
    <w:p>
      <w:pPr>
        <w:spacing w:after="0" w:line="200" w:lineRule="exact"/>
        <w:rPr>
          <w:sz w:val="20"/>
          <w:szCs w:val="20"/>
          <w:color w:val="auto"/>
        </w:rPr>
      </w:pPr>
    </w:p>
    <w:p>
      <w:pPr>
        <w:spacing w:after="0" w:line="35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Manufactured Housing:</w:t>
      </w:r>
    </w:p>
    <w:p>
      <w:pPr>
        <w:spacing w:after="0" w:line="202"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Gross sales to the manufactured housing market decreased 23% in 2008 compared to 2007, due to an estimated 21% decrease in unit sales and an estimated 2% decrease in selling prices due to the Lumber Market. Our decline in unit sales from existing facilities was the result of an overall decline in industry production. The industry most recently reported a 14% decrease in HUD code production in 2008, while modular production was off a reported 28%.</w:t>
      </w:r>
    </w:p>
    <w:p>
      <w:pPr>
        <w:spacing w:after="0" w:line="146"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Gross sales to the manufactured housing market increased 3% in 2007 compared to 2006, due to a 9% increase in unit sales offset by a 6% decrease in selling prices primarily due to a soft Lumber Market. We estimate that our unit sales increased 21% as a result of acquiring Banks, while unit sales from existing and closed facilities decreased 12% due to the continued decline in industry production.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the periods indicated, our percentage of value-added and commodity-based sales to total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Value-Added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Commodity-Based</w:t>
            </w:r>
          </w:p>
        </w:tc>
      </w:tr>
      <w:tr>
        <w:trPr>
          <w:trHeight w:val="20"/>
        </w:trPr>
        <w:tc>
          <w:tcPr>
            <w:tcW w:w="6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jc w:val="right"/>
              <w:ind w:right="5970"/>
              <w:spacing w:after="0"/>
              <w:rPr>
                <w:sz w:val="20"/>
                <w:szCs w:val="20"/>
                <w:color w:val="auto"/>
              </w:rPr>
            </w:pPr>
            <w:r>
              <w:rPr>
                <w:rFonts w:ascii="Arial" w:cs="Arial" w:eastAsia="Arial" w:hAnsi="Arial"/>
                <w:sz w:val="18"/>
                <w:szCs w:val="18"/>
                <w:color w:val="auto"/>
                <w:w w:val="84"/>
              </w:rPr>
              <w:t>2008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r>
      <w:tr>
        <w:trPr>
          <w:trHeight w:val="216"/>
        </w:trPr>
        <w:tc>
          <w:tcPr>
            <w:tcW w:w="6420" w:type="dxa"/>
            <w:vAlign w:val="bottom"/>
          </w:tcPr>
          <w:p>
            <w:pPr>
              <w:jc w:val="right"/>
              <w:ind w:right="5970"/>
              <w:spacing w:after="0"/>
              <w:rPr>
                <w:sz w:val="20"/>
                <w:szCs w:val="20"/>
                <w:color w:val="auto"/>
              </w:rPr>
            </w:pPr>
            <w:r>
              <w:rPr>
                <w:rFonts w:ascii="Arial" w:cs="Arial" w:eastAsia="Arial" w:hAnsi="Arial"/>
                <w:sz w:val="18"/>
                <w:szCs w:val="18"/>
                <w:color w:val="auto"/>
                <w:w w:val="84"/>
              </w:rPr>
              <w:t>2007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r>
      <w:tr>
        <w:trPr>
          <w:trHeight w:val="216"/>
        </w:trPr>
        <w:tc>
          <w:tcPr>
            <w:tcW w:w="6420" w:type="dxa"/>
            <w:vAlign w:val="bottom"/>
            <w:shd w:val="clear" w:color="auto" w:fill="CCEEFF"/>
          </w:tcPr>
          <w:p>
            <w:pPr>
              <w:jc w:val="right"/>
              <w:ind w:right="5970"/>
              <w:spacing w:after="0"/>
              <w:rPr>
                <w:sz w:val="20"/>
                <w:szCs w:val="20"/>
                <w:color w:val="auto"/>
              </w:rPr>
            </w:pPr>
            <w:r>
              <w:rPr>
                <w:rFonts w:ascii="Arial" w:cs="Arial" w:eastAsia="Arial" w:hAnsi="Arial"/>
                <w:sz w:val="18"/>
                <w:szCs w:val="18"/>
                <w:color w:val="auto"/>
                <w:w w:val="84"/>
              </w:rPr>
              <w:t>2006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r>
    </w:tbl>
    <w:p>
      <w:pPr>
        <w:spacing w:after="0" w:line="161"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Value-added sales decreased 11% in 2008 compared to 2007, primarily due to decreased sales of trusses, engineered wood products, wall panels, and manufactured brite and other lumber, offset partially by increases in sales of industrial packaging and related components. Commodity-based sales decreased 11% in 2008 compared to 2007, primarily due to decreased sales of non-manufactured brite and other lumber and non-manufactured treated lumber. See Notes to Consolidated Financial Statements, Note P, “Segment Reporting.”</w:t>
      </w:r>
    </w:p>
    <w:p>
      <w:pPr>
        <w:spacing w:after="0" w:line="148"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Value-added sales decreased 9% in 2007 compared to 2006, primarily due to decreased sales of trusses, turn-key framing packages, and wall panels, offset partially by increased sales of fencing and lattice sold to the DIY/retail market. Commodity-based sales remained flat in 2007 compared to 2006 in spite of difficult market conditions primarily due to our acquisitions of Aljoma and Banks.</w:t>
      </w: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3" w:name="page34"/>
    <w:bookmarkEnd w:id="33"/>
    <w:p>
      <w:pPr>
        <w:ind w:left="8"/>
        <w:spacing w:after="0"/>
        <w:rPr>
          <w:sz w:val="20"/>
          <w:szCs w:val="20"/>
          <w:color w:val="auto"/>
        </w:rPr>
      </w:pPr>
      <w:r>
        <w:rPr>
          <w:rFonts w:ascii="Arial" w:cs="Arial" w:eastAsia="Arial" w:hAnsi="Arial"/>
          <w:sz w:val="18"/>
          <w:szCs w:val="18"/>
          <w:b w:val="1"/>
          <w:bCs w:val="1"/>
          <w:color w:val="auto"/>
        </w:rPr>
        <w:t>COST OF GOODS SOLD AND GROSS PROFIT</w:t>
      </w:r>
    </w:p>
    <w:p>
      <w:pPr>
        <w:spacing w:after="0" w:line="202"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Our gross profit percentage decreased to 11.4% in 2008 from 12.3% in 2007 and gross profit dollars decreased 17.7% in 2008 compared to 2007. The decline in profitability was primarily due to a combination of:</w:t>
      </w:r>
    </w:p>
    <w:p>
      <w:pPr>
        <w:spacing w:after="0" w:line="130" w:lineRule="exact"/>
        <w:rPr>
          <w:sz w:val="20"/>
          <w:szCs w:val="20"/>
          <w:color w:val="auto"/>
        </w:rPr>
      </w:pPr>
    </w:p>
    <w:p>
      <w:pPr>
        <w:ind w:left="348" w:hanging="348"/>
        <w:spacing w:after="0"/>
        <w:tabs>
          <w:tab w:leader="none" w:pos="348"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Price pressure in all of our markets but particularly in our site-built construction market.</w:t>
      </w:r>
    </w:p>
    <w:p>
      <w:pPr>
        <w:spacing w:after="0" w:line="184" w:lineRule="exact"/>
        <w:rPr>
          <w:rFonts w:ascii="Arial" w:cs="Arial" w:eastAsia="Arial" w:hAnsi="Arial"/>
          <w:sz w:val="18"/>
          <w:szCs w:val="18"/>
          <w:b w:val="1"/>
          <w:bCs w:val="1"/>
          <w:color w:val="auto"/>
        </w:rPr>
      </w:pPr>
    </w:p>
    <w:p>
      <w:pPr>
        <w:ind w:left="348" w:hanging="348"/>
        <w:spacing w:after="0"/>
        <w:tabs>
          <w:tab w:leader="none" w:pos="348"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 significant increase in fuel and other transportation costs in the second and third quarter of 2008.</w:t>
      </w:r>
    </w:p>
    <w:p>
      <w:pPr>
        <w:spacing w:after="0" w:line="198" w:lineRule="exact"/>
        <w:rPr>
          <w:rFonts w:ascii="Arial" w:cs="Arial" w:eastAsia="Arial" w:hAnsi="Arial"/>
          <w:sz w:val="18"/>
          <w:szCs w:val="18"/>
          <w:b w:val="1"/>
          <w:bCs w:val="1"/>
          <w:color w:val="auto"/>
        </w:rPr>
      </w:pPr>
    </w:p>
    <w:p>
      <w:pPr>
        <w:ind w:left="348" w:hanging="348"/>
        <w:spacing w:after="0"/>
        <w:tabs>
          <w:tab w:leader="none" w:pos="348"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Missed buying opportunities as a result of stocking lower levels of lumber inventory.</w:t>
      </w:r>
    </w:p>
    <w:p>
      <w:pPr>
        <w:spacing w:after="0" w:line="184" w:lineRule="exact"/>
        <w:rPr>
          <w:rFonts w:ascii="Arial" w:cs="Arial" w:eastAsia="Arial" w:hAnsi="Arial"/>
          <w:sz w:val="18"/>
          <w:szCs w:val="18"/>
          <w:b w:val="1"/>
          <w:bCs w:val="1"/>
          <w:color w:val="auto"/>
        </w:rPr>
      </w:pPr>
    </w:p>
    <w:p>
      <w:pPr>
        <w:ind w:left="348" w:hanging="348"/>
        <w:spacing w:after="0"/>
        <w:tabs>
          <w:tab w:leader="none" w:pos="348"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Cost inefficiencies as a result of lower volumes combined with fixed manufacturing costs.</w:t>
      </w:r>
    </w:p>
    <w:p>
      <w:pPr>
        <w:spacing w:after="0" w:line="185"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Our gross profit percentage decreased to 12.3% in 2007 from 14.3% in 2006 and gross profit dollars decreased 19% in 2007 compared to 2006. The decline in profitability was primarily due to a combination of:</w:t>
      </w:r>
    </w:p>
    <w:p>
      <w:pPr>
        <w:spacing w:after="0" w:line="143" w:lineRule="exact"/>
        <w:rPr>
          <w:sz w:val="20"/>
          <w:szCs w:val="20"/>
          <w:color w:val="auto"/>
        </w:rPr>
      </w:pPr>
    </w:p>
    <w:p>
      <w:pPr>
        <w:ind w:left="348" w:right="559" w:hanging="348"/>
        <w:spacing w:after="0" w:line="277" w:lineRule="auto"/>
        <w:tabs>
          <w:tab w:leader="none" w:pos="348"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Increased pricing pressure on sales to the site-built construction market due to the overall decline in market demand and excess capacity of suppliers.</w:t>
      </w:r>
    </w:p>
    <w:p>
      <w:pPr>
        <w:spacing w:after="0" w:line="129" w:lineRule="exact"/>
        <w:rPr>
          <w:rFonts w:ascii="Arial" w:cs="Arial" w:eastAsia="Arial" w:hAnsi="Arial"/>
          <w:sz w:val="18"/>
          <w:szCs w:val="18"/>
          <w:b w:val="1"/>
          <w:bCs w:val="1"/>
          <w:color w:val="auto"/>
        </w:rPr>
      </w:pPr>
    </w:p>
    <w:p>
      <w:pPr>
        <w:ind w:left="348" w:hanging="348"/>
        <w:spacing w:after="0"/>
        <w:tabs>
          <w:tab w:leader="none" w:pos="348"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Cost inefficiencies as a result of the impact of decreased unit sales out of existing facilities and fixed manufacturing costs.</w:t>
      </w:r>
    </w:p>
    <w:p>
      <w:pPr>
        <w:spacing w:after="0" w:line="207" w:lineRule="exact"/>
        <w:rPr>
          <w:rFonts w:ascii="Arial" w:cs="Arial" w:eastAsia="Arial" w:hAnsi="Arial"/>
          <w:sz w:val="16"/>
          <w:szCs w:val="16"/>
          <w:b w:val="1"/>
          <w:bCs w:val="1"/>
          <w:color w:val="auto"/>
        </w:rPr>
      </w:pPr>
    </w:p>
    <w:p>
      <w:pPr>
        <w:ind w:left="348" w:hanging="348"/>
        <w:spacing w:after="0"/>
        <w:tabs>
          <w:tab w:leader="none" w:pos="348"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Sales incentives offered to customers to gain market share.</w:t>
      </w:r>
    </w:p>
    <w:p>
      <w:pPr>
        <w:spacing w:after="0" w:line="198"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 change in sales mix whereby historically higher margin engineered wood components sold to site-built construction customers comprised a lower percentage of our sales.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8" w:right="559"/>
        <w:spacing w:after="0" w:line="272" w:lineRule="auto"/>
        <w:rPr>
          <w:sz w:val="20"/>
          <w:szCs w:val="20"/>
          <w:color w:val="auto"/>
        </w:rPr>
      </w:pPr>
      <w:r>
        <w:rPr>
          <w:rFonts w:ascii="Arial" w:cs="Arial" w:eastAsia="Arial" w:hAnsi="Arial"/>
          <w:sz w:val="17"/>
          <w:szCs w:val="17"/>
          <w:color w:val="auto"/>
        </w:rPr>
        <w:t>Selling, general and administrative (“SG&amp;A”) expenses decreased by approximately $18.8 million, or 7.6%, in 2008, while we reported a 9% decrease in unit sales. Existing facilities decreased SG&amp;A expenses by approximately $2.6 million, operations we closed decreased expenses approximately $20.9 million, and business acquisitions added $4.7 million in expenses. The decrease in SG&amp;A expenses in our existing facilities was primarily due to a decline in wages and related benefits due to a reduction in headcount and a reduction in bonus and other performance related compensation. These decreases were partially offset by an increase in bad debt expense. We believe our cost reduction efforts will continue to drive down our costs and will have a more significant impact in future reporting periods.</w:t>
      </w:r>
    </w:p>
    <w:p>
      <w:pPr>
        <w:spacing w:after="0" w:line="151"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SG&amp;A expenses decreased by approximately $10.4 million, or 4%, in 2007. Existing facilities and operations we closed had the effect of decreasing our SG&amp;A expenses approximately $17.4 million, while business acquisitions added $7.0 million to our costs. The cost decrease in our existing facilities was primarily due to a decline in accrued bonus expense, which is tied to operating profits and return on investment.</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NET LOSS ON DISPOSITION OF ASSETS AND OTHER IMPAIRMENT AND EXIT CHARGES</w:t>
      </w:r>
    </w:p>
    <w:p>
      <w:pPr>
        <w:spacing w:after="0" w:line="189"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We incurred $7.2 million and $8.2 million of asset impairments and other costs associated with idled facilities and downsizing efforts in 2008 and 2007, respectively. We believe these actions will improve our cost structure, profitability and cash flow. See Notes to Consolidated Financial Statements, Note C, “Assets Held for Sale and Net Loss on Disposition of Assets and Other Impairment and Exit Charges.”</w:t>
      </w:r>
    </w:p>
    <w:p>
      <w:pPr>
        <w:spacing w:after="0" w:line="200" w:lineRule="exact"/>
        <w:rPr>
          <w:sz w:val="20"/>
          <w:szCs w:val="20"/>
          <w:color w:val="auto"/>
        </w:rPr>
      </w:pPr>
    </w:p>
    <w:p>
      <w:pPr>
        <w:spacing w:after="0" w:line="352"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INTEREST, NET</w:t>
      </w:r>
    </w:p>
    <w:p>
      <w:pPr>
        <w:spacing w:after="0" w:line="202"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Net interest costs were lower in 2008 compared to 2007 due to lower debt balances combined with a decrease in short-term interest rates.</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Net interest costs were higher in 2007 compared to 2006 primarily due to an increase in borrowings on the revolving credit facility as a result of acquisitions.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decreased to 23.6% in 2008 compared to 39.9% in 2007. This year’s rate was favorably impacted by certain state income tax credits we expect to receive and the impact of other permanent tax differences on substantially lower pretax income. See Notes to Consolidated Financial Statements, Note L, “Income Taxes”.</w:t>
      </w:r>
    </w:p>
    <w:p>
      <w:pPr>
        <w:spacing w:after="0" w:line="131" w:lineRule="exact"/>
        <w:rPr>
          <w:sz w:val="20"/>
          <w:szCs w:val="20"/>
          <w:color w:val="auto"/>
        </w:rPr>
      </w:pPr>
    </w:p>
    <w:p>
      <w:pPr>
        <w:jc w:val="both"/>
        <w:ind w:right="559"/>
        <w:spacing w:after="0" w:line="308" w:lineRule="auto"/>
        <w:rPr>
          <w:sz w:val="20"/>
          <w:szCs w:val="20"/>
          <w:color w:val="auto"/>
        </w:rPr>
      </w:pPr>
      <w:r>
        <w:rPr>
          <w:rFonts w:ascii="Arial" w:cs="Arial" w:eastAsia="Arial" w:hAnsi="Arial"/>
          <w:sz w:val="17"/>
          <w:szCs w:val="17"/>
          <w:color w:val="auto"/>
        </w:rPr>
        <w:t>Our effective tax rate increased to 39.9% in 2007 compared to 34.6% in 2006 primarily due to the impairment charge we recorded for property, plant and equipment for our Canadian subsidiary, for which we recorded no related tax benefit.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 AND CONTRACTUAL OBLIGATIONS</w:t>
      </w:r>
    </w:p>
    <w:p>
      <w:pPr>
        <w:spacing w:after="0" w:line="202"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We have no significant off-balance sheet transactions other than operating leases. The following table summarizes our contractual obligations as of December 27, 2008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Payments Due by Period</w:t>
            </w: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500"/>
              <w:spacing w:after="0" w:line="195" w:lineRule="exact"/>
              <w:rPr>
                <w:sz w:val="20"/>
                <w:szCs w:val="20"/>
                <w:color w:val="auto"/>
              </w:rPr>
            </w:pPr>
            <w:r>
              <w:rPr>
                <w:rFonts w:ascii="Arial" w:cs="Arial" w:eastAsia="Arial" w:hAnsi="Arial"/>
                <w:sz w:val="18"/>
                <w:szCs w:val="18"/>
                <w:color w:val="auto"/>
                <w:w w:val="87"/>
              </w:rPr>
              <w:t>Less than</w:t>
            </w:r>
          </w:p>
        </w:tc>
        <w:tc>
          <w:tcPr>
            <w:tcW w:w="180" w:type="dxa"/>
            <w:vAlign w:val="bottom"/>
          </w:tcPr>
          <w:p>
            <w:pPr>
              <w:spacing w:after="0"/>
              <w:rPr>
                <w:sz w:val="16"/>
                <w:szCs w:val="16"/>
                <w:color w:val="auto"/>
              </w:rPr>
            </w:pPr>
          </w:p>
        </w:tc>
        <w:tc>
          <w:tcPr>
            <w:tcW w:w="1140" w:type="dxa"/>
            <w:vAlign w:val="bottom"/>
            <w:gridSpan w:val="2"/>
          </w:tcPr>
          <w:p>
            <w:pPr>
              <w:jc w:val="right"/>
              <w:ind w:right="660"/>
              <w:spacing w:after="0" w:line="195" w:lineRule="exact"/>
              <w:rPr>
                <w:sz w:val="20"/>
                <w:szCs w:val="20"/>
                <w:color w:val="auto"/>
              </w:rPr>
            </w:pPr>
            <w:r>
              <w:rPr>
                <w:rFonts w:ascii="Arial" w:cs="Arial" w:eastAsia="Arial" w:hAnsi="Arial"/>
                <w:sz w:val="18"/>
                <w:szCs w:val="18"/>
                <w:color w:val="auto"/>
              </w:rPr>
              <w:t>1 – 3</w:t>
            </w:r>
          </w:p>
        </w:tc>
        <w:tc>
          <w:tcPr>
            <w:tcW w:w="180" w:type="dxa"/>
            <w:vAlign w:val="bottom"/>
          </w:tcPr>
          <w:p>
            <w:pPr>
              <w:spacing w:after="0"/>
              <w:rPr>
                <w:sz w:val="16"/>
                <w:szCs w:val="16"/>
                <w:color w:val="auto"/>
              </w:rPr>
            </w:pPr>
          </w:p>
        </w:tc>
        <w:tc>
          <w:tcPr>
            <w:tcW w:w="110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3 – 5</w:t>
            </w:r>
          </w:p>
        </w:tc>
        <w:tc>
          <w:tcPr>
            <w:tcW w:w="160" w:type="dxa"/>
            <w:vAlign w:val="bottom"/>
          </w:tcPr>
          <w:p>
            <w:pPr>
              <w:spacing w:after="0"/>
              <w:rPr>
                <w:sz w:val="16"/>
                <w:szCs w:val="16"/>
                <w:color w:val="auto"/>
              </w:rPr>
            </w:pPr>
          </w:p>
        </w:tc>
        <w:tc>
          <w:tcPr>
            <w:tcW w:w="1140" w:type="dxa"/>
            <w:vAlign w:val="bottom"/>
            <w:gridSpan w:val="2"/>
          </w:tcPr>
          <w:p>
            <w:pPr>
              <w:jc w:val="center"/>
              <w:ind w:right="520"/>
              <w:spacing w:after="0" w:line="195" w:lineRule="exact"/>
              <w:rPr>
                <w:sz w:val="20"/>
                <w:szCs w:val="20"/>
                <w:color w:val="auto"/>
              </w:rPr>
            </w:pPr>
            <w:r>
              <w:rPr>
                <w:rFonts w:ascii="Arial" w:cs="Arial" w:eastAsia="Arial" w:hAnsi="Arial"/>
                <w:sz w:val="18"/>
                <w:szCs w:val="18"/>
                <w:color w:val="auto"/>
                <w:w w:val="99"/>
              </w:rPr>
              <w:t>After</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Contractual Obligation</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1 Year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Years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Years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5 Years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195"/>
        </w:trPr>
        <w:tc>
          <w:tcPr>
            <w:tcW w:w="3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Long-term debt and capital lease</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101,174</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Estimated interest on long-term debt</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3,836</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5,917</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3,110</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1,664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14,527</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13,976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17,931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39,000</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Capital project purchase obligations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890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890</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155,591</w:t>
            </w: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As of December 27, 2008, we also had $32.2 million in outstanding letters of credit issued during the normal course of business, as required by some vendor contracts.</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900" w:type="dxa"/>
            <w:vAlign w:val="bottom"/>
            <w:gridSpan w:val="7"/>
          </w:tcPr>
          <w:p>
            <w:pPr>
              <w:ind w:left="2960"/>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3400" w:type="dxa"/>
            <w:vAlign w:val="bottom"/>
            <w:gridSpan w:val="3"/>
            <w:shd w:val="clear" w:color="auto" w:fill="000000"/>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8240" w:type="dxa"/>
            <w:vAlign w:val="bottom"/>
            <w:gridSpan w:val="10"/>
          </w:tcPr>
          <w:p>
            <w:pPr>
              <w:spacing w:after="0"/>
              <w:rPr>
                <w:sz w:val="20"/>
                <w:szCs w:val="20"/>
                <w:color w:val="auto"/>
              </w:rPr>
            </w:pPr>
            <w:r>
              <w:rPr>
                <w:rFonts w:ascii="Arial" w:cs="Arial" w:eastAsia="Arial" w:hAnsi="Arial"/>
                <w:sz w:val="18"/>
                <w:szCs w:val="18"/>
                <w:color w:val="auto"/>
                <w:w w:val="97"/>
              </w:rPr>
              <w:t>The table below presents, for the periods indicated, a summary of our cash flow statement (in thousands):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29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8"/>
                <w:szCs w:val="18"/>
                <w:color w:val="auto"/>
              </w:rPr>
              <w:t>December 27,</w:t>
            </w:r>
          </w:p>
        </w:tc>
        <w:tc>
          <w:tcPr>
            <w:tcW w:w="1340" w:type="dxa"/>
            <w:vAlign w:val="bottom"/>
            <w:gridSpan w:val="3"/>
          </w:tcPr>
          <w:p>
            <w:pPr>
              <w:spacing w:after="0"/>
              <w:rPr>
                <w:sz w:val="20"/>
                <w:szCs w:val="20"/>
                <w:color w:val="auto"/>
              </w:rPr>
            </w:pPr>
            <w:r>
              <w:rPr>
                <w:rFonts w:ascii="Arial" w:cs="Arial" w:eastAsia="Arial" w:hAnsi="Arial"/>
                <w:sz w:val="18"/>
                <w:szCs w:val="18"/>
                <w:color w:val="auto"/>
              </w:rPr>
              <w:t>December 29,</w:t>
            </w:r>
          </w:p>
        </w:tc>
        <w:tc>
          <w:tcPr>
            <w:tcW w:w="1080" w:type="dxa"/>
            <w:vAlign w:val="bottom"/>
            <w:gridSpan w:val="3"/>
          </w:tcPr>
          <w:p>
            <w:pPr>
              <w:spacing w:after="0"/>
              <w:rPr>
                <w:sz w:val="20"/>
                <w:szCs w:val="20"/>
                <w:color w:val="auto"/>
              </w:rPr>
            </w:pPr>
            <w:r>
              <w:rPr>
                <w:rFonts w:ascii="Arial" w:cs="Arial" w:eastAsia="Arial" w:hAnsi="Arial"/>
                <w:sz w:val="18"/>
                <w:szCs w:val="18"/>
                <w:color w:val="auto"/>
                <w:w w:val="93"/>
              </w:rPr>
              <w:t>December 30,</w:t>
            </w:r>
          </w:p>
        </w:tc>
      </w:tr>
      <w:tr>
        <w:trPr>
          <w:trHeight w:val="230"/>
        </w:trPr>
        <w:tc>
          <w:tcPr>
            <w:tcW w:w="29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2008</w:t>
            </w: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88,551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87,078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152,322</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Cash from investing activities</w:t>
            </w:r>
          </w:p>
        </w:tc>
        <w:tc>
          <w:tcPr>
            <w:tcW w:w="200" w:type="dxa"/>
            <w:vAlign w:val="bottom"/>
          </w:tcPr>
          <w:p>
            <w:pPr>
              <w:spacing w:after="0"/>
              <w:rPr>
                <w:sz w:val="18"/>
                <w:szCs w:val="18"/>
                <w:color w:val="auto"/>
              </w:rPr>
            </w:pPr>
          </w:p>
        </w:tc>
        <w:tc>
          <w:tcPr>
            <w:tcW w:w="1160" w:type="dxa"/>
            <w:vAlign w:val="bottom"/>
            <w:gridSpan w:val="4"/>
          </w:tcPr>
          <w:p>
            <w:pPr>
              <w:jc w:val="right"/>
              <w:ind w:right="300"/>
              <w:spacing w:after="0"/>
              <w:rPr>
                <w:sz w:val="20"/>
                <w:szCs w:val="20"/>
                <w:color w:val="auto"/>
              </w:rPr>
            </w:pPr>
            <w:r>
              <w:rPr>
                <w:rFonts w:ascii="Arial" w:cs="Arial" w:eastAsia="Arial" w:hAnsi="Arial"/>
                <w:sz w:val="18"/>
                <w:szCs w:val="18"/>
                <w:color w:val="auto"/>
              </w:rPr>
              <w:t>(11,367)</w:t>
            </w: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(91,971)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(111,705)</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(107,452)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(35,724)</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(30,268)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(7,503)</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80" w:type="dxa"/>
            <w:vAlign w:val="bottom"/>
          </w:tcPr>
          <w:p>
            <w:pPr>
              <w:spacing w:after="0"/>
              <w:rPr>
                <w:sz w:val="19"/>
                <w:szCs w:val="19"/>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43,605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51,108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46,215</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13,337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43,605</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51,108</w:t>
            </w:r>
          </w:p>
        </w:tc>
        <w:tc>
          <w:tcPr>
            <w:tcW w:w="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In general, we financed our growth in the past through a combination of operating cash flows, our revolving credit facility, industrial development bonds (when circumstances permit), and issuances of long-term notes payable at times when interest rates are favorable. We have not issued equity to finance our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 We are currently below our internal targets and plan to manage our capital structure conservatively in light of current economic conditions.</w:t>
      </w:r>
    </w:p>
    <w:p>
      <w:pPr>
        <w:spacing w:after="0" w:line="137" w:lineRule="exact"/>
        <w:rPr>
          <w:sz w:val="20"/>
          <w:szCs w:val="20"/>
          <w:color w:val="auto"/>
        </w:rPr>
      </w:pPr>
    </w:p>
    <w:p>
      <w:pPr>
        <w:jc w:val="both"/>
        <w:ind w:right="559"/>
        <w:spacing w:after="0" w:line="312" w:lineRule="auto"/>
        <w:rPr>
          <w:sz w:val="20"/>
          <w:szCs w:val="20"/>
          <w:color w:val="auto"/>
        </w:rPr>
      </w:pPr>
      <w:r>
        <w:rPr>
          <w:rFonts w:ascii="Arial" w:cs="Arial" w:eastAsia="Arial" w:hAnsi="Arial"/>
          <w:sz w:val="16"/>
          <w:szCs w:val="16"/>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results in significant cash flow from operations in our third and fourth quarters.</w:t>
      </w:r>
    </w:p>
    <w:p>
      <w:pPr>
        <w:spacing w:after="0" w:line="120"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sales outstanding plus days supply of inventory less days payables outstanding) is a good indicator of our working capital management. Our cash cycle (excluding the impact of our sale of receivables program) increased to 46 days in 2008 from 45 days in 2007 due to a one day increase in our days of sales outstanding as a one day decrease in our days supply of inventory was offset by a one day decrease in our days of payables outstanding. The increase in our days of sales outstanding was primarily due to slower payments with certain site-built and industrial customers.</w:t>
      </w:r>
    </w:p>
    <w:p>
      <w:pPr>
        <w:spacing w:after="0" w:line="153"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Cash from operating activities was approximately $89 million in 2008. Our net earnings of $4.3 million included $48.3 million of non-cash expenses and a $35.9 million decrease in working capital. Working capital decreased primarily due to a decline in sales which caused a reduction in our inventory and receivables, offset by the effect of terminating of our sales of receivables program at the end of September 2008. Terminating this program resulted in an operating cash outflow of $27 million in 2008. Our sales of receivables program was terminated on September 26, 2008, due to the downgrade of the credit rating of certain customers whose receivables were part of this program. This downgrade triggered a re-pricing of the program under the terms of the agreement which made this program a less favorable source of liquidity.</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36" w:name="page37"/>
    <w:bookmarkEnd w:id="36"/>
    <w:p>
      <w:pPr>
        <w:jc w:val="both"/>
        <w:ind w:right="559"/>
        <w:spacing w:after="0" w:line="254" w:lineRule="auto"/>
        <w:rPr>
          <w:sz w:val="20"/>
          <w:szCs w:val="20"/>
          <w:color w:val="auto"/>
        </w:rPr>
      </w:pPr>
      <w:r>
        <w:rPr>
          <w:rFonts w:ascii="Arial" w:cs="Arial" w:eastAsia="Arial" w:hAnsi="Arial"/>
          <w:sz w:val="18"/>
          <w:szCs w:val="18"/>
          <w:color w:val="auto"/>
        </w:rPr>
        <w:t>We made the decision to limit our investing activities in 2008 and make debt repayment our first priority for use of our operating cash flows. As a result, cash used for investing activities decreased by approximately $81 million. Our proceeds from the sale of property, plant and equipment was approximately $30 million consisting primarily of vacant land we owned as a result of our acquisition of Aljoma in 2007 and certain plants we previously closed for which we had no future use. (See Notes to Consolidated Financial Statements, Note C, “Assets Held for Sale and Net Loss on Disposition of Assets and Other Impairment and Exit Charges”.) Amounts spent for business acquisitions totaled approximately $23 million. (See Notes to Consolidated Financial Statements, Note B, “Business Combinations”.) Finally, we curtailed our capital expenditures and spent approximately $19 million in 2008.</w:t>
      </w:r>
    </w:p>
    <w:p>
      <w:pPr>
        <w:spacing w:after="0" w:line="165"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On December 27, 2008, we had approximately $30 million outstanding on our $300 million revolving credit facility. The revolving credit facility supports letters of credit totaling approximately $29.7 million on December 27, 2008.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December 27, 2008. If our profitability declines in the future it may adversely impact our ability to meet certain of these loan covenants without further action on our part. Management will evaluate what, if any, action or actions may be available to resolve any future non-compliance. A possible consequence of non-compliance may include an adjustment to increase our interest rates to reflect current market conditions.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CONSIDERATIONS AND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N, “Commitments, Contingencies, and Guarantees”.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89"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ALLOWANCES</w:t>
      </w:r>
    </w:p>
    <w:p>
      <w:pPr>
        <w:spacing w:after="0" w:line="202" w:lineRule="exact"/>
        <w:rPr>
          <w:sz w:val="20"/>
          <w:szCs w:val="20"/>
          <w:color w:val="auto"/>
        </w:rPr>
      </w:pPr>
    </w:p>
    <w:p>
      <w:pPr>
        <w:jc w:val="both"/>
        <w:ind w:right="559"/>
        <w:spacing w:after="0" w:line="276" w:lineRule="auto"/>
        <w:rPr>
          <w:sz w:val="20"/>
          <w:szCs w:val="20"/>
          <w:color w:val="auto"/>
        </w:rPr>
      </w:pPr>
      <w:r>
        <w:rPr>
          <w:rFonts w:ascii="Arial" w:cs="Arial" w:eastAsia="Arial" w:hAnsi="Arial"/>
          <w:sz w:val="17"/>
          <w:szCs w:val="17"/>
          <w:color w:val="auto"/>
        </w:rPr>
        <w:t>We record provisions against gross revenues for estimated returns and cash discounts in the period when the related revenue is recorded. These estimates are based on factors that include, but are not limited to, historical discounts taken, analysis of credit memorandum activity, and customer demand. We also evaluate the allowance for uncollectible accounts receivable and discounts based on historical collection experience and specific identification of other potential problems, including the economic climate. Actual collections can differ, requiring adjustments to the allowances.</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7" w:name="page38"/>
    <w:bookmarkEnd w:id="37"/>
    <w:p>
      <w:pPr>
        <w:ind w:left="8"/>
        <w:spacing w:after="0"/>
        <w:rPr>
          <w:sz w:val="20"/>
          <w:szCs w:val="20"/>
          <w:color w:val="auto"/>
        </w:rPr>
      </w:pPr>
      <w:r>
        <w:rPr>
          <w:rFonts w:ascii="Arial" w:cs="Arial" w:eastAsia="Arial" w:hAnsi="Arial"/>
          <w:sz w:val="18"/>
          <w:szCs w:val="18"/>
          <w:b w:val="1"/>
          <w:bCs w:val="1"/>
          <w:color w:val="auto"/>
        </w:rPr>
        <w:t>SELF-INSURANCE RESERVES</w:t>
      </w:r>
    </w:p>
    <w:p>
      <w:pPr>
        <w:spacing w:after="0" w:line="202" w:lineRule="exact"/>
        <w:rPr>
          <w:sz w:val="20"/>
          <w:szCs w:val="20"/>
          <w:color w:val="auto"/>
        </w:rPr>
      </w:pPr>
    </w:p>
    <w:p>
      <w:pPr>
        <w:jc w:val="both"/>
        <w:ind w:left="8" w:right="559"/>
        <w:spacing w:after="0" w:line="276"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 wholly-owned insurance captive; the related assets and liabilities of which are included in the consolidated financial statements as of December 27, 2008. Our accounting policies with respect to the reserves are as follows:</w:t>
      </w:r>
    </w:p>
    <w:p>
      <w:pPr>
        <w:spacing w:after="0" w:line="132" w:lineRule="exact"/>
        <w:rPr>
          <w:sz w:val="20"/>
          <w:szCs w:val="20"/>
          <w:color w:val="auto"/>
        </w:rPr>
      </w:pPr>
    </w:p>
    <w:p>
      <w:pPr>
        <w:ind w:left="348" w:right="559" w:hanging="348"/>
        <w:spacing w:after="0" w:line="277" w:lineRule="auto"/>
        <w:tabs>
          <w:tab w:leader="none" w:pos="348"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General liability, automobile, workers’ compensation reserves are accrued based on third party actuarial valuations of the expected future liabilities.</w:t>
      </w:r>
    </w:p>
    <w:p>
      <w:pPr>
        <w:spacing w:after="0" w:line="102"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Health benefits are self-insured by us up to our pre-determined stop loss limits. These reserves, including incurred but not reported claims, are based on internal computations. These computations consider our historical claims experience, independent statistics, and trends.</w:t>
      </w:r>
    </w:p>
    <w:p>
      <w:pPr>
        <w:spacing w:after="0" w:line="113" w:lineRule="exact"/>
        <w:rPr>
          <w:rFonts w:ascii="Arial" w:cs="Arial" w:eastAsia="Arial" w:hAnsi="Arial"/>
          <w:sz w:val="18"/>
          <w:szCs w:val="18"/>
          <w:b w:val="1"/>
          <w:bCs w:val="1"/>
          <w:color w:val="auto"/>
        </w:rPr>
      </w:pPr>
    </w:p>
    <w:p>
      <w:pPr>
        <w:jc w:val="both"/>
        <w:ind w:left="348" w:right="559" w:hanging="348"/>
        <w:spacing w:after="0" w:line="259" w:lineRule="auto"/>
        <w:tabs>
          <w:tab w:leader="none" w:pos="348"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environmental reserve is based on known remediation activities at certain wood preservation facilities and the potential for undetected environmental matters at other sites. The reserve for known activities is based on expected future costs and is computed by in-house experts responsible for managing our monitoring and remediation activities. (See “Environmental Considerations and Regulations.”)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jc w:val="both"/>
        <w:ind w:left="8" w:right="559"/>
        <w:spacing w:after="0" w:line="270" w:lineRule="auto"/>
        <w:rPr>
          <w:sz w:val="20"/>
          <w:szCs w:val="20"/>
          <w:color w:val="auto"/>
        </w:rPr>
      </w:pPr>
      <w:r>
        <w:rPr>
          <w:rFonts w:ascii="Arial" w:cs="Arial" w:eastAsia="Arial" w:hAnsi="Arial"/>
          <w:sz w:val="17"/>
          <w:szCs w:val="17"/>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LONG-LIVED ASSETS AND GOODWILL</w:t>
      </w:r>
    </w:p>
    <w:p>
      <w:pPr>
        <w:spacing w:after="0" w:line="189" w:lineRule="exact"/>
        <w:rPr>
          <w:sz w:val="20"/>
          <w:szCs w:val="20"/>
          <w:color w:val="auto"/>
        </w:rPr>
      </w:pPr>
    </w:p>
    <w:p>
      <w:pPr>
        <w:jc w:val="both"/>
        <w:ind w:left="8" w:right="559"/>
        <w:spacing w:after="0" w:line="276" w:lineRule="auto"/>
        <w:rPr>
          <w:sz w:val="20"/>
          <w:szCs w:val="20"/>
          <w:color w:val="auto"/>
        </w:rPr>
      </w:pPr>
      <w:r>
        <w:rPr>
          <w:rFonts w:ascii="Arial" w:cs="Arial" w:eastAsia="Arial" w:hAnsi="Arial"/>
          <w:sz w:val="17"/>
          <w:szCs w:val="17"/>
          <w:color w:val="auto"/>
        </w:rPr>
        <w:t>We evaluate long-lived assets for indicators of impairment when events or circumstances indicate that this risk may be present. Our judgments regarding the existence of impairment are based on market conditions, operational performance and estimated future cash flows. If the carrying value of a long-lived asset is considered impaired, an impairment charge is recorded to adjust the asset to its fair value. Changes in forecasted operations and changes in discounted rates can materially affect these estimates. In addition, we test goodwill for impairment by utilizing the discounted cash flow method.</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RECENTLY ISSUED ACCOUNTING STANDARDS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See Notes to Consolidated Financial Statements, Note A, “Summary of Significant Accounting Policies”.</w:t>
      </w:r>
    </w:p>
    <w:p>
      <w:pPr>
        <w:spacing w:after="0" w:line="200" w:lineRule="exact"/>
        <w:rPr>
          <w:sz w:val="20"/>
          <w:szCs w:val="20"/>
          <w:color w:val="auto"/>
        </w:rPr>
      </w:pPr>
    </w:p>
    <w:p>
      <w:pPr>
        <w:spacing w:after="0" w:line="390"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8" w:name="page39"/>
    <w:bookmarkEnd w:id="38"/>
    <w:p>
      <w:pPr>
        <w:jc w:val="center"/>
        <w:ind w:right="551"/>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02" w:lineRule="exact"/>
        <w:rPr>
          <w:sz w:val="20"/>
          <w:szCs w:val="20"/>
          <w:color w:val="auto"/>
        </w:rPr>
      </w:pPr>
    </w:p>
    <w:p>
      <w:pPr>
        <w:jc w:val="both"/>
        <w:ind w:left="8" w:right="559"/>
        <w:spacing w:after="0" w:line="272" w:lineRule="auto"/>
        <w:rPr>
          <w:sz w:val="20"/>
          <w:szCs w:val="20"/>
          <w:color w:val="auto"/>
        </w:rPr>
      </w:pPr>
      <w:r>
        <w:rPr>
          <w:rFonts w:ascii="Arial" w:cs="Arial" w:eastAsia="Arial" w:hAnsi="Arial"/>
          <w:sz w:val="17"/>
          <w:szCs w:val="17"/>
          <w:color w:val="auto"/>
        </w:rPr>
        <w:t>The following section contains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in the “Risk Factors” section of our Annual Report on Form 10-K, filed with the United States Securities and Exchange Commission and certain economic and business factors which may be beyond our control. Investors are cautioned that all forward-looking statements involve risks and uncertainties.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“GO 2010”</w:t>
      </w:r>
    </w:p>
    <w:p>
      <w:pPr>
        <w:spacing w:after="0" w:line="189" w:lineRule="exact"/>
        <w:rPr>
          <w:sz w:val="20"/>
          <w:szCs w:val="20"/>
          <w:color w:val="auto"/>
        </w:rPr>
      </w:pPr>
    </w:p>
    <w:p>
      <w:pPr>
        <w:jc w:val="both"/>
        <w:ind w:left="8" w:right="559"/>
        <w:spacing w:after="0" w:line="297" w:lineRule="auto"/>
        <w:rPr>
          <w:sz w:val="20"/>
          <w:szCs w:val="20"/>
          <w:color w:val="auto"/>
        </w:rPr>
      </w:pPr>
      <w:r>
        <w:rPr>
          <w:rFonts w:ascii="Arial" w:cs="Arial" w:eastAsia="Arial" w:hAnsi="Arial"/>
          <w:sz w:val="16"/>
          <w:szCs w:val="16"/>
          <w:color w:val="auto"/>
        </w:rPr>
        <w:t>Since we announced our Growth &amp; Opportunity 2010 Goals in our annual report on form 10-K for the period ended December 30, 2006, industry and general economic conditions have significantly deteriorated. For example, the Lumber Market has declined from an average of $388/mbf in 2005 to an average of $252/mbf in 2008; a 35% decline from when we first announced our goals, which has adversely impacted our sales. We are currently reviewing these long-term goals and expect to modify them when market conditions stabilize so new targets can be set using more current data and assumptions.</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DIY/RETAIL MARKET</w:t>
      </w:r>
    </w:p>
    <w:p>
      <w:pPr>
        <w:spacing w:after="0" w:line="189"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Harvard’s Joint Center for Housing Studies projects home improvement spending to decline at an annual rate of 12.1% by the third quarter of 2009. A decline is forecasted due to a decrease in consumer spending, a continued decline in housing market activity, and tight credit conditions in 2009. The Consumer Confidence Index fell to 38 in December, down from 87.3 at the beginning of the year.</w:t>
      </w:r>
    </w:p>
    <w:p>
      <w:pPr>
        <w:spacing w:after="0" w:line="146"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In 2009, we believe we will increase our market share with certain “big box” home improvement and other retailers, but will continue to be impacted by the soft market conditions discussed above. On a long-term basis, it is our goal to achieve sales growth by:</w:t>
      </w:r>
    </w:p>
    <w:p>
      <w:pPr>
        <w:spacing w:after="0" w:line="154" w:lineRule="exact"/>
        <w:rPr>
          <w:sz w:val="20"/>
          <w:szCs w:val="20"/>
          <w:color w:val="auto"/>
        </w:rPr>
      </w:pPr>
    </w:p>
    <w:p>
      <w:pPr>
        <w:jc w:val="both"/>
        <w:ind w:left="348" w:right="559" w:hanging="348"/>
        <w:spacing w:after="0" w:line="264" w:lineRule="auto"/>
        <w:tabs>
          <w:tab w:leader="none" w:pos="34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Increasing our market share of value-added wood products and preservative-treated products as a result of our national presence, service capabilities that meet stringent customer requirements, diversified product offering, and purchasing leverage.</w:t>
      </w:r>
    </w:p>
    <w:p>
      <w:pPr>
        <w:spacing w:after="0" w:line="140" w:lineRule="exact"/>
        <w:rPr>
          <w:rFonts w:ascii="Arial" w:cs="Arial" w:eastAsia="Arial" w:hAnsi="Arial"/>
          <w:sz w:val="18"/>
          <w:szCs w:val="18"/>
          <w:b w:val="1"/>
          <w:bCs w:val="1"/>
          <w:color w:val="auto"/>
        </w:rPr>
      </w:pPr>
    </w:p>
    <w:p>
      <w:pPr>
        <w:jc w:val="both"/>
        <w:ind w:left="348" w:right="559" w:hanging="348"/>
        <w:spacing w:after="0" w:line="259" w:lineRule="auto"/>
        <w:tabs>
          <w:tab w:leader="none" w:pos="34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Increasing our sales of wood alternative products such as composite wood decking, which continues to take market share from preservative-treated products. Although we expect this trend to continue to some extent, we believe wood products will continue to maintain a dominant market share for the foreseeable future as a result of its cost advantages over wood alternative products.</w:t>
      </w:r>
    </w:p>
    <w:p>
      <w:pPr>
        <w:spacing w:after="0" w:line="146"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Increasing our market penetration of products distributed by our newly formed Consumer Products Division, including decorative balusters, accessories, and post caps, plastic lattice and other proprietary plastic products which have greatly enhanced our deck and fencing product lines.</w:t>
      </w:r>
    </w:p>
    <w:p>
      <w:pPr>
        <w:spacing w:after="0" w:line="154" w:lineRule="exact"/>
        <w:rPr>
          <w:rFonts w:ascii="Arial" w:cs="Arial" w:eastAsia="Arial" w:hAnsi="Arial"/>
          <w:sz w:val="18"/>
          <w:szCs w:val="18"/>
          <w:b w:val="1"/>
          <w:bCs w:val="1"/>
          <w:color w:val="auto"/>
        </w:rPr>
      </w:pPr>
    </w:p>
    <w:p>
      <w:pPr>
        <w:ind w:left="348" w:hanging="348"/>
        <w:spacing w:after="0"/>
        <w:tabs>
          <w:tab w:leader="none" w:pos="34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Developing new value-added products and services for this market through our Consumer Products Division.</w:t>
      </w:r>
    </w:p>
    <w:p>
      <w:pPr>
        <w:spacing w:after="0" w:line="184" w:lineRule="exact"/>
        <w:rPr>
          <w:rFonts w:ascii="Arial" w:cs="Arial" w:eastAsia="Arial" w:hAnsi="Arial"/>
          <w:sz w:val="18"/>
          <w:szCs w:val="18"/>
          <w:b w:val="1"/>
          <w:bCs w:val="1"/>
          <w:color w:val="auto"/>
        </w:rPr>
      </w:pPr>
    </w:p>
    <w:p>
      <w:pPr>
        <w:ind w:left="348" w:hanging="348"/>
        <w:spacing w:after="0"/>
        <w:tabs>
          <w:tab w:leader="none" w:pos="34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Adding new products or new markets through strategic business acquisitions.</w:t>
      </w:r>
    </w:p>
    <w:p>
      <w:pPr>
        <w:spacing w:after="0" w:line="200" w:lineRule="exact"/>
        <w:rPr>
          <w:sz w:val="20"/>
          <w:szCs w:val="20"/>
          <w:color w:val="auto"/>
        </w:rPr>
      </w:pPr>
    </w:p>
    <w:p>
      <w:pPr>
        <w:spacing w:after="0" w:line="390"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SITE-BUILT CONSTRUCTION MARKET</w:t>
      </w:r>
    </w:p>
    <w:p>
      <w:pPr>
        <w:spacing w:after="0" w:line="189"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Mortgage Bankers Association of America</w:t>
      </w:r>
      <w:r>
        <w:rPr>
          <w:rFonts w:ascii="Arial" w:cs="Arial" w:eastAsia="Arial" w:hAnsi="Arial"/>
          <w:sz w:val="18"/>
          <w:szCs w:val="18"/>
          <w:color w:val="auto"/>
        </w:rPr>
        <w:t xml:space="preserve"> forecasts a 32% decline in single-family housing starts to an estimated 0.4 million starts in 2009 as the industry continues to recover from excess inventory levels of single-family homes, tighter credit conditions, and an increase in foreclosures associated with sub-prime lending practices.</w:t>
      </w:r>
    </w:p>
    <w:p>
      <w:pPr>
        <w:spacing w:after="0" w:line="141"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In 2009, we believe the decline in single-family housing starts will continue to adversely impact our sales and gross margins. Our strategy during this downturn is to down-size our operations to current demand and increase our share with custom home builders and multi-family and light commercial construction markets.</w:t>
      </w:r>
    </w:p>
    <w:p>
      <w:pPr>
        <w:spacing w:after="0" w:line="154"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On a long-term basis, we anticipate growth in our sales to the site-built construction market as market conditions improve and as a result of market share gains as weaker competitors exit the market.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HOUSING MARKET</w:t>
      </w:r>
    </w:p>
    <w:p>
      <w:pPr>
        <w:spacing w:after="0" w:line="189"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National Association of Home Builders</w:t>
      </w:r>
      <w:r>
        <w:rPr>
          <w:rFonts w:ascii="Arial" w:cs="Arial" w:eastAsia="Arial" w:hAnsi="Arial"/>
          <w:sz w:val="17"/>
          <w:szCs w:val="17"/>
          <w:color w:val="auto"/>
        </w:rPr>
        <w:t xml:space="preserve"> forecasts a 16.6% decline in manufactured home shipments in 2009. It is our goal to maintain our current market share of trusses produced for the HUD code market, which increased as a result of our acquisition of Banks in November 2006. On a long-term basis we believe the HUD code market will regain a greater share of the single-family market as credit conditions normalize and as consumers seek more affordable housing alternatives.</w:t>
      </w:r>
    </w:p>
    <w:p>
      <w:pPr>
        <w:spacing w:after="0" w:line="144"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Sales of modular homes are expected to be impacted by the current oversupply of single-family housing and tight credit conditions. It is our goal to maintain our market share of trusses produced for the modular market as a result of our strong relationships with modular builders, design services and proprietary products. On a long-term basis, we anticipate modular housing will gain additional share of the single-family market as a result of more developers adopting the controlled building environment of modular construction as a method of cost control.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MARKET</w:t>
      </w:r>
    </w:p>
    <w:p>
      <w:pPr>
        <w:spacing w:after="0" w:line="189" w:lineRule="exact"/>
        <w:rPr>
          <w:sz w:val="20"/>
          <w:szCs w:val="20"/>
          <w:color w:val="auto"/>
        </w:rPr>
      </w:pPr>
    </w:p>
    <w:p>
      <w:pPr>
        <w:jc w:val="both"/>
        <w:ind w:right="559"/>
        <w:spacing w:after="0" w:line="271" w:lineRule="auto"/>
        <w:rPr>
          <w:sz w:val="20"/>
          <w:szCs w:val="20"/>
          <w:color w:val="auto"/>
        </w:rPr>
      </w:pPr>
      <w:r>
        <w:rPr>
          <w:rFonts w:ascii="Arial" w:cs="Arial" w:eastAsia="Arial" w:hAnsi="Arial"/>
          <w:sz w:val="17"/>
          <w:szCs w:val="17"/>
          <w:color w:val="auto"/>
        </w:rPr>
        <w:t>One of our key strategic objectives is to increase our sales of wood packaging products to industrial users. We believe the vast amount of hardwood and softwood lumber consumed for industrial applications, combined with the highly fragmented nature of this market provides us with significant market share growth opportunities as a result of our competitive cost advantages in manufacturing, purchasing, and material utilization. To take advantage of these opportunities, we plan to continue to obtain market share through an internal growth strategy utilizing our current manufacturing capabilities and dedicated industrial sales force. However, we recognize that any market share gains we may realize in 2009 may be offset by a decline in demand due to the rapidly deteriorating economy. On a long-term basis, we also plan to evaluate strategic acquisition opportunities and continue to gain market share with concrete forming customers.</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1" w:right="1440" w:bottom="1440" w:gutter="0" w:footer="0" w:header="0"/>
        </w:sectPr>
      </w:pPr>
    </w:p>
    <w:bookmarkStart w:id="40" w:name="page41"/>
    <w:bookmarkEnd w:id="40"/>
    <w:p>
      <w:pPr>
        <w:ind w:left="8"/>
        <w:spacing w:after="0"/>
        <w:rPr>
          <w:sz w:val="20"/>
          <w:szCs w:val="20"/>
          <w:color w:val="auto"/>
        </w:rPr>
      </w:pPr>
      <w:r>
        <w:rPr>
          <w:rFonts w:ascii="Arial" w:cs="Arial" w:eastAsia="Arial" w:hAnsi="Arial"/>
          <w:sz w:val="18"/>
          <w:szCs w:val="18"/>
          <w:b w:val="1"/>
          <w:bCs w:val="1"/>
          <w:color w:val="auto"/>
        </w:rPr>
        <w:t>GROSS PROFIT</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believe the following factors may impact our gross profits and margins in 2009:</w:t>
      </w:r>
    </w:p>
    <w:p>
      <w:pPr>
        <w:spacing w:after="0" w:line="185" w:lineRule="exact"/>
        <w:rPr>
          <w:sz w:val="20"/>
          <w:szCs w:val="20"/>
          <w:color w:val="auto"/>
        </w:rPr>
      </w:pPr>
    </w:p>
    <w:p>
      <w:pPr>
        <w:jc w:val="both"/>
        <w:ind w:left="348" w:right="559" w:hanging="348"/>
        <w:spacing w:after="0" w:line="264" w:lineRule="auto"/>
        <w:tabs>
          <w:tab w:leader="none" w:pos="34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Our ability to maintain sales and gross margins on products sold to our largest customers. We believe our level of service, geographic diversity, and quality of products provides an added value to our customers. If our customers are unwilling to pay for these advantages, our sales and gross margins may be reduced.</w:t>
      </w:r>
    </w:p>
    <w:p>
      <w:pPr>
        <w:spacing w:after="0" w:line="140"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In the first half of 2009 we expect to continue to experience a decline in demand in each of our markets, which in turn will impact our sales prices, capacity utilization, and profitability.</w:t>
      </w:r>
    </w:p>
    <w:p>
      <w:pPr>
        <w:spacing w:after="0" w:line="143"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Fluctuations in the relative level of the Lumber Market and the trend in the market price of lumber. (See “Impact of the Lumber Market on our Operating Results.”)</w:t>
      </w:r>
    </w:p>
    <w:p>
      <w:pPr>
        <w:spacing w:after="0" w:line="129" w:lineRule="exact"/>
        <w:rPr>
          <w:rFonts w:ascii="Arial" w:cs="Arial" w:eastAsia="Arial" w:hAnsi="Arial"/>
          <w:sz w:val="18"/>
          <w:szCs w:val="18"/>
          <w:b w:val="1"/>
          <w:bCs w:val="1"/>
          <w:color w:val="auto"/>
        </w:rPr>
      </w:pPr>
    </w:p>
    <w:p>
      <w:pPr>
        <w:ind w:left="348" w:hanging="348"/>
        <w:spacing w:after="0"/>
        <w:tabs>
          <w:tab w:leader="none" w:pos="34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Fuel and transportation cost trends.</w:t>
      </w:r>
    </w:p>
    <w:p>
      <w:pPr>
        <w:spacing w:after="0" w:line="184" w:lineRule="exact"/>
        <w:rPr>
          <w:rFonts w:ascii="Arial" w:cs="Arial" w:eastAsia="Arial" w:hAnsi="Arial"/>
          <w:sz w:val="18"/>
          <w:szCs w:val="18"/>
          <w:b w:val="1"/>
          <w:bCs w:val="1"/>
          <w:color w:val="auto"/>
        </w:rPr>
      </w:pPr>
    </w:p>
    <w:p>
      <w:pPr>
        <w:jc w:val="both"/>
        <w:ind w:left="348" w:right="559" w:hanging="348"/>
        <w:spacing w:after="0" w:line="259" w:lineRule="auto"/>
        <w:tabs>
          <w:tab w:leader="none" w:pos="34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Our ability to continue to achieve planned cost reductions through plant consolidations and our Continuous Improvement initiative. In January 2009, we temporarily closed facilities in Bunn, NC and Ooltewah, TN to better align manufacturing capacity with the current business environment. In February 2009, we also temporarily closed a facility in White Pigeon, MI.</w:t>
      </w:r>
    </w:p>
    <w:p>
      <w:pPr>
        <w:spacing w:after="0" w:line="159" w:lineRule="exact"/>
        <w:rPr>
          <w:rFonts w:ascii="Arial" w:cs="Arial" w:eastAsia="Arial" w:hAnsi="Arial"/>
          <w:sz w:val="18"/>
          <w:szCs w:val="18"/>
          <w:b w:val="1"/>
          <w:bCs w:val="1"/>
          <w:color w:val="auto"/>
        </w:rPr>
      </w:pPr>
    </w:p>
    <w:p>
      <w:pPr>
        <w:jc w:val="both"/>
        <w:ind w:left="348" w:right="559" w:hanging="348"/>
        <w:spacing w:after="0" w:line="312" w:lineRule="auto"/>
        <w:tabs>
          <w:tab w:leader="none" w:pos="348"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We have a long-term goal of continuing to increase our ratio of value-added sales to total sales, which in turn should increase gross margins. Our acquisition and internal sales growth strategies will help us continue to make progress toward this objective. However, achievement of this goal is dependent, in part, upon certain factors that are beyond our control.</w:t>
      </w:r>
    </w:p>
    <w:p>
      <w:pPr>
        <w:spacing w:after="0" w:line="106" w:lineRule="exact"/>
        <w:rPr>
          <w:rFonts w:ascii="Arial" w:cs="Arial" w:eastAsia="Arial" w:hAnsi="Arial"/>
          <w:sz w:val="16"/>
          <w:szCs w:val="16"/>
          <w:b w:val="1"/>
          <w:bCs w:val="1"/>
          <w:color w:val="auto"/>
        </w:rPr>
      </w:pPr>
    </w:p>
    <w:p>
      <w:pPr>
        <w:ind w:left="348" w:right="559" w:hanging="348"/>
        <w:spacing w:after="0" w:line="277" w:lineRule="auto"/>
        <w:tabs>
          <w:tab w:leader="none" w:pos="34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Organizational changes made to our lumber purchasing function to continue to enhance our buying advantage over competitors.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left="8" w:right="559"/>
        <w:spacing w:after="0" w:line="291" w:lineRule="auto"/>
        <w:rPr>
          <w:sz w:val="20"/>
          <w:szCs w:val="20"/>
          <w:color w:val="auto"/>
        </w:rPr>
      </w:pPr>
      <w:r>
        <w:rPr>
          <w:rFonts w:ascii="Arial" w:cs="Arial" w:eastAsia="Arial" w:hAnsi="Arial"/>
          <w:sz w:val="16"/>
          <w:szCs w:val="16"/>
          <w:color w:val="auto"/>
        </w:rPr>
        <w:t>In the third quarter of 2008, as a result of deteriorating market conditions, we took actions to close plants to better align our manufacturing capacity with the current business environment and reduce our headcount and certain overhead costs. We realized most of these cost reductions in the fourth quarter of 2008 and we expect that these actions will favorably impact our SG&amp;A expenses in 2009. The decreases mentioned above are expected to be slightly offset by a stock grant made on February 1, 2009. We estimate that we will recognize total expense of approximately $1.6 million over the next five years for this grant. In addition, economic and credit conditions may significantly impact our bad debt expense. We continue to monitor our customer’s credit profiles carefully and make changes in our terms where necessary in response to this heightened risk.</w:t>
      </w:r>
    </w:p>
    <w:p>
      <w:pPr>
        <w:spacing w:after="0" w:line="200" w:lineRule="exact"/>
        <w:rPr>
          <w:sz w:val="20"/>
          <w:szCs w:val="20"/>
          <w:color w:val="auto"/>
        </w:rPr>
      </w:pPr>
    </w:p>
    <w:p>
      <w:pPr>
        <w:spacing w:after="0" w:line="318"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41" w:name="page42"/>
    <w:bookmarkEnd w:id="41"/>
    <w:p>
      <w:pPr>
        <w:ind w:left="8"/>
        <w:spacing w:after="0"/>
        <w:rPr>
          <w:sz w:val="20"/>
          <w:szCs w:val="20"/>
          <w:color w:val="auto"/>
        </w:rPr>
      </w:pPr>
      <w:r>
        <w:rPr>
          <w:rFonts w:ascii="Arial" w:cs="Arial" w:eastAsia="Arial" w:hAnsi="Arial"/>
          <w:sz w:val="18"/>
          <w:szCs w:val="18"/>
          <w:color w:val="auto"/>
        </w:rPr>
        <w:t>On a long-term basis, we expect that our SG&amp;A expenses will primarily be impacted by:</w:t>
      </w:r>
    </w:p>
    <w:p>
      <w:pPr>
        <w:spacing w:after="0" w:line="198" w:lineRule="exact"/>
        <w:rPr>
          <w:sz w:val="20"/>
          <w:szCs w:val="20"/>
          <w:color w:val="auto"/>
        </w:rPr>
      </w:pPr>
    </w:p>
    <w:p>
      <w:pPr>
        <w:ind w:left="348" w:right="559" w:hanging="348"/>
        <w:spacing w:after="0" w:line="308" w:lineRule="auto"/>
        <w:tabs>
          <w:tab w:leader="none" w:pos="348"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Our growth in sales to the industrial market and, when industry conditions improve, the site-built construction market. Our sales to these markets require a higher ratio of SG&amp;A costs due, in part, to product design requirements.</w:t>
      </w:r>
    </w:p>
    <w:p>
      <w:pPr>
        <w:spacing w:after="0" w:line="79" w:lineRule="exact"/>
        <w:rPr>
          <w:rFonts w:ascii="Arial" w:cs="Arial" w:eastAsia="Arial" w:hAnsi="Arial"/>
          <w:sz w:val="17"/>
          <w:szCs w:val="17"/>
          <w:b w:val="1"/>
          <w:bCs w:val="1"/>
          <w:color w:val="auto"/>
        </w:rPr>
      </w:pPr>
    </w:p>
    <w:p>
      <w:pPr>
        <w:ind w:left="348" w:hanging="348"/>
        <w:spacing w:after="0"/>
        <w:tabs>
          <w:tab w:leader="none" w:pos="348"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Our incentive compensation program discussed above.</w:t>
      </w:r>
    </w:p>
    <w:p>
      <w:pPr>
        <w:spacing w:after="0" w:line="157" w:lineRule="exact"/>
        <w:rPr>
          <w:rFonts w:ascii="Arial" w:cs="Arial" w:eastAsia="Arial" w:hAnsi="Arial"/>
          <w:sz w:val="18"/>
          <w:szCs w:val="18"/>
          <w:b w:val="1"/>
          <w:bCs w:val="1"/>
          <w:color w:val="auto"/>
        </w:rPr>
      </w:pPr>
    </w:p>
    <w:p>
      <w:pPr>
        <w:ind w:left="348" w:hanging="348"/>
        <w:spacing w:after="0"/>
        <w:tabs>
          <w:tab w:leader="none" w:pos="348"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Our growth and success in achieving Continuous Improvement objectives.</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Our cash cycle will continue to be impacted in the future based on our mix of sales by market. Sales to the site-built construction and industrial markets require a greater investment in working capital (inventory and accounts receivable) than our sales to the DIY/retail and manufactured housing markets.</w:t>
      </w:r>
    </w:p>
    <w:p>
      <w:pPr>
        <w:spacing w:after="0" w:line="154"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Management expects to spend up to $10 million on capital expenditures in 2009 and incur depreciation of approximately $35 million and amortization of intangible assets of approximately $10 million. On December 27, 2008, we had outstanding purchase commitments on capital projects of approximately $0.9 million.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have no present intention to change our dividend policy, which is currently $0.06 per share paid semi-annually.</w:t>
      </w:r>
    </w:p>
    <w:p>
      <w:pPr>
        <w:spacing w:after="0" w:line="185" w:lineRule="exact"/>
        <w:rPr>
          <w:sz w:val="20"/>
          <w:szCs w:val="20"/>
          <w:color w:val="auto"/>
        </w:rPr>
      </w:pPr>
    </w:p>
    <w:p>
      <w:pPr>
        <w:jc w:val="both"/>
        <w:ind w:left="8" w:right="559"/>
        <w:spacing w:after="0" w:line="312" w:lineRule="auto"/>
        <w:rPr>
          <w:sz w:val="20"/>
          <w:szCs w:val="20"/>
          <w:color w:val="auto"/>
        </w:rPr>
      </w:pPr>
      <w:r>
        <w:rPr>
          <w:rFonts w:ascii="Arial" w:cs="Arial" w:eastAsia="Arial" w:hAnsi="Arial"/>
          <w:sz w:val="16"/>
          <w:szCs w:val="16"/>
          <w:color w:val="auto"/>
        </w:rPr>
        <w:t>Our Board of Directors has approved a share repurchase program under which we have authorization to buy back approximately 1.2 million shares as of December 27, 2008. In the past, we have repurchased shares in order to offset the effect of issuances resulting from our employee benefit plans and at times when our stock price falls to a pre-determined level.</w:t>
      </w:r>
    </w:p>
    <w:p>
      <w:pPr>
        <w:spacing w:after="0" w:line="120"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The Series 2002-A Senior Notes totaling $15.0 million are due December 18, 2009, which we currently intend to pay-off through cash flows generated from operations. We are also obligated to pay additional amounts due on long-term debt totaling approximately $0.5 million in 2009.</w:t>
      </w:r>
    </w:p>
    <w:p>
      <w:pPr>
        <w:spacing w:after="0" w:line="141"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We currently have assets held for sale totaling $8.3 million at December 27, 2008 that we intend to sell during 2009. On February 6, 2009, we sold real estate located in Woodburn, Oregon. The net sales price was approximately $5.2 million resulting in a gain of approximately $2.4 million.</w:t>
      </w:r>
    </w:p>
    <w:p>
      <w:pPr>
        <w:spacing w:after="0" w:line="200" w:lineRule="exact"/>
        <w:rPr>
          <w:sz w:val="20"/>
          <w:szCs w:val="20"/>
          <w:color w:val="auto"/>
        </w:rPr>
      </w:pPr>
    </w:p>
    <w:p>
      <w:pPr>
        <w:spacing w:after="0" w:line="346"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42" w:name="page43"/>
    <w:bookmarkEnd w:id="42"/>
    <w:p>
      <w:pPr>
        <w:jc w:val="center"/>
        <w:ind w:right="55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2"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The management of Universal Forest Products, Inc.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41" w:lineRule="exact"/>
        <w:rPr>
          <w:sz w:val="20"/>
          <w:szCs w:val="20"/>
          <w:color w:val="auto"/>
        </w:rPr>
      </w:pPr>
    </w:p>
    <w:p>
      <w:pPr>
        <w:jc w:val="both"/>
        <w:ind w:right="559"/>
        <w:spacing w:after="0" w:line="342"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3"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 xml:space="preserve">We assessed the effectiveness of our internal control over financial reporting as of December 27, 2008.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Based on our assessment, management has concluded that as of December 27, 2008,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has been audited by Ernst &amp; Young LLP, an independent registered public accounting firm, as stated in their report, which follows our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43" w:name="page44"/>
    <w:bookmarkEnd w:id="43"/>
    <w:p>
      <w:pPr>
        <w:jc w:val="center"/>
        <w:ind w:right="551"/>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The Board of Directors and Shareholders of Universal Forest Products, Inc.</w:t>
      </w:r>
    </w:p>
    <w:p>
      <w:pPr>
        <w:spacing w:after="0" w:line="189"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We have audited Universal Forest Products, Inc. and subsidiaries’ internal control over financial reporting as of December 27, 2008, based on criteria established in Internal Control—Integrated Framework issued by the Committee of Sponsoring Organizations of the Treadway Commission (the COSO criteria). Universal Forest Products,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49" w:lineRule="exact"/>
        <w:rPr>
          <w:sz w:val="20"/>
          <w:szCs w:val="20"/>
          <w:color w:val="auto"/>
        </w:rPr>
      </w:pPr>
    </w:p>
    <w:p>
      <w:pPr>
        <w:jc w:val="both"/>
        <w:ind w:left="8" w:right="559"/>
        <w:spacing w:after="0" w:line="29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jc w:val="both"/>
        <w:ind w:left="8" w:right="559"/>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left="8" w:right="559" w:hanging="8"/>
        <w:spacing w:after="0" w:line="270" w:lineRule="auto"/>
        <w:tabs>
          <w:tab w:leader="none" w:pos="27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left="8" w:right="55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In our opinion, Universal Forest Products, Inc. and subsidiaries maintained, in all material respects, effective internal control over financial reporting as of December 27, 2008, based on the COSO criteria.</w:t>
      </w:r>
    </w:p>
    <w:p>
      <w:pPr>
        <w:spacing w:after="0" w:line="143" w:lineRule="exact"/>
        <w:rPr>
          <w:sz w:val="20"/>
          <w:szCs w:val="20"/>
          <w:color w:val="auto"/>
        </w:rPr>
      </w:pPr>
    </w:p>
    <w:p>
      <w:pPr>
        <w:jc w:val="both"/>
        <w:ind w:left="8" w:right="559"/>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Universal Forest Products, Inc. and subsidiaries as of December 27, 2008 and the related consolidated statements of income, shareholders’ equity, and cash flows for each of the three years the period ended December 27, 2008 and our report dated February 20, 2009 expressed an unqualified opinion thereon.</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February 20, 2009</w:t>
      </w:r>
    </w:p>
    <w:p>
      <w:pPr>
        <w:spacing w:after="0" w:line="200" w:lineRule="exact"/>
        <w:rPr>
          <w:sz w:val="20"/>
          <w:szCs w:val="20"/>
          <w:color w:val="auto"/>
        </w:rPr>
      </w:pPr>
    </w:p>
    <w:p>
      <w:pPr>
        <w:spacing w:after="0" w:line="376"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44" w:name="page45"/>
    <w:bookmarkEnd w:id="44"/>
    <w:p>
      <w:pPr>
        <w:jc w:val="center"/>
        <w:ind w:right="5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On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Universal Forest Products, Inc.</w:t>
      </w:r>
    </w:p>
    <w:p>
      <w:pPr>
        <w:spacing w:after="0" w:line="189"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We have audited the accompanying consolidated balance sheets of Universal Forest Products, Inc. and subsidiaries as of December 27, 2008 and December 29, 2007, and the related consolidated statements of earnings, shareholders’ equity, and cash flows for each of the three years in the period ended December 27, 2008. These financial statements are the responsibility of the Company’s management. Our responsibility is to express an opinion on these financial statements based on our audits.</w:t>
      </w:r>
    </w:p>
    <w:p>
      <w:pPr>
        <w:spacing w:after="0" w:line="114"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Universal Forest Products, Inc. and subsidiaries at December 27, 2008 and December 29, 2007, and the consolidated results of their operations and their cash flows for each of the three years in the period ended December 27, 2008, in conformity with U.S. generally accepted accounting principles.</w:t>
      </w:r>
    </w:p>
    <w:p>
      <w:pPr>
        <w:spacing w:after="0" w:line="146"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Universal Forest Products, Inc. and subsidiaries’ internal control over financial reporting as of December 27, 2008, based on criteria established in Internal Control-Integrated Framework issued by the Committee of Sponsoring Organizations of the Treadway Commission and our report dated February 20, 2009 expressed an unqualified opinion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5" w:name="page46"/>
    <w:bookmarkEnd w:id="45"/>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6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8"/>
                <w:szCs w:val="18"/>
                <w:color w:val="auto"/>
              </w:rPr>
              <w:t>December 27,</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December 29,</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43,605</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138,043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142,562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109,942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120,805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115,063</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193,496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33,624</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13,037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21,754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income taxes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15,077</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500,525</w:t>
            </w: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5,927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INDEFINITE-LIVED INTANGIBLE ASSETS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159,263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150,272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22,751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23,849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Land and improvements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88,958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64,754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Building and improvements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143,845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Machinery, equipment and office furniture</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271,104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293,579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505,177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(258,007)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(238,743)</w:t>
            </w:r>
          </w:p>
        </w:tc>
        <w:tc>
          <w:tcPr>
            <w:tcW w:w="0" w:type="dxa"/>
            <w:vAlign w:val="bottom"/>
          </w:tcPr>
          <w:p>
            <w:pPr>
              <w:spacing w:after="0"/>
              <w:rPr>
                <w:sz w:val="1"/>
                <w:szCs w:val="1"/>
                <w:color w:val="auto"/>
              </w:rPr>
            </w:pPr>
          </w:p>
        </w:tc>
      </w:tr>
      <w:tr>
        <w:trPr>
          <w:trHeight w:val="230"/>
        </w:trPr>
        <w:tc>
          <w:tcPr>
            <w:tcW w:w="6760" w:type="dxa"/>
            <w:vAlign w:val="bottom"/>
          </w:tcPr>
          <w:p>
            <w:pPr>
              <w:ind w:left="6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247,170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816,019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957,000</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63,184</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83,505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0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49,306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49,558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28,717</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15,490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162,725</w:t>
            </w: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LONG-TERM DEBT AND CAPITAL LEASE OBLIGATIONS, less current portion</w:t>
            </w:r>
          </w:p>
        </w:tc>
        <w:tc>
          <w:tcPr>
            <w:tcW w:w="2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85,684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205,126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17,056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6,343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10,376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17,569</w:t>
            </w:r>
          </w:p>
        </w:tc>
        <w:tc>
          <w:tcPr>
            <w:tcW w:w="0" w:type="dxa"/>
            <w:vAlign w:val="bottom"/>
          </w:tcPr>
          <w:p>
            <w:pPr>
              <w:spacing w:after="0"/>
              <w:rPr>
                <w:sz w:val="1"/>
                <w:szCs w:val="1"/>
                <w:color w:val="auto"/>
              </w:rPr>
            </w:pPr>
          </w:p>
        </w:tc>
      </w:tr>
      <w:tr>
        <w:trPr>
          <w:trHeight w:val="224"/>
        </w:trPr>
        <w:tc>
          <w:tcPr>
            <w:tcW w:w="676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274,136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200"/>
              <w:spacing w:after="0" w:line="201" w:lineRule="exact"/>
              <w:rPr>
                <w:sz w:val="20"/>
                <w:szCs w:val="20"/>
                <w:color w:val="auto"/>
              </w:rPr>
            </w:pPr>
            <w:r>
              <w:rPr>
                <w:rFonts w:ascii="Arial" w:cs="Arial" w:eastAsia="Arial" w:hAnsi="Arial"/>
                <w:sz w:val="18"/>
                <w:szCs w:val="18"/>
                <w:color w:val="auto"/>
                <w:w w:val="97"/>
              </w:rPr>
              <w:t>Preferred stock, no par value; shares authorized 1,000,000; issued and outstanding,</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40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no par value; shares authorized 40,000,000; issued and outstanding,</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19,088,880 and 18,907,841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19,089</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18,908</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128,830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123,368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393,312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391,253</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Accumulated other comprehensive earnings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543,584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538,233</w:t>
            </w:r>
          </w:p>
        </w:tc>
        <w:tc>
          <w:tcPr>
            <w:tcW w:w="0" w:type="dxa"/>
            <w:vAlign w:val="bottom"/>
          </w:tcPr>
          <w:p>
            <w:pPr>
              <w:spacing w:after="0"/>
              <w:rPr>
                <w:sz w:val="1"/>
                <w:szCs w:val="1"/>
                <w:color w:val="auto"/>
              </w:rPr>
            </w:pP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Employee stock notes receivable</w:t>
            </w:r>
          </w:p>
        </w:tc>
        <w:tc>
          <w:tcPr>
            <w:tcW w:w="22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(1,701)</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536,668</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816,019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613" w:gutter="0" w:footer="0" w:header="0"/>
        </w:sectPr>
      </w:pPr>
    </w:p>
    <w:bookmarkStart w:id="46" w:name="page47"/>
    <w:bookmarkEnd w:id="46"/>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Year Ended</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5540" w:type="dxa"/>
            <w:vAlign w:val="bottom"/>
          </w:tcPr>
          <w:p>
            <w:pPr>
              <w:spacing w:after="0"/>
              <w:rPr>
                <w:sz w:val="16"/>
                <w:szCs w:val="16"/>
                <w:color w:val="auto"/>
              </w:rPr>
            </w:pPr>
          </w:p>
        </w:tc>
        <w:tc>
          <w:tcPr>
            <w:tcW w:w="1360" w:type="dxa"/>
            <w:vAlign w:val="bottom"/>
            <w:gridSpan w:val="3"/>
          </w:tcPr>
          <w:p>
            <w:pPr>
              <w:spacing w:after="0" w:line="195" w:lineRule="exact"/>
              <w:rPr>
                <w:sz w:val="20"/>
                <w:szCs w:val="20"/>
                <w:color w:val="auto"/>
              </w:rPr>
            </w:pPr>
            <w:r>
              <w:rPr>
                <w:rFonts w:ascii="Arial" w:cs="Arial" w:eastAsia="Arial" w:hAnsi="Arial"/>
                <w:sz w:val="18"/>
                <w:szCs w:val="18"/>
                <w:color w:val="auto"/>
              </w:rPr>
              <w:t>December 27,</w:t>
            </w:r>
          </w:p>
        </w:tc>
        <w:tc>
          <w:tcPr>
            <w:tcW w:w="134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1000" w:type="dxa"/>
            <w:vAlign w:val="bottom"/>
            <w:gridSpan w:val="2"/>
          </w:tcPr>
          <w:p>
            <w:pPr>
              <w:spacing w:after="0" w:line="195" w:lineRule="exact"/>
              <w:rPr>
                <w:sz w:val="20"/>
                <w:szCs w:val="20"/>
                <w:color w:val="auto"/>
              </w:rPr>
            </w:pPr>
            <w:r>
              <w:rPr>
                <w:rFonts w:ascii="Arial" w:cs="Arial" w:eastAsia="Arial" w:hAnsi="Arial"/>
                <w:sz w:val="18"/>
                <w:szCs w:val="18"/>
                <w:color w:val="auto"/>
                <w:w w:val="86"/>
              </w:rPr>
              <w:t>December 30,</w:t>
            </w:r>
          </w:p>
        </w:tc>
        <w:tc>
          <w:tcPr>
            <w:tcW w:w="80" w:type="dxa"/>
            <w:vAlign w:val="bottom"/>
          </w:tcPr>
          <w:p>
            <w:pPr>
              <w:spacing w:after="0"/>
              <w:rPr>
                <w:sz w:val="16"/>
                <w:szCs w:val="16"/>
                <w:color w:val="auto"/>
              </w:rPr>
            </w:pPr>
          </w:p>
        </w:tc>
      </w:tr>
      <w:tr>
        <w:trPr>
          <w:trHeight w:val="230"/>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2,232,394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2,513,178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2,664,572</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1,978,193</w:t>
            </w:r>
          </w:p>
        </w:tc>
        <w:tc>
          <w:tcPr>
            <w:tcW w:w="1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2,204,149</w:t>
            </w:r>
          </w:p>
        </w:tc>
        <w:tc>
          <w:tcPr>
            <w:tcW w:w="1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2,282,890</w:t>
            </w:r>
          </w:p>
        </w:tc>
      </w:tr>
      <w:tr>
        <w:trPr>
          <w:trHeight w:val="223"/>
        </w:trPr>
        <w:tc>
          <w:tcPr>
            <w:tcW w:w="5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254,201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309,029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381,682</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228,557</w:t>
            </w:r>
          </w:p>
        </w:tc>
        <w:tc>
          <w:tcPr>
            <w:tcW w:w="1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247,373</w:t>
            </w:r>
          </w:p>
        </w:tc>
        <w:tc>
          <w:tcPr>
            <w:tcW w:w="1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257,796</w:t>
            </w: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ON DISPOSITION OF ASSETS AND OTHER</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AND EXIT CHARGES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7,239</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8,164</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r>
      <w:tr>
        <w:trPr>
          <w:trHeight w:val="20"/>
        </w:trPr>
        <w:tc>
          <w:tcPr>
            <w:tcW w:w="5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55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8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18,405</w:t>
            </w:r>
          </w:p>
        </w:tc>
        <w:tc>
          <w:tcPr>
            <w:tcW w:w="1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53,492</w:t>
            </w:r>
          </w:p>
        </w:tc>
        <w:tc>
          <w:tcPr>
            <w:tcW w:w="1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123,745</w:t>
            </w:r>
          </w:p>
        </w:tc>
      </w:tr>
      <w:tr>
        <w:trPr>
          <w:trHeight w:val="216"/>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12,088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17,033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14,053</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(2,150)</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(2,443)</w:t>
            </w:r>
          </w:p>
        </w:tc>
      </w:tr>
      <w:tr>
        <w:trPr>
          <w:trHeight w:val="27"/>
        </w:trPr>
        <w:tc>
          <w:tcPr>
            <w:tcW w:w="5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11,259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14,883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11,610</w:t>
            </w:r>
          </w:p>
        </w:tc>
      </w:tr>
      <w:tr>
        <w:trPr>
          <w:trHeight w:val="20"/>
        </w:trPr>
        <w:tc>
          <w:tcPr>
            <w:tcW w:w="5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5540" w:type="dxa"/>
            <w:vAlign w:val="bottom"/>
          </w:tcPr>
          <w:p>
            <w:pPr>
              <w:spacing w:after="0"/>
              <w:rPr>
                <w:sz w:val="20"/>
                <w:szCs w:val="20"/>
                <w:color w:val="auto"/>
              </w:rPr>
            </w:pPr>
            <w:r>
              <w:rPr>
                <w:rFonts w:ascii="Arial" w:cs="Arial" w:eastAsia="Arial" w:hAnsi="Arial"/>
                <w:sz w:val="18"/>
                <w:szCs w:val="18"/>
                <w:color w:val="auto"/>
              </w:rPr>
              <w:t>EARNINGS BEFORE INCOME TAXES AND MINORITY INTEREST</w:t>
            </w:r>
          </w:p>
        </w:tc>
        <w:tc>
          <w:tcPr>
            <w:tcW w:w="18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7,146</w:t>
            </w:r>
          </w:p>
        </w:tc>
        <w:tc>
          <w:tcPr>
            <w:tcW w:w="1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38,609</w:t>
            </w:r>
          </w:p>
        </w:tc>
        <w:tc>
          <w:tcPr>
            <w:tcW w:w="1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112,135</w:t>
            </w:r>
          </w:p>
        </w:tc>
      </w:tr>
      <w:tr>
        <w:trPr>
          <w:trHeight w:val="216"/>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15,396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38,760</w:t>
            </w:r>
          </w:p>
        </w:tc>
      </w:tr>
      <w:tr>
        <w:trPr>
          <w:trHeight w:val="20"/>
        </w:trPr>
        <w:tc>
          <w:tcPr>
            <w:tcW w:w="5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5540" w:type="dxa"/>
            <w:vAlign w:val="bottom"/>
          </w:tcPr>
          <w:p>
            <w:pPr>
              <w:spacing w:after="0"/>
              <w:rPr>
                <w:sz w:val="20"/>
                <w:szCs w:val="20"/>
                <w:color w:val="auto"/>
              </w:rPr>
            </w:pPr>
            <w:r>
              <w:rPr>
                <w:rFonts w:ascii="Arial" w:cs="Arial" w:eastAsia="Arial" w:hAnsi="Arial"/>
                <w:sz w:val="18"/>
                <w:szCs w:val="18"/>
                <w:color w:val="auto"/>
              </w:rPr>
              <w:t>EARNINGS BEFORE MINORITY INTEREST</w:t>
            </w:r>
          </w:p>
        </w:tc>
        <w:tc>
          <w:tcPr>
            <w:tcW w:w="18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5,460</w:t>
            </w:r>
          </w:p>
        </w:tc>
        <w:tc>
          <w:tcPr>
            <w:tcW w:w="1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23,213</w:t>
            </w:r>
          </w:p>
        </w:tc>
        <w:tc>
          <w:tcPr>
            <w:tcW w:w="1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73,375</w:t>
            </w:r>
          </w:p>
        </w:tc>
      </w:tr>
      <w:tr>
        <w:trPr>
          <w:trHeight w:val="216"/>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w:t>
            </w:r>
          </w:p>
        </w:tc>
      </w:tr>
      <w:tr>
        <w:trPr>
          <w:trHeight w:val="20"/>
        </w:trPr>
        <w:tc>
          <w:tcPr>
            <w:tcW w:w="5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554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4,343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21,045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70,125</w:t>
            </w:r>
          </w:p>
        </w:tc>
      </w:tr>
      <w:tr>
        <w:trPr>
          <w:trHeight w:val="20"/>
        </w:trPr>
        <w:tc>
          <w:tcPr>
            <w:tcW w:w="5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r>
      <w:tr>
        <w:trPr>
          <w:trHeight w:val="216"/>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19,056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18,820</w:t>
            </w: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WEIGHTED AVERAGE SHARES OUTSTANDING WITH COMMON</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STOCK EQUIVALENTS</w:t>
            </w:r>
          </w:p>
        </w:tc>
        <w:tc>
          <w:tcPr>
            <w:tcW w:w="1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19,225</w:t>
            </w:r>
          </w:p>
        </w:tc>
        <w:tc>
          <w:tcPr>
            <w:tcW w:w="1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19,362</w:t>
            </w: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19,370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47" w:name="page48"/>
    <w:bookmarkEnd w:id="47"/>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Deferred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color w:val="auto"/>
                <w:w w:val="96"/>
              </w:rPr>
              <w:t>Accumulated</w:t>
            </w:r>
          </w:p>
        </w:tc>
        <w:tc>
          <w:tcPr>
            <w:tcW w:w="800" w:type="dxa"/>
            <w:vAlign w:val="bottom"/>
            <w:gridSpan w:val="3"/>
          </w:tcPr>
          <w:p>
            <w:pPr>
              <w:spacing w:after="0"/>
              <w:rPr>
                <w:sz w:val="20"/>
                <w:szCs w:val="20"/>
                <w:color w:val="auto"/>
              </w:rPr>
            </w:pPr>
            <w:r>
              <w:rPr>
                <w:rFonts w:ascii="Arial" w:cs="Arial" w:eastAsia="Arial" w:hAnsi="Arial"/>
                <w:sz w:val="14"/>
                <w:szCs w:val="14"/>
                <w:color w:val="auto"/>
              </w:rPr>
              <w:t>Employees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5"/>
              </w:rPr>
              <w:t>Deferred</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Compensation</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6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w w:val="96"/>
              </w:rPr>
              <w:t>Stock</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Paid-In</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Rabbi</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Retained</w:t>
            </w: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2"/>
                <w:szCs w:val="12"/>
                <w:color w:val="auto"/>
              </w:rPr>
            </w:pPr>
          </w:p>
        </w:tc>
        <w:tc>
          <w:tcPr>
            <w:tcW w:w="6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w w:val="98"/>
              </w:rPr>
              <w:t>Notes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w w:val="91"/>
              </w:rPr>
              <w:t>Stock</w:t>
            </w: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Capital</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Trust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Earnings</w:t>
            </w: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Earnings</w:t>
            </w:r>
          </w:p>
        </w:tc>
        <w:tc>
          <w:tcPr>
            <w:tcW w:w="800" w:type="dxa"/>
            <w:vAlign w:val="bottom"/>
            <w:gridSpan w:val="3"/>
          </w:tcPr>
          <w:p>
            <w:pPr>
              <w:spacing w:after="0"/>
              <w:rPr>
                <w:sz w:val="20"/>
                <w:szCs w:val="20"/>
                <w:color w:val="auto"/>
              </w:rPr>
            </w:pPr>
            <w:r>
              <w:rPr>
                <w:rFonts w:ascii="Arial" w:cs="Arial" w:eastAsia="Arial" w:hAnsi="Arial"/>
                <w:sz w:val="14"/>
                <w:szCs w:val="14"/>
                <w:color w:val="auto"/>
              </w:rPr>
              <w:t>Receivable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r>
      <w:tr>
        <w:trPr>
          <w:trHeight w:val="20"/>
        </w:trPr>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2005</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18,403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97,372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4,212</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(2,117)</w:t>
            </w: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w w:val="83"/>
              </w:rPr>
              <w:t>$ 312,878</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2,408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(1,304)</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6"/>
              </w:rPr>
              <w:t>$ 431,852</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Comprehensive earnings: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70,125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w w:val="99"/>
              </w:rPr>
              <w:t>Foreign currency translation adjustment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earnings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70,168</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Cash dividends — $.110 per share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(2,072)</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(2,072)</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Reversal of deferred compensation upon</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adoption of SFAS 123(R)</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2,095</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(4,212)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2,117</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5"/>
              </w:rPr>
              <w:t>Issuance of 349,644 shares under employee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stock plans</w:t>
            </w: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350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5,678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6,028</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3,467 shares under stock grant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197</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8"/>
              </w:rPr>
              <w:t>Issuance of 101,278 shares under deferred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Received 1,367 shares for the exercise of</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rPr>
              <w:t>Tax benefits from non-qualified stock</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options exercised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4,376</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4,376</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arrangements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972</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972</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rPr>
              <w:t>Accrued expense under deferred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3,056</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3,056</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3,222 shares in exchange for</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notes receivable</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5"/>
              </w:rPr>
              <w:t>Payments received on employee stock notes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receivable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4"/>
                <w:szCs w:val="14"/>
                <w:color w:val="auto"/>
              </w:rPr>
              <w:t>255</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255</w:t>
            </w:r>
          </w:p>
        </w:tc>
      </w:tr>
      <w:tr>
        <w:trPr>
          <w:trHeight w:val="27"/>
        </w:trPr>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30, 2006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18,859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113,754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83"/>
              </w:rPr>
              <w:t>$ 380,931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2,451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(1,253)</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$ 514,742</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Comprehensive earnings: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21,045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w w:val="99"/>
              </w:rPr>
              <w:t>Foreign currency translation adjustment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2,253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earnings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23,298</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Cash dividends — $.115 per share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(2,185)</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(2,185)</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220,345 shares under employee</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plans</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3,683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3,903</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8"/>
              </w:rPr>
              <w:t>Issuance of 3,961 shares under stock grant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174</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69,777 shares under deferred</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Repurchase of 239,400 shares</w:t>
            </w:r>
          </w:p>
        </w:tc>
        <w:tc>
          <w:tcPr>
            <w:tcW w:w="100" w:type="dxa"/>
            <w:vAlign w:val="bottom"/>
          </w:tcPr>
          <w:p>
            <w:pPr>
              <w:spacing w:after="0"/>
              <w:rPr>
                <w:sz w:val="12"/>
                <w:szCs w:val="12"/>
                <w:color w:val="auto"/>
              </w:rPr>
            </w:pP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(8,538)</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(8,777)</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Received 15,866 shares for the exercise of</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(782)</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rPr>
              <w:t>Tax benefits from non-qualified stock</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options exercised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1,867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1,867</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arrangements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505</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rPr>
              <w:t>Accrued expense under deferred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3,733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3,733</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10,132 shares in exchange for</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notes receivable</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5"/>
              </w:rPr>
              <w:t>Payments received on employee stock notes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receivable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4"/>
                <w:szCs w:val="14"/>
                <w:color w:val="auto"/>
              </w:rPr>
              <w:t>190</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190</w:t>
            </w:r>
          </w:p>
        </w:tc>
      </w:tr>
      <w:tr>
        <w:trPr>
          <w:trHeight w:val="27"/>
        </w:trPr>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29, 2007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18,908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123,368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83"/>
              </w:rPr>
              <w:t>$ 391,253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4,704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(1,565)</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$ 536,668</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Comprehensive earnings: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4,343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660" w:type="dxa"/>
            <w:vAlign w:val="bottom"/>
          </w:tcPr>
          <w:p>
            <w:pPr>
              <w:ind w:left="200"/>
              <w:spacing w:after="0" w:line="149" w:lineRule="exact"/>
              <w:rPr>
                <w:sz w:val="20"/>
                <w:szCs w:val="20"/>
                <w:color w:val="auto"/>
              </w:rPr>
            </w:pPr>
            <w:r>
              <w:rPr>
                <w:rFonts w:ascii="Arial" w:cs="Arial" w:eastAsia="Arial" w:hAnsi="Arial"/>
                <w:sz w:val="14"/>
                <w:szCs w:val="14"/>
                <w:color w:val="auto"/>
                <w:w w:val="99"/>
              </w:rPr>
              <w:t>Foreign currency translation adjustment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(2,351)</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earnings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1,992</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Cash dividends — $.120 per share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(2,284)</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(2,284)</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174,528 shares under employee</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plans</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3,030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3,205</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8"/>
              </w:rPr>
              <w:t>Issuance of 3,706 shares under stock grant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104</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15,288 shares under deferred</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9"/>
              </w:rPr>
              <w:t>Received 19,857 shares for the exercise of</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stock options</w:t>
            </w:r>
          </w:p>
        </w:tc>
        <w:tc>
          <w:tcPr>
            <w:tcW w:w="1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(642)</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benefits from non-qualified stock</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 exercised</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878</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878</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compensation arrangements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1,136</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expense under deferred</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725</w:t>
            </w: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rPr>
              <w:t>Issuance of 7,374 shares in exchange for</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60" w:type="dxa"/>
            <w:vAlign w:val="bottom"/>
          </w:tcPr>
          <w:p>
            <w:pPr>
              <w:ind w:left="200"/>
              <w:spacing w:after="0"/>
              <w:rPr>
                <w:sz w:val="20"/>
                <w:szCs w:val="20"/>
                <w:color w:val="auto"/>
              </w:rPr>
            </w:pPr>
            <w:r>
              <w:rPr>
                <w:rFonts w:ascii="Arial" w:cs="Arial" w:eastAsia="Arial" w:hAnsi="Arial"/>
                <w:sz w:val="14"/>
                <w:szCs w:val="14"/>
                <w:color w:val="auto"/>
              </w:rPr>
              <w:t>employee stock notes receivable</w:t>
            </w: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4"/>
                <w:szCs w:val="14"/>
                <w:color w:val="auto"/>
              </w:rPr>
              <w:t>(237)</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Payments received on employee stock notes</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receivable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101</w:t>
            </w:r>
          </w:p>
        </w:tc>
      </w:tr>
      <w:tr>
        <w:trPr>
          <w:trHeight w:val="156"/>
        </w:trPr>
        <w:tc>
          <w:tcPr>
            <w:tcW w:w="26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27, 2008</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19,089</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128,830</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w w:val="85"/>
              </w:rPr>
              <w:t>—</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393,312</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2,353</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(1,701</w:t>
            </w:r>
          </w:p>
        </w:tc>
        <w:tc>
          <w:tcPr>
            <w:tcW w:w="1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84"/>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541,883</w:t>
            </w:r>
          </w:p>
        </w:tc>
        <w:tc>
          <w:tcPr>
            <w:tcW w:w="80" w:type="dxa"/>
            <w:vAlign w:val="bottom"/>
          </w:tcPr>
          <w:p>
            <w:pPr>
              <w:spacing w:after="0"/>
              <w:rPr>
                <w:sz w:val="13"/>
                <w:szCs w:val="13"/>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991" w:gutter="0" w:footer="0" w:header="0"/>
        </w:sectPr>
      </w:pPr>
    </w:p>
    <w:bookmarkStart w:id="48" w:name="page49"/>
    <w:bookmarkEnd w:id="48"/>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w w:val="94"/>
              </w:rPr>
              <w:t>Year Ended</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360" w:type="dxa"/>
            <w:vAlign w:val="bottom"/>
            <w:gridSpan w:val="3"/>
          </w:tcPr>
          <w:p>
            <w:pPr>
              <w:spacing w:after="0" w:line="195" w:lineRule="exact"/>
              <w:rPr>
                <w:sz w:val="20"/>
                <w:szCs w:val="20"/>
                <w:color w:val="auto"/>
              </w:rPr>
            </w:pPr>
            <w:r>
              <w:rPr>
                <w:rFonts w:ascii="Arial" w:cs="Arial" w:eastAsia="Arial" w:hAnsi="Arial"/>
                <w:sz w:val="18"/>
                <w:szCs w:val="18"/>
                <w:color w:val="auto"/>
              </w:rPr>
              <w:t>December 27,</w:t>
            </w:r>
          </w:p>
        </w:tc>
        <w:tc>
          <w:tcPr>
            <w:tcW w:w="134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1000" w:type="dxa"/>
            <w:vAlign w:val="bottom"/>
            <w:gridSpan w:val="2"/>
          </w:tcPr>
          <w:p>
            <w:pPr>
              <w:spacing w:after="0" w:line="195" w:lineRule="exact"/>
              <w:rPr>
                <w:sz w:val="20"/>
                <w:szCs w:val="20"/>
                <w:color w:val="auto"/>
              </w:rPr>
            </w:pPr>
            <w:r>
              <w:rPr>
                <w:rFonts w:ascii="Arial" w:cs="Arial" w:eastAsia="Arial" w:hAnsi="Arial"/>
                <w:sz w:val="18"/>
                <w:szCs w:val="18"/>
                <w:color w:val="auto"/>
                <w:w w:val="86"/>
              </w:rPr>
              <w:t>December 30,</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4,343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21,045</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70,125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earnings to net cash from operating</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37,570</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39,547</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33,771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9,797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8,034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w w:val="99"/>
              </w:rPr>
              <w:t>Expense associated with share-based compensation arrangements</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1,136</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(7,747)</w:t>
            </w: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(4,134)</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Gain on sale of interest in subsidiary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insurance settlement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loss on sale or impairment of property, plant and equipment</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7,062</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6,755</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Changes in: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19,538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42,922</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27,795</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22,262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8,882</w:t>
            </w: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(23,885)</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OPERATING ACTIVITIES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88,551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87,078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(18,944)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(39,360)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(23,338)</w:t>
            </w: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(57,087)</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(71,814)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interest in subsidiary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30,367</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4,769</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Advances on notes receivable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Collections on notes receivable</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Insurance proceeds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INVESTING ACTIVITIES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(91,971)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(111,705)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34,648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(80,824)</w:t>
            </w: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(28,466)</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3,539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Distributions to minority shareholders</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(3,654)</w:t>
            </w: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(1,797)</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(2,586)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 received from minority shareholder</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(2,284)</w:t>
            </w: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(2,185)</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(8,777)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CASH FROM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(107,452)</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(35,724)</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43,605</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51,108</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46,215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40" w:type="dxa"/>
            <w:vAlign w:val="bottom"/>
            <w:vMerge w:val="restart"/>
          </w:tcPr>
          <w:p>
            <w:pPr>
              <w:ind w:left="4560"/>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Year Ended</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5540" w:type="dxa"/>
            <w:vAlign w:val="bottom"/>
          </w:tcPr>
          <w:p>
            <w:pPr>
              <w:spacing w:after="0"/>
              <w:rPr>
                <w:sz w:val="16"/>
                <w:szCs w:val="16"/>
                <w:color w:val="auto"/>
              </w:rPr>
            </w:pPr>
          </w:p>
        </w:tc>
        <w:tc>
          <w:tcPr>
            <w:tcW w:w="1360" w:type="dxa"/>
            <w:vAlign w:val="bottom"/>
            <w:gridSpan w:val="3"/>
          </w:tcPr>
          <w:p>
            <w:pPr>
              <w:spacing w:after="0" w:line="195" w:lineRule="exact"/>
              <w:rPr>
                <w:sz w:val="20"/>
                <w:szCs w:val="20"/>
                <w:color w:val="auto"/>
              </w:rPr>
            </w:pPr>
            <w:r>
              <w:rPr>
                <w:rFonts w:ascii="Arial" w:cs="Arial" w:eastAsia="Arial" w:hAnsi="Arial"/>
                <w:sz w:val="18"/>
                <w:szCs w:val="18"/>
                <w:color w:val="auto"/>
              </w:rPr>
              <w:t>December 27,</w:t>
            </w:r>
          </w:p>
        </w:tc>
        <w:tc>
          <w:tcPr>
            <w:tcW w:w="134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1000" w:type="dxa"/>
            <w:vAlign w:val="bottom"/>
            <w:gridSpan w:val="2"/>
          </w:tcPr>
          <w:p>
            <w:pPr>
              <w:spacing w:after="0" w:line="195" w:lineRule="exact"/>
              <w:rPr>
                <w:sz w:val="20"/>
                <w:szCs w:val="20"/>
                <w:color w:val="auto"/>
              </w:rPr>
            </w:pPr>
            <w:r>
              <w:rPr>
                <w:rFonts w:ascii="Arial" w:cs="Arial" w:eastAsia="Arial" w:hAnsi="Arial"/>
                <w:sz w:val="18"/>
                <w:szCs w:val="18"/>
                <w:color w:val="auto"/>
                <w:w w:val="86"/>
              </w:rPr>
              <w:t>December 30,</w:t>
            </w:r>
          </w:p>
        </w:tc>
        <w:tc>
          <w:tcPr>
            <w:tcW w:w="80" w:type="dxa"/>
            <w:vAlign w:val="bottom"/>
          </w:tcPr>
          <w:p>
            <w:pPr>
              <w:spacing w:after="0"/>
              <w:rPr>
                <w:sz w:val="16"/>
                <w:szCs w:val="16"/>
                <w:color w:val="auto"/>
              </w:rPr>
            </w:pPr>
          </w:p>
        </w:tc>
      </w:tr>
      <w:tr>
        <w:trPr>
          <w:trHeight w:val="230"/>
        </w:trPr>
        <w:tc>
          <w:tcPr>
            <w:tcW w:w="5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Cash paid (refunded) during the period for: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17,055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14,637</w:t>
            </w: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16,919</w:t>
            </w: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52,335</w:t>
            </w:r>
          </w:p>
        </w:tc>
      </w:tr>
      <w:tr>
        <w:trPr>
          <w:trHeight w:val="202"/>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NON-CASH OPERATING ACTIVITIES: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Assets exchanged for insurance receivable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exchanged for note receivable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purchase price of acquisition exchanged for current payable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8"/>
              </w:rPr>
              <w:t>Deferred purchase price of acquisition exchanged for long-term liability</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exchanged for long-term debt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Note receivable exchanged for property, plant and equipment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Stock acquired through employees’ stock notes receivable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2,225</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Stock received for the exercise of stock options, net</w:t>
            </w:r>
          </w:p>
        </w:tc>
        <w:tc>
          <w:tcPr>
            <w:tcW w:w="2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0" w:name="page51"/>
    <w:bookmarkEnd w:id="50"/>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68" w:right="4799" w:hanging="368"/>
        <w:spacing w:after="0" w:line="456" w:lineRule="auto"/>
        <w:tabs>
          <w:tab w:leader="none" w:pos="39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b w:val="1"/>
          <w:bCs w:val="1"/>
          <w:color w:val="auto"/>
        </w:rPr>
        <w:t>OPERATIONS</w:t>
      </w:r>
    </w:p>
    <w:p>
      <w:pPr>
        <w:spacing w:after="0" w:line="1" w:lineRule="exact"/>
        <w:rPr>
          <w:sz w:val="20"/>
          <w:szCs w:val="20"/>
          <w:color w:val="auto"/>
        </w:rPr>
      </w:pPr>
    </w:p>
    <w:p>
      <w:pPr>
        <w:jc w:val="both"/>
        <w:ind w:left="368" w:right="559"/>
        <w:spacing w:after="0" w:line="255" w:lineRule="auto"/>
        <w:rPr>
          <w:sz w:val="20"/>
          <w:szCs w:val="20"/>
          <w:color w:val="auto"/>
        </w:rPr>
      </w:pPr>
      <w:r>
        <w:rPr>
          <w:rFonts w:ascii="Arial" w:cs="Arial" w:eastAsia="Arial" w:hAnsi="Arial"/>
          <w:sz w:val="18"/>
          <w:szCs w:val="18"/>
          <w:color w:val="auto"/>
        </w:rPr>
        <w:t>We market, manufacture and engineer wood and wood-alternative products for the do-it-yourself/retail (“D-I-Y/retail”) market, structural lumber products for the manufactured housing market, engineered wood components for the site-built construction market, and specialty wood packaging for various markets. We also provide framing services for the site-built construction market and various forms for concrete construction. Our principal products include preservative-treated wood, remanufactured lumber, lattice, fence panels, deck components, specialty packaging, engineered trusses, wall panels, and other building products.</w:t>
      </w:r>
    </w:p>
    <w:p>
      <w:pPr>
        <w:spacing w:after="0" w:line="162" w:lineRule="exact"/>
        <w:rPr>
          <w:sz w:val="20"/>
          <w:szCs w:val="20"/>
          <w:color w:val="auto"/>
        </w:rPr>
      </w:pPr>
    </w:p>
    <w:p>
      <w:pPr>
        <w:ind w:left="368"/>
        <w:spacing w:after="0"/>
        <w:rPr>
          <w:sz w:val="20"/>
          <w:szCs w:val="20"/>
          <w:color w:val="auto"/>
        </w:rPr>
      </w:pPr>
      <w:r>
        <w:rPr>
          <w:rFonts w:ascii="Arial" w:cs="Arial" w:eastAsia="Arial" w:hAnsi="Arial"/>
          <w:sz w:val="18"/>
          <w:szCs w:val="18"/>
          <w:b w:val="1"/>
          <w:bCs w:val="1"/>
          <w:color w:val="auto"/>
        </w:rPr>
        <w:t>PRINCIPLES OF CONSOLIDATION</w:t>
      </w:r>
    </w:p>
    <w:p>
      <w:pPr>
        <w:spacing w:after="0" w:line="189" w:lineRule="exact"/>
        <w:rPr>
          <w:sz w:val="20"/>
          <w:szCs w:val="20"/>
          <w:color w:val="auto"/>
        </w:rPr>
      </w:pPr>
    </w:p>
    <w:p>
      <w:pPr>
        <w:jc w:val="both"/>
        <w:ind w:left="368" w:right="559"/>
        <w:spacing w:after="0" w:line="264" w:lineRule="auto"/>
        <w:rPr>
          <w:sz w:val="20"/>
          <w:szCs w:val="20"/>
          <w:color w:val="auto"/>
        </w:rPr>
      </w:pPr>
      <w:r>
        <w:rPr>
          <w:rFonts w:ascii="Arial" w:cs="Arial" w:eastAsia="Arial" w:hAnsi="Arial"/>
          <w:sz w:val="18"/>
          <w:szCs w:val="18"/>
          <w:color w:val="auto"/>
        </w:rPr>
        <w:t>The consolidated financial statements include our accounts and those of our wholly-owned and majority-owned subsidiaries and partnerships. In addition, we consolidate 50% owned entities over which we exercise control. Intercompany transactions and balances have been eliminated.</w:t>
      </w:r>
    </w:p>
    <w:p>
      <w:pPr>
        <w:spacing w:after="0" w:line="137" w:lineRule="exact"/>
        <w:rPr>
          <w:sz w:val="20"/>
          <w:szCs w:val="20"/>
          <w:color w:val="auto"/>
        </w:rPr>
      </w:pPr>
    </w:p>
    <w:p>
      <w:pPr>
        <w:ind w:left="368"/>
        <w:spacing w:after="0"/>
        <w:rPr>
          <w:sz w:val="20"/>
          <w:szCs w:val="20"/>
          <w:color w:val="auto"/>
        </w:rPr>
      </w:pPr>
      <w:r>
        <w:rPr>
          <w:rFonts w:ascii="Arial" w:cs="Arial" w:eastAsia="Arial" w:hAnsi="Arial"/>
          <w:sz w:val="18"/>
          <w:szCs w:val="18"/>
          <w:b w:val="1"/>
          <w:bCs w:val="1"/>
          <w:color w:val="auto"/>
        </w:rPr>
        <w:t>MINORITY INTEREST IN SUBSIDIARIES</w:t>
      </w:r>
    </w:p>
    <w:p>
      <w:pPr>
        <w:spacing w:after="0" w:line="202" w:lineRule="exact"/>
        <w:rPr>
          <w:sz w:val="20"/>
          <w:szCs w:val="20"/>
          <w:color w:val="auto"/>
        </w:rPr>
      </w:pPr>
    </w:p>
    <w:p>
      <w:pPr>
        <w:jc w:val="both"/>
        <w:ind w:left="368" w:right="559"/>
        <w:spacing w:after="0" w:line="312" w:lineRule="auto"/>
        <w:rPr>
          <w:sz w:val="20"/>
          <w:szCs w:val="20"/>
          <w:color w:val="auto"/>
        </w:rPr>
      </w:pPr>
      <w:r>
        <w:rPr>
          <w:rFonts w:ascii="Arial" w:cs="Arial" w:eastAsia="Arial" w:hAnsi="Arial"/>
          <w:sz w:val="16"/>
          <w:szCs w:val="16"/>
          <w:color w:val="auto"/>
        </w:rPr>
        <w:t>Minority interest in results of operations of consolidated subsidiaries represents the minority shareholders’ share of the income or loss of various consolidated subsidiaries. The minority interest reflects the original investment by these minority shareholders combined with their proportional share of the earnings or losses of these subsidiaries, net of distributions paid.</w:t>
      </w:r>
    </w:p>
    <w:p>
      <w:pPr>
        <w:spacing w:after="0" w:line="102" w:lineRule="exact"/>
        <w:rPr>
          <w:sz w:val="20"/>
          <w:szCs w:val="20"/>
          <w:color w:val="auto"/>
        </w:rPr>
      </w:pPr>
    </w:p>
    <w:p>
      <w:pPr>
        <w:ind w:left="368"/>
        <w:spacing w:after="0"/>
        <w:rPr>
          <w:sz w:val="20"/>
          <w:szCs w:val="20"/>
          <w:color w:val="auto"/>
        </w:rPr>
      </w:pPr>
      <w:r>
        <w:rPr>
          <w:rFonts w:ascii="Arial" w:cs="Arial" w:eastAsia="Arial" w:hAnsi="Arial"/>
          <w:sz w:val="18"/>
          <w:szCs w:val="18"/>
          <w:b w:val="1"/>
          <w:bCs w:val="1"/>
          <w:color w:val="auto"/>
        </w:rPr>
        <w:t>FISCAL YEAR</w:t>
      </w:r>
    </w:p>
    <w:p>
      <w:pPr>
        <w:spacing w:after="0" w:line="189" w:lineRule="exact"/>
        <w:rPr>
          <w:sz w:val="20"/>
          <w:szCs w:val="20"/>
          <w:color w:val="auto"/>
        </w:rPr>
      </w:pPr>
    </w:p>
    <w:p>
      <w:pPr>
        <w:jc w:val="both"/>
        <w:ind w:left="368" w:right="559"/>
        <w:spacing w:after="0" w:line="264" w:lineRule="auto"/>
        <w:rPr>
          <w:sz w:val="20"/>
          <w:szCs w:val="20"/>
          <w:color w:val="auto"/>
        </w:rPr>
      </w:pPr>
      <w:r>
        <w:rPr>
          <w:rFonts w:ascii="Arial" w:cs="Arial" w:eastAsia="Arial" w:hAnsi="Arial"/>
          <w:sz w:val="18"/>
          <w:szCs w:val="18"/>
          <w:color w:val="auto"/>
        </w:rPr>
        <w:t>Our fiscal year is a 52 or 53 week period, ending on the last Saturday of December. Unless otherwise stated, references to 2008, 2007, and 2006 relate to the fiscal years ended December 27, 2008, December 29, 2007, and December 30, 2006, respectively. Fiscal years 2008, 2007 and 2006 were comprised of 52 weeks.</w:t>
      </w:r>
    </w:p>
    <w:p>
      <w:pPr>
        <w:spacing w:after="0" w:line="150" w:lineRule="exact"/>
        <w:rPr>
          <w:sz w:val="20"/>
          <w:szCs w:val="20"/>
          <w:color w:val="auto"/>
        </w:rPr>
      </w:pPr>
    </w:p>
    <w:p>
      <w:pPr>
        <w:ind w:left="368"/>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189" w:lineRule="exact"/>
        <w:rPr>
          <w:sz w:val="20"/>
          <w:szCs w:val="20"/>
          <w:color w:val="auto"/>
        </w:rPr>
      </w:pPr>
    </w:p>
    <w:p>
      <w:pPr>
        <w:jc w:val="both"/>
        <w:ind w:left="368" w:right="559"/>
        <w:spacing w:after="0" w:line="291" w:lineRule="auto"/>
        <w:rPr>
          <w:sz w:val="20"/>
          <w:szCs w:val="20"/>
          <w:color w:val="auto"/>
        </w:rPr>
      </w:pPr>
      <w:r>
        <w:rPr>
          <w:rFonts w:ascii="Arial" w:cs="Arial" w:eastAsia="Arial" w:hAnsi="Arial"/>
          <w:sz w:val="16"/>
          <w:szCs w:val="16"/>
          <w:color w:val="auto"/>
        </w:rPr>
        <w:t xml:space="preserve">The estimated fair values of financial instruments have been determined in accordance with Statement of Financial Accounting Standards (“SFAS”)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xml:space="preserve"> Significant differences in fair market values and recorded values are disclosed in Note E. The estimated fair value amounts have been determined using available market information and appropriate valuation methodologies. However, considerable judgment is required in interpreting market data to develop the estimates of fair value. Accordingly, the estimates presented herein are not necessarily indicative of the amounts that we could realize in a current market exchange. The use of different market assumptions and/or estimation methodologies may have a material effect on the estimated fair value amounts.</w:t>
      </w:r>
    </w:p>
    <w:p>
      <w:pPr>
        <w:spacing w:after="0" w:line="200" w:lineRule="exact"/>
        <w:rPr>
          <w:sz w:val="20"/>
          <w:szCs w:val="20"/>
          <w:color w:val="auto"/>
        </w:rPr>
      </w:pPr>
    </w:p>
    <w:p>
      <w:pPr>
        <w:spacing w:after="0" w:line="332"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51" w:name="page52"/>
    <w:bookmarkEnd w:id="51"/>
    <w:p>
      <w:pPr>
        <w:jc w:val="center"/>
        <w:ind w:right="9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fair value estimates presented herein are based on pertinent information available to management as of December 27, 2008. Although we are not aware of any factors that would significantly affect the estimated fair value amounts, such amounts have not been comprehensively revalued for purposes of these financial statements since that date, and current estimates of fair value may differ significantly from the amounts presented 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Cash and cash equivalents consist of cash and highly-liquid investments purchased with an original maturity of three months or less. Cash equivalents totaled approximately $0.1 million and $33.8 million as of December 27, 2008 and December 29, 2007, respectively.</w:t>
      </w:r>
    </w:p>
    <w:p>
      <w:pPr>
        <w:spacing w:after="0" w:line="154"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As a result of our cash management system, checks issued but not presented to our bank for payment create negative cash balances. These negative balances are included in accounts payable and accrued liabilities and totaled $18.2 million and $21.3 million as of December 27, 2008 and December 29, 2007,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ALLOWANCES</w:t>
      </w:r>
    </w:p>
    <w:p>
      <w:pPr>
        <w:spacing w:after="0" w:line="189"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We base our allowances related to receivables on historical credit and collections experience,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 Collections of amounts previously written off are recorded as an increase to the allowance.</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1" w:right="1440" w:bottom="1440" w:gutter="0" w:footer="0" w:header="0"/>
        </w:sectPr>
      </w:pPr>
    </w:p>
    <w:bookmarkStart w:id="52" w:name="page53"/>
    <w:bookmarkEnd w:id="52"/>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7420" w:type="dxa"/>
            <w:vAlign w:val="bottom"/>
            <w:gridSpan w:val="11"/>
          </w:tcPr>
          <w:p>
            <w:pPr>
              <w:ind w:left="360"/>
              <w:spacing w:after="0"/>
              <w:rPr>
                <w:sz w:val="20"/>
                <w:szCs w:val="20"/>
                <w:color w:val="auto"/>
              </w:rPr>
            </w:pPr>
            <w:r>
              <w:rPr>
                <w:rFonts w:ascii="Arial" w:cs="Arial" w:eastAsia="Arial" w:hAnsi="Arial"/>
                <w:sz w:val="18"/>
                <w:szCs w:val="18"/>
                <w:color w:val="auto"/>
                <w:w w:val="94"/>
              </w:rPr>
              <w:t>The following table presents the activity in our accounts receivable allowances (in thousands):</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Additions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Charged to</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Beginning</w:t>
            </w:r>
          </w:p>
        </w:tc>
        <w:tc>
          <w:tcPr>
            <w:tcW w:w="12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Costs and</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Ending</w:t>
            </w: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Expenses</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Deductions*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Collections</w:t>
            </w: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Balance</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27, 2008:</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080" w:type="dxa"/>
            <w:vAlign w:val="bottom"/>
          </w:tcPr>
          <w:p>
            <w:pPr>
              <w:ind w:left="200"/>
              <w:spacing w:after="0" w:line="201" w:lineRule="exact"/>
              <w:rPr>
                <w:sz w:val="20"/>
                <w:szCs w:val="20"/>
                <w:color w:val="auto"/>
              </w:rPr>
            </w:pPr>
            <w:r>
              <w:rPr>
                <w:rFonts w:ascii="Arial" w:cs="Arial" w:eastAsia="Arial" w:hAnsi="Arial"/>
                <w:sz w:val="18"/>
                <w:szCs w:val="18"/>
                <w:color w:val="auto"/>
              </w:rPr>
              <w:t>Allowance for possible losses 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08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2,403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24,734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(25,453)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2,440</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2007: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080" w:type="dxa"/>
            <w:vAlign w:val="bottom"/>
          </w:tcPr>
          <w:p>
            <w:pPr>
              <w:ind w:left="200"/>
              <w:spacing w:after="0" w:line="201" w:lineRule="exact"/>
              <w:rPr>
                <w:sz w:val="20"/>
                <w:szCs w:val="20"/>
                <w:color w:val="auto"/>
              </w:rPr>
            </w:pPr>
            <w:r>
              <w:rPr>
                <w:rFonts w:ascii="Arial" w:cs="Arial" w:eastAsia="Arial" w:hAnsi="Arial"/>
                <w:sz w:val="18"/>
                <w:szCs w:val="18"/>
                <w:color w:val="auto"/>
              </w:rPr>
              <w:t>Allowance for possible losses 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08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3,576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23,686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(25,374)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2,403</w:t>
            </w: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2006: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080" w:type="dxa"/>
            <w:vAlign w:val="bottom"/>
          </w:tcPr>
          <w:p>
            <w:pPr>
              <w:ind w:left="200"/>
              <w:spacing w:after="0" w:line="201" w:lineRule="exact"/>
              <w:rPr>
                <w:sz w:val="20"/>
                <w:szCs w:val="20"/>
                <w:color w:val="auto"/>
              </w:rPr>
            </w:pPr>
            <w:r>
              <w:rPr>
                <w:rFonts w:ascii="Arial" w:cs="Arial" w:eastAsia="Arial" w:hAnsi="Arial"/>
                <w:sz w:val="18"/>
                <w:szCs w:val="18"/>
                <w:color w:val="auto"/>
              </w:rPr>
              <w:t>Allowance for possible losses 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08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3,396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23,787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(23,975)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3,576</w:t>
            </w:r>
          </w:p>
        </w:tc>
      </w:tr>
    </w:tbl>
    <w:p>
      <w:pPr>
        <w:spacing w:after="0" w:line="107" w:lineRule="exact"/>
        <w:rPr>
          <w:sz w:val="20"/>
          <w:szCs w:val="20"/>
          <w:color w:val="auto"/>
        </w:rPr>
      </w:pPr>
    </w:p>
    <w:p>
      <w:pPr>
        <w:ind w:left="348" w:hanging="348"/>
        <w:spacing w:after="0"/>
        <w:tabs>
          <w:tab w:leader="none" w:pos="3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accounts charged off, discounts given to customers and actual customer returns and allowances.</w:t>
      </w:r>
    </w:p>
    <w:p>
      <w:pPr>
        <w:spacing w:after="0" w:line="185" w:lineRule="exact"/>
        <w:rPr>
          <w:sz w:val="20"/>
          <w:szCs w:val="20"/>
          <w:color w:val="auto"/>
        </w:rPr>
      </w:pPr>
    </w:p>
    <w:p>
      <w:pPr>
        <w:jc w:val="both"/>
        <w:ind w:left="368" w:right="559"/>
        <w:spacing w:after="0" w:line="277" w:lineRule="auto"/>
        <w:rPr>
          <w:sz w:val="20"/>
          <w:szCs w:val="20"/>
          <w:color w:val="auto"/>
        </w:rPr>
      </w:pPr>
      <w:r>
        <w:rPr>
          <w:rFonts w:ascii="Arial" w:cs="Arial" w:eastAsia="Arial" w:hAnsi="Arial"/>
          <w:sz w:val="18"/>
          <w:szCs w:val="18"/>
          <w:color w:val="auto"/>
        </w:rPr>
        <w:t>We record estimated sales returns, discounts, and other applicable adjustments as a reduction of net sales in the same period revenue is recognized.</w:t>
      </w:r>
    </w:p>
    <w:p>
      <w:pPr>
        <w:spacing w:after="0" w:line="126" w:lineRule="exact"/>
        <w:rPr>
          <w:sz w:val="20"/>
          <w:szCs w:val="20"/>
          <w:color w:val="auto"/>
        </w:rPr>
      </w:pPr>
    </w:p>
    <w:p>
      <w:pPr>
        <w:ind w:left="368"/>
        <w:spacing w:after="0"/>
        <w:rPr>
          <w:sz w:val="20"/>
          <w:szCs w:val="20"/>
          <w:color w:val="auto"/>
        </w:rPr>
      </w:pPr>
      <w:r>
        <w:rPr>
          <w:rFonts w:ascii="Arial" w:cs="Arial" w:eastAsia="Arial" w:hAnsi="Arial"/>
          <w:sz w:val="18"/>
          <w:szCs w:val="18"/>
          <w:b w:val="1"/>
          <w:bCs w:val="1"/>
          <w:color w:val="auto"/>
        </w:rPr>
        <w:t>INVENTORIES</w:t>
      </w:r>
    </w:p>
    <w:p>
      <w:pPr>
        <w:spacing w:after="0" w:line="202" w:lineRule="exact"/>
        <w:rPr>
          <w:sz w:val="20"/>
          <w:szCs w:val="20"/>
          <w:color w:val="auto"/>
        </w:rPr>
      </w:pPr>
    </w:p>
    <w:p>
      <w:pPr>
        <w:jc w:val="both"/>
        <w:ind w:left="368" w:right="559"/>
        <w:spacing w:after="0" w:line="259" w:lineRule="auto"/>
        <w:rPr>
          <w:sz w:val="20"/>
          <w:szCs w:val="20"/>
          <w:color w:val="auto"/>
        </w:rPr>
      </w:pPr>
      <w:r>
        <w:rPr>
          <w:rFonts w:ascii="Arial" w:cs="Arial" w:eastAsia="Arial" w:hAnsi="Arial"/>
          <w:sz w:val="18"/>
          <w:szCs w:val="18"/>
          <w:color w:val="auto"/>
        </w:rPr>
        <w:t>Inventories are stated at the lower of cost or market. The cost of inventories includes raw materials, direct labor, and manufacturing overhead. Cost is determined on a weighted average basis. Raw materials consist primarily of unfinished wood products expected to be manufactured or treated prior to sale, while finished goods represent various manufactured and treated wood products ready for sale.</w:t>
      </w:r>
    </w:p>
    <w:p>
      <w:pPr>
        <w:spacing w:after="0" w:line="142" w:lineRule="exact"/>
        <w:rPr>
          <w:sz w:val="20"/>
          <w:szCs w:val="20"/>
          <w:color w:val="auto"/>
        </w:rPr>
      </w:pPr>
    </w:p>
    <w:p>
      <w:pPr>
        <w:ind w:left="368"/>
        <w:spacing w:after="0"/>
        <w:rPr>
          <w:sz w:val="20"/>
          <w:szCs w:val="20"/>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jc w:val="both"/>
        <w:ind w:left="368" w:right="559"/>
        <w:spacing w:after="0" w:line="279" w:lineRule="auto"/>
        <w:rPr>
          <w:sz w:val="20"/>
          <w:szCs w:val="20"/>
          <w:color w:val="auto"/>
        </w:rPr>
      </w:pPr>
      <w:r>
        <w:rPr>
          <w:rFonts w:ascii="Arial" w:cs="Arial" w:eastAsia="Arial" w:hAnsi="Arial"/>
          <w:sz w:val="17"/>
          <w:szCs w:val="17"/>
          <w:color w:val="auto"/>
        </w:rPr>
        <w:t>Property, plant, and equipment are stated at cost. Expenditures for renewals and betterments are capitalized, and maintenance and repairs are expensed as incurred. Amortization of assets held under capital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186"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700" w:type="dxa"/>
            <w:vAlign w:val="bottom"/>
          </w:tcPr>
          <w:p>
            <w:pPr>
              <w:jc w:val="right"/>
              <w:spacing w:after="0"/>
              <w:rPr>
                <w:sz w:val="20"/>
                <w:szCs w:val="20"/>
                <w:color w:val="auto"/>
              </w:rPr>
            </w:pPr>
            <w:r>
              <w:rPr>
                <w:rFonts w:ascii="Arial" w:cs="Arial" w:eastAsia="Arial" w:hAnsi="Arial"/>
                <w:sz w:val="18"/>
                <w:szCs w:val="18"/>
                <w:color w:val="auto"/>
              </w:rPr>
              <w:t>15 to 31.5 years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office furniture</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 years</w:t>
            </w:r>
          </w:p>
        </w:tc>
      </w:tr>
    </w:tbl>
    <w:p>
      <w:pPr>
        <w:spacing w:after="0" w:line="171" w:lineRule="exact"/>
        <w:rPr>
          <w:sz w:val="20"/>
          <w:szCs w:val="20"/>
          <w:color w:val="auto"/>
        </w:rPr>
      </w:pPr>
    </w:p>
    <w:p>
      <w:pPr>
        <w:ind w:left="368"/>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jc w:val="both"/>
        <w:ind w:left="368" w:right="559"/>
        <w:spacing w:after="0" w:line="264" w:lineRule="auto"/>
        <w:rPr>
          <w:sz w:val="20"/>
          <w:szCs w:val="20"/>
          <w:color w:val="auto"/>
        </w:rPr>
      </w:pPr>
      <w:r>
        <w:rPr>
          <w:rFonts w:ascii="Arial" w:cs="Arial" w:eastAsia="Arial" w:hAnsi="Arial"/>
          <w:sz w:val="18"/>
          <w:szCs w:val="18"/>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w:t>
      </w:r>
    </w:p>
    <w:p>
      <w:pPr>
        <w:spacing w:after="0" w:line="200" w:lineRule="exact"/>
        <w:rPr>
          <w:sz w:val="20"/>
          <w:szCs w:val="20"/>
          <w:color w:val="auto"/>
        </w:rPr>
      </w:pPr>
    </w:p>
    <w:p>
      <w:pPr>
        <w:spacing w:after="0" w:line="346"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53" w:name="page54"/>
    <w:bookmarkEnd w:id="53"/>
    <w:p>
      <w:pPr>
        <w:jc w:val="center"/>
        <w:ind w:right="9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RESERVES</w:t>
      </w:r>
    </w:p>
    <w:p>
      <w:pPr>
        <w:spacing w:after="0" w:line="189" w:lineRule="exact"/>
        <w:rPr>
          <w:sz w:val="20"/>
          <w:szCs w:val="20"/>
          <w:color w:val="auto"/>
        </w:rPr>
      </w:pPr>
    </w:p>
    <w:p>
      <w:pPr>
        <w:jc w:val="both"/>
        <w:ind w:right="559"/>
        <w:spacing w:after="0" w:line="271"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 wholly-owned insurance captive; the related assets and liabilities of which are included in the consolidated financial statements as of December 27, 2008 and December 29, 2007.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right="559"/>
        <w:spacing w:after="0" w:line="276" w:lineRule="auto"/>
        <w:rPr>
          <w:sz w:val="20"/>
          <w:szCs w:val="20"/>
          <w:color w:val="auto"/>
        </w:rPr>
      </w:pPr>
      <w:r>
        <w:rPr>
          <w:rFonts w:ascii="Arial" w:cs="Arial" w:eastAsia="Arial" w:hAnsi="Arial"/>
          <w:sz w:val="17"/>
          <w:szCs w:val="17"/>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tax assets to the amounts expected to be realized. Income tax expense is the tax payable or refundable for the period plus or minus the change during the period in deferred tax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54" w:lineRule="exact"/>
        <w:rPr>
          <w:sz w:val="20"/>
          <w:szCs w:val="20"/>
          <w:color w:val="auto"/>
        </w:rPr>
      </w:pPr>
    </w:p>
    <w:p>
      <w:pPr>
        <w:jc w:val="both"/>
        <w:ind w:right="559"/>
        <w:spacing w:after="0" w:line="288" w:lineRule="auto"/>
        <w:rPr>
          <w:sz w:val="20"/>
          <w:szCs w:val="20"/>
          <w:color w:val="auto"/>
        </w:rPr>
      </w:pPr>
      <w:r>
        <w:rPr>
          <w:rFonts w:ascii="Arial" w:cs="Arial" w:eastAsia="Arial" w:hAnsi="Arial"/>
          <w:sz w:val="16"/>
          <w:szCs w:val="16"/>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200" w:lineRule="exact"/>
        <w:rPr>
          <w:sz w:val="20"/>
          <w:szCs w:val="20"/>
          <w:color w:val="auto"/>
        </w:rPr>
      </w:pPr>
    </w:p>
    <w:p>
      <w:pPr>
        <w:spacing w:after="0" w:line="32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2" w:right="1440" w:bottom="1440" w:gutter="0" w:footer="0" w:header="0"/>
        </w:sectPr>
      </w:pPr>
    </w:p>
    <w:bookmarkStart w:id="54" w:name="page55"/>
    <w:bookmarkEnd w:id="54"/>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60" w:right="559"/>
        <w:spacing w:after="0" w:line="308" w:lineRule="auto"/>
        <w:rPr>
          <w:sz w:val="20"/>
          <w:szCs w:val="20"/>
          <w:color w:val="auto"/>
        </w:rPr>
      </w:pPr>
      <w:r>
        <w:rPr>
          <w:rFonts w:ascii="Arial" w:cs="Arial" w:eastAsia="Arial" w:hAnsi="Arial"/>
          <w:sz w:val="17"/>
          <w:szCs w:val="17"/>
          <w:color w:val="auto"/>
        </w:rPr>
        <w:t>The following table presents the balances of percentage-of-completion accounts on December 27, 2008 and December 29, 2007 which are included in other current assets and other accrued liabilities, respectively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5,882</w:t>
            </w: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8,568</w:t>
            </w:r>
          </w:p>
        </w:tc>
      </w:tr>
    </w:tbl>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SHIPPING AND HANDLING OF PRODUCT</w:t>
      </w:r>
    </w:p>
    <w:p>
      <w:pPr>
        <w:spacing w:after="0" w:line="189" w:lineRule="exact"/>
        <w:rPr>
          <w:sz w:val="20"/>
          <w:szCs w:val="20"/>
          <w:color w:val="auto"/>
        </w:rPr>
      </w:pPr>
    </w:p>
    <w:p>
      <w:pPr>
        <w:jc w:val="both"/>
        <w:ind w:left="360" w:right="559"/>
        <w:spacing w:after="0" w:line="277" w:lineRule="auto"/>
        <w:rPr>
          <w:sz w:val="20"/>
          <w:szCs w:val="20"/>
          <w:color w:val="auto"/>
        </w:rPr>
      </w:pPr>
      <w:r>
        <w:rPr>
          <w:rFonts w:ascii="Arial" w:cs="Arial" w:eastAsia="Arial" w:hAnsi="Arial"/>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LONG-LIVED ASSETS</w:t>
      </w:r>
    </w:p>
    <w:p>
      <w:pPr>
        <w:spacing w:after="0" w:line="189" w:lineRule="exact"/>
        <w:rPr>
          <w:sz w:val="20"/>
          <w:szCs w:val="20"/>
          <w:color w:val="auto"/>
        </w:rPr>
      </w:pPr>
    </w:p>
    <w:p>
      <w:pPr>
        <w:jc w:val="both"/>
        <w:ind w:left="360" w:right="559"/>
        <w:spacing w:after="0" w:line="257" w:lineRule="auto"/>
        <w:rPr>
          <w:sz w:val="20"/>
          <w:szCs w:val="20"/>
          <w:color w:val="auto"/>
        </w:rPr>
      </w:pPr>
      <w:r>
        <w:rPr>
          <w:rFonts w:ascii="Arial" w:cs="Arial" w:eastAsia="Arial" w:hAnsi="Arial"/>
          <w:sz w:val="18"/>
          <w:szCs w:val="18"/>
          <w:color w:val="auto"/>
        </w:rPr>
        <w:t xml:space="preserve">In accordance with SFAS No. 144, </w:t>
      </w:r>
      <w:r>
        <w:rPr>
          <w:rFonts w:ascii="Arial" w:cs="Arial" w:eastAsia="Arial" w:hAnsi="Arial"/>
          <w:sz w:val="18"/>
          <w:szCs w:val="18"/>
          <w:i w:val="1"/>
          <w:iCs w:val="1"/>
          <w:color w:val="auto"/>
        </w:rPr>
        <w:t>Accounting for the Impairment and Disposal of Long-Lived Assets</w:t>
      </w:r>
      <w:r>
        <w:rPr>
          <w:rFonts w:ascii="Arial" w:cs="Arial" w:eastAsia="Arial" w:hAnsi="Arial"/>
          <w:sz w:val="18"/>
          <w:szCs w:val="18"/>
          <w:color w:val="auto"/>
        </w:rPr>
        <w:t xml:space="preserve"> (“SFAS No. 144”),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jc w:val="both"/>
        <w:ind w:left="360" w:right="559"/>
        <w:spacing w:after="0" w:line="259" w:lineRule="auto"/>
        <w:rPr>
          <w:sz w:val="20"/>
          <w:szCs w:val="20"/>
          <w:color w:val="auto"/>
        </w:rPr>
      </w:pPr>
      <w:r>
        <w:rPr>
          <w:rFonts w:ascii="Arial" w:cs="Arial" w:eastAsia="Arial" w:hAnsi="Arial"/>
          <w:sz w:val="18"/>
          <w:szCs w:val="18"/>
          <w:color w:val="auto"/>
        </w:rPr>
        <w:t>Basic earnings per share (“EPS”) is calculated based on the weighted average number of common shares outstanding during the periods presented. Diluted EPS is calculated based on the weighted average number of common and common equivalent shares outstanding during the periods presented, giving effect to stock options granted (see Note J) utilizing the “treasury stock” method.</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5" w:name="page56"/>
    <w:bookmarkEnd w:id="55"/>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60" w:right="559"/>
        <w:spacing w:after="0" w:line="277" w:lineRule="auto"/>
        <w:rPr>
          <w:sz w:val="20"/>
          <w:szCs w:val="20"/>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2007</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2006</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ind w:right="68"/>
              <w:spacing w:after="0" w:line="123" w:lineRule="exact"/>
              <w:rPr>
                <w:sz w:val="20"/>
                <w:szCs w:val="20"/>
                <w:color w:val="auto"/>
              </w:rPr>
            </w:pPr>
            <w:r>
              <w:rPr>
                <w:rFonts w:ascii="Arial" w:cs="Arial" w:eastAsia="Arial" w:hAnsi="Arial"/>
                <w:sz w:val="14"/>
                <w:szCs w:val="14"/>
                <w:color w:val="auto"/>
              </w:rPr>
              <w:t>Per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8"/>
              <w:spacing w:after="0" w:line="123" w:lineRule="exact"/>
              <w:rPr>
                <w:sz w:val="20"/>
                <w:szCs w:val="20"/>
                <w:color w:val="auto"/>
              </w:rPr>
            </w:pPr>
            <w:r>
              <w:rPr>
                <w:rFonts w:ascii="Arial" w:cs="Arial" w:eastAsia="Arial" w:hAnsi="Arial"/>
                <w:sz w:val="14"/>
                <w:szCs w:val="14"/>
                <w:color w:val="auto"/>
                <w:w w:val="91"/>
              </w:rPr>
              <w:t>Per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8"/>
              <w:spacing w:after="0" w:line="123" w:lineRule="exact"/>
              <w:rPr>
                <w:sz w:val="20"/>
                <w:szCs w:val="20"/>
                <w:color w:val="auto"/>
              </w:rPr>
            </w:pPr>
            <w:r>
              <w:rPr>
                <w:rFonts w:ascii="Arial" w:cs="Arial" w:eastAsia="Arial" w:hAnsi="Arial"/>
                <w:sz w:val="14"/>
                <w:szCs w:val="14"/>
                <w:color w:val="auto"/>
                <w:w w:val="91"/>
              </w:rPr>
              <w:t>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Income</w:t>
            </w: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Shares</w:t>
            </w:r>
          </w:p>
        </w:tc>
        <w:tc>
          <w:tcPr>
            <w:tcW w:w="6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5"/>
              </w:rPr>
              <w:t>Share</w:t>
            </w: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5"/>
              </w:rPr>
              <w:t>Income</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6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Share</w:t>
            </w: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5"/>
              </w:rPr>
              <w:t>Income</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2"/>
                <w:szCs w:val="12"/>
                <w:color w:val="auto"/>
              </w:rPr>
            </w:pPr>
          </w:p>
        </w:tc>
        <w:tc>
          <w:tcPr>
            <w:tcW w:w="4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67"/>
        </w:trPr>
        <w:tc>
          <w:tcPr>
            <w:tcW w:w="140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(Numerator)</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(Denominator)</w:t>
            </w:r>
          </w:p>
        </w:tc>
        <w:tc>
          <w:tcPr>
            <w:tcW w:w="680" w:type="dxa"/>
            <w:vAlign w:val="bottom"/>
            <w:gridSpan w:val="3"/>
          </w:tcPr>
          <w:p>
            <w:pPr>
              <w:spacing w:after="0"/>
              <w:rPr>
                <w:sz w:val="20"/>
                <w:szCs w:val="20"/>
                <w:color w:val="auto"/>
              </w:rPr>
            </w:pPr>
            <w:r>
              <w:rPr>
                <w:rFonts w:ascii="Arial" w:cs="Arial" w:eastAsia="Arial" w:hAnsi="Arial"/>
                <w:sz w:val="14"/>
                <w:szCs w:val="14"/>
                <w:color w:val="auto"/>
              </w:rPr>
              <w:t>Amount</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w w:val="92"/>
              </w:rPr>
              <w:t>(Numerator)</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(Denominator)</w:t>
            </w:r>
          </w:p>
        </w:tc>
        <w:tc>
          <w:tcPr>
            <w:tcW w:w="700" w:type="dxa"/>
            <w:vAlign w:val="bottom"/>
            <w:gridSpan w:val="3"/>
          </w:tcPr>
          <w:p>
            <w:pPr>
              <w:spacing w:after="0"/>
              <w:rPr>
                <w:sz w:val="20"/>
                <w:szCs w:val="20"/>
                <w:color w:val="auto"/>
              </w:rPr>
            </w:pPr>
            <w:r>
              <w:rPr>
                <w:rFonts w:ascii="Arial" w:cs="Arial" w:eastAsia="Arial" w:hAnsi="Arial"/>
                <w:sz w:val="14"/>
                <w:szCs w:val="14"/>
                <w:color w:val="auto"/>
              </w:rPr>
              <w:t>Amount</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(Numerator)</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(Denominator)</w:t>
            </w:r>
          </w:p>
        </w:tc>
        <w:tc>
          <w:tcPr>
            <w:tcW w:w="5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Earnings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4,343</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21,045</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70,125</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14"/>
                <w:szCs w:val="14"/>
                <w:b w:val="1"/>
                <w:bCs w:val="1"/>
                <w:color w:val="auto"/>
              </w:rPr>
              <w:t>EPS — Basic</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Income available to</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4,343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19,074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21,045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19,056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70,125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18,820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Effect of Dilutive</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4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4"/>
                <w:szCs w:val="14"/>
                <w:b w:val="1"/>
                <w:bCs w:val="1"/>
                <w:color w:val="auto"/>
              </w:rPr>
              <w:t>EPS — Diluted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Income available to</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stockholders and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assumed options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4,343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19,225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21,045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19,362</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70,125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19,370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60" w:right="559"/>
        <w:spacing w:after="0" w:line="312" w:lineRule="auto"/>
        <w:rPr>
          <w:sz w:val="20"/>
          <w:szCs w:val="20"/>
          <w:color w:val="auto"/>
        </w:rPr>
      </w:pPr>
      <w:r>
        <w:rPr>
          <w:rFonts w:ascii="Arial" w:cs="Arial" w:eastAsia="Arial" w:hAnsi="Arial"/>
          <w:sz w:val="16"/>
          <w:szCs w:val="16"/>
          <w:color w:val="auto"/>
        </w:rPr>
        <w:t>Options to purchase 230,000 shares of common stock at exercise prices ranging from $22.88 to $36.01 were outstanding as of December 27, 2008, but were not included in the computation of diluted EPS because the options’ exercise prices were greater than the average market price of the common stock during the period and, therefore, would be antidilutive.</w:t>
      </w:r>
    </w:p>
    <w:p>
      <w:pPr>
        <w:spacing w:after="0" w:line="106" w:lineRule="exact"/>
        <w:rPr>
          <w:sz w:val="20"/>
          <w:szCs w:val="20"/>
          <w:color w:val="auto"/>
        </w:rPr>
      </w:pPr>
    </w:p>
    <w:p>
      <w:pPr>
        <w:jc w:val="both"/>
        <w:ind w:left="360" w:right="559"/>
        <w:spacing w:after="0" w:line="312" w:lineRule="auto"/>
        <w:rPr>
          <w:sz w:val="20"/>
          <w:szCs w:val="20"/>
          <w:color w:val="auto"/>
        </w:rPr>
      </w:pPr>
      <w:r>
        <w:rPr>
          <w:rFonts w:ascii="Arial" w:cs="Arial" w:eastAsia="Arial" w:hAnsi="Arial"/>
          <w:sz w:val="16"/>
          <w:szCs w:val="16"/>
          <w:color w:val="auto"/>
        </w:rPr>
        <w:t>Options to purchase 30,000 shares of common stock at exercise prices ranging from $31.11 to $36.01 were outstanding as of December 29, 2007, but were not included in the computation of diluted EPS because the options’ exercise prices were greater than the average market price of the common stock during the period and, therefore, would be antidilutive.</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outstanding options were excluded from the computation of diluted EPS as of December 30, 2006.</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USE OF ACCOUNTING ESTIMATES</w:t>
      </w:r>
    </w:p>
    <w:p>
      <w:pPr>
        <w:spacing w:after="0" w:line="189" w:lineRule="exact"/>
        <w:rPr>
          <w:sz w:val="20"/>
          <w:szCs w:val="20"/>
          <w:color w:val="auto"/>
        </w:rPr>
      </w:pPr>
    </w:p>
    <w:p>
      <w:pPr>
        <w:jc w:val="both"/>
        <w:ind w:left="360" w:right="559"/>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6" w:name="page57"/>
    <w:bookmarkEnd w:id="56"/>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jc w:val="both"/>
        <w:ind w:left="360" w:right="559"/>
        <w:spacing w:after="0" w:line="287" w:lineRule="auto"/>
        <w:rPr>
          <w:sz w:val="20"/>
          <w:szCs w:val="20"/>
          <w:color w:val="auto"/>
        </w:rPr>
      </w:pPr>
      <w:r>
        <w:rPr>
          <w:rFonts w:ascii="Arial" w:cs="Arial" w:eastAsia="Arial" w:hAnsi="Arial"/>
          <w:sz w:val="16"/>
          <w:szCs w:val="16"/>
          <w:color w:val="auto"/>
        </w:rPr>
        <w:t xml:space="preserve">Effective at the beginning of the fiscal year ending December 27, 2008, we adopted SFAS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(“SFAS No. 157”). This new standard establishes a framework for measuring the fair value of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This framework is intended to provide increased consistency in how fair value determinations are made under various existing accounting standards which permit, or in some cases require, estimates of fair market value. SFAS No. 157 also expands financial statement disclosure requirements about a company’s use of fair value measurements, including the effect of such measures on earnings. We have only adopted the provisions of SFAS No. 157 for financial assets and liabilities for fiscal year ending December 27, 2008 and will adopt the provision for non-financial assets and liabilities for fiscal year beginning December 28, 2008. The adoption has not had a material impact on our consolidated financial statements. We are evaluating the impact of adopting the provisions of SFAS 157 for non-financial assets and liabilities and do not expect them to have a material impact on our consolidated financial statements. SFAS No. 157 requires fair value measurements be classified and disclosed in one of three designated categories.</w:t>
      </w:r>
    </w:p>
    <w:p>
      <w:pPr>
        <w:spacing w:after="0" w:line="132" w:lineRule="exact"/>
        <w:rPr>
          <w:sz w:val="20"/>
          <w:szCs w:val="20"/>
          <w:color w:val="auto"/>
        </w:rPr>
      </w:pPr>
    </w:p>
    <w:p>
      <w:pPr>
        <w:jc w:val="both"/>
        <w:ind w:left="360" w:right="559"/>
        <w:spacing w:after="0" w:line="342" w:lineRule="auto"/>
        <w:rPr>
          <w:sz w:val="20"/>
          <w:szCs w:val="20"/>
          <w:color w:val="auto"/>
        </w:rPr>
      </w:pPr>
      <w:r>
        <w:rPr>
          <w:rFonts w:ascii="Arial" w:cs="Arial" w:eastAsia="Arial" w:hAnsi="Arial"/>
          <w:sz w:val="16"/>
          <w:szCs w:val="16"/>
          <w:color w:val="auto"/>
        </w:rPr>
        <w:t>The following table summarizes the valuation of our financial instruments as of December 27, 2008. These instruments are classified as Level 1 which are financial instruments with unadjusted, quoted prices listed on active market exchanges.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6"/>
              </w:rPr>
              <w:t>Quoted Prices in</w:t>
            </w:r>
          </w:p>
        </w:tc>
      </w:tr>
      <w:tr>
        <w:trPr>
          <w:trHeight w:val="216"/>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color w:val="auto"/>
              </w:rPr>
              <w:t>Active Markets</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(Level 1)</w:t>
            </w: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r>
      <w:tr>
        <w:trPr>
          <w:trHeight w:val="216"/>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marketable securities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r>
      <w:tr>
        <w:trPr>
          <w:trHeight w:val="223"/>
        </w:trPr>
        <w:tc>
          <w:tcPr>
            <w:tcW w:w="6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00"/>
              <w:spacing w:after="0"/>
              <w:rPr>
                <w:sz w:val="20"/>
                <w:szCs w:val="20"/>
                <w:color w:val="auto"/>
              </w:rPr>
            </w:pPr>
            <w:r>
              <w:rPr>
                <w:rFonts w:ascii="Arial" w:cs="Arial" w:eastAsia="Arial" w:hAnsi="Arial"/>
                <w:sz w:val="18"/>
                <w:szCs w:val="18"/>
                <w:color w:val="auto"/>
              </w:rPr>
              <w:t>Deferred compensation arrangements</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r>
      <w:tr>
        <w:trPr>
          <w:trHeight w:val="20"/>
        </w:trPr>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60" w:right="559"/>
        <w:spacing w:after="0" w:line="255" w:lineRule="auto"/>
        <w:rPr>
          <w:sz w:val="20"/>
          <w:szCs w:val="20"/>
          <w:color w:val="auto"/>
        </w:rPr>
      </w:pPr>
      <w:r>
        <w:rPr>
          <w:rFonts w:ascii="Arial" w:cs="Arial" w:eastAsia="Arial" w:hAnsi="Arial"/>
          <w:sz w:val="18"/>
          <w:szCs w:val="18"/>
          <w:color w:val="auto"/>
        </w:rPr>
        <w:t xml:space="preserve">Effective at the beginning of the fiscal year ending December 27, 2008, we adopted SFAS No. 159, </w:t>
      </w:r>
      <w:r>
        <w:rPr>
          <w:rFonts w:ascii="Arial" w:cs="Arial" w:eastAsia="Arial" w:hAnsi="Arial"/>
          <w:sz w:val="18"/>
          <w:szCs w:val="18"/>
          <w:i w:val="1"/>
          <w:iCs w:val="1"/>
          <w:color w:val="auto"/>
        </w:rPr>
        <w:t>The Fair Value Option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Financial Assets and Financial Liabilities </w:t>
      </w:r>
      <w:r>
        <w:rPr>
          <w:rFonts w:ascii="Arial" w:cs="Arial" w:eastAsia="Arial" w:hAnsi="Arial"/>
          <w:sz w:val="18"/>
          <w:szCs w:val="18"/>
          <w:color w:val="auto"/>
        </w:rPr>
        <w:t>(“SFAS No. 159”). SFAS No. 159 allows companies to choose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financial instruments and certain other items at fair value. The statement requires that unrealized gains and losses are reported in earnings for items measured using the fair value option and establishes presentation and disclosure requirements. We have elected not to apply the fair value option to any of our financial instruments except for those expressly required by U.S. GAAP.</w:t>
      </w:r>
    </w:p>
    <w:p>
      <w:pPr>
        <w:spacing w:after="0" w:line="153" w:lineRule="exact"/>
        <w:rPr>
          <w:sz w:val="20"/>
          <w:szCs w:val="20"/>
          <w:color w:val="auto"/>
        </w:rPr>
      </w:pPr>
    </w:p>
    <w:p>
      <w:pPr>
        <w:jc w:val="both"/>
        <w:ind w:left="360" w:right="559"/>
        <w:spacing w:after="0" w:line="272" w:lineRule="auto"/>
        <w:rPr>
          <w:sz w:val="20"/>
          <w:szCs w:val="20"/>
          <w:color w:val="auto"/>
        </w:rPr>
      </w:pPr>
      <w:r>
        <w:rPr>
          <w:rFonts w:ascii="Arial" w:cs="Arial" w:eastAsia="Arial" w:hAnsi="Arial"/>
          <w:sz w:val="17"/>
          <w:szCs w:val="17"/>
          <w:color w:val="auto"/>
        </w:rPr>
        <w:t xml:space="preserve">In December 2007, the Financial Accounting Standards Board (“FASB”) issued SFAS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141(R)”), which replaces FAS 141. SFAS 141(R) establishes principles and requirements for how an acquirer in a business combination recognizes and measures in its financial statements the identifiable assets acquired, the liabilities assumed, and any controlling interest; recognizes and measures the goodwill acquired in the business combination or a gain from a bargain purchase; and determines what information to disclose to enable users of the financial statements to evaluate the nature and financial effects of the business combination. SFAS 141(R) is effective for us for business combinations closed on or after December 28, 2008.</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7" w:name="page58"/>
    <w:bookmarkEnd w:id="57"/>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68" w:right="559"/>
        <w:spacing w:after="0" w:line="287"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 —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ARB No. 51 </w:t>
      </w:r>
      <w:r>
        <w:rPr>
          <w:rFonts w:ascii="Arial" w:cs="Arial" w:eastAsia="Arial" w:hAnsi="Arial"/>
          <w:sz w:val="16"/>
          <w:szCs w:val="16"/>
          <w:color w:val="auto"/>
        </w:rPr>
        <w:t>(“SFAS 160”). SFAS 160 establishes new accounting and reporting standards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noncontrolling interest in a subsidiary and for the deconsolidation of a subsidiary. Specifically,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SFAS 160 clarifies that changes in a parent’s ownership interest in a subsidiary that do not result in deconsolidation are equity transactions if the parent retains its controlling financial interest. In addition, this statement requires that a parent recognize a gain or loss in net income when a subsidiary is deconsolidated. Such gain or loss will be measured using the fair value of the noncontrolling equity investment on the deconsolidation date. SFAS 160 also includes expanded disclosure requirements regarding the interests of the parent and its noncontrolling interest. SFAS 160 is effective for us for the fiscal year beginning December 28, 2008. We are currently evaluating the impact SFAS No. 160 may have on our consolidated financial statements.</w:t>
      </w:r>
    </w:p>
    <w:p>
      <w:pPr>
        <w:spacing w:after="0" w:line="124" w:lineRule="exact"/>
        <w:rPr>
          <w:sz w:val="20"/>
          <w:szCs w:val="20"/>
          <w:color w:val="auto"/>
        </w:rPr>
      </w:pPr>
    </w:p>
    <w:p>
      <w:pPr>
        <w:ind w:left="388" w:hanging="388"/>
        <w:spacing w:after="0"/>
        <w:tabs>
          <w:tab w:leader="none" w:pos="388"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188" w:lineRule="exact"/>
        <w:rPr>
          <w:rFonts w:ascii="Arial" w:cs="Arial" w:eastAsia="Arial" w:hAnsi="Arial"/>
          <w:sz w:val="18"/>
          <w:szCs w:val="18"/>
          <w:b w:val="1"/>
          <w:bCs w:val="1"/>
          <w:color w:val="auto"/>
        </w:rPr>
      </w:pPr>
    </w:p>
    <w:p>
      <w:pPr>
        <w:ind w:left="368"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completed the following business combinations in 2008, 2007 and 2006, which were accounted for using the purchase method (in millions).</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Acquisition</w:t>
            </w:r>
          </w:p>
        </w:tc>
        <w:tc>
          <w:tcPr>
            <w:tcW w:w="22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Purchase</w:t>
            </w:r>
          </w:p>
        </w:tc>
        <w:tc>
          <w:tcPr>
            <w:tcW w:w="22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w:t>
            </w:r>
          </w:p>
        </w:tc>
        <w:tc>
          <w:tcPr>
            <w:tcW w:w="6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Reportable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Tangible</w:t>
            </w: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Business Description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220" w:type="dxa"/>
            <w:vAlign w:val="bottom"/>
          </w:tcPr>
          <w:p>
            <w:pPr>
              <w:spacing w:after="0"/>
              <w:rPr>
                <w:sz w:val="14"/>
                <w:szCs w:val="14"/>
                <w:color w:val="auto"/>
              </w:rPr>
            </w:pPr>
          </w:p>
        </w:tc>
        <w:tc>
          <w:tcPr>
            <w:tcW w:w="22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D-Stake Mill and</w:t>
            </w: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June 9, 2008</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$7.1 (asset</w:t>
            </w:r>
          </w:p>
        </w:tc>
        <w:tc>
          <w:tcPr>
            <w:tcW w:w="320" w:type="dxa"/>
            <w:vAlign w:val="bottom"/>
            <w:gridSpan w:val="2"/>
            <w:shd w:val="clear" w:color="auto" w:fill="CCEEFF"/>
          </w:tcPr>
          <w:p>
            <w:pPr>
              <w:ind w:left="220"/>
              <w:spacing w:after="0" w:line="12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line="123" w:lineRule="exact"/>
              <w:rPr>
                <w:sz w:val="20"/>
                <w:szCs w:val="20"/>
                <w:color w:val="auto"/>
              </w:rPr>
            </w:pPr>
            <w:r>
              <w:rPr>
                <w:rFonts w:ascii="Arial" w:cs="Arial" w:eastAsia="Arial" w:hAnsi="Arial"/>
                <w:sz w:val="14"/>
                <w:szCs w:val="14"/>
                <w:color w:val="auto"/>
              </w:rPr>
              <w:t>2.0</w:t>
            </w:r>
          </w:p>
        </w:tc>
        <w:tc>
          <w:tcPr>
            <w:tcW w:w="10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5"/>
              </w:rPr>
              <w:t>Western Division</w:t>
            </w:r>
          </w:p>
        </w:tc>
        <w:tc>
          <w:tcPr>
            <w:tcW w:w="220" w:type="dxa"/>
            <w:vAlign w:val="bottom"/>
            <w:shd w:val="clear" w:color="auto" w:fill="CCEEFF"/>
          </w:tcPr>
          <w:p>
            <w:pPr>
              <w:spacing w:after="0"/>
              <w:rPr>
                <w:sz w:val="10"/>
                <w:szCs w:val="10"/>
                <w:color w:val="auto"/>
              </w:rPr>
            </w:pPr>
          </w:p>
        </w:tc>
        <w:tc>
          <w:tcPr>
            <w:tcW w:w="2460" w:type="dxa"/>
            <w:vAlign w:val="bottom"/>
            <w:gridSpan w:val="4"/>
            <w:shd w:val="clear" w:color="auto" w:fill="CCEEFF"/>
          </w:tcPr>
          <w:p>
            <w:pPr>
              <w:spacing w:after="0" w:line="123" w:lineRule="exact"/>
              <w:rPr>
                <w:sz w:val="20"/>
                <w:szCs w:val="20"/>
                <w:color w:val="auto"/>
              </w:rPr>
            </w:pPr>
            <w:r>
              <w:rPr>
                <w:rFonts w:ascii="Arial" w:cs="Arial" w:eastAsia="Arial" w:hAnsi="Arial"/>
                <w:sz w:val="14"/>
                <w:szCs w:val="14"/>
                <w:color w:val="auto"/>
              </w:rPr>
              <w:t>Manufactures kiln stickers, lath, stakes,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 Country</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decking,   and   pallets   and   pallet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(“D-Stake”)</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components for a variety of industries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including</w:t>
            </w:r>
          </w:p>
        </w:tc>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manufacturing,</w:t>
            </w:r>
          </w:p>
        </w:tc>
        <w:tc>
          <w:tcPr>
            <w:tcW w:w="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agriculture.</w:t>
            </w:r>
          </w:p>
        </w:tc>
        <w:tc>
          <w:tcPr>
            <w:tcW w:w="9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Plants   are</w:t>
            </w:r>
          </w:p>
        </w:tc>
        <w:tc>
          <w:tcPr>
            <w:tcW w:w="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located</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5"/>
              </w:rPr>
              <w:t>McMinnville, OR and Independence,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6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5"/>
              </w:rPr>
              <w:t>Combined 2007 sales were $18.5 million.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Purchased  100%  of  the  inventory,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and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intangibles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80" w:type="dxa"/>
            <w:vAlign w:val="bottom"/>
          </w:tcPr>
          <w:p>
            <w:pPr>
              <w:spacing w:after="0" w:line="130" w:lineRule="exact"/>
              <w:rPr>
                <w:sz w:val="20"/>
                <w:szCs w:val="20"/>
                <w:color w:val="auto"/>
              </w:rPr>
            </w:pPr>
            <w:r>
              <w:rPr>
                <w:rFonts w:ascii="Arial" w:cs="Arial" w:eastAsia="Arial" w:hAnsi="Arial"/>
                <w:sz w:val="14"/>
                <w:szCs w:val="14"/>
                <w:color w:val="auto"/>
                <w:w w:val="98"/>
              </w:rPr>
              <w:t>Shawnlee Construction,</w:t>
            </w:r>
          </w:p>
        </w:tc>
        <w:tc>
          <w:tcPr>
            <w:tcW w:w="22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4"/>
                <w:szCs w:val="14"/>
                <w:color w:val="auto"/>
              </w:rPr>
              <w:t>April 1, 2008</w:t>
            </w:r>
          </w:p>
        </w:tc>
        <w:tc>
          <w:tcPr>
            <w:tcW w:w="220" w:type="dxa"/>
            <w:vAlign w:val="bottom"/>
          </w:tcPr>
          <w:p>
            <w:pPr>
              <w:spacing w:after="0"/>
              <w:rPr>
                <w:sz w:val="11"/>
                <w:szCs w:val="11"/>
                <w:color w:val="auto"/>
              </w:rPr>
            </w:pPr>
          </w:p>
        </w:tc>
        <w:tc>
          <w:tcPr>
            <w:tcW w:w="800" w:type="dxa"/>
            <w:vAlign w:val="bottom"/>
          </w:tcPr>
          <w:p>
            <w:pPr>
              <w:spacing w:after="0" w:line="130" w:lineRule="exact"/>
              <w:rPr>
                <w:sz w:val="20"/>
                <w:szCs w:val="20"/>
                <w:color w:val="auto"/>
              </w:rPr>
            </w:pPr>
            <w:r>
              <w:rPr>
                <w:rFonts w:ascii="Arial" w:cs="Arial" w:eastAsia="Arial" w:hAnsi="Arial"/>
                <w:sz w:val="14"/>
                <w:szCs w:val="14"/>
                <w:color w:val="auto"/>
              </w:rPr>
              <w:t>$1.8 (asset</w:t>
            </w:r>
          </w:p>
        </w:tc>
        <w:tc>
          <w:tcPr>
            <w:tcW w:w="32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0.8</w:t>
            </w:r>
          </w:p>
        </w:tc>
        <w:tc>
          <w:tcPr>
            <w:tcW w:w="1020" w:type="dxa"/>
            <w:vAlign w:val="bottom"/>
          </w:tcPr>
          <w:p>
            <w:pPr>
              <w:spacing w:after="0" w:line="130" w:lineRule="exact"/>
              <w:rPr>
                <w:sz w:val="20"/>
                <w:szCs w:val="20"/>
                <w:color w:val="auto"/>
              </w:rPr>
            </w:pPr>
            <w:r>
              <w:rPr>
                <w:rFonts w:ascii="Arial" w:cs="Arial" w:eastAsia="Arial" w:hAnsi="Arial"/>
                <w:sz w:val="14"/>
                <w:szCs w:val="14"/>
                <w:color w:val="auto"/>
                <w:w w:val="98"/>
              </w:rPr>
              <w:t>Eastern Division</w:t>
            </w:r>
          </w:p>
        </w:tc>
        <w:tc>
          <w:tcPr>
            <w:tcW w:w="220" w:type="dxa"/>
            <w:vAlign w:val="bottom"/>
          </w:tcPr>
          <w:p>
            <w:pPr>
              <w:spacing w:after="0"/>
              <w:rPr>
                <w:sz w:val="11"/>
                <w:szCs w:val="11"/>
                <w:color w:val="auto"/>
              </w:rPr>
            </w:pPr>
          </w:p>
        </w:tc>
        <w:tc>
          <w:tcPr>
            <w:tcW w:w="2460" w:type="dxa"/>
            <w:vAlign w:val="bottom"/>
            <w:gridSpan w:val="4"/>
          </w:tcPr>
          <w:p>
            <w:pPr>
              <w:spacing w:after="0" w:line="130" w:lineRule="exact"/>
              <w:rPr>
                <w:sz w:val="20"/>
                <w:szCs w:val="20"/>
                <w:color w:val="auto"/>
              </w:rPr>
            </w:pPr>
            <w:r>
              <w:rPr>
                <w:rFonts w:ascii="Arial" w:cs="Arial" w:eastAsia="Arial" w:hAnsi="Arial"/>
                <w:sz w:val="14"/>
                <w:szCs w:val="14"/>
                <w:color w:val="auto"/>
              </w:rPr>
              <w:t>Provides  framing  services  for  multi-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line="149" w:lineRule="exact"/>
              <w:rPr>
                <w:sz w:val="20"/>
                <w:szCs w:val="20"/>
                <w:color w:val="auto"/>
              </w:rPr>
            </w:pPr>
            <w:r>
              <w:rPr>
                <w:rFonts w:ascii="Arial" w:cs="Arial" w:eastAsia="Arial" w:hAnsi="Arial"/>
                <w:sz w:val="14"/>
                <w:szCs w:val="14"/>
                <w:color w:val="auto"/>
              </w:rPr>
              <w:t>LLC (“Shawnlee”)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purchase)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5"/>
          </w:tcPr>
          <w:p>
            <w:pPr>
              <w:spacing w:after="0" w:line="149" w:lineRule="exact"/>
              <w:rPr>
                <w:sz w:val="20"/>
                <w:szCs w:val="20"/>
                <w:color w:val="auto"/>
              </w:rPr>
            </w:pPr>
            <w:r>
              <w:rPr>
                <w:rFonts w:ascii="Arial" w:cs="Arial" w:eastAsia="Arial" w:hAnsi="Arial"/>
                <w:sz w:val="14"/>
                <w:szCs w:val="14"/>
                <w:color w:val="auto"/>
              </w:rPr>
              <w:t>family  construction  in  the  northeast.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5"/>
          </w:tcPr>
          <w:p>
            <w:pPr>
              <w:spacing w:after="0" w:line="149" w:lineRule="exact"/>
              <w:rPr>
                <w:sz w:val="20"/>
                <w:szCs w:val="20"/>
                <w:color w:val="auto"/>
              </w:rPr>
            </w:pPr>
            <w:r>
              <w:rPr>
                <w:rFonts w:ascii="Arial" w:cs="Arial" w:eastAsia="Arial" w:hAnsi="Arial"/>
                <w:sz w:val="14"/>
                <w:szCs w:val="14"/>
                <w:color w:val="auto"/>
              </w:rPr>
              <w:t>Located in Plainville, MA. We currently</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5"/>
          </w:tcPr>
          <w:p>
            <w:pPr>
              <w:spacing w:after="0" w:line="149" w:lineRule="exact"/>
              <w:rPr>
                <w:sz w:val="20"/>
                <w:szCs w:val="20"/>
                <w:color w:val="auto"/>
              </w:rPr>
            </w:pPr>
            <w:r>
              <w:rPr>
                <w:rFonts w:ascii="Arial" w:cs="Arial" w:eastAsia="Arial" w:hAnsi="Arial"/>
                <w:sz w:val="14"/>
                <w:szCs w:val="14"/>
                <w:color w:val="auto"/>
                <w:w w:val="94"/>
              </w:rPr>
              <w:t>own a 90% membership interest and have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5"/>
          </w:tcPr>
          <w:p>
            <w:pPr>
              <w:spacing w:after="0" w:line="149" w:lineRule="exact"/>
              <w:rPr>
                <w:sz w:val="20"/>
                <w:szCs w:val="20"/>
                <w:color w:val="auto"/>
              </w:rPr>
            </w:pPr>
            <w:r>
              <w:rPr>
                <w:rFonts w:ascii="Arial" w:cs="Arial" w:eastAsia="Arial" w:hAnsi="Arial"/>
                <w:sz w:val="14"/>
                <w:szCs w:val="14"/>
                <w:color w:val="auto"/>
                <w:w w:val="92"/>
              </w:rPr>
              <w:t>purchased and additional 5% interest each</w:t>
            </w: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spacing w:after="0"/>
              <w:rPr>
                <w:sz w:val="20"/>
                <w:szCs w:val="20"/>
                <w:color w:val="auto"/>
              </w:rPr>
            </w:pPr>
            <w:r>
              <w:rPr>
                <w:rFonts w:ascii="Arial" w:cs="Arial" w:eastAsia="Arial" w:hAnsi="Arial"/>
                <w:sz w:val="14"/>
                <w:szCs w:val="14"/>
                <w:color w:val="auto"/>
              </w:rPr>
              <w:t>April 2, 2007</w:t>
            </w:r>
          </w:p>
        </w:tc>
        <w:tc>
          <w:tcPr>
            <w:tcW w:w="220" w:type="dxa"/>
            <w:vAlign w:val="bottom"/>
          </w:tcPr>
          <w:p>
            <w:pPr>
              <w:spacing w:after="0"/>
              <w:rPr>
                <w:sz w:val="15"/>
                <w:szCs w:val="15"/>
                <w:color w:val="auto"/>
              </w:rPr>
            </w:pPr>
          </w:p>
        </w:tc>
        <w:tc>
          <w:tcPr>
            <w:tcW w:w="800" w:type="dxa"/>
            <w:vAlign w:val="bottom"/>
            <w:vMerge w:val="restart"/>
          </w:tcPr>
          <w:p>
            <w:pPr>
              <w:spacing w:after="0"/>
              <w:rPr>
                <w:sz w:val="20"/>
                <w:szCs w:val="20"/>
                <w:color w:val="auto"/>
              </w:rPr>
            </w:pPr>
            <w:r>
              <w:rPr>
                <w:rFonts w:ascii="Arial" w:cs="Arial" w:eastAsia="Arial" w:hAnsi="Arial"/>
                <w:sz w:val="14"/>
                <w:szCs w:val="14"/>
                <w:color w:val="auto"/>
              </w:rPr>
              <w:t>$1.4 (asset</w:t>
            </w:r>
          </w:p>
        </w:tc>
        <w:tc>
          <w:tcPr>
            <w:tcW w:w="3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0.9</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year.</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purchase)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April 3, 2006</w:t>
            </w:r>
          </w:p>
        </w:tc>
        <w:tc>
          <w:tcPr>
            <w:tcW w:w="22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$0.8 (asset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0.4</w:t>
            </w: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purchase)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0"/>
                <w:szCs w:val="20"/>
                <w:color w:val="auto"/>
              </w:rPr>
            </w:pPr>
            <w:r>
              <w:rPr>
                <w:rFonts w:ascii="Arial" w:cs="Arial" w:eastAsia="Arial" w:hAnsi="Arial"/>
                <w:sz w:val="14"/>
                <w:szCs w:val="14"/>
                <w:color w:val="auto"/>
              </w:rPr>
              <w:t>Romano Construction</w:t>
            </w:r>
          </w:p>
        </w:tc>
        <w:tc>
          <w:tcPr>
            <w:tcW w:w="22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March 15,</w:t>
            </w:r>
          </w:p>
        </w:tc>
        <w:tc>
          <w:tcPr>
            <w:tcW w:w="22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$0.4 (asset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0.2</w:t>
            </w:r>
          </w:p>
        </w:tc>
        <w:tc>
          <w:tcPr>
            <w:tcW w:w="1020" w:type="dxa"/>
            <w:vAlign w:val="bottom"/>
          </w:tcPr>
          <w:p>
            <w:pPr>
              <w:spacing w:after="0"/>
              <w:rPr>
                <w:sz w:val="20"/>
                <w:szCs w:val="20"/>
                <w:color w:val="auto"/>
              </w:rPr>
            </w:pPr>
            <w:r>
              <w:rPr>
                <w:rFonts w:ascii="Arial" w:cs="Arial" w:eastAsia="Arial" w:hAnsi="Arial"/>
                <w:sz w:val="14"/>
                <w:szCs w:val="14"/>
                <w:color w:val="auto"/>
                <w:w w:val="98"/>
              </w:rPr>
              <w:t>Eastern Division</w:t>
            </w:r>
          </w:p>
        </w:tc>
        <w:tc>
          <w:tcPr>
            <w:tcW w:w="220" w:type="dxa"/>
            <w:vAlign w:val="bottom"/>
          </w:tcPr>
          <w:p>
            <w:pPr>
              <w:spacing w:after="0"/>
              <w:rPr>
                <w:sz w:val="22"/>
                <w:szCs w:val="22"/>
                <w:color w:val="auto"/>
              </w:rPr>
            </w:pPr>
          </w:p>
        </w:tc>
        <w:tc>
          <w:tcPr>
            <w:tcW w:w="2480" w:type="dxa"/>
            <w:vAlign w:val="bottom"/>
            <w:gridSpan w:val="5"/>
          </w:tcPr>
          <w:p>
            <w:pPr>
              <w:spacing w:after="0"/>
              <w:rPr>
                <w:sz w:val="20"/>
                <w:szCs w:val="20"/>
                <w:color w:val="auto"/>
              </w:rPr>
            </w:pPr>
            <w:r>
              <w:rPr>
                <w:rFonts w:ascii="Arial" w:cs="Arial" w:eastAsia="Arial" w:hAnsi="Arial"/>
                <w:sz w:val="14"/>
                <w:szCs w:val="14"/>
                <w:color w:val="auto"/>
                <w:w w:val="98"/>
              </w:rPr>
              <w:t>Provides framing services and is located</w:t>
            </w:r>
          </w:p>
        </w:tc>
        <w:tc>
          <w:tcPr>
            <w:tcW w:w="0" w:type="dxa"/>
            <w:vAlign w:val="bottom"/>
          </w:tcPr>
          <w:p>
            <w:pPr>
              <w:spacing w:after="0"/>
              <w:rPr>
                <w:sz w:val="1"/>
                <w:szCs w:val="1"/>
                <w:color w:val="auto"/>
              </w:rPr>
            </w:pPr>
          </w:p>
        </w:tc>
      </w:tr>
      <w:tr>
        <w:trPr>
          <w:trHeight w:val="149"/>
        </w:trPr>
        <w:tc>
          <w:tcPr>
            <w:tcW w:w="1480" w:type="dxa"/>
            <w:vAlign w:val="bottom"/>
          </w:tcPr>
          <w:p>
            <w:pPr>
              <w:spacing w:after="0" w:line="149" w:lineRule="exact"/>
              <w:rPr>
                <w:sz w:val="20"/>
                <w:szCs w:val="20"/>
                <w:color w:val="auto"/>
              </w:rPr>
            </w:pPr>
            <w:r>
              <w:rPr>
                <w:rFonts w:ascii="Arial" w:cs="Arial" w:eastAsia="Arial" w:hAnsi="Arial"/>
                <w:sz w:val="14"/>
                <w:szCs w:val="14"/>
                <w:color w:val="auto"/>
              </w:rPr>
              <w:t>Company, Ltd.</w:t>
            </w:r>
          </w:p>
        </w:tc>
        <w:tc>
          <w:tcPr>
            <w:tcW w:w="1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purchase)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in Middletown, NY.</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20"/>
                <w:szCs w:val="20"/>
                <w:color w:val="auto"/>
              </w:rPr>
            </w:pPr>
            <w:r>
              <w:rPr>
                <w:rFonts w:ascii="Arial" w:cs="Arial" w:eastAsia="Arial" w:hAnsi="Arial"/>
                <w:sz w:val="14"/>
                <w:szCs w:val="14"/>
                <w:color w:val="auto"/>
              </w:rPr>
              <w:t>(“Romano”)</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5925820" cy="4718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25820" cy="471805"/>
                    </a:xfrm>
                    <a:prstGeom prst="rect">
                      <a:avLst/>
                    </a:prstGeom>
                    <a:noFill/>
                  </pic:spPr>
                </pic:pic>
              </a:graphicData>
            </a:graphic>
          </wp:anchor>
        </w:drawing>
      </w:r>
    </w:p>
    <w:p>
      <w:pPr>
        <w:ind w:left="6868"/>
        <w:spacing w:after="0"/>
        <w:rPr>
          <w:sz w:val="20"/>
          <w:szCs w:val="20"/>
          <w:color w:val="auto"/>
        </w:rPr>
      </w:pPr>
      <w:r>
        <w:rPr>
          <w:rFonts w:ascii="Arial" w:cs="Arial" w:eastAsia="Arial" w:hAnsi="Arial"/>
          <w:sz w:val="12"/>
          <w:szCs w:val="12"/>
          <w:color w:val="auto"/>
        </w:rPr>
        <w:t>Purchased 100% of the property, plant and</w:t>
      </w:r>
    </w:p>
    <w:p>
      <w:pPr>
        <w:spacing w:after="0" w:line="11" w:lineRule="exact"/>
        <w:rPr>
          <w:sz w:val="20"/>
          <w:szCs w:val="20"/>
          <w:color w:val="auto"/>
        </w:rPr>
      </w:pPr>
    </w:p>
    <w:p>
      <w:pPr>
        <w:ind w:left="6868"/>
        <w:spacing w:after="0"/>
        <w:rPr>
          <w:sz w:val="20"/>
          <w:szCs w:val="20"/>
          <w:color w:val="auto"/>
        </w:rPr>
      </w:pPr>
      <w:r>
        <w:rPr>
          <w:rFonts w:ascii="Arial" w:cs="Arial" w:eastAsia="Arial" w:hAnsi="Arial"/>
          <w:sz w:val="14"/>
          <w:szCs w:val="14"/>
          <w:color w:val="auto"/>
        </w:rPr>
        <w:t>equipment, and intangibles</w:t>
      </w:r>
    </w:p>
    <w:p>
      <w:pPr>
        <w:spacing w:after="0" w:line="200" w:lineRule="exact"/>
        <w:rPr>
          <w:sz w:val="20"/>
          <w:szCs w:val="20"/>
          <w:color w:val="auto"/>
        </w:rPr>
      </w:pPr>
    </w:p>
    <w:p>
      <w:pPr>
        <w:spacing w:after="0" w:line="361"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58" w:name="page59"/>
    <w:bookmarkEnd w:id="58"/>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Acquisition</w:t>
            </w:r>
          </w:p>
        </w:tc>
        <w:tc>
          <w:tcPr>
            <w:tcW w:w="200" w:type="dxa"/>
            <w:vAlign w:val="bottom"/>
          </w:tcPr>
          <w:p>
            <w:pPr>
              <w:spacing w:after="0"/>
              <w:rPr>
                <w:sz w:val="14"/>
                <w:szCs w:val="14"/>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Purchase</w:t>
            </w:r>
          </w:p>
        </w:tc>
        <w:tc>
          <w:tcPr>
            <w:tcW w:w="2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Reportable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Tangible</w:t>
            </w: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6"/>
            <w:vMerge w:val="restart"/>
          </w:tcPr>
          <w:p>
            <w:pPr>
              <w:jc w:val="right"/>
              <w:ind w:right="88"/>
              <w:spacing w:after="0"/>
              <w:rPr>
                <w:sz w:val="20"/>
                <w:szCs w:val="20"/>
                <w:color w:val="auto"/>
              </w:rPr>
            </w:pPr>
            <w:r>
              <w:rPr>
                <w:rFonts w:ascii="Arial" w:cs="Arial" w:eastAsia="Arial" w:hAnsi="Arial"/>
                <w:sz w:val="14"/>
                <w:szCs w:val="14"/>
                <w:b w:val="1"/>
                <w:bCs w:val="1"/>
                <w:color w:val="auto"/>
              </w:rPr>
              <w:t>Business Description</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Pr>
          <w:p>
            <w:pPr>
              <w:spacing w:after="0"/>
              <w:rPr>
                <w:sz w:val="14"/>
                <w:szCs w:val="14"/>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980" w:type="dxa"/>
            <w:vAlign w:val="bottom"/>
            <w:tcBorders>
              <w:bottom w:val="single" w:sz="8" w:color="auto"/>
            </w:tcBorders>
            <w:gridSpan w:val="6"/>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International Wood</w:t>
            </w: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7"/>
              </w:rPr>
              <w:t>February 4, 2008</w:t>
            </w: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$14.0 (stock</w:t>
            </w:r>
          </w:p>
        </w:tc>
        <w:tc>
          <w:tcPr>
            <w:tcW w:w="300" w:type="dxa"/>
            <w:vAlign w:val="bottom"/>
            <w:gridSpan w:val="2"/>
            <w:shd w:val="clear" w:color="auto" w:fill="CCEEFF"/>
          </w:tcPr>
          <w:p>
            <w:pPr>
              <w:ind w:left="200"/>
              <w:spacing w:after="0" w:line="12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23"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00"/>
              <w:spacing w:after="0" w:line="123" w:lineRule="exact"/>
              <w:rPr>
                <w:sz w:val="20"/>
                <w:szCs w:val="20"/>
                <w:color w:val="auto"/>
              </w:rPr>
            </w:pPr>
            <w:r>
              <w:rPr>
                <w:rFonts w:ascii="Arial" w:cs="Arial" w:eastAsia="Arial" w:hAnsi="Arial"/>
                <w:sz w:val="14"/>
                <w:szCs w:val="14"/>
                <w:color w:val="auto"/>
              </w:rPr>
              <w:t>3.4</w:t>
            </w:r>
          </w:p>
        </w:tc>
        <w:tc>
          <w:tcPr>
            <w:tcW w:w="11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Western Division</w:t>
            </w:r>
          </w:p>
        </w:tc>
        <w:tc>
          <w:tcPr>
            <w:tcW w:w="200" w:type="dxa"/>
            <w:vAlign w:val="bottom"/>
            <w:shd w:val="clear" w:color="auto" w:fill="CCEEFF"/>
          </w:tcPr>
          <w:p>
            <w:pPr>
              <w:spacing w:after="0"/>
              <w:rPr>
                <w:sz w:val="10"/>
                <w:szCs w:val="10"/>
                <w:color w:val="auto"/>
              </w:rPr>
            </w:pPr>
          </w:p>
        </w:tc>
        <w:tc>
          <w:tcPr>
            <w:tcW w:w="2340" w:type="dxa"/>
            <w:vAlign w:val="bottom"/>
            <w:gridSpan w:val="7"/>
            <w:shd w:val="clear" w:color="auto" w:fill="CCEEFF"/>
          </w:tcPr>
          <w:p>
            <w:pPr>
              <w:spacing w:after="0" w:line="123" w:lineRule="exact"/>
              <w:rPr>
                <w:sz w:val="20"/>
                <w:szCs w:val="20"/>
                <w:color w:val="auto"/>
              </w:rPr>
            </w:pPr>
            <w:r>
              <w:rPr>
                <w:rFonts w:ascii="Arial" w:cs="Arial" w:eastAsia="Arial" w:hAnsi="Arial"/>
                <w:sz w:val="14"/>
                <w:szCs w:val="14"/>
                <w:color w:val="auto"/>
                <w:w w:val="96"/>
              </w:rPr>
              <w:t>Manufactures and distributes industrial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Industries, Inc. (“IWI”)</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products,</w:t>
            </w:r>
          </w:p>
        </w:tc>
        <w:tc>
          <w:tcPr>
            <w:tcW w:w="6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including</w:t>
            </w:r>
          </w:p>
        </w:tc>
        <w:tc>
          <w:tcPr>
            <w:tcW w:w="74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specialty</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boxes,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92"/>
              </w:rPr>
              <w:t>crates, pallets and skids. Headquartered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98"/>
              </w:rPr>
              <w:t>in Turlock, CA with distribution sites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8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Hawaii and Alaska. 2007 sales</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were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$40.0 million.</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8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9"/>
              </w:rPr>
              <w:t>Purchased 100% voting interest</w:t>
            </w:r>
          </w:p>
        </w:tc>
        <w:tc>
          <w:tcPr>
            <w:tcW w:w="3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400" w:type="dxa"/>
            <w:vAlign w:val="bottom"/>
          </w:tcPr>
          <w:p>
            <w:pPr>
              <w:spacing w:after="0" w:line="130" w:lineRule="exact"/>
              <w:rPr>
                <w:sz w:val="20"/>
                <w:szCs w:val="20"/>
                <w:color w:val="auto"/>
              </w:rPr>
            </w:pPr>
            <w:r>
              <w:rPr>
                <w:rFonts w:ascii="Arial" w:cs="Arial" w:eastAsia="Arial" w:hAnsi="Arial"/>
                <w:sz w:val="14"/>
                <w:szCs w:val="14"/>
                <w:color w:val="auto"/>
              </w:rPr>
              <w:t>Deck Images</w:t>
            </w:r>
          </w:p>
        </w:tc>
        <w:tc>
          <w:tcPr>
            <w:tcW w:w="200" w:type="dxa"/>
            <w:vAlign w:val="bottom"/>
          </w:tcPr>
          <w:p>
            <w:pPr>
              <w:spacing w:after="0"/>
              <w:rPr>
                <w:sz w:val="11"/>
                <w:szCs w:val="11"/>
                <w:color w:val="auto"/>
              </w:rPr>
            </w:pPr>
          </w:p>
        </w:tc>
        <w:tc>
          <w:tcPr>
            <w:tcW w:w="1060" w:type="dxa"/>
            <w:vAlign w:val="bottom"/>
          </w:tcPr>
          <w:p>
            <w:pPr>
              <w:spacing w:after="0" w:line="130" w:lineRule="exact"/>
              <w:rPr>
                <w:sz w:val="20"/>
                <w:szCs w:val="20"/>
                <w:color w:val="auto"/>
              </w:rPr>
            </w:pPr>
            <w:r>
              <w:rPr>
                <w:rFonts w:ascii="Arial" w:cs="Arial" w:eastAsia="Arial" w:hAnsi="Arial"/>
                <w:sz w:val="14"/>
                <w:szCs w:val="14"/>
                <w:color w:val="auto"/>
              </w:rPr>
              <w:t>July 10, 2007</w:t>
            </w:r>
          </w:p>
        </w:tc>
        <w:tc>
          <w:tcPr>
            <w:tcW w:w="20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4"/>
                <w:szCs w:val="14"/>
                <w:color w:val="auto"/>
              </w:rPr>
              <w:t>$0.9 (asset</w:t>
            </w:r>
          </w:p>
        </w:tc>
        <w:tc>
          <w:tcPr>
            <w:tcW w:w="3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0.6</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0.3</w:t>
            </w:r>
          </w:p>
        </w:tc>
        <w:tc>
          <w:tcPr>
            <w:tcW w:w="1140" w:type="dxa"/>
            <w:vAlign w:val="bottom"/>
          </w:tcPr>
          <w:p>
            <w:pPr>
              <w:spacing w:after="0" w:line="130" w:lineRule="exact"/>
              <w:rPr>
                <w:sz w:val="20"/>
                <w:szCs w:val="20"/>
                <w:color w:val="auto"/>
              </w:rPr>
            </w:pPr>
            <w:r>
              <w:rPr>
                <w:rFonts w:ascii="Arial" w:cs="Arial" w:eastAsia="Arial" w:hAnsi="Arial"/>
                <w:sz w:val="14"/>
                <w:szCs w:val="14"/>
                <w:color w:val="auto"/>
                <w:w w:val="90"/>
              </w:rPr>
              <w:t>Consumer Products</w:t>
            </w:r>
          </w:p>
        </w:tc>
        <w:tc>
          <w:tcPr>
            <w:tcW w:w="200" w:type="dxa"/>
            <w:vAlign w:val="bottom"/>
          </w:tcPr>
          <w:p>
            <w:pPr>
              <w:spacing w:after="0"/>
              <w:rPr>
                <w:sz w:val="11"/>
                <w:szCs w:val="11"/>
                <w:color w:val="auto"/>
              </w:rPr>
            </w:pPr>
          </w:p>
        </w:tc>
        <w:tc>
          <w:tcPr>
            <w:tcW w:w="2340" w:type="dxa"/>
            <w:vAlign w:val="bottom"/>
            <w:gridSpan w:val="7"/>
          </w:tcPr>
          <w:p>
            <w:pPr>
              <w:spacing w:after="0" w:line="130" w:lineRule="exact"/>
              <w:rPr>
                <w:sz w:val="20"/>
                <w:szCs w:val="20"/>
                <w:color w:val="auto"/>
              </w:rPr>
            </w:pPr>
            <w:r>
              <w:rPr>
                <w:rFonts w:ascii="Arial" w:cs="Arial" w:eastAsia="Arial" w:hAnsi="Arial"/>
                <w:sz w:val="14"/>
                <w:szCs w:val="14"/>
                <w:color w:val="auto"/>
                <w:w w:val="94"/>
              </w:rPr>
              <w:t>Manufactures and distributes aluminum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purchase)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rPr>
              <w:t>railing systems. Located in Hastings,</w:t>
            </w: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8"/>
          </w:tcPr>
          <w:p>
            <w:pPr>
              <w:spacing w:after="0"/>
              <w:rPr>
                <w:sz w:val="20"/>
                <w:szCs w:val="20"/>
                <w:color w:val="auto"/>
              </w:rPr>
            </w:pPr>
            <w:r>
              <w:rPr>
                <w:rFonts w:ascii="Arial" w:cs="Arial" w:eastAsia="Arial" w:hAnsi="Arial"/>
                <w:sz w:val="14"/>
                <w:szCs w:val="14"/>
                <w:color w:val="auto"/>
              </w:rPr>
              <w:t>MN. 2006 sales were $1.9 million.</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6"/>
          </w:tcPr>
          <w:p>
            <w:pPr>
              <w:spacing w:after="0"/>
              <w:rPr>
                <w:sz w:val="20"/>
                <w:szCs w:val="20"/>
                <w:color w:val="auto"/>
              </w:rPr>
            </w:pPr>
            <w:r>
              <w:rPr>
                <w:rFonts w:ascii="Arial" w:cs="Arial" w:eastAsia="Arial" w:hAnsi="Arial"/>
                <w:sz w:val="14"/>
                <w:szCs w:val="14"/>
                <w:color w:val="auto"/>
                <w:w w:val="99"/>
              </w:rPr>
              <w:t>Purchased 100% voting interest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Perfection Trusses, Inc.</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March 5, 2007</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$1.3 (asset</w:t>
            </w:r>
          </w:p>
        </w:tc>
        <w:tc>
          <w:tcPr>
            <w:tcW w:w="3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0.5</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Eastern Division</w:t>
            </w:r>
          </w:p>
        </w:tc>
        <w:tc>
          <w:tcPr>
            <w:tcW w:w="200" w:type="dxa"/>
            <w:vAlign w:val="bottom"/>
            <w:shd w:val="clear" w:color="auto" w:fill="CCEEFF"/>
          </w:tcPr>
          <w:p>
            <w:pPr>
              <w:spacing w:after="0"/>
              <w:rPr>
                <w:sz w:val="11"/>
                <w:szCs w:val="11"/>
                <w:color w:val="auto"/>
              </w:rPr>
            </w:pPr>
          </w:p>
        </w:tc>
        <w:tc>
          <w:tcPr>
            <w:tcW w:w="234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w w:val="98"/>
              </w:rPr>
              <w:t>Manufactures and distributes roof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(“Perfection”)</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99"/>
              </w:rPr>
              <w:t>floor  trusses  to  the  Eastern  Florida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94"/>
              </w:rPr>
              <w:t>market. The company is located in Vero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Beach,  FL.  2006  sales  were  $3.9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4"/>
                <w:szCs w:val="14"/>
                <w:color w:val="auto"/>
              </w:rPr>
              <w:t>million.</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8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9"/>
              </w:rPr>
              <w:t>Purchased 100% voting interest</w:t>
            </w:r>
          </w:p>
        </w:tc>
        <w:tc>
          <w:tcPr>
            <w:tcW w:w="3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400" w:type="dxa"/>
            <w:vAlign w:val="bottom"/>
          </w:tcPr>
          <w:p>
            <w:pPr>
              <w:spacing w:after="0" w:line="130" w:lineRule="exact"/>
              <w:rPr>
                <w:sz w:val="20"/>
                <w:szCs w:val="20"/>
                <w:color w:val="auto"/>
              </w:rPr>
            </w:pPr>
            <w:r>
              <w:rPr>
                <w:rFonts w:ascii="Arial" w:cs="Arial" w:eastAsia="Arial" w:hAnsi="Arial"/>
                <w:sz w:val="14"/>
                <w:szCs w:val="14"/>
                <w:color w:val="auto"/>
              </w:rPr>
              <w:t>Aljoma Lumber</w:t>
            </w:r>
          </w:p>
        </w:tc>
        <w:tc>
          <w:tcPr>
            <w:tcW w:w="200" w:type="dxa"/>
            <w:vAlign w:val="bottom"/>
          </w:tcPr>
          <w:p>
            <w:pPr>
              <w:spacing w:after="0"/>
              <w:rPr>
                <w:sz w:val="11"/>
                <w:szCs w:val="11"/>
                <w:color w:val="auto"/>
              </w:rPr>
            </w:pPr>
          </w:p>
        </w:tc>
        <w:tc>
          <w:tcPr>
            <w:tcW w:w="1060" w:type="dxa"/>
            <w:vAlign w:val="bottom"/>
          </w:tcPr>
          <w:p>
            <w:pPr>
              <w:spacing w:after="0" w:line="130" w:lineRule="exact"/>
              <w:rPr>
                <w:sz w:val="20"/>
                <w:szCs w:val="20"/>
                <w:color w:val="auto"/>
              </w:rPr>
            </w:pPr>
            <w:r>
              <w:rPr>
                <w:rFonts w:ascii="Arial" w:cs="Arial" w:eastAsia="Arial" w:hAnsi="Arial"/>
                <w:sz w:val="14"/>
                <w:szCs w:val="14"/>
                <w:color w:val="auto"/>
                <w:w w:val="90"/>
              </w:rPr>
              <w:t>February 12, 2007</w:t>
            </w:r>
          </w:p>
        </w:tc>
        <w:tc>
          <w:tcPr>
            <w:tcW w:w="20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4"/>
                <w:szCs w:val="14"/>
                <w:color w:val="auto"/>
              </w:rPr>
              <w:t>$53.5 (stock</w:t>
            </w:r>
          </w:p>
        </w:tc>
        <w:tc>
          <w:tcPr>
            <w:tcW w:w="3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0.4</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53.1</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Eastern Division</w:t>
            </w:r>
          </w:p>
        </w:tc>
        <w:tc>
          <w:tcPr>
            <w:tcW w:w="2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4"/>
                <w:szCs w:val="14"/>
                <w:color w:val="auto"/>
              </w:rPr>
              <w:t>Manufactures,</w:t>
            </w:r>
          </w:p>
        </w:tc>
        <w:tc>
          <w:tcPr>
            <w:tcW w:w="420" w:type="dxa"/>
            <w:vAlign w:val="bottom"/>
            <w:gridSpan w:val="2"/>
          </w:tcPr>
          <w:p>
            <w:pPr>
              <w:spacing w:after="0" w:line="130" w:lineRule="exact"/>
              <w:rPr>
                <w:sz w:val="20"/>
                <w:szCs w:val="20"/>
                <w:color w:val="auto"/>
              </w:rPr>
            </w:pPr>
            <w:r>
              <w:rPr>
                <w:rFonts w:ascii="Arial" w:cs="Arial" w:eastAsia="Arial" w:hAnsi="Arial"/>
                <w:sz w:val="14"/>
                <w:szCs w:val="14"/>
                <w:color w:val="auto"/>
              </w:rPr>
              <w:t>treats</w:t>
            </w:r>
          </w:p>
        </w:tc>
        <w:tc>
          <w:tcPr>
            <w:tcW w:w="320" w:type="dxa"/>
            <w:vAlign w:val="bottom"/>
          </w:tcPr>
          <w:p>
            <w:pPr>
              <w:ind w:left="20"/>
              <w:spacing w:after="0" w:line="130" w:lineRule="exact"/>
              <w:rPr>
                <w:sz w:val="20"/>
                <w:szCs w:val="20"/>
                <w:color w:val="auto"/>
              </w:rPr>
            </w:pPr>
            <w:r>
              <w:rPr>
                <w:rFonts w:ascii="Arial" w:cs="Arial" w:eastAsia="Arial" w:hAnsi="Arial"/>
                <w:sz w:val="14"/>
                <w:szCs w:val="14"/>
                <w:color w:val="auto"/>
              </w:rPr>
              <w:t>and</w:t>
            </w:r>
          </w:p>
        </w:tc>
        <w:tc>
          <w:tcPr>
            <w:tcW w:w="640" w:type="dxa"/>
            <w:vAlign w:val="bottom"/>
            <w:gridSpan w:val="2"/>
          </w:tcPr>
          <w:p>
            <w:pPr>
              <w:jc w:val="right"/>
              <w:spacing w:after="0" w:line="130" w:lineRule="exact"/>
              <w:rPr>
                <w:sz w:val="20"/>
                <w:szCs w:val="20"/>
                <w:color w:val="auto"/>
              </w:rPr>
            </w:pPr>
            <w:r>
              <w:rPr>
                <w:rFonts w:ascii="Arial" w:cs="Arial" w:eastAsia="Arial" w:hAnsi="Arial"/>
                <w:sz w:val="14"/>
                <w:szCs w:val="14"/>
                <w:color w:val="auto"/>
                <w:w w:val="97"/>
              </w:rPr>
              <w:t>distributes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Company (“Aljoma”)</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purchase)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color w:val="auto"/>
              </w:rPr>
              <w:t>various</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5"/>
              </w:rPr>
              <w:t>wood</w:t>
            </w:r>
          </w:p>
        </w:tc>
        <w:tc>
          <w:tcPr>
            <w:tcW w:w="74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3"/>
              </w:rPr>
              <w:t>products,</w:t>
            </w: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building</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w w:val="94"/>
              </w:rPr>
              <w:t>materials and specialty hardwoods. The</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w w:val="94"/>
              </w:rPr>
              <w:t>company is located in Medley, FL. They</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w w:val="94"/>
              </w:rPr>
              <w:t>serve Florida, the Eastern United States</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w w:val="97"/>
              </w:rPr>
              <w:t>and the Caribbean islands. Aljoma has</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rPr>
              <w:t>one of the largest treating facilities in</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the   country.</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sales</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were</w:t>
            </w: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$225.0 million.</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6"/>
          </w:tcPr>
          <w:p>
            <w:pPr>
              <w:spacing w:after="0"/>
              <w:rPr>
                <w:sz w:val="20"/>
                <w:szCs w:val="20"/>
                <w:color w:val="auto"/>
              </w:rPr>
            </w:pPr>
            <w:r>
              <w:rPr>
                <w:rFonts w:ascii="Arial" w:cs="Arial" w:eastAsia="Arial" w:hAnsi="Arial"/>
                <w:sz w:val="14"/>
                <w:szCs w:val="14"/>
                <w:color w:val="auto"/>
                <w:w w:val="99"/>
              </w:rPr>
              <w:t>Purchased 100% voting interest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Banks Lumber</w:t>
            </w:r>
          </w:p>
        </w:tc>
        <w:tc>
          <w:tcPr>
            <w:tcW w:w="20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November 17,</w:t>
            </w:r>
          </w:p>
        </w:tc>
        <w:tc>
          <w:tcPr>
            <w:tcW w:w="20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$44.7 (asset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20.3</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Primarily Eastern</w:t>
            </w: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rPr>
              <w:t>Manufactures roof trusses and cut-to-</w:t>
            </w: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(“Banks”)</w:t>
            </w: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2006</w:t>
            </w:r>
          </w:p>
        </w:tc>
        <w:tc>
          <w:tcPr>
            <w:tcW w:w="20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purchase)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w w:val="96"/>
              </w:rPr>
              <w:t>size structural lumber for manufactured</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rPr>
              <w:t>housing and recreational vehicle (RV)</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manufacturers</w:t>
            </w:r>
          </w:p>
        </w:tc>
        <w:tc>
          <w:tcPr>
            <w:tcW w:w="1020" w:type="dxa"/>
            <w:vAlign w:val="bottom"/>
            <w:gridSpan w:val="4"/>
          </w:tcPr>
          <w:p>
            <w:pPr>
              <w:jc w:val="right"/>
              <w:ind w:right="88"/>
              <w:spacing w:after="0" w:line="149" w:lineRule="exact"/>
              <w:rPr>
                <w:sz w:val="20"/>
                <w:szCs w:val="20"/>
                <w:color w:val="auto"/>
              </w:rPr>
            </w:pPr>
            <w:r>
              <w:rPr>
                <w:rFonts w:ascii="Arial" w:cs="Arial" w:eastAsia="Arial" w:hAnsi="Arial"/>
                <w:sz w:val="14"/>
                <w:szCs w:val="14"/>
                <w:color w:val="auto"/>
              </w:rPr>
              <w:t>nationwide.</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The</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8"/>
          </w:tcPr>
          <w:p>
            <w:pPr>
              <w:spacing w:after="0" w:line="149" w:lineRule="exact"/>
              <w:rPr>
                <w:sz w:val="20"/>
                <w:szCs w:val="20"/>
                <w:color w:val="auto"/>
              </w:rPr>
            </w:pPr>
            <w:r>
              <w:rPr>
                <w:rFonts w:ascii="Arial" w:cs="Arial" w:eastAsia="Arial" w:hAnsi="Arial"/>
                <w:sz w:val="14"/>
                <w:szCs w:val="14"/>
                <w:color w:val="auto"/>
                <w:w w:val="99"/>
              </w:rPr>
              <w:t>company had continuing operations in</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Arial" w:cs="Arial" w:eastAsia="Arial" w:hAnsi="Arial"/>
                <w:sz w:val="14"/>
                <w:szCs w:val="14"/>
                <w:color w:val="auto"/>
              </w:rPr>
              <w:t>Elkhart,</w:t>
            </w:r>
          </w:p>
        </w:tc>
        <w:tc>
          <w:tcPr>
            <w:tcW w:w="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IN,</w:t>
            </w:r>
          </w:p>
        </w:tc>
        <w:tc>
          <w:tcPr>
            <w:tcW w:w="1020" w:type="dxa"/>
            <w:vAlign w:val="bottom"/>
            <w:gridSpan w:val="4"/>
          </w:tcPr>
          <w:p>
            <w:pPr>
              <w:ind w:left="140"/>
              <w:spacing w:after="0" w:line="149" w:lineRule="exact"/>
              <w:rPr>
                <w:sz w:val="20"/>
                <w:szCs w:val="20"/>
                <w:color w:val="auto"/>
              </w:rPr>
            </w:pPr>
            <w:r>
              <w:rPr>
                <w:rFonts w:ascii="Arial" w:cs="Arial" w:eastAsia="Arial" w:hAnsi="Arial"/>
                <w:sz w:val="14"/>
                <w:szCs w:val="14"/>
                <w:color w:val="auto"/>
                <w:w w:val="99"/>
              </w:rPr>
              <w:t>Edwardsburg,</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MI,</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Morristown,  TN,</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5"/>
              </w:rPr>
              <w:t>Auburndale,</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FL,</w:t>
            </w:r>
          </w:p>
        </w:tc>
        <w:tc>
          <w:tcPr>
            <w:tcW w:w="0" w:type="dxa"/>
            <w:vAlign w:val="bottom"/>
          </w:tcPr>
          <w:p>
            <w:pPr>
              <w:spacing w:after="0"/>
              <w:rPr>
                <w:sz w:val="1"/>
                <w:szCs w:val="1"/>
                <w:color w:val="auto"/>
              </w:rPr>
            </w:pPr>
          </w:p>
        </w:tc>
      </w:tr>
      <w:tr>
        <w:trPr>
          <w:trHeight w:val="161"/>
        </w:trPr>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4"/>
                <w:szCs w:val="14"/>
                <w:color w:val="auto"/>
                <w:w w:val="99"/>
              </w:rPr>
              <w:t>Hillsboro,</w:t>
            </w:r>
          </w:p>
        </w:tc>
        <w:tc>
          <w:tcPr>
            <w:tcW w:w="360" w:type="dxa"/>
            <w:vAlign w:val="bottom"/>
          </w:tcPr>
          <w:p>
            <w:pPr>
              <w:jc w:val="right"/>
              <w:spacing w:after="0"/>
              <w:rPr>
                <w:sz w:val="20"/>
                <w:szCs w:val="20"/>
                <w:color w:val="auto"/>
              </w:rPr>
            </w:pPr>
            <w:r>
              <w:rPr>
                <w:rFonts w:ascii="Arial" w:cs="Arial" w:eastAsia="Arial" w:hAnsi="Arial"/>
                <w:sz w:val="14"/>
                <w:szCs w:val="14"/>
                <w:color w:val="auto"/>
              </w:rPr>
              <w:t>TX</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and</w:t>
            </w:r>
          </w:p>
        </w:tc>
        <w:tc>
          <w:tcPr>
            <w:tcW w:w="600" w:type="dxa"/>
            <w:vAlign w:val="bottom"/>
            <w:gridSpan w:val="2"/>
          </w:tcPr>
          <w:p>
            <w:pPr>
              <w:jc w:val="right"/>
              <w:ind w:right="28"/>
              <w:spacing w:after="0"/>
              <w:rPr>
                <w:sz w:val="20"/>
                <w:szCs w:val="20"/>
                <w:color w:val="auto"/>
              </w:rPr>
            </w:pPr>
            <w:r>
              <w:rPr>
                <w:rFonts w:ascii="Arial" w:cs="Arial" w:eastAsia="Arial" w:hAnsi="Arial"/>
                <w:sz w:val="14"/>
                <w:szCs w:val="14"/>
                <w:color w:val="auto"/>
              </w:rPr>
              <w:t>certain</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-749935</wp:posOffset>
            </wp:positionV>
            <wp:extent cx="5925820" cy="12261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25820" cy="122618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3"/>
          <w:szCs w:val="13"/>
          <w:color w:val="auto"/>
        </w:rPr>
        <w:t>operations  we  consolidated  into  our</w:t>
      </w:r>
    </w:p>
    <w:p>
      <w:pPr>
        <w:ind w:left="6980"/>
        <w:spacing w:after="0"/>
        <w:rPr>
          <w:sz w:val="20"/>
          <w:szCs w:val="20"/>
          <w:color w:val="auto"/>
        </w:rPr>
      </w:pPr>
      <w:r>
        <w:rPr>
          <w:rFonts w:ascii="Arial" w:cs="Arial" w:eastAsia="Arial" w:hAnsi="Arial"/>
          <w:sz w:val="13"/>
          <w:szCs w:val="13"/>
          <w:color w:val="auto"/>
        </w:rPr>
        <w:t>existing plants. 2006 sales were $147.0</w:t>
      </w:r>
    </w:p>
    <w:p>
      <w:pPr>
        <w:ind w:left="6980"/>
        <w:spacing w:after="0"/>
        <w:rPr>
          <w:sz w:val="20"/>
          <w:szCs w:val="20"/>
          <w:color w:val="auto"/>
        </w:rPr>
      </w:pPr>
      <w:r>
        <w:rPr>
          <w:rFonts w:ascii="Arial" w:cs="Arial" w:eastAsia="Arial" w:hAnsi="Arial"/>
          <w:sz w:val="14"/>
          <w:szCs w:val="14"/>
          <w:color w:val="auto"/>
        </w:rPr>
        <w:t>million.</w:t>
      </w:r>
    </w:p>
    <w:p>
      <w:pPr>
        <w:spacing w:after="0" w:line="124" w:lineRule="exact"/>
        <w:rPr>
          <w:sz w:val="20"/>
          <w:szCs w:val="20"/>
          <w:color w:val="auto"/>
        </w:rPr>
      </w:pPr>
    </w:p>
    <w:p>
      <w:pPr>
        <w:ind w:left="6980"/>
        <w:spacing w:after="0"/>
        <w:rPr>
          <w:sz w:val="20"/>
          <w:szCs w:val="20"/>
          <w:color w:val="auto"/>
        </w:rPr>
      </w:pPr>
      <w:r>
        <w:rPr>
          <w:rFonts w:ascii="Arial" w:cs="Arial" w:eastAsia="Arial" w:hAnsi="Arial"/>
          <w:sz w:val="14"/>
          <w:szCs w:val="14"/>
          <w:color w:val="auto"/>
        </w:rPr>
        <w:t>Purchased 100% voting interest</w:t>
      </w:r>
    </w:p>
    <w:p>
      <w:pPr>
        <w:spacing w:after="0" w:line="200" w:lineRule="exact"/>
        <w:rPr>
          <w:sz w:val="20"/>
          <w:szCs w:val="20"/>
          <w:color w:val="auto"/>
        </w:rPr>
      </w:pPr>
    </w:p>
    <w:p>
      <w:pPr>
        <w:spacing w:after="0" w:line="37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9" w:name="page60"/>
    <w:bookmarkEnd w:id="59"/>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4"/>
                <w:szCs w:val="14"/>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Acquisition</w:t>
            </w:r>
          </w:p>
        </w:tc>
        <w:tc>
          <w:tcPr>
            <w:tcW w:w="22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Purchase</w:t>
            </w:r>
          </w:p>
        </w:tc>
        <w:tc>
          <w:tcPr>
            <w:tcW w:w="2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Reportable</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Tangible</w:t>
            </w: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Business Description</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60" w:type="dxa"/>
            <w:vAlign w:val="bottom"/>
          </w:tcPr>
          <w:p>
            <w:pPr>
              <w:ind w:left="34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8"/>
              </w:rPr>
              <w:t>Assets</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GeoMatrix, Inc.</w:t>
            </w: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2"/>
              </w:rPr>
              <w:t>August 18, 2006</w:t>
            </w: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$11.3 (asset</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9.1</w:t>
            </w: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2.2</w:t>
            </w:r>
          </w:p>
        </w:tc>
        <w:tc>
          <w:tcPr>
            <w:tcW w:w="30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0"/>
              </w:rPr>
              <w:t>Consumer Products</w:t>
            </w:r>
          </w:p>
        </w:tc>
        <w:tc>
          <w:tcPr>
            <w:tcW w:w="200" w:type="dxa"/>
            <w:vAlign w:val="bottom"/>
          </w:tcPr>
          <w:p>
            <w:pPr>
              <w:spacing w:after="0"/>
              <w:rPr>
                <w:sz w:val="10"/>
                <w:szCs w:val="10"/>
                <w:color w:val="auto"/>
              </w:rPr>
            </w:pPr>
          </w:p>
        </w:tc>
        <w:tc>
          <w:tcPr>
            <w:tcW w:w="238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A developer and distributor of plastic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(“GeoMatrix”)</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purchase)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Division</w:t>
            </w:r>
          </w:p>
        </w:tc>
        <w:tc>
          <w:tcPr>
            <w:tcW w:w="20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Arial" w:cs="Arial" w:eastAsia="Arial" w:hAnsi="Arial"/>
                <w:sz w:val="14"/>
                <w:szCs w:val="14"/>
                <w:color w:val="auto"/>
                <w:w w:val="97"/>
              </w:rPr>
              <w:t>lattice  products  and  other  proprietary</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Arial" w:cs="Arial" w:eastAsia="Arial" w:hAnsi="Arial"/>
                <w:sz w:val="14"/>
                <w:szCs w:val="14"/>
                <w:color w:val="auto"/>
              </w:rPr>
              <w:t>plastic products located in Troy, MI.</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rPr>
              <w:t>2005 sales were $19.0 million.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rPr>
              <w:t>Purchased 100% voting interest</w:t>
            </w: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United Lumber &amp;</w:t>
            </w: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July 10, 2006</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$4.6 (asset</w:t>
            </w:r>
          </w:p>
        </w:tc>
        <w:tc>
          <w:tcPr>
            <w:tcW w:w="32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1.9</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Eastern Division</w:t>
            </w:r>
          </w:p>
        </w:tc>
        <w:tc>
          <w:tcPr>
            <w:tcW w:w="200" w:type="dxa"/>
            <w:vAlign w:val="bottom"/>
            <w:shd w:val="clear" w:color="auto" w:fill="CCEEFF"/>
          </w:tcPr>
          <w:p>
            <w:pPr>
              <w:spacing w:after="0"/>
              <w:rPr>
                <w:sz w:val="11"/>
                <w:szCs w:val="11"/>
                <w:color w:val="auto"/>
              </w:rPr>
            </w:pPr>
          </w:p>
        </w:tc>
        <w:tc>
          <w:tcPr>
            <w:tcW w:w="238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w w:val="97"/>
              </w:rPr>
              <w:t>An industrial wood manufacturing plant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Reman, LLC (“United”)</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7"/>
              </w:rPr>
              <w:t>located in Muscle Shoals, AL. Acquired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5"/>
              </w:rPr>
              <w:t>a 50% membership interest. 2005 sales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were $26.0 million.</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3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Purchased 100% voting interest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Dura-Bilt Mfg. Co.</w:t>
            </w:r>
          </w:p>
        </w:tc>
        <w:tc>
          <w:tcPr>
            <w:tcW w:w="22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4"/>
                <w:szCs w:val="14"/>
                <w:color w:val="auto"/>
              </w:rPr>
              <w:t>June 5, 2006</w:t>
            </w:r>
          </w:p>
        </w:tc>
        <w:tc>
          <w:tcPr>
            <w:tcW w:w="220" w:type="dxa"/>
            <w:vAlign w:val="bottom"/>
          </w:tcPr>
          <w:p>
            <w:pPr>
              <w:spacing w:after="0"/>
              <w:rPr>
                <w:sz w:val="11"/>
                <w:szCs w:val="11"/>
                <w:color w:val="auto"/>
              </w:rPr>
            </w:pPr>
          </w:p>
        </w:tc>
        <w:tc>
          <w:tcPr>
            <w:tcW w:w="800" w:type="dxa"/>
            <w:vAlign w:val="bottom"/>
          </w:tcPr>
          <w:p>
            <w:pPr>
              <w:spacing w:after="0" w:line="130" w:lineRule="exact"/>
              <w:rPr>
                <w:sz w:val="20"/>
                <w:szCs w:val="20"/>
                <w:color w:val="auto"/>
              </w:rPr>
            </w:pPr>
            <w:r>
              <w:rPr>
                <w:rFonts w:ascii="Arial" w:cs="Arial" w:eastAsia="Arial" w:hAnsi="Arial"/>
                <w:sz w:val="14"/>
                <w:szCs w:val="14"/>
                <w:color w:val="auto"/>
              </w:rPr>
              <w:t>$8.4 (asset</w:t>
            </w:r>
          </w:p>
        </w:tc>
        <w:tc>
          <w:tcPr>
            <w:tcW w:w="32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6.6</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1.8</w:t>
            </w: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Western Division</w:t>
            </w:r>
          </w:p>
        </w:tc>
        <w:tc>
          <w:tcPr>
            <w:tcW w:w="200" w:type="dxa"/>
            <w:vAlign w:val="bottom"/>
          </w:tcPr>
          <w:p>
            <w:pPr>
              <w:spacing w:after="0"/>
              <w:rPr>
                <w:sz w:val="11"/>
                <w:szCs w:val="11"/>
                <w:color w:val="auto"/>
              </w:rPr>
            </w:pPr>
          </w:p>
        </w:tc>
        <w:tc>
          <w:tcPr>
            <w:tcW w:w="2380" w:type="dxa"/>
            <w:vAlign w:val="bottom"/>
            <w:gridSpan w:val="4"/>
          </w:tcPr>
          <w:p>
            <w:pPr>
              <w:spacing w:after="0" w:line="130" w:lineRule="exact"/>
              <w:rPr>
                <w:sz w:val="20"/>
                <w:szCs w:val="20"/>
                <w:color w:val="auto"/>
              </w:rPr>
            </w:pPr>
            <w:r>
              <w:rPr>
                <w:rFonts w:ascii="Arial" w:cs="Arial" w:eastAsia="Arial" w:hAnsi="Arial"/>
                <w:sz w:val="14"/>
                <w:szCs w:val="14"/>
                <w:color w:val="auto"/>
                <w:w w:val="93"/>
              </w:rPr>
              <w:t>Designs and manufactures roof and floor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(“Dura-Bilt”)</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purchase)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Arial" w:cs="Arial" w:eastAsia="Arial" w:hAnsi="Arial"/>
                <w:sz w:val="14"/>
                <w:szCs w:val="14"/>
                <w:color w:val="auto"/>
              </w:rPr>
              <w:t>trusses for site-built construction. The</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Arial" w:cs="Arial" w:eastAsia="Arial" w:hAnsi="Arial"/>
                <w:sz w:val="14"/>
                <w:szCs w:val="14"/>
                <w:color w:val="auto"/>
              </w:rPr>
              <w:t>company is located in Riverbank, CA.</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rPr>
              <w:t>2005 sales were $16.0 million.</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Arial" w:cs="Arial" w:eastAsia="Arial" w:hAnsi="Arial"/>
                <w:sz w:val="14"/>
                <w:szCs w:val="14"/>
                <w:color w:val="auto"/>
              </w:rPr>
              <w:t>Purchased 100% voting interest</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w w:val="92"/>
              </w:rPr>
              <w:t>Classic Truss Company,</w:t>
            </w:r>
          </w:p>
        </w:tc>
        <w:tc>
          <w:tcPr>
            <w:tcW w:w="2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w w:val="93"/>
              </w:rPr>
              <w:t>January 9, 2006</w:t>
            </w:r>
          </w:p>
        </w:tc>
        <w:tc>
          <w:tcPr>
            <w:tcW w:w="2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$2.0 (asset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Eastern Division</w:t>
            </w:r>
          </w:p>
        </w:tc>
        <w:tc>
          <w:tcPr>
            <w:tcW w:w="20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Arial" w:cs="Arial" w:eastAsia="Arial" w:hAnsi="Arial"/>
                <w:sz w:val="14"/>
                <w:szCs w:val="14"/>
                <w:color w:val="auto"/>
                <w:w w:val="93"/>
              </w:rPr>
              <w:t>Manufactures and distributes engineered</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Inc. (“Classic”)</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purchase)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wood</w:t>
            </w:r>
          </w:p>
        </w:tc>
        <w:tc>
          <w:tcPr>
            <w:tcW w:w="900" w:type="dxa"/>
            <w:vAlign w:val="bottom"/>
          </w:tcPr>
          <w:p>
            <w:pPr>
              <w:ind w:left="200"/>
              <w:spacing w:after="0" w:line="149" w:lineRule="exact"/>
              <w:rPr>
                <w:sz w:val="20"/>
                <w:szCs w:val="20"/>
                <w:color w:val="auto"/>
              </w:rPr>
            </w:pPr>
            <w:r>
              <w:rPr>
                <w:rFonts w:ascii="Arial" w:cs="Arial" w:eastAsia="Arial" w:hAnsi="Arial"/>
                <w:sz w:val="14"/>
                <w:szCs w:val="14"/>
                <w:color w:val="auto"/>
                <w:w w:val="89"/>
              </w:rPr>
              <w:t>components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for</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site-built</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Arial" w:cs="Arial" w:eastAsia="Arial" w:hAnsi="Arial"/>
                <w:sz w:val="14"/>
                <w:szCs w:val="14"/>
                <w:color w:val="auto"/>
                <w:w w:val="96"/>
              </w:rPr>
              <w:t>construction. The company is located in</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Fort</w:t>
            </w:r>
          </w:p>
        </w:tc>
        <w:tc>
          <w:tcPr>
            <w:tcW w:w="900" w:type="dxa"/>
            <w:vAlign w:val="bottom"/>
          </w:tcPr>
          <w:p>
            <w:pPr>
              <w:ind w:left="20"/>
              <w:spacing w:after="0" w:line="149" w:lineRule="exact"/>
              <w:rPr>
                <w:sz w:val="20"/>
                <w:szCs w:val="20"/>
                <w:color w:val="auto"/>
              </w:rPr>
            </w:pPr>
            <w:r>
              <w:rPr>
                <w:rFonts w:ascii="Arial" w:cs="Arial" w:eastAsia="Arial" w:hAnsi="Arial"/>
                <w:sz w:val="14"/>
                <w:szCs w:val="14"/>
                <w:color w:val="auto"/>
              </w:rPr>
              <w:t>Pierce,  FL.</w:t>
            </w: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3"/>
              </w:rPr>
              <w:t>2005</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sales  were</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$6.0 million.</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-480695</wp:posOffset>
            </wp:positionV>
            <wp:extent cx="5925820" cy="660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25820" cy="660400"/>
                    </a:xfrm>
                    <a:prstGeom prst="rect">
                      <a:avLst/>
                    </a:prstGeom>
                    <a:noFill/>
                  </pic:spPr>
                </pic:pic>
              </a:graphicData>
            </a:graphic>
          </wp:anchor>
        </w:drawing>
      </w:r>
    </w:p>
    <w:p>
      <w:pPr>
        <w:spacing w:after="0" w:line="95" w:lineRule="exact"/>
        <w:rPr>
          <w:sz w:val="20"/>
          <w:szCs w:val="20"/>
          <w:color w:val="auto"/>
        </w:rPr>
      </w:pPr>
    </w:p>
    <w:p>
      <w:pPr>
        <w:ind w:left="6940"/>
        <w:spacing w:after="0"/>
        <w:rPr>
          <w:sz w:val="20"/>
          <w:szCs w:val="20"/>
          <w:color w:val="auto"/>
        </w:rPr>
      </w:pPr>
      <w:r>
        <w:rPr>
          <w:rFonts w:ascii="Arial" w:cs="Arial" w:eastAsia="Arial" w:hAnsi="Arial"/>
          <w:sz w:val="14"/>
          <w:szCs w:val="14"/>
          <w:color w:val="auto"/>
        </w:rPr>
        <w:t>Purchased 100% voting interest</w:t>
      </w:r>
    </w:p>
    <w:p>
      <w:pPr>
        <w:spacing w:after="0" w:line="181" w:lineRule="exact"/>
        <w:rPr>
          <w:sz w:val="20"/>
          <w:szCs w:val="20"/>
          <w:color w:val="auto"/>
        </w:rPr>
      </w:pPr>
    </w:p>
    <w:p>
      <w:pPr>
        <w:jc w:val="both"/>
        <w:ind w:left="360" w:right="559"/>
        <w:spacing w:after="0" w:line="264" w:lineRule="auto"/>
        <w:rPr>
          <w:sz w:val="20"/>
          <w:szCs w:val="20"/>
          <w:color w:val="auto"/>
        </w:rPr>
      </w:pPr>
      <w:r>
        <w:rPr>
          <w:rFonts w:ascii="Arial" w:cs="Arial" w:eastAsia="Arial" w:hAnsi="Arial"/>
          <w:sz w:val="18"/>
          <w:szCs w:val="18"/>
          <w:color w:val="auto"/>
        </w:rPr>
        <w:t>The purchase price allocations for D-Stake and IWI are preliminary and will be revised as final estimates of intangible asset values are made. The amounts assigned to major intangible classes for business combinations mentioned above are as follows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12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1"/>
              </w:rPr>
              <w:t>Non-compete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1"/>
              </w:rPr>
              <w:t>Customer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Goodwill –</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Goodwill –</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Patents</w:t>
            </w:r>
          </w:p>
        </w:tc>
        <w:tc>
          <w:tcPr>
            <w:tcW w:w="18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Tax</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11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9"/>
              </w:rPr>
              <w:t>agreements</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1"/>
              </w:rPr>
              <w:t>Relationships</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Deductible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D-Stake</w:t>
            </w:r>
          </w:p>
        </w:tc>
        <w:tc>
          <w:tcPr>
            <w:tcW w:w="4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5"/>
              </w:rPr>
              <w:t>$2.6</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$2.5</w:t>
            </w:r>
          </w:p>
        </w:tc>
        <w:tc>
          <w:tcPr>
            <w:tcW w:w="1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2680" w:type="dxa"/>
            <w:vAlign w:val="bottom"/>
            <w:gridSpan w:val="2"/>
          </w:tcPr>
          <w:p>
            <w:pPr>
              <w:spacing w:after="0" w:line="130" w:lineRule="exact"/>
              <w:rPr>
                <w:sz w:val="20"/>
                <w:szCs w:val="20"/>
                <w:color w:val="auto"/>
              </w:rPr>
            </w:pPr>
            <w:r>
              <w:rPr>
                <w:rFonts w:ascii="Arial" w:cs="Arial" w:eastAsia="Arial" w:hAnsi="Arial"/>
                <w:sz w:val="14"/>
                <w:szCs w:val="14"/>
                <w:color w:val="auto"/>
              </w:rPr>
              <w:t>Shawnlee</w:t>
            </w:r>
          </w:p>
        </w:tc>
        <w:tc>
          <w:tcPr>
            <w:tcW w:w="4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0.3</w:t>
            </w:r>
          </w:p>
        </w:tc>
        <w:tc>
          <w:tcPr>
            <w:tcW w:w="1140" w:type="dxa"/>
            <w:vAlign w:val="bottom"/>
          </w:tcPr>
          <w:p>
            <w:pPr>
              <w:spacing w:after="0"/>
              <w:rPr>
                <w:sz w:val="11"/>
                <w:szCs w:val="11"/>
                <w:color w:val="auto"/>
              </w:rPr>
            </w:pPr>
          </w:p>
        </w:tc>
        <w:tc>
          <w:tcPr>
            <w:tcW w:w="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w w:val="87"/>
              </w:rPr>
              <w:t>$0.4</w:t>
            </w: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0.3</w:t>
            </w:r>
          </w:p>
        </w:tc>
        <w:tc>
          <w:tcPr>
            <w:tcW w:w="15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114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0.4</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11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0.2</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IWI</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w:t>
            </w:r>
          </w:p>
        </w:tc>
        <w:tc>
          <w:tcPr>
            <w:tcW w:w="1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Deck Images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0.6</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Perfection</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1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0.5</w:t>
            </w: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Aljoma</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Banks</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1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w:t>
            </w:r>
          </w:p>
        </w:tc>
        <w:tc>
          <w:tcPr>
            <w:tcW w:w="1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GeoMatrix</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114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United</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1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Dura-Bilt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0.9</w:t>
            </w:r>
          </w:p>
        </w:tc>
        <w:tc>
          <w:tcPr>
            <w:tcW w:w="114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Classic</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60" w:right="559"/>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are not presented.</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0" w:name="page61"/>
    <w:bookmarkEnd w:id="60"/>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428" w:right="559" w:hanging="428"/>
        <w:spacing w:after="0" w:line="282" w:lineRule="auto"/>
        <w:tabs>
          <w:tab w:leader="none" w:pos="42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HELD FOR SALE AND NET LOSS ON DISPOSITION OF ASSETS AND OTHER IMPAIRMENT AND EXIT CHARGES</w:t>
      </w:r>
    </w:p>
    <w:p>
      <w:pPr>
        <w:spacing w:after="0" w:line="125" w:lineRule="exact"/>
        <w:rPr>
          <w:sz w:val="20"/>
          <w:szCs w:val="20"/>
          <w:color w:val="auto"/>
        </w:rPr>
      </w:pPr>
    </w:p>
    <w:p>
      <w:pPr>
        <w:jc w:val="both"/>
        <w:ind w:left="368" w:right="559"/>
        <w:spacing w:after="0" w:line="271" w:lineRule="auto"/>
        <w:rPr>
          <w:sz w:val="20"/>
          <w:szCs w:val="20"/>
          <w:color w:val="auto"/>
        </w:rPr>
      </w:pPr>
      <w:r>
        <w:rPr>
          <w:rFonts w:ascii="Arial" w:cs="Arial" w:eastAsia="Arial" w:hAnsi="Arial"/>
          <w:sz w:val="17"/>
          <w:szCs w:val="17"/>
          <w:color w:val="auto"/>
        </w:rPr>
        <w:t>Included in “Assets held for sale” on our Consolidated Balance Sheets is certain property, plant and equipment totaling $8.3 million on December 27, 2008 and $33.6 million on December 29, 2007. The assets held for sale consist of certain vacant land and several facilities we closed to better align manufacturing capacity with the current business environment. The fair values were determined based on appraisals or recent offers to acquire the assets. These and other idle assets were evaluated based on the requirements of SFAS No. 144, which resulted in an impairment and other exit charges totaling approximately $7.2 million and $8.2 million included in “Net loss on disposition of assets and other impairment and exit charges” for the years ending December 27, 2008 and December 29, 2007, respectively. These amounts include the following, separated by reporting segment (in millions):</w:t>
      </w:r>
    </w:p>
    <w:p>
      <w:pPr>
        <w:spacing w:after="0" w:line="179"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8"/>
                <w:szCs w:val="18"/>
                <w:color w:val="auto"/>
                <w:w w:val="98"/>
              </w:rPr>
              <w:t>December 27, 2008</w:t>
            </w:r>
          </w:p>
        </w:tc>
        <w:tc>
          <w:tcPr>
            <w:tcW w:w="1800" w:type="dxa"/>
            <w:vAlign w:val="bottom"/>
            <w:gridSpan w:val="4"/>
          </w:tcPr>
          <w:p>
            <w:pPr>
              <w:ind w:left="180"/>
              <w:spacing w:after="0"/>
              <w:rPr>
                <w:sz w:val="20"/>
                <w:szCs w:val="20"/>
                <w:color w:val="auto"/>
              </w:rPr>
            </w:pPr>
            <w:r>
              <w:rPr>
                <w:rFonts w:ascii="Arial" w:cs="Arial" w:eastAsia="Arial" w:hAnsi="Arial"/>
                <w:sz w:val="18"/>
                <w:szCs w:val="18"/>
                <w:color w:val="auto"/>
              </w:rPr>
              <w:t>December 29, 2007</w:t>
            </w:r>
          </w:p>
        </w:tc>
      </w:tr>
      <w:tr>
        <w:trPr>
          <w:trHeight w:val="195"/>
        </w:trPr>
        <w:tc>
          <w:tcPr>
            <w:tcW w:w="548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6"/>
              </w:rPr>
              <w:t>Eastern and</w:t>
            </w: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88"/>
              </w:rPr>
              <w:t>Eastern and</w:t>
            </w: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Western</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All</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Western</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All</w:t>
            </w:r>
          </w:p>
        </w:tc>
      </w:tr>
      <w:tr>
        <w:trPr>
          <w:trHeight w:val="230"/>
        </w:trPr>
        <w:tc>
          <w:tcPr>
            <w:tcW w:w="54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280" w:type="dxa"/>
            <w:vAlign w:val="bottom"/>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Divisions</w:t>
            </w:r>
          </w:p>
        </w:tc>
        <w:tc>
          <w:tcPr>
            <w:tcW w:w="260" w:type="dxa"/>
            <w:vAlign w:val="bottom"/>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Severances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Fixed assets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Lease termination</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61" w:lineRule="exact"/>
        <w:rPr>
          <w:sz w:val="20"/>
          <w:szCs w:val="20"/>
          <w:color w:val="auto"/>
        </w:rPr>
      </w:pPr>
    </w:p>
    <w:p>
      <w:pPr>
        <w:ind w:left="368"/>
        <w:spacing w:after="0"/>
        <w:rPr>
          <w:sz w:val="20"/>
          <w:szCs w:val="20"/>
          <w:color w:val="auto"/>
        </w:rPr>
      </w:pPr>
      <w:r>
        <w:rPr>
          <w:rFonts w:ascii="Arial" w:cs="Arial" w:eastAsia="Arial" w:hAnsi="Arial"/>
          <w:sz w:val="18"/>
          <w:szCs w:val="18"/>
          <w:color w:val="auto"/>
        </w:rPr>
        <w:t>The changes in assets held for sale in 2008 are as follows (in millions):</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Net Book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Net Sales</w:t>
            </w:r>
          </w:p>
        </w:tc>
      </w:tr>
      <w:tr>
        <w:trPr>
          <w:trHeight w:val="230"/>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Value</w:t>
            </w:r>
          </w:p>
        </w:tc>
        <w:tc>
          <w:tcPr>
            <w:tcW w:w="360" w:type="dxa"/>
            <w:vAlign w:val="bottom"/>
            <w:gridSpan w:val="2"/>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Date of Sale</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20"/>
                <w:szCs w:val="20"/>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as of December 29, 2007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Transfers to held for use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Sale of vacant land acquired as part of acquisition of Aljoma</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(24.5)</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January 24, 2008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Sale of certain real estate in Thorndale, Ontario</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March 18, 2008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Sale of certain real estate in Fishersville, Virginia</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July 23, 2008</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Sale of certain real estate in Hohenwald, Tennessee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5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August 11, 2008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Assets held for sale as of December 27, 2008</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68" w:right="559"/>
        <w:spacing w:after="0" w:line="277" w:lineRule="auto"/>
        <w:rPr>
          <w:sz w:val="20"/>
          <w:szCs w:val="20"/>
          <w:color w:val="auto"/>
        </w:rPr>
      </w:pPr>
      <w:r>
        <w:rPr>
          <w:rFonts w:ascii="Arial" w:cs="Arial" w:eastAsia="Arial" w:hAnsi="Arial"/>
          <w:sz w:val="18"/>
          <w:szCs w:val="18"/>
          <w:color w:val="auto"/>
        </w:rPr>
        <w:t>We have transferred certain assets back to held for use because we do not believe we will sell these assets within a year due to deteriorating economic conditions.</w:t>
      </w:r>
    </w:p>
    <w:p>
      <w:pPr>
        <w:spacing w:after="0" w:line="126" w:lineRule="exact"/>
        <w:rPr>
          <w:sz w:val="20"/>
          <w:szCs w:val="20"/>
          <w:color w:val="auto"/>
        </w:rPr>
      </w:pPr>
    </w:p>
    <w:p>
      <w:pPr>
        <w:ind w:left="408" w:hanging="408"/>
        <w:spacing w:after="0"/>
        <w:tabs>
          <w:tab w:leader="none" w:pos="40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189" w:lineRule="exact"/>
        <w:rPr>
          <w:sz w:val="20"/>
          <w:szCs w:val="20"/>
          <w:color w:val="auto"/>
        </w:rPr>
      </w:pPr>
    </w:p>
    <w:p>
      <w:pPr>
        <w:jc w:val="both"/>
        <w:ind w:left="368" w:right="559"/>
        <w:spacing w:after="0" w:line="257" w:lineRule="auto"/>
        <w:rPr>
          <w:sz w:val="20"/>
          <w:szCs w:val="20"/>
          <w:color w:val="auto"/>
        </w:rPr>
      </w:pPr>
      <w:r>
        <w:rPr>
          <w:rFonts w:ascii="Arial" w:cs="Arial" w:eastAsia="Arial" w:hAnsi="Arial"/>
          <w:sz w:val="18"/>
          <w:szCs w:val="18"/>
          <w:color w:val="auto"/>
        </w:rPr>
        <w:t xml:space="preserve">We account for goodwill and other intangible assets in accordance with the provisions of SFAS No. 142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Intangible Assets</w:t>
      </w:r>
      <w:r>
        <w:rPr>
          <w:rFonts w:ascii="Arial" w:cs="Arial" w:eastAsia="Arial" w:hAnsi="Arial"/>
          <w:sz w:val="18"/>
          <w:szCs w:val="18"/>
          <w:color w:val="auto"/>
        </w:rPr>
        <w:t>. Goodwill and intangible assets acquired in a purchase business combination and determined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an indefinite useful life are not amortized, but instead tested for impairment at least annually or when a triggering event occurs. We tested for impairment in the fourth quarter by utilizing the discounted cash flow method and allocating goodwill based on operating segments, which resulted in no impairment.</w:t>
      </w:r>
    </w:p>
    <w:p>
      <w:pPr>
        <w:spacing w:after="0" w:line="200" w:lineRule="exact"/>
        <w:rPr>
          <w:sz w:val="20"/>
          <w:szCs w:val="20"/>
          <w:color w:val="auto"/>
        </w:rPr>
      </w:pPr>
    </w:p>
    <w:p>
      <w:pPr>
        <w:spacing w:after="0" w:line="353"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61" w:name="page62"/>
    <w:bookmarkEnd w:id="61"/>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68" w:right="559"/>
        <w:spacing w:after="0" w:line="277" w:lineRule="auto"/>
        <w:rPr>
          <w:sz w:val="20"/>
          <w:szCs w:val="20"/>
          <w:color w:val="auto"/>
        </w:rPr>
      </w:pPr>
      <w:r>
        <w:rPr>
          <w:rFonts w:ascii="Arial" w:cs="Arial" w:eastAsia="Arial" w:hAnsi="Arial"/>
          <w:sz w:val="18"/>
          <w:szCs w:val="18"/>
          <w:color w:val="auto"/>
        </w:rPr>
        <w:t>The following amounts were included in other intangible assets, net as of December 27, 2008 and December 29, 2007 (in thousands):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84"/>
              </w:rPr>
              <w:t>2008</w:t>
            </w: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84"/>
              </w:rPr>
              <w:t>2007</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6"/>
                <w:szCs w:val="16"/>
                <w:color w:val="auto"/>
              </w:rPr>
            </w:pPr>
          </w:p>
        </w:tc>
      </w:tr>
      <w:tr>
        <w:trPr>
          <w:trHeight w:val="230"/>
        </w:trPr>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6"/>
              </w:rPr>
              <w:t>Assets</w:t>
            </w:r>
          </w:p>
        </w:tc>
        <w:tc>
          <w:tcPr>
            <w:tcW w:w="36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3"/>
              </w:rPr>
              <w:t>Amortization</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6"/>
              </w:rPr>
              <w:t>Assets</w:t>
            </w:r>
          </w:p>
        </w:tc>
        <w:tc>
          <w:tcPr>
            <w:tcW w:w="34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Amortization</w:t>
            </w:r>
          </w:p>
        </w:tc>
      </w:tr>
      <w:tr>
        <w:trPr>
          <w:trHeight w:val="20"/>
        </w:trPr>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26,899</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Licensing agreements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(871)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r>
      <w:tr>
        <w:trPr>
          <w:trHeight w:val="27"/>
        </w:trPr>
        <w:tc>
          <w:tcPr>
            <w:tcW w:w="4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47,613</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41,715</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(17,866)</w:t>
            </w:r>
          </w:p>
        </w:tc>
      </w:tr>
      <w:tr>
        <w:trPr>
          <w:trHeight w:val="20"/>
        </w:trPr>
        <w:tc>
          <w:tcPr>
            <w:tcW w:w="4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68" w:right="559"/>
        <w:spacing w:after="0" w:line="277" w:lineRule="auto"/>
        <w:rPr>
          <w:sz w:val="20"/>
          <w:szCs w:val="20"/>
          <w:color w:val="auto"/>
        </w:rPr>
      </w:pPr>
      <w:r>
        <w:rPr>
          <w:rFonts w:ascii="Arial" w:cs="Arial" w:eastAsia="Arial" w:hAnsi="Arial"/>
          <w:sz w:val="18"/>
          <w:szCs w:val="18"/>
          <w:color w:val="auto"/>
        </w:rPr>
        <w:t>Amortization is computed principally by the straight-line method over the estimated useful lives of the intangible assets as follows:</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 to 10 years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Licensing agreements</w:t>
            </w:r>
          </w:p>
        </w:tc>
        <w:tc>
          <w:tcPr>
            <w:tcW w:w="4240" w:type="dxa"/>
            <w:vAlign w:val="bottom"/>
            <w:gridSpan w:val="2"/>
          </w:tcPr>
          <w:p>
            <w:pPr>
              <w:jc w:val="right"/>
              <w:ind w:right="80"/>
              <w:spacing w:after="0"/>
              <w:rPr>
                <w:sz w:val="20"/>
                <w:szCs w:val="20"/>
                <w:color w:val="auto"/>
              </w:rPr>
            </w:pPr>
            <w:r>
              <w:rPr>
                <w:rFonts w:ascii="Arial" w:cs="Arial" w:eastAsia="Arial" w:hAnsi="Arial"/>
                <w:sz w:val="18"/>
                <w:szCs w:val="18"/>
                <w:color w:val="auto"/>
              </w:rPr>
              <w:t>3 to 5 years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100" w:type="dxa"/>
            <w:vAlign w:val="bottom"/>
          </w:tcPr>
          <w:p>
            <w:pPr>
              <w:spacing w:after="0"/>
              <w:rPr>
                <w:sz w:val="18"/>
                <w:szCs w:val="18"/>
                <w:color w:val="auto"/>
              </w:rPr>
            </w:pPr>
          </w:p>
        </w:tc>
      </w:tr>
    </w:tbl>
    <w:p>
      <w:pPr>
        <w:spacing w:after="0" w:line="161" w:lineRule="exact"/>
        <w:rPr>
          <w:sz w:val="20"/>
          <w:szCs w:val="20"/>
          <w:color w:val="auto"/>
        </w:rPr>
      </w:pPr>
    </w:p>
    <w:p>
      <w:pPr>
        <w:jc w:val="both"/>
        <w:ind w:left="368" w:right="559"/>
        <w:spacing w:after="0" w:line="264" w:lineRule="auto"/>
        <w:rPr>
          <w:sz w:val="20"/>
          <w:szCs w:val="20"/>
          <w:color w:val="auto"/>
        </w:rPr>
      </w:pPr>
      <w:r>
        <w:rPr>
          <w:rFonts w:ascii="Arial" w:cs="Arial" w:eastAsia="Arial" w:hAnsi="Arial"/>
          <w:sz w:val="18"/>
          <w:szCs w:val="18"/>
          <w:color w:val="auto"/>
        </w:rPr>
        <w:t>Amortization expense of intangibles totaled $9.8 million, $8.0 million and $5.8 million in 2008, 2007, and 2006, respectively. The estimated amortization expense for intangibles for each of the five succeeding fiscal years is as follows (in thousands):</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8,166</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6,778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2,106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r>
      <w:tr>
        <w:trPr>
          <w:trHeight w:val="27"/>
        </w:trPr>
        <w:tc>
          <w:tcPr>
            <w:tcW w:w="8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22,751</w:t>
            </w:r>
          </w:p>
        </w:tc>
      </w:tr>
      <w:tr>
        <w:trPr>
          <w:trHeight w:val="20"/>
        </w:trPr>
        <w:tc>
          <w:tcPr>
            <w:tcW w:w="8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68" w:right="559"/>
        <w:spacing w:after="0" w:line="277" w:lineRule="auto"/>
        <w:rPr>
          <w:sz w:val="20"/>
          <w:szCs w:val="20"/>
          <w:color w:val="auto"/>
        </w:rPr>
      </w:pPr>
      <w:r>
        <w:rPr>
          <w:rFonts w:ascii="Arial" w:cs="Arial" w:eastAsia="Arial" w:hAnsi="Arial"/>
          <w:sz w:val="18"/>
          <w:szCs w:val="18"/>
          <w:color w:val="auto"/>
        </w:rPr>
        <w:t>The changes in the net carrying amount of goodwill and indefinite-lived intangible assets for the years ended December 27, 2008 and December 29, 2007, are as follows (in thousands):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Indefinite-</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Lived</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Intangible</w:t>
            </w:r>
          </w:p>
        </w:tc>
      </w:tr>
      <w:tr>
        <w:trPr>
          <w:trHeight w:val="230"/>
        </w:trPr>
        <w:tc>
          <w:tcPr>
            <w:tcW w:w="6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Goodwill</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Assets</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152,837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Final purchase price allocations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(7,797)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147,932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2,340</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Final purchase price allocations</w:t>
            </w: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156,923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2,340</w:t>
            </w:r>
          </w:p>
        </w:tc>
      </w:tr>
      <w:tr>
        <w:trPr>
          <w:trHeight w:val="20"/>
        </w:trPr>
        <w:tc>
          <w:tcPr>
            <w:tcW w:w="6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88" w:hanging="388"/>
        <w:spacing w:after="0"/>
        <w:tabs>
          <w:tab w:leader="none" w:pos="38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188" w:lineRule="exact"/>
        <w:rPr>
          <w:rFonts w:ascii="Arial" w:cs="Arial" w:eastAsia="Arial" w:hAnsi="Arial"/>
          <w:sz w:val="18"/>
          <w:szCs w:val="18"/>
          <w:b w:val="1"/>
          <w:bCs w:val="1"/>
          <w:color w:val="auto"/>
        </w:rPr>
      </w:pPr>
    </w:p>
    <w:p>
      <w:pPr>
        <w:jc w:val="both"/>
        <w:ind w:left="368" w:right="559"/>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We have a five-year, $300 million unsecured revolving credit facility, which includes amounts reserved for letters of credit. Cash borrowings are charged interest based upon an index equal to the Eurodollar rate (in the case of borrowings in US Dollars) or the bankers’ acceptance rate quoted (in the case of borrowings in Canadian Dollars), plus a margin (ranging from 27 to 90 basis points, based upon our financial performance). We are also charged an annual facility fee on the entire amount of the lending commitment (ranging from 8 to 25 basis points, based upon our performance), and a usage premium (ranging from 5 to 12.5 basis points, based upon our performance) at times when borrowings in US Dollars exceed $140 million. The average borrowing rate on this facility was 3.6% and 5.5% in 2008 and 2007, respectively. The amount outstanding on the revolving credit facility is included in the long-term debt summary below. The revolving credit facility supports letters of credit totaling approximately $29.7 million on December 27, 2008.</w:t>
      </w:r>
    </w:p>
    <w:p>
      <w:pPr>
        <w:spacing w:after="0" w:line="200" w:lineRule="exact"/>
        <w:rPr>
          <w:sz w:val="20"/>
          <w:szCs w:val="20"/>
          <w:color w:val="auto"/>
        </w:rPr>
      </w:pPr>
    </w:p>
    <w:p>
      <w:pPr>
        <w:spacing w:after="0" w:line="332"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626" w:gutter="0" w:footer="0" w:header="0"/>
        </w:sectPr>
      </w:pPr>
    </w:p>
    <w:bookmarkStart w:id="62" w:name="page63"/>
    <w:bookmarkEnd w:id="62"/>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700" w:right="1760"/>
        <w:spacing w:after="0" w:line="255" w:lineRule="auto"/>
        <w:rPr>
          <w:sz w:val="20"/>
          <w:szCs w:val="20"/>
          <w:color w:val="auto"/>
        </w:rPr>
      </w:pPr>
      <w:r>
        <w:rPr>
          <w:rFonts w:ascii="Arial" w:cs="Arial" w:eastAsia="Arial" w:hAnsi="Arial"/>
          <w:sz w:val="18"/>
          <w:szCs w:val="18"/>
          <w:color w:val="auto"/>
        </w:rPr>
        <w:t>Outstanding letters of credit extended on our behalf aggregated $32.2 million on December 27, 2008, which includes approximately $14.8 million related to industrial development revenue bonds. Outstanding letters of credit extended on our behalf aggregated $33.7 million on December 29, 2007, which includes approximately $16.1 million related to industrial development revenue bonds. Letters of credit have terms ranging from one to three years, and include an automatic renewal clause. The letters of credit are charged an annual interest rate ranging from 27 to 90 basis points under the $300 million facility, based upon our financial performance.</w:t>
      </w:r>
    </w:p>
    <w:p>
      <w:pPr>
        <w:spacing w:after="0" w:line="153" w:lineRule="exact"/>
        <w:rPr>
          <w:sz w:val="20"/>
          <w:szCs w:val="20"/>
          <w:color w:val="auto"/>
        </w:rPr>
      </w:pPr>
    </w:p>
    <w:p>
      <w:pPr>
        <w:jc w:val="both"/>
        <w:ind w:left="700" w:right="1760"/>
        <w:spacing w:after="0" w:line="277" w:lineRule="auto"/>
        <w:rPr>
          <w:sz w:val="20"/>
          <w:szCs w:val="20"/>
          <w:color w:val="auto"/>
        </w:rPr>
      </w:pPr>
      <w:r>
        <w:rPr>
          <w:rFonts w:ascii="Arial" w:cs="Arial" w:eastAsia="Arial" w:hAnsi="Arial"/>
          <w:sz w:val="18"/>
          <w:szCs w:val="18"/>
          <w:color w:val="auto"/>
        </w:rPr>
        <w:t>Long-term debt and capital lease obligations are summarized as follows on December 27, 2008 and December 29, 2007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6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Series 1998-A Senior Notes Tranche B, due on December 21, 2008, interest payable semi-</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annually at 6.98%</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4"/>
              </w:rPr>
              <w:t>Series 1998-A Senior Notes Tranche C, due on December 21, 2008, interest payable semi-</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annually at 6.98%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19,000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2002-A Senior Notes Tranche A, due on December 18, 2009, interest payable semi-</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annually at 5.63%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4"/>
              </w:rPr>
              <w:t>Series 2002-A Senior Notes Tranche B, due on December 18, 2012, interest payable semi-</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annually at 6.16%</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40,000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Revolving credit facility totaling $300 million due on February 12, 2012, interest due</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monthly at a floating rate (0.96% on December 27, 2008)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30,257</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54,614</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6"/>
              </w:rPr>
              <w:t>Series 1998 Industrial Development Revenue Bonds, due on December 1, 2018, interest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payable monthly at a floating rate</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1999 Industrial Development Revenue Bonds, due on August 1, 2029, interest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monthly at a floating rate (1.08% on December 27, 2008)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3,300</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9"/>
              </w:rPr>
              <w:t>Series 2000 Industrial Development Revenue Bonds, due on October 1, 2020, interest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payable monthly at a floating rate (1.27% on December 27, 2008)</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2000 Industrial Development Revenue Bonds, due on November 1, 2020, interest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monthly at a floating rate (1.27% on December 27, 2008)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6"/>
              </w:rPr>
              <w:t>Series 2001 Industrial Development Revenue Bonds, due on November 1, 2021, interest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payable monthly at a floating rate (1.27% on December 27, 2008)</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2002 Industrial Development Revenue Bonds, due on December 1, 2022, interest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monthly at a floating rate (1.16% on December 27, 2008)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3,700</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Capital lease obligations, interest imputed at 6.72%</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101,174</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206,071</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15,490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Long-term portion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85,684</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205,126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vMerge w:val="restart"/>
          </w:tcPr>
          <w:p>
            <w:pPr>
              <w:ind w:left="456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700" w:right="1760"/>
        <w:spacing w:after="0" w:line="259" w:lineRule="auto"/>
        <w:rPr>
          <w:sz w:val="20"/>
          <w:szCs w:val="20"/>
          <w:color w:val="auto"/>
        </w:rPr>
      </w:pPr>
      <w:r>
        <w:rPr>
          <w:rFonts w:ascii="Arial" w:cs="Arial" w:eastAsia="Arial" w:hAnsi="Arial"/>
          <w:sz w:val="18"/>
          <w:szCs w:val="18"/>
          <w:color w:val="auto"/>
        </w:rPr>
        <w:t>Financial covenants on the unsecured revolving credit facility and unsecured notes include a minimum net worth requirement, minimum interest coverage tests, and a maximum leverage ratio. The agreements also restrict the amount of additional indebtedness we may incur and the amount of assets which may be sold. We were within all of our lending requirements on December 27, 2008.</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On December 27, 2008, the principal maturities of</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long-term debt and capital lease obligations are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as follows</w:t>
            </w: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(in thousands):</w:t>
            </w: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5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15,490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2010</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2012</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70,527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Thereafter</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14,600</w:t>
            </w:r>
          </w:p>
        </w:tc>
      </w:tr>
      <w:tr>
        <w:trPr>
          <w:trHeight w:val="27"/>
        </w:trPr>
        <w:tc>
          <w:tcPr>
            <w:tcW w:w="45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101,174</w:t>
            </w:r>
          </w:p>
        </w:tc>
      </w:tr>
      <w:tr>
        <w:trPr>
          <w:trHeight w:val="20"/>
        </w:trPr>
        <w:tc>
          <w:tcPr>
            <w:tcW w:w="4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700" w:right="1760"/>
        <w:spacing w:after="0" w:line="264" w:lineRule="auto"/>
        <w:rPr>
          <w:sz w:val="20"/>
          <w:szCs w:val="20"/>
          <w:color w:val="auto"/>
        </w:rPr>
      </w:pPr>
      <w:r>
        <w:rPr>
          <w:rFonts w:ascii="Arial" w:cs="Arial" w:eastAsia="Arial" w:hAnsi="Arial"/>
          <w:sz w:val="18"/>
          <w:szCs w:val="18"/>
          <w:color w:val="auto"/>
        </w:rPr>
        <w:t>On December 27, 2008, the estimated fair value of our long-term debt, including the current portion, was $101.7 million, which was $0.5 million greater than the carrying value. The estimated fair value is based on rates anticipated to be available to us for debt with similar terms and maturities.</w:t>
      </w:r>
    </w:p>
    <w:p>
      <w:pPr>
        <w:spacing w:after="0" w:line="150" w:lineRule="exact"/>
        <w:rPr>
          <w:sz w:val="20"/>
          <w:szCs w:val="20"/>
          <w:color w:val="auto"/>
        </w:rPr>
      </w:pPr>
    </w:p>
    <w:p>
      <w:pPr>
        <w:ind w:left="700" w:hanging="368"/>
        <w:spacing w:after="0"/>
        <w:tabs>
          <w:tab w:leader="none" w:pos="7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88"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Leased property included in the balance sheet on December 27, 2008 and December 29, 2007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(2,001)</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60" w:type="dxa"/>
            <w:vAlign w:val="bottom"/>
            <w:vMerge w:val="restart"/>
          </w:tcPr>
          <w:p>
            <w:pPr>
              <w:jc w:val="right"/>
              <w:ind w:right="2030"/>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4" w:name="page65"/>
    <w:bookmarkEnd w:id="64"/>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68" w:right="559"/>
        <w:spacing w:after="0" w:line="257" w:lineRule="auto"/>
        <w:rPr>
          <w:sz w:val="20"/>
          <w:szCs w:val="20"/>
          <w:color w:val="auto"/>
        </w:rPr>
      </w:pPr>
      <w:r>
        <w:rPr>
          <w:rFonts w:ascii="Arial" w:cs="Arial" w:eastAsia="Arial" w:hAnsi="Arial"/>
          <w:sz w:val="18"/>
          <w:szCs w:val="18"/>
          <w:color w:val="auto"/>
        </w:rPr>
        <w:t>We lease certain real estate under operating and capital lease agreements with original terms ranging from one to ten years. We are required to pay real estate taxes and other occupancy costs under these leases. Certain leases carry renewal options of five to fifteen years. We also lease motor vehicles, equipment, and aircrafts under operating lease agreements for periods of one to ten years. Future minimum payments under non-cancelable leases on December 27, 2008 are as follows (in thousands):</w:t>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Leases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2"/>
              </w:rPr>
              <w:t>Leases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13,976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11,153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3,315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39,298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68"/>
        <w:spacing w:after="0"/>
        <w:rPr>
          <w:sz w:val="20"/>
          <w:szCs w:val="20"/>
          <w:color w:val="auto"/>
        </w:rPr>
      </w:pPr>
      <w:r>
        <w:rPr>
          <w:rFonts w:ascii="Arial" w:cs="Arial" w:eastAsia="Arial" w:hAnsi="Arial"/>
          <w:sz w:val="17"/>
          <w:szCs w:val="17"/>
          <w:color w:val="auto"/>
        </w:rPr>
        <w:t>Rent expense was approximately $19.9 million, $24.0 million, and $25.8 million in 2008, 2007, and 2006, respectively.</w:t>
      </w:r>
    </w:p>
    <w:p>
      <w:pPr>
        <w:spacing w:after="0" w:line="192" w:lineRule="exact"/>
        <w:rPr>
          <w:sz w:val="20"/>
          <w:szCs w:val="20"/>
          <w:color w:val="auto"/>
        </w:rPr>
      </w:pPr>
    </w:p>
    <w:p>
      <w:pPr>
        <w:ind w:left="408" w:hanging="408"/>
        <w:spacing w:after="0"/>
        <w:tabs>
          <w:tab w:leader="none" w:pos="40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COMPENSATION</w:t>
      </w:r>
    </w:p>
    <w:p>
      <w:pPr>
        <w:spacing w:after="0" w:line="202" w:lineRule="exact"/>
        <w:rPr>
          <w:sz w:val="20"/>
          <w:szCs w:val="20"/>
          <w:color w:val="auto"/>
        </w:rPr>
      </w:pPr>
    </w:p>
    <w:p>
      <w:pPr>
        <w:jc w:val="both"/>
        <w:ind w:left="368" w:right="559"/>
        <w:spacing w:after="0" w:line="254" w:lineRule="auto"/>
        <w:rPr>
          <w:sz w:val="20"/>
          <w:szCs w:val="20"/>
          <w:color w:val="auto"/>
        </w:rPr>
      </w:pPr>
      <w:r>
        <w:rPr>
          <w:rFonts w:ascii="Arial" w:cs="Arial" w:eastAsia="Arial" w:hAnsi="Arial"/>
          <w:sz w:val="18"/>
          <w:szCs w:val="18"/>
          <w:color w:val="auto"/>
        </w:rPr>
        <w:t>We have a program whereby certain executives irrevocably elected to defer receipt of certain compensation in 1985 through 1988. Deferred compensation payments to these executives will commence upon their retirement. We purchased life insurance on such executives, payable to us in amounts which, if assumptions made as to mortality experience, policy dividends, and other factors are realized, will accumulate cash values adequate to reimburse us for all payments for insurance and deferred compensation obligations. In the event cash values are not sufficient to fund such obligations, the program allows us to reduce benefit payments to such amounts as may be funded by accumulated cash values. The deferred compensation liabilities and related cash surrender value of life insurance policies are included in “Other Liabilities” and “Other Assets,” respectively.</w:t>
      </w:r>
    </w:p>
    <w:p>
      <w:pPr>
        <w:spacing w:after="0" w:line="152" w:lineRule="exact"/>
        <w:rPr>
          <w:sz w:val="20"/>
          <w:szCs w:val="20"/>
          <w:color w:val="auto"/>
        </w:rPr>
      </w:pPr>
    </w:p>
    <w:p>
      <w:pPr>
        <w:jc w:val="both"/>
        <w:ind w:left="368" w:right="559"/>
        <w:spacing w:after="0" w:line="270" w:lineRule="auto"/>
        <w:rPr>
          <w:sz w:val="20"/>
          <w:szCs w:val="20"/>
          <w:color w:val="auto"/>
        </w:rPr>
      </w:pPr>
      <w:r>
        <w:rPr>
          <w:rFonts w:ascii="Arial" w:cs="Arial" w:eastAsia="Arial" w:hAnsi="Arial"/>
          <w:sz w:val="17"/>
          <w:szCs w:val="17"/>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$3.0 million and $4.7 million on December 27, 2008 and December 29, 2007, respectively, and are included in “Other Assets.” Related liabilities totaled $8.9 million and $10.5 million on December 27, 2008 and December 29, 2007, respectively, and are included in “Other Liabilities” and “Shareholders’ Equity.” Assets of the Plan are recorded at fair market value. The related liabilities are recorded at fair market value, with the exception of obligations associated with investments in our stock which are recorded at the market value on the date of deferral.</w:t>
      </w:r>
    </w:p>
    <w:p>
      <w:pPr>
        <w:spacing w:after="0" w:line="200" w:lineRule="exact"/>
        <w:rPr>
          <w:sz w:val="20"/>
          <w:szCs w:val="20"/>
          <w:color w:val="auto"/>
        </w:rPr>
      </w:pPr>
    </w:p>
    <w:p>
      <w:pPr>
        <w:spacing w:after="0" w:line="346"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65" w:name="page66"/>
    <w:bookmarkEnd w:id="65"/>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408" w:hanging="408"/>
        <w:spacing w:after="0"/>
        <w:tabs>
          <w:tab w:leader="none" w:pos="408"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ACCOUNTS RECEIVABLE</w:t>
      </w:r>
    </w:p>
    <w:p>
      <w:pPr>
        <w:spacing w:after="0" w:line="189" w:lineRule="exact"/>
        <w:rPr>
          <w:sz w:val="20"/>
          <w:szCs w:val="20"/>
          <w:color w:val="auto"/>
        </w:rPr>
      </w:pPr>
    </w:p>
    <w:p>
      <w:pPr>
        <w:ind w:left="368"/>
        <w:spacing w:after="0"/>
        <w:rPr>
          <w:sz w:val="20"/>
          <w:szCs w:val="20"/>
          <w:color w:val="auto"/>
        </w:rPr>
      </w:pPr>
      <w:r>
        <w:rPr>
          <w:rFonts w:ascii="Arial" w:cs="Arial" w:eastAsia="Arial" w:hAnsi="Arial"/>
          <w:sz w:val="18"/>
          <w:szCs w:val="18"/>
          <w:color w:val="auto"/>
        </w:rPr>
        <w:t>On March 8, 2006, we entered into an accounts receivable sale arrangement with a bank that was terminated on</w:t>
      </w:r>
    </w:p>
    <w:p>
      <w:pPr>
        <w:spacing w:after="0" w:line="23" w:lineRule="exact"/>
        <w:rPr>
          <w:sz w:val="20"/>
          <w:szCs w:val="20"/>
          <w:color w:val="auto"/>
        </w:rPr>
      </w:pPr>
    </w:p>
    <w:p>
      <w:pPr>
        <w:ind w:left="368"/>
        <w:spacing w:after="0"/>
        <w:rPr>
          <w:sz w:val="20"/>
          <w:szCs w:val="20"/>
          <w:color w:val="auto"/>
        </w:rPr>
      </w:pPr>
      <w:r>
        <w:rPr>
          <w:rFonts w:ascii="Arial" w:cs="Arial" w:eastAsia="Arial" w:hAnsi="Arial"/>
          <w:sz w:val="18"/>
          <w:szCs w:val="18"/>
          <w:color w:val="auto"/>
        </w:rPr>
        <w:t>September 26, 2008. Under the terms of this arrangement:</w:t>
      </w:r>
    </w:p>
    <w:p>
      <w:pPr>
        <w:spacing w:after="0" w:line="170" w:lineRule="exact"/>
        <w:rPr>
          <w:sz w:val="20"/>
          <w:szCs w:val="20"/>
          <w:color w:val="auto"/>
        </w:rPr>
      </w:pPr>
    </w:p>
    <w:p>
      <w:pPr>
        <w:ind w:left="708" w:hanging="343"/>
        <w:spacing w:after="0"/>
        <w:tabs>
          <w:tab w:leader="none" w:pos="708"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We sold specific receivables to the bank at an agreed-upon price at terms ranging from one month to one year.</w:t>
      </w:r>
    </w:p>
    <w:p>
      <w:pPr>
        <w:spacing w:after="0" w:line="169" w:lineRule="exact"/>
        <w:rPr>
          <w:rFonts w:ascii="Arial" w:cs="Arial" w:eastAsia="Arial" w:hAnsi="Arial"/>
          <w:sz w:val="17"/>
          <w:szCs w:val="17"/>
          <w:b w:val="1"/>
          <w:bCs w:val="1"/>
          <w:color w:val="auto"/>
        </w:rPr>
      </w:pPr>
    </w:p>
    <w:p>
      <w:pPr>
        <w:ind w:left="708" w:hanging="343"/>
        <w:spacing w:after="0"/>
        <w:tabs>
          <w:tab w:leader="none" w:pos="708"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We serviced the receivables sold and outstanding on behalf of the bank at a rate of 0.50% per annum.</w:t>
      </w:r>
    </w:p>
    <w:p>
      <w:pPr>
        <w:spacing w:after="0" w:line="157" w:lineRule="exact"/>
        <w:rPr>
          <w:rFonts w:ascii="Arial" w:cs="Arial" w:eastAsia="Arial" w:hAnsi="Arial"/>
          <w:sz w:val="18"/>
          <w:szCs w:val="18"/>
          <w:b w:val="1"/>
          <w:bCs w:val="1"/>
          <w:color w:val="auto"/>
        </w:rPr>
      </w:pPr>
    </w:p>
    <w:p>
      <w:pPr>
        <w:jc w:val="both"/>
        <w:ind w:left="708" w:right="559" w:hanging="343"/>
        <w:spacing w:after="0" w:line="286" w:lineRule="auto"/>
        <w:tabs>
          <w:tab w:leader="none" w:pos="708"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We received an incentive servicing fee, which we accounted for as a retained interest in the receivables sold. Our retained interest was determined based on the fair market value of anticipated collections in excess of the Agreed Base Value of the receivables sold. Appropriate valuation allowances were recorded against the retained interest.</w:t>
      </w:r>
    </w:p>
    <w:p>
      <w:pPr>
        <w:spacing w:after="0" w:line="97" w:lineRule="exact"/>
        <w:rPr>
          <w:rFonts w:ascii="Arial" w:cs="Arial" w:eastAsia="Arial" w:hAnsi="Arial"/>
          <w:sz w:val="17"/>
          <w:szCs w:val="17"/>
          <w:b w:val="1"/>
          <w:bCs w:val="1"/>
          <w:color w:val="auto"/>
        </w:rPr>
      </w:pPr>
    </w:p>
    <w:p>
      <w:pPr>
        <w:ind w:left="708" w:right="559" w:hanging="343"/>
        <w:spacing w:after="0" w:line="277" w:lineRule="auto"/>
        <w:tabs>
          <w:tab w:leader="none" w:pos="708"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maximum amount of receivables, net of retained interest, which were sold and outstanding at any point in time under this arrangement was $50 million.</w:t>
      </w:r>
    </w:p>
    <w:p>
      <w:pPr>
        <w:spacing w:after="0" w:line="143" w:lineRule="exact"/>
        <w:rPr>
          <w:sz w:val="20"/>
          <w:szCs w:val="20"/>
          <w:color w:val="auto"/>
        </w:rPr>
      </w:pPr>
    </w:p>
    <w:p>
      <w:pPr>
        <w:jc w:val="both"/>
        <w:ind w:left="368" w:right="559"/>
        <w:spacing w:after="0" w:line="264" w:lineRule="auto"/>
        <w:rPr>
          <w:sz w:val="20"/>
          <w:szCs w:val="20"/>
          <w:color w:val="auto"/>
        </w:rPr>
      </w:pPr>
      <w:r>
        <w:rPr>
          <w:rFonts w:ascii="Arial" w:cs="Arial" w:eastAsia="Arial" w:hAnsi="Arial"/>
          <w:sz w:val="18"/>
          <w:szCs w:val="18"/>
          <w:color w:val="auto"/>
        </w:rPr>
        <w:t>No receivables were sold and outstanding on December 27, 2008. On December 29, 2007 $29.0 million of receivables were sold and outstanding, and we recorded $2.2 million of retained interest in other current assets. A summary of the transactions we completed in 2008, 2007, and 2006 is presented below (in thousands).</w:t>
      </w:r>
    </w:p>
    <w:p>
      <w:pPr>
        <w:spacing w:after="0" w:line="181"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sold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369,242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624,448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460,859</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Retained interest in receivables</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(2,432)</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(1,982)</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(6,649)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Expense from sale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Servicing fee received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366,060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620,049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452,513</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8" w:hanging="348"/>
        <w:spacing w:after="0"/>
        <w:tabs>
          <w:tab w:leader="none" w:pos="348"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189" w:lineRule="exact"/>
        <w:rPr>
          <w:sz w:val="20"/>
          <w:szCs w:val="20"/>
          <w:color w:val="auto"/>
        </w:rPr>
      </w:pPr>
    </w:p>
    <w:p>
      <w:pPr>
        <w:jc w:val="both"/>
        <w:ind w:left="368" w:right="559"/>
        <w:spacing w:after="0" w:line="273" w:lineRule="auto"/>
        <w:rPr>
          <w:sz w:val="20"/>
          <w:szCs w:val="20"/>
          <w:color w:val="auto"/>
        </w:rPr>
      </w:pPr>
      <w:r>
        <w:rPr>
          <w:rFonts w:ascii="Arial" w:cs="Arial" w:eastAsia="Arial" w:hAnsi="Arial"/>
          <w:sz w:val="17"/>
          <w:szCs w:val="17"/>
          <w:color w:val="auto"/>
        </w:rPr>
        <w:t>On June 1, 1993, our shareholders approved the Incentive Stock Option Plan (the “Plan”) for our officers. Options for the purchase of all 1,200,000 shares of our common stock authorized under the Plan have been granted. The Plan provides that the options are exercisable only if the officer is employed by us at the time of exercise and holds at least seventy-five percent of the individuals’ shares held on April 1, 1993. The Plan also requires the option shares to be held for periods of six months to three years. The remaining options were exercisable within thirty days of the anniversary of the Plan in 2008. There are no options outstanding under the Plan.</w:t>
      </w:r>
    </w:p>
    <w:p>
      <w:pPr>
        <w:spacing w:after="0" w:line="151" w:lineRule="exact"/>
        <w:rPr>
          <w:sz w:val="20"/>
          <w:szCs w:val="20"/>
          <w:color w:val="auto"/>
        </w:rPr>
      </w:pPr>
    </w:p>
    <w:p>
      <w:pPr>
        <w:jc w:val="both"/>
        <w:ind w:left="368" w:right="559"/>
        <w:spacing w:after="0" w:line="259" w:lineRule="auto"/>
        <w:rPr>
          <w:sz w:val="20"/>
          <w:szCs w:val="20"/>
          <w:color w:val="auto"/>
        </w:rPr>
      </w:pPr>
      <w:r>
        <w:rPr>
          <w:rFonts w:ascii="Arial" w:cs="Arial" w:eastAsia="Arial" w:hAnsi="Arial"/>
          <w:sz w:val="18"/>
          <w:szCs w:val="18"/>
          <w:color w:val="auto"/>
        </w:rPr>
        <w:t>In January 1994, the Employee Stock Gift Program was approved by the Board of Directors which allows us to gift shares of stock to eligible employees based on length of service. We gifted shares of stock under this Plan in 2008, 2007, and 2006, and recognized the market value of the shares at the date of issuance as an expense totaling approximately $45,000, $68,000, and $55,000, respectively.</w:t>
      </w:r>
    </w:p>
    <w:p>
      <w:pPr>
        <w:spacing w:after="0" w:line="200" w:lineRule="exact"/>
        <w:rPr>
          <w:sz w:val="20"/>
          <w:szCs w:val="20"/>
          <w:color w:val="auto"/>
        </w:rPr>
      </w:pPr>
    </w:p>
    <w:p>
      <w:pPr>
        <w:spacing w:after="0" w:line="338"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6" w:name="page67"/>
    <w:bookmarkEnd w:id="66"/>
    <w:p>
      <w:pPr>
        <w:jc w:val="center"/>
        <w:ind w:right="9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right="559"/>
        <w:spacing w:after="0" w:line="271" w:lineRule="auto"/>
        <w:rPr>
          <w:sz w:val="20"/>
          <w:szCs w:val="20"/>
          <w:color w:val="auto"/>
        </w:rPr>
      </w:pPr>
      <w:r>
        <w:rPr>
          <w:rFonts w:ascii="Arial" w:cs="Arial" w:eastAsia="Arial" w:hAnsi="Arial"/>
          <w:sz w:val="17"/>
          <w:szCs w:val="17"/>
          <w:color w:val="auto"/>
        </w:rPr>
        <w:t xml:space="preserve">In April 2002, our shareholders approved the 2002 Employee Stock Purchase Plan (“2002 Stock Purchase Plan”) to succeed the Employee Stock Purchase Plan originally approved in 1994. In April 2008, our shareholders authorized additional shares to be allocated to the 2002 Stock Purchase Plan. The plan allows eligible employees to purchase shares of our stock at a share price equal to 85% of fair market value on the purchase date. In 2008, 2007, and 2006, shares were issued under this Plan for amounts totaling approximately $582,000, $617,000, and $811,000, respectively. The weighted average discounted fair value of these shares was $25.92, $30.75, and $48.36, respectively. Upon adoption of FASB Statement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(“SFAS 123(R)”), we have expensed the fair value associated with these awards, which approximates the discount.</w:t>
      </w:r>
    </w:p>
    <w:p>
      <w:pPr>
        <w:spacing w:after="0" w:line="138" w:lineRule="exact"/>
        <w:rPr>
          <w:sz w:val="20"/>
          <w:szCs w:val="20"/>
          <w:color w:val="auto"/>
        </w:rPr>
      </w:pPr>
    </w:p>
    <w:p>
      <w:pPr>
        <w:jc w:val="both"/>
        <w:ind w:right="559"/>
        <w:spacing w:after="0" w:line="254" w:lineRule="auto"/>
        <w:rPr>
          <w:sz w:val="20"/>
          <w:szCs w:val="20"/>
          <w:color w:val="auto"/>
        </w:rPr>
      </w:pPr>
      <w:r>
        <w:rPr>
          <w:rFonts w:ascii="Arial" w:cs="Arial" w:eastAsia="Arial" w:hAnsi="Arial"/>
          <w:sz w:val="18"/>
          <w:szCs w:val="18"/>
          <w:color w:val="auto"/>
        </w:rPr>
        <w:t>In April 1994, our shareholders approved the Directors’ Retainer Stock Plan (“Stock Retainer Plan”). In April 2007, our shareholders authorized additional shares to be distributed pursuant to this plan. The Stock Retainer Plan allows eligible members of the Board of Directors to defer their retainer fees and receive shares of our stock at the time of their retirement, disability or death. The number of shares to be received is equal to the amount of the retainer fee deferred multiplied by 110% divided by the fair market value of a share of our stock at the time of deferral, is increased for dividends declared and may only be distributed in kind. Shareholders’ equity includes approximately $1.4 million and $1.1 million on December 27, 2008 and December 29, 2007, respectively, for obligations incurred under this Plan. There were no distributions in 2008 or 2007.</w:t>
      </w:r>
    </w:p>
    <w:p>
      <w:pPr>
        <w:spacing w:after="0" w:line="152"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In January 1997, we instituted a Directors’ Stock Grant Program. In lieu of a cash increase in the amount of Directors’ fees, each outside Director receives 100 shares of stock for each board meeting attended up to a maximum of 400 shares per year. In 2008, 2007, and 2006, we issued shares and recognized the market value of the shares on the date of issuance as an expense totaling approximately $58,000, $106,000, and $142,000, respectively.</w:t>
      </w:r>
    </w:p>
    <w:p>
      <w:pPr>
        <w:spacing w:after="0" w:line="144" w:lineRule="exact"/>
        <w:rPr>
          <w:sz w:val="20"/>
          <w:szCs w:val="20"/>
          <w:color w:val="auto"/>
        </w:rPr>
      </w:pPr>
    </w:p>
    <w:p>
      <w:pPr>
        <w:jc w:val="both"/>
        <w:ind w:right="559"/>
        <w:spacing w:after="0" w:line="293" w:lineRule="auto"/>
        <w:rPr>
          <w:sz w:val="20"/>
          <w:szCs w:val="20"/>
          <w:color w:val="auto"/>
        </w:rPr>
      </w:pPr>
      <w:r>
        <w:rPr>
          <w:rFonts w:ascii="Arial" w:cs="Arial" w:eastAsia="Arial" w:hAnsi="Arial"/>
          <w:sz w:val="16"/>
          <w:szCs w:val="16"/>
          <w:color w:val="auto"/>
        </w:rPr>
        <w:t>On April 28, 1999, our shareholders approved the Long Term Stock Incentive Plan (the “1999 Plan”). The 1999 Plan reserved 1,000,000 additional shares, plus a balance of unissued shares from prior plans of 406,029 shares, plus an annual increase of no more than 200,000 shares per year which may be added on the date of the annual meeting of shareholders. The 1999 Plan provides for the granting of stock options, reload options, stock appreciation rights, restricted stock, performance shares and other stock-based awards. The term of the 1999 Plan is ten years. We intend to request shareholder approval to restate this plan for an additional ten year period. No options were granted under the 1999 Plan in 2008 or 2007.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stock grants have been made under the 1999 Plan:</w:t>
      </w:r>
    </w:p>
    <w:p>
      <w:pPr>
        <w:spacing w:after="0" w:line="185" w:lineRule="exact"/>
        <w:rPr>
          <w:sz w:val="20"/>
          <w:szCs w:val="20"/>
          <w:color w:val="auto"/>
        </w:rPr>
      </w:pPr>
    </w:p>
    <w:p>
      <w:pPr>
        <w:jc w:val="both"/>
        <w:ind w:left="720" w:right="559" w:hanging="345"/>
        <w:spacing w:after="0" w:line="259" w:lineRule="auto"/>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On April 17, 2002, a Conditional Share Grant was made which will grant our Executive Chairman 10,000 shares of common stock immediately upon the satisfaction of the terms and conditions set forth in the grant. Shareholders’ equity includes approximately $159,000 and $135,000 on December 27, 2008 and December 29, 2007 respectively, for this grant.</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1" w:right="1440" w:bottom="1440" w:gutter="0" w:footer="0" w:header="0"/>
        </w:sectPr>
      </w:pPr>
    </w:p>
    <w:bookmarkStart w:id="67" w:name="page68"/>
    <w:bookmarkEnd w:id="67"/>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1420" w:right="1760" w:hanging="345"/>
        <w:spacing w:after="0" w:line="264"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On February 3, 2006, Performance Share Grants were made which will grant certain employees a total of approximately 37,000 shares of common stock on February 3, 2009. Shareholders’ equity includes approximately $2.1 million on December 27, 2008 and December 29, 2007 for this grant.</w:t>
      </w:r>
    </w:p>
    <w:p>
      <w:pPr>
        <w:spacing w:after="0" w:line="140" w:lineRule="exact"/>
        <w:rPr>
          <w:rFonts w:ascii="Arial" w:cs="Arial" w:eastAsia="Arial" w:hAnsi="Arial"/>
          <w:sz w:val="18"/>
          <w:szCs w:val="18"/>
          <w:b w:val="1"/>
          <w:bCs w:val="1"/>
          <w:color w:val="auto"/>
        </w:rPr>
      </w:pPr>
    </w:p>
    <w:p>
      <w:pPr>
        <w:jc w:val="both"/>
        <w:ind w:left="1420" w:right="1760" w:hanging="345"/>
        <w:spacing w:after="0" w:line="259"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On January 16, 2007, Conditional Share Grants were made which will grant certain employees 500 shares each of common stock immediately upon vesting in 2017, subject to conditions set forth in the grant. Shareholders’ equity includes approximately $32,000 and $16,000 on December 27, 2008 and December 29, 2007, respectively, for this grant.</w:t>
      </w:r>
    </w:p>
    <w:p>
      <w:pPr>
        <w:spacing w:after="0" w:line="146" w:lineRule="exact"/>
        <w:rPr>
          <w:rFonts w:ascii="Arial" w:cs="Arial" w:eastAsia="Arial" w:hAnsi="Arial"/>
          <w:sz w:val="18"/>
          <w:szCs w:val="18"/>
          <w:b w:val="1"/>
          <w:bCs w:val="1"/>
          <w:color w:val="auto"/>
        </w:rPr>
      </w:pPr>
    </w:p>
    <w:p>
      <w:pPr>
        <w:jc w:val="both"/>
        <w:ind w:left="1420" w:right="1760" w:hanging="345"/>
        <w:spacing w:after="0" w:line="286" w:lineRule="auto"/>
        <w:tabs>
          <w:tab w:leader="none" w:pos="142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On February 23, 2007, shares were issued into a Deferred Stock Bonus Plan for certain employees. These shares are distributable upon retirement, subject to conditions set forth in the plan. Shareholders’ equity includes approximately $1.9 million on December 27, 2008 and December 29, 2007.</w:t>
      </w:r>
    </w:p>
    <w:p>
      <w:pPr>
        <w:spacing w:after="0" w:line="138" w:lineRule="exact"/>
        <w:rPr>
          <w:rFonts w:ascii="Arial" w:cs="Arial" w:eastAsia="Arial" w:hAnsi="Arial"/>
          <w:sz w:val="17"/>
          <w:szCs w:val="17"/>
          <w:b w:val="1"/>
          <w:bCs w:val="1"/>
          <w:color w:val="auto"/>
        </w:rPr>
      </w:pPr>
    </w:p>
    <w:p>
      <w:pPr>
        <w:jc w:val="both"/>
        <w:ind w:left="1420" w:right="1760" w:hanging="345"/>
        <w:spacing w:after="0" w:line="264"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On January 16, 2008, Conditional Share Grants were made which will grant certain employees 500 shares each of common stock immediately upon vesting in 2018, subject to conditions set forth in the grant. Shareholders’ equity includes approximately $10,000 on December 27, 2008.</w:t>
      </w:r>
    </w:p>
    <w:p>
      <w:pPr>
        <w:spacing w:after="0" w:line="140" w:lineRule="exact"/>
        <w:rPr>
          <w:rFonts w:ascii="Arial" w:cs="Arial" w:eastAsia="Arial" w:hAnsi="Arial"/>
          <w:sz w:val="18"/>
          <w:szCs w:val="18"/>
          <w:b w:val="1"/>
          <w:bCs w:val="1"/>
          <w:color w:val="auto"/>
        </w:rPr>
      </w:pPr>
    </w:p>
    <w:p>
      <w:pPr>
        <w:jc w:val="both"/>
        <w:ind w:left="1420" w:right="1760" w:hanging="345"/>
        <w:spacing w:after="0" w:line="264"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On February 8, 2008, Conditional Share Grants were made which will grant certain employees approximately 118,000 shares of common stock on February 8, 2011, subject to conditions set forth in the grant. Shareholders’ equity includes approximately $0.7 million on December 27, 2008.</w:t>
      </w:r>
    </w:p>
    <w:p>
      <w:pPr>
        <w:spacing w:after="0" w:line="141" w:lineRule="exact"/>
        <w:rPr>
          <w:sz w:val="20"/>
          <w:szCs w:val="20"/>
          <w:color w:val="auto"/>
        </w:rPr>
      </w:pPr>
    </w:p>
    <w:p>
      <w:pPr>
        <w:jc w:val="both"/>
        <w:ind w:left="700" w:right="1760"/>
        <w:spacing w:after="0" w:line="277" w:lineRule="auto"/>
        <w:rPr>
          <w:sz w:val="20"/>
          <w:szCs w:val="20"/>
          <w:color w:val="auto"/>
        </w:rPr>
      </w:pPr>
      <w:r>
        <w:rPr>
          <w:rFonts w:ascii="Arial" w:cs="Arial" w:eastAsia="Arial" w:hAnsi="Arial"/>
          <w:sz w:val="18"/>
          <w:szCs w:val="18"/>
          <w:color w:val="auto"/>
        </w:rPr>
        <w:t>As of December 27, 2008, a total of approximately 1.9 million shares are reserved for issuance under the plans mentioned above.</w:t>
      </w:r>
    </w:p>
    <w:p>
      <w:pPr>
        <w:spacing w:after="0" w:line="143" w:lineRule="exact"/>
        <w:rPr>
          <w:sz w:val="20"/>
          <w:szCs w:val="20"/>
          <w:color w:val="auto"/>
        </w:rPr>
      </w:pPr>
    </w:p>
    <w:p>
      <w:pPr>
        <w:jc w:val="both"/>
        <w:ind w:left="700" w:right="1760"/>
        <w:spacing w:after="0" w:line="259" w:lineRule="auto"/>
        <w:rPr>
          <w:sz w:val="20"/>
          <w:szCs w:val="20"/>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2,500,000 shares of our common stock. We repurchased 19,857 and 255,266 shares under this program in 2008 and 2007, respectively. As of December 27, 2008, cumulative total authorized shares available for repurchase is approximately 1.2 million shares.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w w:val="93"/>
              </w:rPr>
              <w:t>Common stock activity for 2008, 2007 and 2006 was as follows: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Note</w:t>
            </w:r>
          </w:p>
        </w:tc>
        <w:tc>
          <w:tcPr>
            <w:tcW w:w="2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24"/>
                <w:szCs w:val="24"/>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plan:</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Employee Stock Purchase</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I</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22,474</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20,079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16,763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J</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152,054</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200,266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332,881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Employee stock plans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174,528</w:t>
            </w:r>
          </w:p>
        </w:tc>
        <w:tc>
          <w:tcPr>
            <w:tcW w:w="3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220,345</w:t>
            </w:r>
          </w:p>
        </w:tc>
        <w:tc>
          <w:tcPr>
            <w:tcW w:w="3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349,644</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gift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I</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1,606</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Directors’ Stock Grant</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I</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2,100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2,300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 grant plans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3,706</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Deferred compensation</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G</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15,288</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69,777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101,278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notes receivable</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7,374</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10,132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Shares received for exercise of stock options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(19,857)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(15,866)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I</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(239,400)</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181,039</w:t>
            </w:r>
          </w:p>
        </w:tc>
        <w:tc>
          <w:tcPr>
            <w:tcW w:w="3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48,949</w:t>
            </w:r>
          </w:p>
        </w:tc>
        <w:tc>
          <w:tcPr>
            <w:tcW w:w="3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456,244</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common stock outstanding</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18,907,841</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18,858,892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18,402,648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Ending common stock outstanding</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19,088,880</w:t>
            </w: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18,907,841</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18,858,892</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20" w:type="dxa"/>
            <w:vAlign w:val="bottom"/>
            <w:gridSpan w:val="2"/>
            <w:vMerge w:val="restart"/>
          </w:tcPr>
          <w:p>
            <w:pPr>
              <w:ind w:left="45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8" w:name="page69"/>
    <w:bookmarkEnd w:id="68"/>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700" w:hanging="368"/>
        <w:spacing w:after="0"/>
        <w:tabs>
          <w:tab w:leader="none" w:pos="7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188" w:lineRule="exact"/>
        <w:rPr>
          <w:rFonts w:ascii="Arial" w:cs="Arial" w:eastAsia="Arial" w:hAnsi="Arial"/>
          <w:sz w:val="18"/>
          <w:szCs w:val="18"/>
          <w:b w:val="1"/>
          <w:bCs w:val="1"/>
          <w:color w:val="auto"/>
        </w:rPr>
      </w:pPr>
    </w:p>
    <w:p>
      <w:pPr>
        <w:jc w:val="both"/>
        <w:ind w:left="700" w:right="17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We account for share-based compensation using the fair value recognition provisions of FASB Statement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123(R)”), which we have adopted using the modified-prospective-transition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January 1, 2006. As discussed in Note I, Common Stock, we provide compensation benefits to employees and non-employee directors under several share-based payment arrangements including various employee stock plans, the 2002 Employee Stock Purchase Plan, the Directors’ Retainer Stock Plan, the Directors’ Stock Grant Program and the Employee Stock Gift Program.</w:t>
      </w:r>
    </w:p>
    <w:p>
      <w:pPr>
        <w:spacing w:after="0" w:line="152"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Stock Option Plans</w:t>
      </w:r>
    </w:p>
    <w:p>
      <w:pPr>
        <w:spacing w:after="0" w:line="198" w:lineRule="exact"/>
        <w:rPr>
          <w:rFonts w:ascii="Arial" w:cs="Arial" w:eastAsia="Arial" w:hAnsi="Arial"/>
          <w:sz w:val="18"/>
          <w:szCs w:val="18"/>
          <w:b w:val="1"/>
          <w:bCs w:val="1"/>
          <w:color w:val="auto"/>
        </w:rPr>
      </w:pPr>
    </w:p>
    <w:p>
      <w:pPr>
        <w:jc w:val="both"/>
        <w:ind w:left="700" w:right="17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To date, other than certain, relatively nominal conditional share grants, performance share awards and deferred share awards that are permitted under the plan, we have only issued options under the 1999 plan. Vesting requirements for awards under this plan will vary by individual grant and, as to outstanding awards, and are subject to time-based vesting. The contractual life of all of the options granted under this plan is no greater than 15 years.</w:t>
      </w:r>
    </w:p>
    <w:p>
      <w:pPr>
        <w:spacing w:after="0" w:line="130" w:lineRule="exact"/>
        <w:rPr>
          <w:rFonts w:ascii="Arial" w:cs="Arial" w:eastAsia="Arial" w:hAnsi="Arial"/>
          <w:sz w:val="18"/>
          <w:szCs w:val="18"/>
          <w:b w:val="1"/>
          <w:bCs w:val="1"/>
          <w:color w:val="auto"/>
        </w:rPr>
      </w:pPr>
    </w:p>
    <w:p>
      <w:pPr>
        <w:jc w:val="both"/>
        <w:ind w:left="700" w:right="17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fair value of each option award is estimated as of the date of grant using the Black-Scholes option pricing model. Expected volatility assumptions used were based on historical volatility of our stock. We utilize historical data to estimate option exercise and employee termination behavior within the valuation model; separate groups of employees that have similar historical exercise behavior are considered separately for valuation purposes. The risk-free rate for the expected term of the option award was based on the U.S. Treasury yield curve in effect at the time of the grant. No new option awards were granted in 2008, 2007 or 2006 and therefore no specific valuation assumptions are presented.</w:t>
      </w:r>
    </w:p>
    <w:p>
      <w:pPr>
        <w:spacing w:after="0" w:line="137" w:lineRule="exact"/>
        <w:rPr>
          <w:rFonts w:ascii="Arial" w:cs="Arial" w:eastAsia="Arial" w:hAnsi="Arial"/>
          <w:sz w:val="18"/>
          <w:szCs w:val="18"/>
          <w:b w:val="1"/>
          <w:bCs w:val="1"/>
          <w:color w:val="auto"/>
        </w:rPr>
      </w:pPr>
    </w:p>
    <w:p>
      <w:pPr>
        <w:ind w:left="700" w:righ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summary presents information regarding outstanding options as of December 27, 2008 and changes during the period then ended with regard to options under all stock option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Aggregate</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Under</w:t>
            </w:r>
          </w:p>
        </w:tc>
        <w:tc>
          <w:tcPr>
            <w:tcW w:w="138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Intrinsic</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3"/>
              </w:rPr>
              <w:t>Per Share</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1,384,879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19.08</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(332,881)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15.56</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20.87</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Outstanding at December 30, 2006</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1,036,284</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20.18</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(200,266)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16.21</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Forfeited or expired</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(39,541)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23.65</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29, 2007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20.92</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(152,054)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17.21</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Outstanding at December 27, 2008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600,047</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22.16</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2,686,949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27,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1,171,355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rPr>
              <w:t>Exercisable at December 27, 2008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278,547</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3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1,515,594</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9" w:name="page70"/>
    <w:bookmarkEnd w:id="69"/>
    <w:p>
      <w:pPr>
        <w:jc w:val="center"/>
        <w:ind w:right="9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 total intrinsic value of options exercised during 2008, 2007 and 2006 was $2.4 million $6.5 million and $16.9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5"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In 2008, 2007 and 2006, we issued shares under this plan totaling 22,474, 20,079, and 16,763 respectively. In 2008, 2007 and 2006, the weighted average fair values per share of employee stock purchase rights pursuant to this plan were $4.57, $5.42 and $8.26, respectively. The fair value of the stock purchase rights approximated the difference between the stock price and the employee purchase price.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Retainer Stock Plan</w:t>
      </w:r>
    </w:p>
    <w:p>
      <w:pPr>
        <w:spacing w:after="0" w:line="185"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We recognized the fair market value of the shares issued under this plan, calculated using the number of shares issued and the stock price on the issuance date, as expense and recorded the related obligation in shareholders’ equity. In 2008, 2007 and 2006, we recognized approximately $268,000, $281,000 and $259,000, respectively, in expense for shares issued under this program.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Stock Grant Program</w:t>
      </w:r>
    </w:p>
    <w:p>
      <w:pPr>
        <w:spacing w:after="0" w:line="198"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In 2008, 2007 and 2006, we recognized the fair market value of the shares issued under this plan, calculated using the number of shares issued and the stock price on the issuance date, as an expense totaling approximately $58,000, $106,000 and $142,000,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Conditional Share Grant Agreements</w:t>
      </w:r>
    </w:p>
    <w:p>
      <w:pPr>
        <w:spacing w:after="0" w:line="185" w:lineRule="exact"/>
        <w:rPr>
          <w:sz w:val="20"/>
          <w:szCs w:val="20"/>
          <w:color w:val="auto"/>
        </w:rPr>
      </w:pPr>
    </w:p>
    <w:p>
      <w:pPr>
        <w:jc w:val="both"/>
        <w:ind w:right="559"/>
        <w:spacing w:after="0" w:line="308" w:lineRule="auto"/>
        <w:rPr>
          <w:sz w:val="20"/>
          <w:szCs w:val="20"/>
          <w:color w:val="auto"/>
        </w:rPr>
      </w:pPr>
      <w:r>
        <w:rPr>
          <w:rFonts w:ascii="Arial" w:cs="Arial" w:eastAsia="Arial" w:hAnsi="Arial"/>
          <w:sz w:val="17"/>
          <w:szCs w:val="17"/>
          <w:color w:val="auto"/>
        </w:rPr>
        <w:t>In 2008, 2007 and 2006, we recognized the fair value of the awards estimated as of the date of grant. We recognized approximately $50,000, $39,000 and $112,000, respectively, in expense for shares issuable under this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Share-Based Payment Arrangements</w:t>
      </w:r>
    </w:p>
    <w:p>
      <w:pPr>
        <w:spacing w:after="0" w:line="185"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The total share-based compensation cost and the related total income tax benefit that has been recognized in results of operations was approximately $820,000 and $255,000, respectively in 2008. The total share-based compensation cost and the related total income tax benefit that has been recognized in results of operations was approximately $892,000 and $299,000, respectively in 2007. The total share-based compensation cost and the related total income tax benefit that has been recognized in results of operations was approximately $1.4 million and $481,000, respectively in 2006.</w:t>
      </w:r>
    </w:p>
    <w:p>
      <w:pPr>
        <w:spacing w:after="0" w:line="200" w:lineRule="exact"/>
        <w:rPr>
          <w:sz w:val="20"/>
          <w:szCs w:val="20"/>
          <w:color w:val="auto"/>
        </w:rPr>
      </w:pPr>
    </w:p>
    <w:p>
      <w:pPr>
        <w:spacing w:after="0" w:line="3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1" w:right="1440" w:bottom="1440" w:gutter="0" w:footer="0" w:header="0"/>
        </w:sectPr>
      </w:pPr>
    </w:p>
    <w:bookmarkStart w:id="70" w:name="page71"/>
    <w:bookmarkEnd w:id="70"/>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700" w:right="1760"/>
        <w:spacing w:after="0" w:line="286" w:lineRule="auto"/>
        <w:rPr>
          <w:sz w:val="20"/>
          <w:szCs w:val="20"/>
          <w:color w:val="auto"/>
        </w:rPr>
      </w:pPr>
      <w:r>
        <w:rPr>
          <w:rFonts w:ascii="Arial" w:cs="Arial" w:eastAsia="Arial" w:hAnsi="Arial"/>
          <w:sz w:val="17"/>
          <w:szCs w:val="17"/>
          <w:color w:val="auto"/>
        </w:rPr>
        <w:t>In 2008, 2007 and 2006, cash received from option exercises and share issuances under the Stock Purchase Plan was $3.0 million, $3.5 million and $5.9 million, respectively. The actual tax benefit realized in 2008, 2007 and 2006 for the tax deductions from option exercises totaled $0.9 million, $1.9 million and $4.4 million, respectively.</w:t>
      </w:r>
    </w:p>
    <w:p>
      <w:pPr>
        <w:spacing w:after="0" w:line="121" w:lineRule="exact"/>
        <w:rPr>
          <w:sz w:val="20"/>
          <w:szCs w:val="20"/>
          <w:color w:val="auto"/>
        </w:rPr>
      </w:pPr>
    </w:p>
    <w:p>
      <w:pPr>
        <w:ind w:left="740" w:hanging="408"/>
        <w:spacing w:after="0"/>
        <w:tabs>
          <w:tab w:leader="none" w:pos="7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PLANS</w:t>
      </w:r>
    </w:p>
    <w:p>
      <w:pPr>
        <w:spacing w:after="0" w:line="189" w:lineRule="exact"/>
        <w:rPr>
          <w:sz w:val="20"/>
          <w:szCs w:val="20"/>
          <w:color w:val="auto"/>
        </w:rPr>
      </w:pPr>
    </w:p>
    <w:p>
      <w:pPr>
        <w:jc w:val="both"/>
        <w:ind w:left="700" w:right="1760"/>
        <w:spacing w:after="0" w:line="257" w:lineRule="auto"/>
        <w:rPr>
          <w:sz w:val="20"/>
          <w:szCs w:val="20"/>
          <w:color w:val="auto"/>
        </w:rPr>
      </w:pPr>
      <w:r>
        <w:rPr>
          <w:rFonts w:ascii="Arial" w:cs="Arial" w:eastAsia="Arial" w:hAnsi="Arial"/>
          <w:sz w:val="18"/>
          <w:szCs w:val="18"/>
          <w:color w:val="auto"/>
        </w:rPr>
        <w:t>We have a profit sharing and 401(k) plan for the benefit of substantially all of our employees, excluding the employees of certain non-wholly-owned subsidiaries. Amounts contributed to the plan are made at the discretion of the Board of Directors. We matched 50% of employee contributions in 2008, 2007, and 2006, on a discretionary basis, totaling $3.5 million, $4.1 million, and $3.9 million, respectively. The basis for matching contributions may not exceed the lesser of 6% of the employee’s annual compensation or the IRS limitation.</w:t>
      </w:r>
    </w:p>
    <w:p>
      <w:pPr>
        <w:spacing w:after="0" w:line="157" w:lineRule="exact"/>
        <w:rPr>
          <w:sz w:val="20"/>
          <w:szCs w:val="20"/>
          <w:color w:val="auto"/>
        </w:rPr>
      </w:pPr>
    </w:p>
    <w:p>
      <w:pPr>
        <w:ind w:left="720" w:hanging="388"/>
        <w:spacing w:after="0"/>
        <w:tabs>
          <w:tab w:leader="none" w:pos="7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88" w:lineRule="exact"/>
        <w:rPr>
          <w:rFonts w:ascii="Arial" w:cs="Arial" w:eastAsia="Arial" w:hAnsi="Arial"/>
          <w:sz w:val="18"/>
          <w:szCs w:val="18"/>
          <w:b w:val="1"/>
          <w:bCs w:val="1"/>
          <w:color w:val="auto"/>
        </w:rPr>
      </w:pPr>
    </w:p>
    <w:p>
      <w:pPr>
        <w:ind w:left="700" w:righ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Income tax provisions for the years ended December 27, 2008, December 29, 2007, and December 30, 3006 are summarized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Currently Payable: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5,566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13,725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32,288</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4,947</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2,824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2,649</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19,263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39,884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Deferred: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1,550</w:t>
            </w:r>
          </w:p>
        </w:tc>
      </w:tr>
      <w:tr>
        <w:trPr>
          <w:trHeight w:val="230"/>
        </w:trPr>
        <w:tc>
          <w:tcPr>
            <w:tcW w:w="5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20"/>
                <w:szCs w:val="20"/>
                <w:color w:val="auto"/>
              </w:rPr>
            </w:pPr>
          </w:p>
        </w:tc>
      </w:tr>
      <w:tr>
        <w:trPr>
          <w:trHeight w:val="216"/>
        </w:trPr>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15,396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38,760</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earnings before income taxes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37,641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105,662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Foreign</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7,848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6,473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38,609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40" w:type="dxa"/>
            <w:vAlign w:val="bottom"/>
            <w:vMerge w:val="restart"/>
          </w:tcPr>
          <w:p>
            <w:pPr>
              <w:jc w:val="right"/>
              <w:ind w:right="870"/>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1" w:name="page72"/>
    <w:bookmarkEnd w:id="71"/>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effective income tax rates are different from the statutory federal income tax rates for the following reasons: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State and local taxes (net of federal benefits)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Effect of minority owned interest in earnings of partnerships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Manufacturing deduction</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credits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goodwill</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net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7"/>
        </w:trPr>
        <w:tc>
          <w:tcPr>
            <w:tcW w:w="5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60" w:right="559"/>
        <w:spacing w:after="0" w:line="259" w:lineRule="auto"/>
        <w:rPr>
          <w:sz w:val="20"/>
          <w:szCs w:val="20"/>
          <w:color w:val="auto"/>
        </w:rPr>
      </w:pPr>
      <w:r>
        <w:rPr>
          <w:rFonts w:ascii="Arial" w:cs="Arial" w:eastAsia="Arial" w:hAnsi="Arial"/>
          <w:sz w:val="18"/>
          <w:szCs w:val="18"/>
          <w:color w:val="auto"/>
        </w:rPr>
        <w:t>For the year ended December 27, 2008 and December 29, 2007, the effective tax rate was favorably impacted by the federal research &amp; development (“R&amp;D”) tax credits for 2008 and 2007, respectively. During 2006, we completed a project to identify eligible expenditures for purposes of claiming R&amp;D tax credits for 2001 — 2006, all of which was recognized in 2006 and for which amended tax returns for 2001 — 2005 have been filed.</w:t>
      </w:r>
    </w:p>
    <w:p>
      <w:pPr>
        <w:spacing w:after="0" w:line="146" w:lineRule="exact"/>
        <w:rPr>
          <w:sz w:val="20"/>
          <w:szCs w:val="20"/>
          <w:color w:val="auto"/>
        </w:rPr>
      </w:pPr>
    </w:p>
    <w:p>
      <w:pPr>
        <w:jc w:val="both"/>
        <w:ind w:left="360" w:right="559"/>
        <w:spacing w:after="0" w:line="277" w:lineRule="auto"/>
        <w:rPr>
          <w:sz w:val="20"/>
          <w:szCs w:val="20"/>
          <w:color w:val="auto"/>
        </w:rPr>
      </w:pPr>
      <w:r>
        <w:rPr>
          <w:rFonts w:ascii="Arial" w:cs="Arial" w:eastAsia="Arial" w:hAnsi="Arial"/>
          <w:sz w:val="18"/>
          <w:szCs w:val="18"/>
          <w:color w:val="auto"/>
        </w:rPr>
        <w:t>Temporary differences which give rise to deferred tax assets and (liabilities) on December 27, 2008 and December 29, 2007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Foreign subsidiary net operating loss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2,454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2,967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3,511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3,455</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18,698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(2,838)</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(3,430)</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15,268</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(16,495)</w:t>
            </w: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(23,745)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(6,876)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(23,559)</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(31,769)</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(16,501)</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60" w:right="559"/>
        <w:spacing w:after="0" w:line="286" w:lineRule="auto"/>
        <w:rPr>
          <w:sz w:val="20"/>
          <w:szCs w:val="20"/>
          <w:color w:val="auto"/>
        </w:rPr>
      </w:pPr>
      <w:r>
        <w:rPr>
          <w:rFonts w:ascii="Arial" w:cs="Arial" w:eastAsia="Arial" w:hAnsi="Arial"/>
          <w:sz w:val="17"/>
          <w:szCs w:val="17"/>
          <w:color w:val="auto"/>
        </w:rPr>
        <w:t>The valuation allowance consists of a net operating loss carryforward we have for a wholly-owned subsidiary, Universal Forest Products of Canada, Inc. We do not anticipate realizing a future benefit from this loss carryforward, therefore, we established an allowance for the entire amount of the future benefit. This carryforward will expire at the end of 2027.</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2" w:name="page73"/>
    <w:bookmarkEnd w:id="72"/>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448" w:hanging="448"/>
        <w:spacing w:after="0"/>
        <w:tabs>
          <w:tab w:leader="none" w:pos="448"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UNCERTAINTY IN INCOME TAXES</w:t>
      </w:r>
    </w:p>
    <w:p>
      <w:pPr>
        <w:spacing w:after="0" w:line="189" w:lineRule="exact"/>
        <w:rPr>
          <w:sz w:val="20"/>
          <w:szCs w:val="20"/>
          <w:color w:val="auto"/>
        </w:rPr>
      </w:pPr>
    </w:p>
    <w:p>
      <w:pPr>
        <w:jc w:val="both"/>
        <w:ind w:left="368" w:right="559"/>
        <w:spacing w:after="0" w:line="273" w:lineRule="auto"/>
        <w:rPr>
          <w:sz w:val="20"/>
          <w:szCs w:val="20"/>
          <w:color w:val="auto"/>
        </w:rPr>
      </w:pPr>
      <w:r>
        <w:rPr>
          <w:rFonts w:ascii="Arial" w:cs="Arial" w:eastAsia="Arial" w:hAnsi="Arial"/>
          <w:sz w:val="17"/>
          <w:szCs w:val="17"/>
          <w:color w:val="auto"/>
        </w:rPr>
        <w:t>In July 2006, the FASB issued FASB Interpretation No. 48 (“FIN 48”) “Accounting for Uncertainty in Income Taxes.” FIN 48 clarifies the accounting for income taxes by prescribing the minimum recognition threshold a tax position is required to meet before being recognized in the financial statements. FIN 48 also provides guidance on derecognition, measurement, classification, interest and penalties, and disclosure requirements. FIN 48 is effective for fiscal years beginning after December 15, 2006. Accordingly, we adopted FIN 48 beginning December 31, 2006. The adoption of FIN 48 did not have a significant impact on our financial position or results of operations.</w:t>
      </w:r>
    </w:p>
    <w:p>
      <w:pPr>
        <w:spacing w:after="0" w:line="138" w:lineRule="exact"/>
        <w:rPr>
          <w:sz w:val="20"/>
          <w:szCs w:val="20"/>
          <w:color w:val="auto"/>
        </w:rPr>
      </w:pPr>
    </w:p>
    <w:p>
      <w:pPr>
        <w:ind w:left="368"/>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beginning of year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 in tax positions for prior years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877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in tax positions for current year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Lapse in statute of limitations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end of year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8,705</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68" w:right="559"/>
        <w:spacing w:after="0" w:line="302" w:lineRule="auto"/>
        <w:rPr>
          <w:sz w:val="20"/>
          <w:szCs w:val="20"/>
          <w:color w:val="auto"/>
        </w:rPr>
      </w:pPr>
      <w:r>
        <w:rPr>
          <w:rFonts w:ascii="Arial" w:cs="Arial" w:eastAsia="Arial" w:hAnsi="Arial"/>
          <w:sz w:val="16"/>
          <w:szCs w:val="16"/>
          <w:color w:val="auto"/>
        </w:rPr>
        <w:t>The total amount of net unrecognized tax benefits that, if recognized, would affect the effective tax rate was $11.0 million and $8.7 million at December 27, 2008 and December 29, 2007, respectively. We recognized interest and penalties for unrecognized tax benefits in our provision for income taxes. The liability for unrecognized tax benefits included accrued interest and penalties of $0.4 million and $0.3 million at December 27, 2008 and December 29, 2007, respectively.</w:t>
      </w:r>
    </w:p>
    <w:p>
      <w:pPr>
        <w:spacing w:after="0" w:line="114" w:lineRule="exact"/>
        <w:rPr>
          <w:sz w:val="20"/>
          <w:szCs w:val="20"/>
          <w:color w:val="auto"/>
        </w:rPr>
      </w:pPr>
    </w:p>
    <w:p>
      <w:pPr>
        <w:jc w:val="both"/>
        <w:ind w:left="368" w:right="559"/>
        <w:spacing w:after="0" w:line="273" w:lineRule="auto"/>
        <w:rPr>
          <w:sz w:val="20"/>
          <w:szCs w:val="20"/>
          <w:color w:val="auto"/>
        </w:rPr>
      </w:pPr>
      <w:r>
        <w:rPr>
          <w:rFonts w:ascii="Arial" w:cs="Arial" w:eastAsia="Arial" w:hAnsi="Arial"/>
          <w:sz w:val="17"/>
          <w:szCs w:val="17"/>
          <w:color w:val="auto"/>
        </w:rPr>
        <w:t>We file income tax returns in the United States and in various state, local and foreign jurisdictions. For the majority of tax jurisdictions, we are no longer subject to income tax examinations for years before 2004. A number of state and local examinations as well as an examination by the Internal Revenue Service are currently ongoing. It is possible that these examinations may be resolved within the next twelve months. Due to the potential for resolution of federal, state and foreign examinations, and the expiration of various statutes of limitation, it is reasonably possible that our gross unrecognized tax benefits may change within the next twelve months by a range of $0.2 million to $8.6 million.</w:t>
      </w:r>
    </w:p>
    <w:p>
      <w:pPr>
        <w:spacing w:after="0" w:line="134" w:lineRule="exact"/>
        <w:rPr>
          <w:sz w:val="20"/>
          <w:szCs w:val="20"/>
          <w:color w:val="auto"/>
        </w:rPr>
      </w:pPr>
    </w:p>
    <w:p>
      <w:pPr>
        <w:ind w:left="408" w:hanging="408"/>
        <w:spacing w:after="0"/>
        <w:tabs>
          <w:tab w:leader="none" w:pos="40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CONTINGENCIES, AND GUARANTEES</w:t>
      </w:r>
    </w:p>
    <w:p>
      <w:pPr>
        <w:spacing w:after="0" w:line="202" w:lineRule="exact"/>
        <w:rPr>
          <w:sz w:val="20"/>
          <w:szCs w:val="20"/>
          <w:color w:val="auto"/>
        </w:rPr>
      </w:pPr>
    </w:p>
    <w:p>
      <w:pPr>
        <w:jc w:val="both"/>
        <w:ind w:left="368" w:right="559"/>
        <w:spacing w:after="0" w:line="253"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UFP Insurance Ltd., a licensed captive insurance company. 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Gordon, PA; Janesville, WI; Medley, FL; and Ponce, PR. In addition, a reserve was established for our affiliate’s facility in Thornton, CA to remove certain lead containing materials which existed on the property at the time of purchase.</w:t>
      </w:r>
    </w:p>
    <w:p>
      <w:pPr>
        <w:spacing w:after="0" w:line="200" w:lineRule="exact"/>
        <w:rPr>
          <w:sz w:val="20"/>
          <w:szCs w:val="20"/>
          <w:color w:val="auto"/>
        </w:rPr>
      </w:pPr>
    </w:p>
    <w:p>
      <w:pPr>
        <w:spacing w:after="0" w:line="346"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73" w:name="page74"/>
    <w:bookmarkEnd w:id="73"/>
    <w:p>
      <w:pPr>
        <w:jc w:val="center"/>
        <w:ind w:right="9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On a consolidated basis, we have reserved approximately $4.4 million on December 27, 2008 and December 29, 2007, representing the estimated costs to complete future remediation efforts. These amounts have not been reduced by an insurance receivable.</w:t>
      </w:r>
    </w:p>
    <w:p>
      <w:pPr>
        <w:spacing w:after="0" w:line="141"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The manufacturers of CCA preservative voluntarily discontinued the registration of CCA for certain residential applications as of December 31, 2003. Our wood preservation facilities have been converted to alternate preservatives, either ACQ, borates or ProWood</w:t>
      </w:r>
      <w:r>
        <w:rPr>
          <w:rFonts w:ascii="Arial" w:cs="Arial" w:eastAsia="Arial" w:hAnsi="Arial"/>
          <w:sz w:val="15"/>
          <w:szCs w:val="15"/>
          <w:color w:val="auto"/>
        </w:rPr>
        <w:t>®</w:t>
      </w:r>
      <w:r>
        <w:rPr>
          <w:rFonts w:ascii="Arial" w:cs="Arial" w:eastAsia="Arial" w:hAnsi="Arial"/>
          <w:sz w:val="18"/>
          <w:szCs w:val="18"/>
          <w:color w:val="auto"/>
        </w:rPr>
        <w:t xml:space="preserve"> Micro.</w:t>
      </w:r>
    </w:p>
    <w:p>
      <w:pPr>
        <w:spacing w:after="0" w:line="141" w:lineRule="exact"/>
        <w:rPr>
          <w:sz w:val="20"/>
          <w:szCs w:val="20"/>
          <w:color w:val="auto"/>
        </w:rPr>
      </w:pPr>
    </w:p>
    <w:p>
      <w:pPr>
        <w:jc w:val="both"/>
        <w:ind w:right="559"/>
        <w:spacing w:after="0" w:line="290" w:lineRule="auto"/>
        <w:rPr>
          <w:sz w:val="20"/>
          <w:szCs w:val="20"/>
          <w:color w:val="auto"/>
        </w:rPr>
      </w:pPr>
      <w:r>
        <w:rPr>
          <w:rFonts w:ascii="Arial" w:cs="Arial" w:eastAsia="Arial" w:hAnsi="Arial"/>
          <w:sz w:val="16"/>
          <w:szCs w:val="16"/>
          <w:color w:val="auto"/>
        </w:rPr>
        <w:t>In November 2003, the EPA published its report on the risks associated with the use of CCA in children’s playsets. While the study observed that the range of potential exposure to CCA increased by the continuous use of playsets, the EPA concluded that the risks were not sufficient to require removal or replacement of any CCA treated structures. The results of the EPA study are consistent with a prior Consumer Products Safety Commission (CPSC) study which reached a similar conclusion. The EPA did refer a question on the use of sealants to a scientific advisory panel. The panel issued a report which provides guidance to the EPA on the use of various sealants but does not mandate their use. In its final report issued on April 30, 2008, the EPA does not require removal or replacement of CCA-treated structures, including decks and playground equipment, and is not recommending that surrounding soils be removed or replaced.</w:t>
      </w:r>
    </w:p>
    <w:p>
      <w:pPr>
        <w:spacing w:after="0" w:line="139"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w:t>
      </w:r>
    </w:p>
    <w:p>
      <w:pPr>
        <w:spacing w:after="0" w:line="146"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30"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In addition, on December 27, 2008,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On December 27, 2008, we had outstanding purchase commitments on capital projects of approximately $0.9 million.</w:t>
      </w:r>
    </w:p>
    <w:p>
      <w:pPr>
        <w:spacing w:after="0" w:line="200" w:lineRule="exact"/>
        <w:rPr>
          <w:sz w:val="20"/>
          <w:szCs w:val="20"/>
          <w:color w:val="auto"/>
        </w:rPr>
      </w:pPr>
    </w:p>
    <w:p>
      <w:pPr>
        <w:spacing w:after="0" w:line="38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1" w:right="1440" w:bottom="1440" w:gutter="0" w:footer="0" w:header="0"/>
        </w:sectPr>
      </w:pPr>
    </w:p>
    <w:bookmarkStart w:id="74" w:name="page75"/>
    <w:bookmarkEnd w:id="74"/>
    <w:p>
      <w:pPr>
        <w:jc w:val="center"/>
        <w:ind w:right="9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provide a variety of warranties for products we manufacture. Historically, warranty claims have not been material.</w:t>
      </w:r>
    </w:p>
    <w:p>
      <w:pPr>
        <w:spacing w:after="0" w:line="196"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In certain cases we supply building materials and labor to site-built construction projects or we jointly bid on contracts with framing companies for such projects. In some instances we are required to post payment and performance bonds to insure the owner that the products and installation services are completed in accordance with our contractual obligations. We have agreed to indemnify the surety for claims made against the bonds. As of December 27, 2008, we had approximately $20.6 million in outstanding payment and performance bonds, which expire during the next two years. In addition, approximately $26.9 million in payment and performance bonds are outstanding for completed projects which are still under warranty.</w:t>
      </w:r>
    </w:p>
    <w:p>
      <w:pPr>
        <w:spacing w:after="0" w:line="149"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$2.0 million.</w:t>
      </w:r>
    </w:p>
    <w:p>
      <w:pPr>
        <w:spacing w:after="0" w:line="161" w:lineRule="exact"/>
        <w:rPr>
          <w:sz w:val="20"/>
          <w:szCs w:val="20"/>
          <w:color w:val="auto"/>
        </w:rPr>
      </w:pPr>
    </w:p>
    <w:p>
      <w:pPr>
        <w:jc w:val="both"/>
        <w:ind w:right="559"/>
        <w:spacing w:after="0" w:line="342" w:lineRule="auto"/>
        <w:rPr>
          <w:sz w:val="20"/>
          <w:szCs w:val="20"/>
          <w:color w:val="auto"/>
        </w:rPr>
      </w:pPr>
      <w:r>
        <w:rPr>
          <w:rFonts w:ascii="Arial" w:cs="Arial" w:eastAsia="Arial" w:hAnsi="Arial"/>
          <w:sz w:val="16"/>
          <w:szCs w:val="16"/>
          <w:color w:val="auto"/>
        </w:rPr>
        <w:t>Under our former sale of accounts receivable agreement, we guaranteed that a subsidiary, as accounts servicer, would remit collections on receivables sold to the purchaser of the accounts receivable. (See Note H, “Sale of Accounts Receivable.”)</w:t>
      </w:r>
    </w:p>
    <w:p>
      <w:pPr>
        <w:spacing w:after="0" w:line="83"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$17.4 million for these types of insurance arrangements. We have reserves recorded on our balance sheet, in accrued liabilities, that reflect our expected future liabilities under these insurance arrangements.</w:t>
      </w:r>
    </w:p>
    <w:p>
      <w:pPr>
        <w:spacing w:after="0" w:line="131"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$14.8 million related to our outstanding industrial development revenue bonds. These letters of credit have varying terms but may be renewed at the option of the issuing banks.</w:t>
      </w:r>
    </w:p>
    <w:p>
      <w:pPr>
        <w:spacing w:after="0" w:line="200" w:lineRule="exact"/>
        <w:rPr>
          <w:sz w:val="20"/>
          <w:szCs w:val="20"/>
          <w:color w:val="auto"/>
        </w:rPr>
      </w:pPr>
    </w:p>
    <w:p>
      <w:pPr>
        <w:spacing w:after="0" w:line="35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2" w:right="1440" w:bottom="1440" w:gutter="0" w:footer="0" w:header="0"/>
        </w:sectPr>
      </w:pPr>
    </w:p>
    <w:bookmarkStart w:id="75" w:name="page76"/>
    <w:bookmarkEnd w:id="75"/>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68" w:right="559"/>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1998-A Senior Notes,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31" w:lineRule="exact"/>
        <w:rPr>
          <w:sz w:val="20"/>
          <w:szCs w:val="20"/>
          <w:color w:val="auto"/>
        </w:rPr>
      </w:pPr>
    </w:p>
    <w:p>
      <w:pPr>
        <w:jc w:val="both"/>
        <w:ind w:left="368" w:right="559"/>
        <w:spacing w:after="0" w:line="271" w:lineRule="auto"/>
        <w:rPr>
          <w:sz w:val="20"/>
          <w:szCs w:val="20"/>
          <w:color w:val="auto"/>
        </w:rPr>
      </w:pPr>
      <w:r>
        <w:rPr>
          <w:rFonts w:ascii="Arial" w:cs="Arial" w:eastAsia="Arial" w:hAnsi="Arial"/>
          <w:sz w:val="17"/>
          <w:szCs w:val="17"/>
          <w:color w:val="auto"/>
        </w:rPr>
        <w:t>Many of our wood treating operations utilize “Subpart W” drip pads, defined as hazardous waste management units by the EPA. The rules regulating drip pads require that the pad be “closed” at the point that it is no longer intended to be used for wood treating operations or to manage hazardous waste. Closure involves identification and disposal of contamination which requires removal from the wood treating operations. The ultimate cost of closure is dependent upon a number of factors including, but not limited to, identification and removal of contamination, cleanup standards that vary from state to state, and the time period over which the cleanup would be completed. Based on our present knowledge of existing circumstances, it is considered probable that these costs will approximate $0.4 million. As a result, this amount is recorded in other long-term liabilities on December 27, 2008.</w:t>
      </w:r>
    </w:p>
    <w:p>
      <w:pPr>
        <w:spacing w:after="0" w:line="138" w:lineRule="exact"/>
        <w:rPr>
          <w:sz w:val="20"/>
          <w:szCs w:val="20"/>
          <w:color w:val="auto"/>
        </w:rPr>
      </w:pPr>
    </w:p>
    <w:p>
      <w:pPr>
        <w:jc w:val="both"/>
        <w:ind w:left="368" w:right="559"/>
        <w:spacing w:after="0" w:line="277" w:lineRule="auto"/>
        <w:rPr>
          <w:sz w:val="20"/>
          <w:szCs w:val="20"/>
          <w:color w:val="auto"/>
        </w:rPr>
      </w:pPr>
      <w:r>
        <w:rPr>
          <w:rFonts w:ascii="Arial" w:cs="Arial" w:eastAsia="Arial" w:hAnsi="Arial"/>
          <w:sz w:val="18"/>
          <w:szCs w:val="18"/>
          <w:color w:val="auto"/>
        </w:rPr>
        <w:t>We did not enter into any new guarantee arrangements during 2008 which would require us to recognize a liability on our balance sheet.</w:t>
      </w:r>
    </w:p>
    <w:p>
      <w:pPr>
        <w:spacing w:after="0" w:line="139" w:lineRule="exact"/>
        <w:rPr>
          <w:sz w:val="20"/>
          <w:szCs w:val="20"/>
          <w:color w:val="auto"/>
        </w:rPr>
      </w:pPr>
    </w:p>
    <w:p>
      <w:pPr>
        <w:ind w:left="408" w:hanging="408"/>
        <w:spacing w:after="0"/>
        <w:tabs>
          <w:tab w:leader="none" w:pos="40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CONSULTING &amp; NON-COMPETE AGREEMENTS</w:t>
      </w:r>
    </w:p>
    <w:p>
      <w:pPr>
        <w:spacing w:after="0" w:line="189" w:lineRule="exact"/>
        <w:rPr>
          <w:sz w:val="20"/>
          <w:szCs w:val="20"/>
          <w:color w:val="auto"/>
        </w:rPr>
      </w:pPr>
    </w:p>
    <w:p>
      <w:pPr>
        <w:jc w:val="both"/>
        <w:ind w:left="368" w:right="559"/>
        <w:spacing w:after="0" w:line="279" w:lineRule="auto"/>
        <w:rPr>
          <w:sz w:val="20"/>
          <w:szCs w:val="20"/>
          <w:color w:val="auto"/>
        </w:rPr>
      </w:pPr>
      <w:r>
        <w:rPr>
          <w:rFonts w:ascii="Arial" w:cs="Arial" w:eastAsia="Arial" w:hAnsi="Arial"/>
          <w:sz w:val="17"/>
          <w:szCs w:val="17"/>
          <w:color w:val="auto"/>
        </w:rPr>
        <w:t>On December 17, 2007 we entered into a consulting and non-compete agreement with our former CEO which provides for monthly payments for a term of three years that will begin upon retirement from Universal Forest Products, Inc. The present value of the vested portion of the non-compete payments totaling approximately $1.4 million and $0.3 million at December 27, 2008 and December 29, 2007, respectively, is accrued in other liabilities.</w:t>
      </w:r>
    </w:p>
    <w:p>
      <w:pPr>
        <w:spacing w:after="0" w:line="131" w:lineRule="exact"/>
        <w:rPr>
          <w:sz w:val="20"/>
          <w:szCs w:val="20"/>
          <w:color w:val="auto"/>
        </w:rPr>
      </w:pPr>
    </w:p>
    <w:p>
      <w:pPr>
        <w:jc w:val="both"/>
        <w:ind w:left="368" w:right="559"/>
        <w:spacing w:after="0" w:line="259" w:lineRule="auto"/>
        <w:rPr>
          <w:sz w:val="20"/>
          <w:szCs w:val="20"/>
          <w:color w:val="auto"/>
        </w:rPr>
      </w:pPr>
      <w:r>
        <w:rPr>
          <w:rFonts w:ascii="Arial" w:cs="Arial" w:eastAsia="Arial" w:hAnsi="Arial"/>
          <w:sz w:val="18"/>
          <w:szCs w:val="18"/>
          <w:color w:val="auto"/>
        </w:rPr>
        <w:t>On December 31, 2007 the former President of Universal Forest Products Western Division, Inc. retired as an employee of Universal Forest Products, Inc., and we entered into an agreement with him which provides for monthly payments for a term of three years. The present value of these payments totaling approximately $1.0 million has been recorded in other liabilities.</w:t>
      </w:r>
    </w:p>
    <w:p>
      <w:pPr>
        <w:spacing w:after="0" w:line="200" w:lineRule="exact"/>
        <w:rPr>
          <w:sz w:val="20"/>
          <w:szCs w:val="20"/>
          <w:color w:val="auto"/>
        </w:rPr>
      </w:pPr>
    </w:p>
    <w:p>
      <w:pPr>
        <w:spacing w:after="0" w:line="352"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76" w:name="page77"/>
    <w:bookmarkEnd w:id="76"/>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700" w:hanging="368"/>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88" w:lineRule="exact"/>
        <w:rPr>
          <w:rFonts w:ascii="Arial" w:cs="Arial" w:eastAsia="Arial" w:hAnsi="Arial"/>
          <w:sz w:val="18"/>
          <w:szCs w:val="18"/>
          <w:b w:val="1"/>
          <w:bCs w:val="1"/>
          <w:color w:val="auto"/>
        </w:rPr>
      </w:pPr>
    </w:p>
    <w:p>
      <w:pPr>
        <w:jc w:val="both"/>
        <w:ind w:left="700" w:right="17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SFAS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(“SFAS 131”) defines operating segments as components of an enterprise about which separate financial information is available that is evaluated regularly by the chief operating decision maker in deciding how to allocate resources and in assessing performance. Under the definition of a segment, our Eastern, Western and Consumer Products Divisions may be considered an operating segment of our business. Under SFAS 131, segments may be aggregated if the segments have similar economic characteristics and if the nature of the products, distribution methods, customers and regulatory environments are similar. Based on this criteria, we have aggregated our Eastern and Western divisions into one reporting segment. Our Consumer Products Division, which was formed in 2006, is included in the “All Other” column in the table below. Our divisions operate manufacturing and treating facilities throughout North America.</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1220" w:type="dxa"/>
            <w:vAlign w:val="bottom"/>
          </w:tcPr>
          <w:p>
            <w:pPr>
              <w:spacing w:after="0"/>
              <w:rPr>
                <w:sz w:val="16"/>
                <w:szCs w:val="16"/>
                <w:color w:val="auto"/>
              </w:rPr>
            </w:pPr>
          </w:p>
        </w:tc>
        <w:tc>
          <w:tcPr>
            <w:tcW w:w="94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86"/>
              </w:rPr>
              <w:t>Eastern</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6"/>
              </w:rPr>
              <w:t>Eastern</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6"/>
              </w:rPr>
              <w:t>Eastern</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2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and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and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and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Western</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rPr>
              <w:t>All</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Western</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rPr>
              <w:t>All</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Western</w:t>
            </w:r>
          </w:p>
        </w:tc>
        <w:tc>
          <w:tcPr>
            <w:tcW w:w="740" w:type="dxa"/>
            <w:vAlign w:val="bottom"/>
            <w:gridSpan w:val="2"/>
          </w:tcPr>
          <w:p>
            <w:pPr>
              <w:jc w:val="center"/>
              <w:ind w:right="160"/>
              <w:spacing w:after="0"/>
              <w:rPr>
                <w:sz w:val="20"/>
                <w:szCs w:val="20"/>
                <w:color w:val="auto"/>
              </w:rPr>
            </w:pPr>
            <w:r>
              <w:rPr>
                <w:rFonts w:ascii="Arial" w:cs="Arial" w:eastAsia="Arial" w:hAnsi="Arial"/>
                <w:sz w:val="18"/>
                <w:szCs w:val="18"/>
                <w:color w:val="auto"/>
              </w:rPr>
              <w:t>All</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Divisions</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Other</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Divisions</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Other</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Divisions</w:t>
            </w:r>
          </w:p>
        </w:tc>
        <w:tc>
          <w:tcPr>
            <w:tcW w:w="7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Other</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Total</w:t>
            </w:r>
          </w:p>
        </w:tc>
      </w:tr>
      <w:tr>
        <w:trPr>
          <w:trHeight w:val="195"/>
        </w:trPr>
        <w:tc>
          <w:tcPr>
            <w:tcW w:w="1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sales to</w:t>
            </w: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outside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$2,130,437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$101,957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2,232,394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$2,405,830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$107,348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$2,513,178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$2,605,087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$59,485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$2,664,572</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Intersegment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22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26,765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26,765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24,126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24,126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17,974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17,974</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0"/>
              </w:rPr>
              <w:t>Interest expense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12,037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14,053</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Amortization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220" w:type="dxa"/>
            <w:vAlign w:val="bottom"/>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6,983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2,814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9,797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5,331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2,703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8,034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3,071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2,680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5,751</w:t>
            </w: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37,570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36,347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39,547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31,081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33,771</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Segment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2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20" w:type="dxa"/>
            <w:vAlign w:val="bottom"/>
          </w:tcPr>
          <w:p>
            <w:pPr>
              <w:ind w:left="200"/>
              <w:spacing w:after="0"/>
              <w:rPr>
                <w:sz w:val="20"/>
                <w:szCs w:val="20"/>
                <w:color w:val="auto"/>
              </w:rPr>
            </w:pPr>
            <w:r>
              <w:rPr>
                <w:rFonts w:ascii="Arial" w:cs="Arial" w:eastAsia="Arial" w:hAnsi="Arial"/>
                <w:sz w:val="18"/>
                <w:szCs w:val="18"/>
                <w:color w:val="auto"/>
              </w:rPr>
              <w:t>profit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21,310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(2,905)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18,405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48,399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5,093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53,492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118,942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4,803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123,745</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2"/>
              </w:rPr>
              <w:t>Segment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746,335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69,684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816,019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864,546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92,454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831,160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82,281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913,441</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Capital</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220" w:type="dxa"/>
            <w:vAlign w:val="bottom"/>
          </w:tcPr>
          <w:p>
            <w:pPr>
              <w:ind w:left="200"/>
              <w:spacing w:after="0"/>
              <w:rPr>
                <w:sz w:val="20"/>
                <w:szCs w:val="20"/>
                <w:color w:val="auto"/>
              </w:rPr>
            </w:pPr>
            <w:r>
              <w:rPr>
                <w:rFonts w:ascii="Arial" w:cs="Arial" w:eastAsia="Arial" w:hAnsi="Arial"/>
                <w:sz w:val="18"/>
                <w:szCs w:val="18"/>
                <w:color w:val="auto"/>
                <w:w w:val="96"/>
              </w:rPr>
              <w:t>expenditures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18,409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18,944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37,571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1,789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39,360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40,908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2,596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43,504</w:t>
            </w: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2008, 2007, and 2006, 27%, 26%, and 22% of net sales, respectively, were to a single customer.</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regarding principal geographic areas was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84"/>
              </w:rPr>
              <w:t>2008</w:t>
            </w:r>
          </w:p>
        </w:tc>
        <w:tc>
          <w:tcPr>
            <w:tcW w:w="7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84"/>
              </w:rPr>
              <w:t>2007</w:t>
            </w: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84"/>
              </w:rPr>
              <w:t>2006</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spacing w:after="0" w:line="195" w:lineRule="exact"/>
              <w:rPr>
                <w:sz w:val="20"/>
                <w:szCs w:val="20"/>
                <w:color w:val="auto"/>
              </w:rPr>
            </w:pPr>
            <w:r>
              <w:rPr>
                <w:rFonts w:ascii="Arial" w:cs="Arial" w:eastAsia="Arial" w:hAnsi="Arial"/>
                <w:sz w:val="18"/>
                <w:szCs w:val="18"/>
                <w:color w:val="auto"/>
                <w:w w:val="96"/>
              </w:rPr>
              <w:t>Long-Lived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spacing w:after="0" w:line="195" w:lineRule="exact"/>
              <w:rPr>
                <w:sz w:val="20"/>
                <w:szCs w:val="20"/>
                <w:color w:val="auto"/>
              </w:rPr>
            </w:pPr>
            <w:r>
              <w:rPr>
                <w:rFonts w:ascii="Arial" w:cs="Arial" w:eastAsia="Arial" w:hAnsi="Arial"/>
                <w:sz w:val="18"/>
                <w:szCs w:val="18"/>
                <w:color w:val="auto"/>
                <w:w w:val="94"/>
              </w:rPr>
              <w:t>Long-Lived</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spacing w:after="0" w:line="195" w:lineRule="exact"/>
              <w:rPr>
                <w:sz w:val="20"/>
                <w:szCs w:val="20"/>
                <w:color w:val="auto"/>
              </w:rPr>
            </w:pPr>
            <w:r>
              <w:rPr>
                <w:rFonts w:ascii="Arial" w:cs="Arial" w:eastAsia="Arial" w:hAnsi="Arial"/>
                <w:sz w:val="18"/>
                <w:szCs w:val="18"/>
                <w:color w:val="auto"/>
                <w:w w:val="94"/>
              </w:rPr>
              <w:t>Long-Lived</w:t>
            </w:r>
          </w:p>
        </w:tc>
        <w:tc>
          <w:tcPr>
            <w:tcW w:w="80" w:type="dxa"/>
            <w:vAlign w:val="bottom"/>
          </w:tcPr>
          <w:p>
            <w:pPr>
              <w:spacing w:after="0"/>
              <w:rPr>
                <w:sz w:val="16"/>
                <w:szCs w:val="16"/>
                <w:color w:val="auto"/>
              </w:rPr>
            </w:pPr>
          </w:p>
        </w:tc>
      </w:tr>
      <w:tr>
        <w:trPr>
          <w:trHeight w:val="230"/>
        </w:trPr>
        <w:tc>
          <w:tcPr>
            <w:tcW w:w="25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Net Sales</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Assets</w:t>
            </w:r>
          </w:p>
        </w:tc>
        <w:tc>
          <w:tcPr>
            <w:tcW w:w="3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Net Sales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Net Sales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$2,170,933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418,603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$2,442,676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427,547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$2,590,951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408,310</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Foreign</w:t>
            </w:r>
          </w:p>
        </w:tc>
        <w:tc>
          <w:tcPr>
            <w:tcW w:w="820" w:type="dxa"/>
            <w:vAlign w:val="bottom"/>
          </w:tcPr>
          <w:p>
            <w:pPr>
              <w:jc w:val="right"/>
              <w:spacing w:after="0"/>
              <w:rPr>
                <w:sz w:val="20"/>
                <w:szCs w:val="20"/>
                <w:color w:val="auto"/>
              </w:rPr>
            </w:pPr>
            <w:r>
              <w:rPr>
                <w:rFonts w:ascii="Arial" w:cs="Arial" w:eastAsia="Arial" w:hAnsi="Arial"/>
                <w:sz w:val="18"/>
                <w:szCs w:val="18"/>
                <w:color w:val="auto"/>
              </w:rPr>
              <w:t>61,461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16,508</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28,928</w:t>
            </w:r>
          </w:p>
        </w:tc>
        <w:tc>
          <w:tcPr>
            <w:tcW w:w="820" w:type="dxa"/>
            <w:vAlign w:val="bottom"/>
          </w:tcPr>
          <w:p>
            <w:pPr>
              <w:jc w:val="right"/>
              <w:spacing w:after="0"/>
              <w:rPr>
                <w:sz w:val="20"/>
                <w:szCs w:val="20"/>
                <w:color w:val="auto"/>
              </w:rPr>
            </w:pPr>
            <w:r>
              <w:rPr>
                <w:rFonts w:ascii="Arial" w:cs="Arial" w:eastAsia="Arial" w:hAnsi="Arial"/>
                <w:sz w:val="18"/>
                <w:szCs w:val="18"/>
                <w:color w:val="auto"/>
              </w:rPr>
              <w:t>73,621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29,996</w:t>
            </w:r>
          </w:p>
        </w:tc>
      </w:tr>
      <w:tr>
        <w:trPr>
          <w:trHeight w:val="27"/>
        </w:trPr>
        <w:tc>
          <w:tcPr>
            <w:tcW w:w="2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2,232,394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435,111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2,513,178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456,475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2,664,572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438,306</w:t>
            </w:r>
          </w:p>
        </w:tc>
      </w:tr>
      <w:tr>
        <w:trPr>
          <w:trHeight w:val="20"/>
        </w:trPr>
        <w:tc>
          <w:tcPr>
            <w:tcW w:w="2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generated in Canada and Mexico are primarily to customers in the United States of America.</w:t>
      </w:r>
    </w:p>
    <w:p>
      <w:pPr>
        <w:spacing w:after="0" w:line="185" w:lineRule="exact"/>
        <w:rPr>
          <w:sz w:val="20"/>
          <w:szCs w:val="20"/>
          <w:color w:val="auto"/>
        </w:rPr>
      </w:pPr>
    </w:p>
    <w:p>
      <w:pPr>
        <w:ind w:left="700" w:right="1760"/>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Value-Added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Commodity-Based</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46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w w:val="84"/>
              </w:rPr>
              <w:t>2008</w:t>
            </w:r>
          </w:p>
        </w:tc>
        <w:tc>
          <w:tcPr>
            <w:tcW w:w="39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60" w:type="dxa"/>
            <w:vAlign w:val="bottom"/>
          </w:tcPr>
          <w:p>
            <w:pPr>
              <w:jc w:val="right"/>
              <w:ind w:right="2010"/>
              <w:spacing w:after="0"/>
              <w:rPr>
                <w:sz w:val="20"/>
                <w:szCs w:val="20"/>
                <w:color w:val="auto"/>
              </w:rPr>
            </w:pPr>
            <w:r>
              <w:rPr>
                <w:rFonts w:ascii="Arial" w:cs="Arial" w:eastAsia="Arial" w:hAnsi="Arial"/>
                <w:sz w:val="18"/>
                <w:szCs w:val="18"/>
                <w:color w:val="auto"/>
                <w:w w:val="84"/>
              </w:rPr>
              <w:t>2007</w:t>
            </w:r>
          </w:p>
        </w:tc>
        <w:tc>
          <w:tcPr>
            <w:tcW w:w="5340" w:type="dxa"/>
            <w:vAlign w:val="bottom"/>
            <w:gridSpan w:val="3"/>
          </w:tcPr>
          <w:p>
            <w:pPr>
              <w:jc w:val="right"/>
              <w:ind w:right="280"/>
              <w:spacing w:after="0"/>
              <w:rPr>
                <w:sz w:val="20"/>
                <w:szCs w:val="20"/>
                <w:color w:val="auto"/>
              </w:rPr>
            </w:pPr>
            <w:r>
              <w:rPr>
                <w:rFonts w:ascii="Arial" w:cs="Arial" w:eastAsia="Arial" w:hAnsi="Arial"/>
                <w:sz w:val="18"/>
                <w:szCs w:val="18"/>
                <w:color w:val="auto"/>
              </w:rPr>
              <w:t>60.5%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6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w w:val="84"/>
              </w:rPr>
              <w:t>2006</w:t>
            </w:r>
          </w:p>
        </w:tc>
        <w:tc>
          <w:tcPr>
            <w:tcW w:w="5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17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60" w:type="dxa"/>
            <w:vAlign w:val="bottom"/>
          </w:tcPr>
          <w:p>
            <w:pPr>
              <w:jc w:val="right"/>
              <w:ind w:right="1590"/>
              <w:spacing w:after="0"/>
              <w:rPr>
                <w:sz w:val="20"/>
                <w:szCs w:val="20"/>
                <w:color w:val="auto"/>
              </w:rPr>
            </w:pPr>
            <w:r>
              <w:rPr>
                <w:rFonts w:ascii="Arial" w:cs="Arial" w:eastAsia="Arial" w:hAnsi="Arial"/>
                <w:sz w:val="18"/>
                <w:szCs w:val="18"/>
                <w:color w:val="auto"/>
              </w:rPr>
              <w:t>54</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7" w:name="page78"/>
    <w:bookmarkEnd w:id="77"/>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700" w:right="1760"/>
        <w:spacing w:after="0" w:line="273" w:lineRule="auto"/>
        <w:rPr>
          <w:sz w:val="20"/>
          <w:szCs w:val="20"/>
          <w:color w:val="auto"/>
        </w:rPr>
      </w:pPr>
      <w:r>
        <w:rPr>
          <w:rFonts w:ascii="Arial" w:cs="Arial" w:eastAsia="Arial" w:hAnsi="Arial"/>
          <w:sz w:val="17"/>
          <w:szCs w:val="17"/>
          <w:color w:val="auto"/>
        </w:rPr>
        <w:t>Value-added product sales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 Commodity-based product sales consist primarily of remanufactured lumber and preservative treated lumber.</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for the periods indicated, our gross sales (in thousands) by major product classification.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Years Ended</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360" w:type="dxa"/>
            <w:vAlign w:val="bottom"/>
            <w:gridSpan w:val="3"/>
          </w:tcPr>
          <w:p>
            <w:pPr>
              <w:spacing w:after="0" w:line="195" w:lineRule="exact"/>
              <w:rPr>
                <w:sz w:val="20"/>
                <w:szCs w:val="20"/>
                <w:color w:val="auto"/>
              </w:rPr>
            </w:pPr>
            <w:r>
              <w:rPr>
                <w:rFonts w:ascii="Arial" w:cs="Arial" w:eastAsia="Arial" w:hAnsi="Arial"/>
                <w:sz w:val="18"/>
                <w:szCs w:val="18"/>
                <w:color w:val="auto"/>
              </w:rPr>
              <w:t>December 27,</w:t>
            </w:r>
          </w:p>
        </w:tc>
        <w:tc>
          <w:tcPr>
            <w:tcW w:w="134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1000" w:type="dxa"/>
            <w:vAlign w:val="bottom"/>
            <w:gridSpan w:val="2"/>
          </w:tcPr>
          <w:p>
            <w:pPr>
              <w:spacing w:after="0" w:line="195" w:lineRule="exact"/>
              <w:rPr>
                <w:sz w:val="20"/>
                <w:szCs w:val="20"/>
                <w:color w:val="auto"/>
              </w:rPr>
            </w:pPr>
            <w:r>
              <w:rPr>
                <w:rFonts w:ascii="Arial" w:cs="Arial" w:eastAsia="Arial" w:hAnsi="Arial"/>
                <w:sz w:val="18"/>
                <w:szCs w:val="18"/>
                <w:color w:val="auto"/>
                <w:w w:val="86"/>
              </w:rPr>
              <w:t>December 30,</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55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Value-Added Sales</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Trusses — site-built, modular and manufactured housing</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273,170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394,806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504,296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Fencing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194,029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199,511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Decking and railing — composite , wood and other</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167,722</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179,654</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172,957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Turn-key framing and installed sales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194,630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179,065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220,799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Industrial packaging and components</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147,763</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107,160</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93,620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Engineered wood products (eg. LVL; i-joist)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57,631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87,588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Manufactured brite and other lumber</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64,552</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82,784</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89,891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Wall panels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57,065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Outdoor DIY products (eg. stakes; landscape ties)</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51,550</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53,012</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47,860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 materials (eg. door packages; drywall)</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49,717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46,761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Lattice — plastic and wood</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43,895</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46,523</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27,412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Manufactured brite and other panels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42,798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Siding, trim and moulding</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28,879</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38,090</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46,311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15,743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Manufactured treated lumber</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14,354</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7,947</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4,677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Manufactured treated panels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6,937</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Value-Added Sales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1,373,898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1,549,081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1,697,036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Commodity-Based Sales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Non-manufactured brite and other lumber</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384,268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454,560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470,569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Non-manufactured treated lumber</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345,211</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378,240</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361,688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Non-manufactured brite and other panels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138,530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149,652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152,568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Non-manufactured treated panels</w:t>
            </w: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24,450</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24,934</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18,537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Total Commodity-Based Sales</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900,293</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1,012,404</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1,009,999</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2,274,191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2,561,485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2,707,035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Sales allowances</w:t>
            </w: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(41,797)</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(48,307)</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(42,463)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2,232,394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2,513,178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2,664,572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40" w:type="dxa"/>
            <w:vAlign w:val="bottom"/>
            <w:gridSpan w:val="3"/>
            <w:vMerge w:val="restart"/>
          </w:tcPr>
          <w:p>
            <w:pPr>
              <w:ind w:left="4560"/>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55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8" w:name="page79"/>
    <w:bookmarkEnd w:id="78"/>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408" w:hanging="408"/>
        <w:spacing w:after="0"/>
        <w:tabs>
          <w:tab w:leader="none" w:pos="40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INFORMATION (UNAUDITED)</w:t>
      </w:r>
    </w:p>
    <w:p>
      <w:pPr>
        <w:spacing w:after="0" w:line="189" w:lineRule="exact"/>
        <w:rPr>
          <w:sz w:val="20"/>
          <w:szCs w:val="20"/>
          <w:color w:val="auto"/>
        </w:rPr>
      </w:pPr>
    </w:p>
    <w:p>
      <w:pPr>
        <w:ind w:left="368" w:right="559"/>
        <w:spacing w:after="0" w:line="277" w:lineRule="auto"/>
        <w:rPr>
          <w:sz w:val="20"/>
          <w:szCs w:val="20"/>
          <w:color w:val="auto"/>
        </w:rPr>
      </w:pPr>
      <w:r>
        <w:rPr>
          <w:rFonts w:ascii="Arial" w:cs="Arial" w:eastAsia="Arial" w:hAnsi="Arial"/>
          <w:sz w:val="18"/>
          <w:szCs w:val="18"/>
          <w:color w:val="auto"/>
        </w:rPr>
        <w:t>The following table sets forth selected financial information for all of the quarters, each consisting of 13 weeks) during the years ended December 27, 2008 and December 29, 2007 (in thousands, except per share data):</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1940" w:type="dxa"/>
            <w:vAlign w:val="bottom"/>
            <w:gridSpan w:val="4"/>
          </w:tcPr>
          <w:p>
            <w:pPr>
              <w:ind w:left="660"/>
              <w:spacing w:after="0"/>
              <w:rPr>
                <w:sz w:val="20"/>
                <w:szCs w:val="20"/>
                <w:color w:val="auto"/>
              </w:rPr>
            </w:pPr>
            <w:r>
              <w:rPr>
                <w:rFonts w:ascii="Arial" w:cs="Arial" w:eastAsia="Arial" w:hAnsi="Arial"/>
                <w:sz w:val="18"/>
                <w:szCs w:val="18"/>
                <w:color w:val="auto"/>
              </w:rPr>
              <w:t>First</w:t>
            </w:r>
          </w:p>
        </w:tc>
        <w:tc>
          <w:tcPr>
            <w:tcW w:w="1960" w:type="dxa"/>
            <w:vAlign w:val="bottom"/>
            <w:gridSpan w:val="4"/>
          </w:tcPr>
          <w:p>
            <w:pPr>
              <w:jc w:val="right"/>
              <w:ind w:right="860"/>
              <w:spacing w:after="0"/>
              <w:rPr>
                <w:sz w:val="20"/>
                <w:szCs w:val="20"/>
                <w:color w:val="auto"/>
              </w:rPr>
            </w:pPr>
            <w:r>
              <w:rPr>
                <w:rFonts w:ascii="Arial" w:cs="Arial" w:eastAsia="Arial" w:hAnsi="Arial"/>
                <w:sz w:val="18"/>
                <w:szCs w:val="18"/>
                <w:color w:val="auto"/>
              </w:rPr>
              <w:t>Second</w:t>
            </w:r>
          </w:p>
        </w:tc>
        <w:tc>
          <w:tcPr>
            <w:tcW w:w="1960" w:type="dxa"/>
            <w:vAlign w:val="bottom"/>
            <w:gridSpan w:val="4"/>
          </w:tcPr>
          <w:p>
            <w:pPr>
              <w:ind w:left="640"/>
              <w:spacing w:after="0"/>
              <w:rPr>
                <w:sz w:val="20"/>
                <w:szCs w:val="20"/>
                <w:color w:val="auto"/>
              </w:rPr>
            </w:pPr>
            <w:r>
              <w:rPr>
                <w:rFonts w:ascii="Arial" w:cs="Arial" w:eastAsia="Arial" w:hAnsi="Arial"/>
                <w:sz w:val="18"/>
                <w:szCs w:val="18"/>
                <w:color w:val="auto"/>
              </w:rPr>
              <w:t>Third</w:t>
            </w:r>
          </w:p>
        </w:tc>
        <w:tc>
          <w:tcPr>
            <w:tcW w:w="1760" w:type="dxa"/>
            <w:vAlign w:val="bottom"/>
            <w:gridSpan w:val="4"/>
          </w:tcPr>
          <w:p>
            <w:pPr>
              <w:jc w:val="right"/>
              <w:ind w:right="680"/>
              <w:spacing w:after="0"/>
              <w:rPr>
                <w:sz w:val="20"/>
                <w:szCs w:val="20"/>
                <w:color w:val="auto"/>
              </w:rPr>
            </w:pPr>
            <w:r>
              <w:rPr>
                <w:rFonts w:ascii="Arial" w:cs="Arial" w:eastAsia="Arial" w:hAnsi="Arial"/>
                <w:sz w:val="18"/>
                <w:szCs w:val="18"/>
                <w:color w:val="auto"/>
              </w:rPr>
              <w:t>Fourth</w:t>
            </w:r>
          </w:p>
        </w:tc>
      </w:tr>
      <w:tr>
        <w:trPr>
          <w:trHeight w:val="210"/>
        </w:trPr>
        <w:tc>
          <w:tcPr>
            <w:tcW w:w="17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$489,512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$549,038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$708,485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$773,105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$610,744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$678,398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$423,653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$512,637</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Gross profit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54,820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73,520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84,878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101,705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64,650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82,165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49,853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51,639</w:t>
            </w: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11,663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16,800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11,339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(10,980)</w:t>
            </w: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Basic earnings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700" w:type="dxa"/>
            <w:vAlign w:val="bottom"/>
          </w:tcPr>
          <w:p>
            <w:pPr>
              <w:ind w:left="200"/>
              <w:spacing w:after="0"/>
              <w:rPr>
                <w:sz w:val="20"/>
                <w:szCs w:val="20"/>
                <w:color w:val="auto"/>
              </w:rPr>
            </w:pPr>
            <w:r>
              <w:rPr>
                <w:rFonts w:ascii="Arial" w:cs="Arial" w:eastAsia="Arial" w:hAnsi="Arial"/>
                <w:sz w:val="18"/>
                <w:szCs w:val="18"/>
                <w:color w:val="auto"/>
              </w:rPr>
              <w:t>(loss) per share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0.61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0.88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0.59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per share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0.86</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r>
    </w:tbl>
    <w:p>
      <w:pPr>
        <w:spacing w:after="0" w:line="157" w:lineRule="exact"/>
        <w:rPr>
          <w:sz w:val="20"/>
          <w:szCs w:val="20"/>
          <w:color w:val="auto"/>
        </w:rPr>
      </w:pPr>
    </w:p>
    <w:p>
      <w:pPr>
        <w:ind w:left="408" w:hanging="408"/>
        <w:spacing w:after="0"/>
        <w:tabs>
          <w:tab w:leader="none" w:pos="408"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02" w:lineRule="exact"/>
        <w:rPr>
          <w:sz w:val="20"/>
          <w:szCs w:val="20"/>
          <w:color w:val="auto"/>
        </w:rPr>
      </w:pPr>
    </w:p>
    <w:p>
      <w:pPr>
        <w:jc w:val="both"/>
        <w:ind w:left="368" w:right="559"/>
        <w:spacing w:after="0" w:line="308" w:lineRule="auto"/>
        <w:rPr>
          <w:sz w:val="20"/>
          <w:szCs w:val="20"/>
          <w:color w:val="auto"/>
        </w:rPr>
      </w:pPr>
      <w:r>
        <w:rPr>
          <w:rFonts w:ascii="Arial" w:cs="Arial" w:eastAsia="Arial" w:hAnsi="Arial"/>
          <w:sz w:val="17"/>
          <w:szCs w:val="17"/>
          <w:color w:val="auto"/>
        </w:rPr>
        <w:t>In January 2009, we temporarily closed facilities in Bunn, NC and Ooltewah, TN to better align manufacturing capacity with the current business environment. In February 2009, we also temporarily closed a facility in White Pigeon, MI.</w:t>
      </w:r>
    </w:p>
    <w:p>
      <w:pPr>
        <w:spacing w:after="0" w:line="106" w:lineRule="exact"/>
        <w:rPr>
          <w:sz w:val="20"/>
          <w:szCs w:val="20"/>
          <w:color w:val="auto"/>
        </w:rPr>
      </w:pPr>
    </w:p>
    <w:p>
      <w:pPr>
        <w:jc w:val="both"/>
        <w:ind w:left="368" w:right="559"/>
        <w:spacing w:after="0" w:line="264" w:lineRule="auto"/>
        <w:rPr>
          <w:sz w:val="20"/>
          <w:szCs w:val="20"/>
          <w:color w:val="auto"/>
        </w:rPr>
      </w:pPr>
      <w:r>
        <w:rPr>
          <w:rFonts w:ascii="Arial" w:cs="Arial" w:eastAsia="Arial" w:hAnsi="Arial"/>
          <w:sz w:val="18"/>
          <w:szCs w:val="18"/>
          <w:color w:val="auto"/>
        </w:rPr>
        <w:t>On February 1, 2009, a stock grant was made for eligible salaried employees which will grant shares of common stock immediately upon the satisfaction of certain terms and conditions. We estimate that we will recognize total expense of approximately $1.6 million over the next five years for this grant.</w:t>
      </w:r>
    </w:p>
    <w:p>
      <w:pPr>
        <w:spacing w:after="0" w:line="141" w:lineRule="exact"/>
        <w:rPr>
          <w:sz w:val="20"/>
          <w:szCs w:val="20"/>
          <w:color w:val="auto"/>
        </w:rPr>
      </w:pPr>
    </w:p>
    <w:p>
      <w:pPr>
        <w:jc w:val="both"/>
        <w:ind w:left="368" w:right="559"/>
        <w:spacing w:after="0" w:line="277" w:lineRule="auto"/>
        <w:rPr>
          <w:sz w:val="20"/>
          <w:szCs w:val="20"/>
          <w:color w:val="auto"/>
        </w:rPr>
      </w:pPr>
      <w:r>
        <w:rPr>
          <w:rFonts w:ascii="Arial" w:cs="Arial" w:eastAsia="Arial" w:hAnsi="Arial"/>
          <w:sz w:val="18"/>
          <w:szCs w:val="18"/>
          <w:color w:val="auto"/>
        </w:rPr>
        <w:t>On February 6, 2009, we sold real estate located in Woodburn, Oregon. The net sales price was approximately $5.2 million resulting in a gain of approximately $2.4 million.</w:t>
      </w:r>
    </w:p>
    <w:p>
      <w:pPr>
        <w:spacing w:after="0" w:line="200" w:lineRule="exact"/>
        <w:rPr>
          <w:sz w:val="20"/>
          <w:szCs w:val="20"/>
          <w:color w:val="auto"/>
        </w:rPr>
      </w:pPr>
    </w:p>
    <w:p>
      <w:pPr>
        <w:spacing w:after="0" w:line="335"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79" w:name="page80"/>
    <w:bookmarkEnd w:id="79"/>
    <w:p>
      <w:pPr>
        <w:jc w:val="center"/>
        <w:ind w:right="559"/>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202"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Our common stock trades on The Nasdaq Stock Market (“NASDAQ”) under the symbol UFPI. The following table sets forth the range of high and low sales prices as reported by NASDAQ.</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2008</w:t>
            </w: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High</w:t>
            </w:r>
          </w:p>
        </w:tc>
        <w:tc>
          <w:tcPr>
            <w:tcW w:w="54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Low</w:t>
            </w:r>
          </w:p>
        </w:tc>
        <w:tc>
          <w:tcPr>
            <w:tcW w:w="540" w:type="dxa"/>
            <w:vAlign w:val="bottom"/>
          </w:tcPr>
          <w:p>
            <w:pPr>
              <w:spacing w:after="0"/>
              <w:rPr>
                <w:sz w:val="20"/>
                <w:szCs w:val="20"/>
                <w:color w:val="auto"/>
              </w:rPr>
            </w:pPr>
          </w:p>
        </w:tc>
        <w:tc>
          <w:tcPr>
            <w:tcW w:w="23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Fiscal 2007</w:t>
            </w:r>
          </w:p>
        </w:tc>
        <w:tc>
          <w:tcPr>
            <w:tcW w:w="4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High</w:t>
            </w:r>
          </w:p>
        </w:tc>
        <w:tc>
          <w:tcPr>
            <w:tcW w:w="560" w:type="dxa"/>
            <w:vAlign w:val="bottom"/>
          </w:tcPr>
          <w:p>
            <w:pPr>
              <w:spacing w:after="0"/>
              <w:rPr>
                <w:sz w:val="20"/>
                <w:szCs w:val="20"/>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34.91</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14.61</w:t>
            </w: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37.10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27.93</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Third Quarter</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37.37</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23.35</w:t>
            </w:r>
          </w:p>
        </w:tc>
        <w:tc>
          <w:tcPr>
            <w:tcW w:w="2300" w:type="dxa"/>
            <w:vAlign w:val="bottom"/>
          </w:tcPr>
          <w:p>
            <w:pPr>
              <w:spacing w:after="0"/>
              <w:rPr>
                <w:sz w:val="20"/>
                <w:szCs w:val="20"/>
                <w:color w:val="auto"/>
              </w:rPr>
            </w:pPr>
            <w:r>
              <w:rPr>
                <w:rFonts w:ascii="Arial" w:cs="Arial" w:eastAsia="Arial" w:hAnsi="Arial"/>
                <w:sz w:val="18"/>
                <w:szCs w:val="18"/>
                <w:color w:val="auto"/>
              </w:rPr>
              <w:t>Third Quarter</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44.90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29.51</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35.80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29.20</w:t>
            </w: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52.70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41.94</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First Quarter</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37.35</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26.26</w:t>
            </w:r>
          </w:p>
        </w:tc>
        <w:tc>
          <w:tcPr>
            <w:tcW w:w="2300" w:type="dxa"/>
            <w:vAlign w:val="bottom"/>
          </w:tcPr>
          <w:p>
            <w:pPr>
              <w:spacing w:after="0"/>
              <w:rPr>
                <w:sz w:val="20"/>
                <w:szCs w:val="20"/>
                <w:color w:val="auto"/>
              </w:rPr>
            </w:pPr>
            <w:r>
              <w:rPr>
                <w:rFonts w:ascii="Arial" w:cs="Arial" w:eastAsia="Arial" w:hAnsi="Arial"/>
                <w:sz w:val="18"/>
                <w:szCs w:val="18"/>
                <w:color w:val="auto"/>
              </w:rPr>
              <w:t>First Quarter</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54.61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44.90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1,175 shareholders of record as of January 31, 2009.</w:t>
      </w:r>
    </w:p>
    <w:p>
      <w:pPr>
        <w:spacing w:after="0" w:line="185"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In 2008, we paid dividends on our common stock of $.060 per share in June and December. In 2007, we paid dividends on our common stock of $.055 per share in June and $.060 per share in December. We intend to continue with our current semi-annual dividend policy for the foreseeable future.</w:t>
      </w:r>
    </w:p>
    <w:p>
      <w:pPr>
        <w:spacing w:after="0" w:line="200" w:lineRule="exact"/>
        <w:rPr>
          <w:sz w:val="20"/>
          <w:szCs w:val="20"/>
          <w:color w:val="auto"/>
        </w:rPr>
      </w:pPr>
    </w:p>
    <w:p>
      <w:pPr>
        <w:spacing w:after="0" w:line="34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80" w:name="page81"/>
    <w:bookmarkEnd w:id="80"/>
    <w:p>
      <w:pPr>
        <w:jc w:val="center"/>
        <w:ind w:right="559"/>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The following graph depicts the cumulative total return on the our common stock compared to the cumulative total return on the indices for The Nasdaq Stock Market (all U.S. companies) and an industry peer group we selected. The graph assumes an investment of $100 on December 27, 2003,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5608320" cy="2795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832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companies included in our self-determined industry peer group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BlueLinx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Builders First Source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Materials Holding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Champion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Louisiana Pacific Corp.</w:t>
      </w:r>
    </w:p>
    <w:p>
      <w:pPr>
        <w:spacing w:after="0" w:line="184"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tcPr>
          <w:p>
            <w:pPr>
              <w:ind w:left="300"/>
              <w:spacing w:after="0"/>
              <w:rPr>
                <w:sz w:val="20"/>
                <w:szCs w:val="20"/>
                <w:color w:val="auto"/>
              </w:rPr>
            </w:pPr>
            <w:r>
              <w:rPr>
                <w:rFonts w:ascii="Arial" w:cs="Arial" w:eastAsia="Arial" w:hAnsi="Arial"/>
                <w:sz w:val="18"/>
                <w:szCs w:val="18"/>
                <w:b w:val="1"/>
                <w:bCs w:val="1"/>
                <w:color w:val="auto"/>
              </w:rPr>
              <w:t>Directors and Executive Officers</w:t>
            </w:r>
          </w:p>
        </w:tc>
      </w:tr>
      <w:tr>
        <w:trPr>
          <w:trHeight w:val="432"/>
        </w:trPr>
        <w:tc>
          <w:tcPr>
            <w:tcW w:w="3440" w:type="dxa"/>
            <w:vAlign w:val="bottom"/>
          </w:tcPr>
          <w:p>
            <w:pPr>
              <w:ind w:left="340"/>
              <w:spacing w:after="0"/>
              <w:rPr>
                <w:sz w:val="20"/>
                <w:szCs w:val="20"/>
                <w:color w:val="auto"/>
              </w:rPr>
            </w:pPr>
            <w:r>
              <w:rPr>
                <w:rFonts w:ascii="Arial" w:cs="Arial" w:eastAsia="Arial" w:hAnsi="Arial"/>
                <w:sz w:val="18"/>
                <w:szCs w:val="18"/>
                <w:b w:val="1"/>
                <w:bCs w:val="1"/>
                <w:color w:val="auto"/>
              </w:rPr>
              <w:t>BOARD OF DIRECTORS</w:t>
            </w:r>
          </w:p>
        </w:tc>
        <w:tc>
          <w:tcPr>
            <w:tcW w:w="7980" w:type="dxa"/>
            <w:vAlign w:val="bottom"/>
          </w:tcPr>
          <w:p>
            <w:pPr>
              <w:ind w:left="1560"/>
              <w:spacing w:after="0"/>
              <w:rPr>
                <w:sz w:val="20"/>
                <w:szCs w:val="20"/>
                <w:color w:val="auto"/>
              </w:rPr>
            </w:pPr>
            <w:r>
              <w:rPr>
                <w:rFonts w:ascii="Arial" w:cs="Arial" w:eastAsia="Arial" w:hAnsi="Arial"/>
                <w:sz w:val="18"/>
                <w:szCs w:val="18"/>
                <w:b w:val="1"/>
                <w:bCs w:val="1"/>
                <w:color w:val="auto"/>
              </w:rPr>
              <w:t>EXECUTIVE OFFICERS</w:t>
            </w: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Peter F. Secchia</w:t>
            </w:r>
          </w:p>
        </w:tc>
        <w:tc>
          <w:tcPr>
            <w:tcW w:w="7980" w:type="dxa"/>
            <w:vAlign w:val="bottom"/>
          </w:tcPr>
          <w:p>
            <w:pPr>
              <w:ind w:left="1560"/>
              <w:spacing w:after="0"/>
              <w:rPr>
                <w:sz w:val="20"/>
                <w:szCs w:val="20"/>
                <w:color w:val="auto"/>
              </w:rPr>
            </w:pPr>
            <w:r>
              <w:rPr>
                <w:rFonts w:ascii="Arial" w:cs="Arial" w:eastAsia="Arial" w:hAnsi="Arial"/>
                <w:sz w:val="18"/>
                <w:szCs w:val="18"/>
                <w:color w:val="auto"/>
              </w:rPr>
              <w:t>William G. Currie</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Chairman Emeritus</w:t>
            </w:r>
          </w:p>
        </w:tc>
        <w:tc>
          <w:tcPr>
            <w:tcW w:w="7980" w:type="dxa"/>
            <w:vAlign w:val="bottom"/>
          </w:tcPr>
          <w:p>
            <w:pPr>
              <w:ind w:left="1560"/>
              <w:spacing w:after="0"/>
              <w:rPr>
                <w:sz w:val="20"/>
                <w:szCs w:val="20"/>
                <w:color w:val="auto"/>
              </w:rPr>
            </w:pPr>
            <w:r>
              <w:rPr>
                <w:rFonts w:ascii="Arial" w:cs="Arial" w:eastAsia="Arial" w:hAnsi="Arial"/>
                <w:sz w:val="18"/>
                <w:szCs w:val="18"/>
                <w:color w:val="auto"/>
              </w:rPr>
              <w:t>Executive Chairman</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Universal Forest Products, Inc.</w:t>
            </w:r>
          </w:p>
        </w:tc>
        <w:tc>
          <w:tcPr>
            <w:tcW w:w="7980" w:type="dxa"/>
            <w:vAlign w:val="bottom"/>
          </w:tcPr>
          <w:p>
            <w:pPr>
              <w:spacing w:after="0"/>
              <w:rPr>
                <w:sz w:val="20"/>
                <w:szCs w:val="20"/>
                <w:color w:val="auto"/>
              </w:rPr>
            </w:pP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William G. Currie</w:t>
            </w:r>
          </w:p>
        </w:tc>
        <w:tc>
          <w:tcPr>
            <w:tcW w:w="7980" w:type="dxa"/>
            <w:vAlign w:val="bottom"/>
          </w:tcPr>
          <w:p>
            <w:pPr>
              <w:ind w:left="1560"/>
              <w:spacing w:after="0"/>
              <w:rPr>
                <w:sz w:val="20"/>
                <w:szCs w:val="20"/>
                <w:color w:val="auto"/>
              </w:rPr>
            </w:pPr>
            <w:r>
              <w:rPr>
                <w:rFonts w:ascii="Arial" w:cs="Arial" w:eastAsia="Arial" w:hAnsi="Arial"/>
                <w:sz w:val="18"/>
                <w:szCs w:val="18"/>
                <w:color w:val="auto"/>
              </w:rPr>
              <w:t>Michael B. Glenn</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Executive Chairman</w:t>
            </w:r>
          </w:p>
        </w:tc>
        <w:tc>
          <w:tcPr>
            <w:tcW w:w="7980" w:type="dxa"/>
            <w:vAlign w:val="bottom"/>
          </w:tcPr>
          <w:p>
            <w:pPr>
              <w:ind w:left="1560"/>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Universal Forest Products, Inc.</w:t>
            </w:r>
          </w:p>
        </w:tc>
        <w:tc>
          <w:tcPr>
            <w:tcW w:w="7980" w:type="dxa"/>
            <w:vAlign w:val="bottom"/>
          </w:tcPr>
          <w:p>
            <w:pPr>
              <w:spacing w:after="0"/>
              <w:rPr>
                <w:sz w:val="20"/>
                <w:szCs w:val="20"/>
                <w:color w:val="auto"/>
              </w:rPr>
            </w:pP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Michael B. Glenn</w:t>
            </w:r>
          </w:p>
        </w:tc>
        <w:tc>
          <w:tcPr>
            <w:tcW w:w="7980" w:type="dxa"/>
            <w:vAlign w:val="bottom"/>
          </w:tcPr>
          <w:p>
            <w:pPr>
              <w:ind w:left="1560"/>
              <w:spacing w:after="0"/>
              <w:rPr>
                <w:sz w:val="20"/>
                <w:szCs w:val="20"/>
                <w:color w:val="auto"/>
              </w:rPr>
            </w:pPr>
            <w:r>
              <w:rPr>
                <w:rFonts w:ascii="Arial" w:cs="Arial" w:eastAsia="Arial" w:hAnsi="Arial"/>
                <w:sz w:val="18"/>
                <w:szCs w:val="18"/>
                <w:color w:val="auto"/>
              </w:rPr>
              <w:t>Patrick M. Webster</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c>
          <w:tcPr>
            <w:tcW w:w="7980" w:type="dxa"/>
            <w:vAlign w:val="bottom"/>
          </w:tcPr>
          <w:p>
            <w:pPr>
              <w:ind w:left="1560"/>
              <w:spacing w:after="0"/>
              <w:rPr>
                <w:sz w:val="20"/>
                <w:szCs w:val="20"/>
                <w:color w:val="auto"/>
              </w:rPr>
            </w:pPr>
            <w:r>
              <w:rPr>
                <w:rFonts w:ascii="Arial" w:cs="Arial" w:eastAsia="Arial" w:hAnsi="Arial"/>
                <w:sz w:val="18"/>
                <w:szCs w:val="18"/>
                <w:color w:val="auto"/>
              </w:rPr>
              <w:t>President and Chief Operating Officer</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Universal Forest Products, Inc.</w:t>
            </w:r>
          </w:p>
        </w:tc>
        <w:tc>
          <w:tcPr>
            <w:tcW w:w="7980" w:type="dxa"/>
            <w:vAlign w:val="bottom"/>
          </w:tcPr>
          <w:p>
            <w:pPr>
              <w:spacing w:after="0"/>
              <w:rPr>
                <w:sz w:val="20"/>
                <w:szCs w:val="20"/>
                <w:color w:val="auto"/>
              </w:rPr>
            </w:pP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Dan M. Dutton</w:t>
            </w:r>
          </w:p>
        </w:tc>
        <w:tc>
          <w:tcPr>
            <w:tcW w:w="7980" w:type="dxa"/>
            <w:vAlign w:val="bottom"/>
          </w:tcPr>
          <w:p>
            <w:pPr>
              <w:ind w:left="1560"/>
              <w:spacing w:after="0"/>
              <w:rPr>
                <w:sz w:val="20"/>
                <w:szCs w:val="20"/>
                <w:color w:val="auto"/>
              </w:rPr>
            </w:pPr>
            <w:r>
              <w:rPr>
                <w:rFonts w:ascii="Arial" w:cs="Arial" w:eastAsia="Arial" w:hAnsi="Arial"/>
                <w:sz w:val="18"/>
                <w:szCs w:val="18"/>
                <w:color w:val="auto"/>
              </w:rPr>
              <w:t>Michael R. Cole</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Chairman of the Board</w:t>
            </w:r>
          </w:p>
        </w:tc>
        <w:tc>
          <w:tcPr>
            <w:tcW w:w="7980" w:type="dxa"/>
            <w:vAlign w:val="bottom"/>
          </w:tcPr>
          <w:p>
            <w:pPr>
              <w:ind w:left="156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Stimson Lumber Co.</w:t>
            </w:r>
          </w:p>
        </w:tc>
        <w:tc>
          <w:tcPr>
            <w:tcW w:w="7980" w:type="dxa"/>
            <w:vAlign w:val="bottom"/>
          </w:tcPr>
          <w:p>
            <w:pPr>
              <w:spacing w:after="0"/>
              <w:rPr>
                <w:sz w:val="20"/>
                <w:szCs w:val="20"/>
                <w:color w:val="auto"/>
              </w:rPr>
            </w:pP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John M. Engler</w:t>
            </w:r>
          </w:p>
        </w:tc>
        <w:tc>
          <w:tcPr>
            <w:tcW w:w="7980" w:type="dxa"/>
            <w:vAlign w:val="bottom"/>
          </w:tcPr>
          <w:p>
            <w:pPr>
              <w:ind w:left="1560"/>
              <w:spacing w:after="0"/>
              <w:rPr>
                <w:sz w:val="20"/>
                <w:szCs w:val="20"/>
                <w:color w:val="auto"/>
              </w:rPr>
            </w:pPr>
            <w:r>
              <w:rPr>
                <w:rFonts w:ascii="Arial" w:cs="Arial" w:eastAsia="Arial" w:hAnsi="Arial"/>
                <w:sz w:val="18"/>
                <w:szCs w:val="18"/>
                <w:color w:val="auto"/>
              </w:rPr>
              <w:t>Robert D. Coleman</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c>
          <w:tcPr>
            <w:tcW w:w="7980" w:type="dxa"/>
            <w:vAlign w:val="bottom"/>
          </w:tcPr>
          <w:p>
            <w:pPr>
              <w:ind w:left="1560"/>
              <w:spacing w:after="0"/>
              <w:rPr>
                <w:sz w:val="20"/>
                <w:szCs w:val="20"/>
                <w:color w:val="auto"/>
              </w:rPr>
            </w:pPr>
            <w:r>
              <w:rPr>
                <w:rFonts w:ascii="Arial" w:cs="Arial" w:eastAsia="Arial" w:hAnsi="Arial"/>
                <w:sz w:val="18"/>
                <w:szCs w:val="18"/>
                <w:color w:val="auto"/>
              </w:rPr>
              <w:t>Executive Vice President Manufacturing</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National Association of Manufacturers</w:t>
            </w:r>
          </w:p>
        </w:tc>
        <w:tc>
          <w:tcPr>
            <w:tcW w:w="7980" w:type="dxa"/>
            <w:vAlign w:val="bottom"/>
          </w:tcPr>
          <w:p>
            <w:pPr>
              <w:spacing w:after="0"/>
              <w:rPr>
                <w:sz w:val="20"/>
                <w:szCs w:val="20"/>
                <w:color w:val="auto"/>
              </w:rPr>
            </w:pP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John W. Garside</w:t>
            </w:r>
          </w:p>
        </w:tc>
        <w:tc>
          <w:tcPr>
            <w:tcW w:w="7980" w:type="dxa"/>
            <w:vAlign w:val="bottom"/>
          </w:tcPr>
          <w:p>
            <w:pPr>
              <w:ind w:left="1560"/>
              <w:spacing w:after="0"/>
              <w:rPr>
                <w:sz w:val="20"/>
                <w:szCs w:val="20"/>
                <w:color w:val="auto"/>
              </w:rPr>
            </w:pPr>
            <w:r>
              <w:rPr>
                <w:rFonts w:ascii="Arial" w:cs="Arial" w:eastAsia="Arial" w:hAnsi="Arial"/>
                <w:sz w:val="18"/>
                <w:szCs w:val="18"/>
                <w:color w:val="auto"/>
              </w:rPr>
              <w:t>C. Scott Greene</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President and Treasurer</w:t>
            </w:r>
          </w:p>
        </w:tc>
        <w:tc>
          <w:tcPr>
            <w:tcW w:w="7980" w:type="dxa"/>
            <w:vAlign w:val="bottom"/>
          </w:tcPr>
          <w:p>
            <w:pPr>
              <w:ind w:left="1560"/>
              <w:spacing w:after="0"/>
              <w:rPr>
                <w:sz w:val="20"/>
                <w:szCs w:val="20"/>
                <w:color w:val="auto"/>
              </w:rPr>
            </w:pPr>
            <w:r>
              <w:rPr>
                <w:rFonts w:ascii="Arial" w:cs="Arial" w:eastAsia="Arial" w:hAnsi="Arial"/>
                <w:sz w:val="18"/>
                <w:szCs w:val="18"/>
                <w:color w:val="auto"/>
              </w:rPr>
              <w:t>President</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Woodruff Coal Company</w:t>
            </w:r>
          </w:p>
        </w:tc>
        <w:tc>
          <w:tcPr>
            <w:tcW w:w="7980" w:type="dxa"/>
            <w:vAlign w:val="bottom"/>
          </w:tcPr>
          <w:p>
            <w:pPr>
              <w:ind w:left="1560"/>
              <w:spacing w:after="0"/>
              <w:rPr>
                <w:sz w:val="20"/>
                <w:szCs w:val="20"/>
                <w:color w:val="auto"/>
              </w:rPr>
            </w:pPr>
            <w:r>
              <w:rPr>
                <w:rFonts w:ascii="Arial" w:cs="Arial" w:eastAsia="Arial" w:hAnsi="Arial"/>
                <w:sz w:val="18"/>
                <w:szCs w:val="18"/>
                <w:color w:val="auto"/>
              </w:rPr>
              <w:t>Universal Forest Products Eastern Division, Inc.</w:t>
            </w: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Gary F. Goode, CPA</w:t>
            </w:r>
          </w:p>
        </w:tc>
        <w:tc>
          <w:tcPr>
            <w:tcW w:w="7980" w:type="dxa"/>
            <w:vAlign w:val="bottom"/>
          </w:tcPr>
          <w:p>
            <w:pPr>
              <w:ind w:left="1560"/>
              <w:spacing w:after="0"/>
              <w:rPr>
                <w:sz w:val="20"/>
                <w:szCs w:val="20"/>
                <w:color w:val="auto"/>
              </w:rPr>
            </w:pPr>
            <w:r>
              <w:rPr>
                <w:rFonts w:ascii="Arial" w:cs="Arial" w:eastAsia="Arial" w:hAnsi="Arial"/>
                <w:sz w:val="18"/>
                <w:szCs w:val="18"/>
                <w:color w:val="auto"/>
              </w:rPr>
              <w:t>Richard C. Frazier</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Chairman</w:t>
            </w:r>
          </w:p>
        </w:tc>
        <w:tc>
          <w:tcPr>
            <w:tcW w:w="7980" w:type="dxa"/>
            <w:vAlign w:val="bottom"/>
          </w:tcPr>
          <w:p>
            <w:pPr>
              <w:ind w:left="1560"/>
              <w:spacing w:after="0"/>
              <w:rPr>
                <w:sz w:val="20"/>
                <w:szCs w:val="20"/>
                <w:color w:val="auto"/>
              </w:rPr>
            </w:pPr>
            <w:r>
              <w:rPr>
                <w:rFonts w:ascii="Arial" w:cs="Arial" w:eastAsia="Arial" w:hAnsi="Arial"/>
                <w:sz w:val="18"/>
                <w:szCs w:val="18"/>
                <w:color w:val="auto"/>
              </w:rPr>
              <w:t>President</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Titan Sales &amp; Consulting, LLC</w:t>
            </w:r>
          </w:p>
        </w:tc>
        <w:tc>
          <w:tcPr>
            <w:tcW w:w="7980" w:type="dxa"/>
            <w:vAlign w:val="bottom"/>
          </w:tcPr>
          <w:p>
            <w:pPr>
              <w:ind w:left="1560"/>
              <w:spacing w:after="0"/>
              <w:rPr>
                <w:sz w:val="20"/>
                <w:szCs w:val="20"/>
                <w:color w:val="auto"/>
              </w:rPr>
            </w:pPr>
            <w:r>
              <w:rPr>
                <w:rFonts w:ascii="Arial" w:cs="Arial" w:eastAsia="Arial" w:hAnsi="Arial"/>
                <w:sz w:val="18"/>
                <w:szCs w:val="18"/>
                <w:color w:val="auto"/>
              </w:rPr>
              <w:t>Universal Forest Products Western Division, Inc.</w:t>
            </w: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Mark A. Murray</w:t>
            </w:r>
          </w:p>
        </w:tc>
        <w:tc>
          <w:tcPr>
            <w:tcW w:w="7980" w:type="dxa"/>
            <w:vAlign w:val="bottom"/>
          </w:tcPr>
          <w:p>
            <w:pPr>
              <w:ind w:left="1560"/>
              <w:spacing w:after="0"/>
              <w:rPr>
                <w:sz w:val="20"/>
                <w:szCs w:val="20"/>
                <w:color w:val="auto"/>
              </w:rPr>
            </w:pPr>
            <w:r>
              <w:rPr>
                <w:rFonts w:ascii="Arial" w:cs="Arial" w:eastAsia="Arial" w:hAnsi="Arial"/>
                <w:sz w:val="18"/>
                <w:szCs w:val="18"/>
                <w:color w:val="auto"/>
              </w:rPr>
              <w:t>Ronald G. Klyn</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President</w:t>
            </w:r>
          </w:p>
        </w:tc>
        <w:tc>
          <w:tcPr>
            <w:tcW w:w="7980" w:type="dxa"/>
            <w:vAlign w:val="bottom"/>
          </w:tcPr>
          <w:p>
            <w:pPr>
              <w:ind w:left="1560"/>
              <w:spacing w:after="0"/>
              <w:rPr>
                <w:sz w:val="20"/>
                <w:szCs w:val="20"/>
                <w:color w:val="auto"/>
              </w:rPr>
            </w:pPr>
            <w:r>
              <w:rPr>
                <w:rFonts w:ascii="Arial" w:cs="Arial" w:eastAsia="Arial" w:hAnsi="Arial"/>
                <w:sz w:val="18"/>
                <w:szCs w:val="18"/>
                <w:color w:val="auto"/>
              </w:rPr>
              <w:t>Chief Information Officer</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Meijer, Inc.</w:t>
            </w:r>
          </w:p>
        </w:tc>
        <w:tc>
          <w:tcPr>
            <w:tcW w:w="7980" w:type="dxa"/>
            <w:vAlign w:val="bottom"/>
          </w:tcPr>
          <w:p>
            <w:pPr>
              <w:spacing w:after="0"/>
              <w:rPr>
                <w:sz w:val="20"/>
                <w:szCs w:val="20"/>
                <w:color w:val="auto"/>
              </w:rPr>
            </w:pP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William R. Payne</w:t>
            </w:r>
          </w:p>
        </w:tc>
        <w:tc>
          <w:tcPr>
            <w:tcW w:w="7980" w:type="dxa"/>
            <w:vAlign w:val="bottom"/>
          </w:tcPr>
          <w:p>
            <w:pPr>
              <w:ind w:left="1560"/>
              <w:spacing w:after="0"/>
              <w:rPr>
                <w:sz w:val="20"/>
                <w:szCs w:val="20"/>
                <w:color w:val="auto"/>
              </w:rPr>
            </w:pPr>
            <w:r>
              <w:rPr>
                <w:rFonts w:ascii="Arial" w:cs="Arial" w:eastAsia="Arial" w:hAnsi="Arial"/>
                <w:sz w:val="18"/>
                <w:szCs w:val="18"/>
                <w:color w:val="auto"/>
              </w:rPr>
              <w:t>Matthew J. Missad</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Chief of Staff</w:t>
            </w:r>
          </w:p>
        </w:tc>
        <w:tc>
          <w:tcPr>
            <w:tcW w:w="7980" w:type="dxa"/>
            <w:vAlign w:val="bottom"/>
          </w:tcPr>
          <w:p>
            <w:pPr>
              <w:ind w:left="1560"/>
              <w:spacing w:after="0"/>
              <w:rPr>
                <w:sz w:val="20"/>
                <w:szCs w:val="20"/>
                <w:color w:val="auto"/>
              </w:rPr>
            </w:pPr>
            <w:r>
              <w:rPr>
                <w:rFonts w:ascii="Arial" w:cs="Arial" w:eastAsia="Arial" w:hAnsi="Arial"/>
                <w:sz w:val="18"/>
                <w:szCs w:val="18"/>
                <w:color w:val="auto"/>
              </w:rPr>
              <w:t>Executive Vice President and Secretary</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Alticor, Inc.</w:t>
            </w:r>
          </w:p>
        </w:tc>
        <w:tc>
          <w:tcPr>
            <w:tcW w:w="7980" w:type="dxa"/>
            <w:vAlign w:val="bottom"/>
          </w:tcPr>
          <w:p>
            <w:pPr>
              <w:spacing w:after="0"/>
              <w:rPr>
                <w:sz w:val="20"/>
                <w:szCs w:val="20"/>
                <w:color w:val="auto"/>
              </w:rPr>
            </w:pPr>
          </w:p>
        </w:tc>
      </w:tr>
      <w:tr>
        <w:trPr>
          <w:trHeight w:val="418"/>
        </w:trPr>
        <w:tc>
          <w:tcPr>
            <w:tcW w:w="3440" w:type="dxa"/>
            <w:vAlign w:val="bottom"/>
          </w:tcPr>
          <w:p>
            <w:pPr>
              <w:ind w:left="340"/>
              <w:spacing w:after="0"/>
              <w:rPr>
                <w:sz w:val="20"/>
                <w:szCs w:val="20"/>
                <w:color w:val="auto"/>
              </w:rPr>
            </w:pPr>
            <w:r>
              <w:rPr>
                <w:rFonts w:ascii="Arial" w:cs="Arial" w:eastAsia="Arial" w:hAnsi="Arial"/>
                <w:sz w:val="18"/>
                <w:szCs w:val="18"/>
                <w:color w:val="auto"/>
              </w:rPr>
              <w:t>Louis A. Smith</w:t>
            </w:r>
          </w:p>
        </w:tc>
        <w:tc>
          <w:tcPr>
            <w:tcW w:w="7980" w:type="dxa"/>
            <w:vAlign w:val="bottom"/>
          </w:tcPr>
          <w:p>
            <w:pPr>
              <w:ind w:left="1560"/>
              <w:spacing w:after="0"/>
              <w:rPr>
                <w:sz w:val="20"/>
                <w:szCs w:val="20"/>
                <w:color w:val="auto"/>
              </w:rPr>
            </w:pPr>
            <w:r>
              <w:rPr>
                <w:rFonts w:ascii="Arial" w:cs="Arial" w:eastAsia="Arial" w:hAnsi="Arial"/>
                <w:sz w:val="18"/>
                <w:szCs w:val="18"/>
                <w:color w:val="auto"/>
              </w:rPr>
              <w:t>Joseph F. Granger</w:t>
            </w:r>
          </w:p>
        </w:tc>
      </w:tr>
      <w:tr>
        <w:trPr>
          <w:trHeight w:val="216"/>
        </w:trPr>
        <w:tc>
          <w:tcPr>
            <w:tcW w:w="3440" w:type="dxa"/>
            <w:vAlign w:val="bottom"/>
          </w:tcPr>
          <w:p>
            <w:pPr>
              <w:ind w:left="340"/>
              <w:spacing w:after="0"/>
              <w:rPr>
                <w:sz w:val="20"/>
                <w:szCs w:val="20"/>
                <w:color w:val="auto"/>
              </w:rPr>
            </w:pPr>
            <w:r>
              <w:rPr>
                <w:rFonts w:ascii="Arial" w:cs="Arial" w:eastAsia="Arial" w:hAnsi="Arial"/>
                <w:sz w:val="18"/>
                <w:szCs w:val="18"/>
                <w:color w:val="auto"/>
              </w:rPr>
              <w:t>President</w:t>
            </w:r>
          </w:p>
        </w:tc>
        <w:tc>
          <w:tcPr>
            <w:tcW w:w="7980" w:type="dxa"/>
            <w:vAlign w:val="bottom"/>
          </w:tcPr>
          <w:p>
            <w:pPr>
              <w:ind w:left="1560"/>
              <w:spacing w:after="0"/>
              <w:rPr>
                <w:sz w:val="20"/>
                <w:szCs w:val="20"/>
                <w:color w:val="auto"/>
              </w:rPr>
            </w:pPr>
            <w:r>
              <w:rPr>
                <w:rFonts w:ascii="Arial" w:cs="Arial" w:eastAsia="Arial" w:hAnsi="Arial"/>
                <w:sz w:val="18"/>
                <w:szCs w:val="18"/>
                <w:color w:val="auto"/>
              </w:rPr>
              <w:t>Executive Vice President of Sales and Marketing</w:t>
            </w: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Smith and Johnson, Attorneys, P.C.</w:t>
            </w:r>
          </w:p>
        </w:tc>
        <w:tc>
          <w:tcPr>
            <w:tcW w:w="7980" w:type="dxa"/>
            <w:vAlign w:val="bottom"/>
          </w:tcPr>
          <w:p>
            <w:pPr>
              <w:spacing w:after="0"/>
              <w:rPr>
                <w:sz w:val="20"/>
                <w:szCs w:val="20"/>
                <w:color w:val="auto"/>
              </w:rPr>
            </w:pPr>
          </w:p>
        </w:tc>
      </w:tr>
      <w:tr>
        <w:trPr>
          <w:trHeight w:val="797"/>
        </w:trPr>
        <w:tc>
          <w:tcPr>
            <w:tcW w:w="3440" w:type="dxa"/>
            <w:vAlign w:val="bottom"/>
          </w:tcPr>
          <w:p>
            <w:pPr>
              <w:spacing w:after="0"/>
              <w:rPr>
                <w:sz w:val="24"/>
                <w:szCs w:val="24"/>
                <w:color w:val="auto"/>
              </w:rPr>
            </w:pPr>
          </w:p>
        </w:tc>
        <w:tc>
          <w:tcPr>
            <w:tcW w:w="7980" w:type="dxa"/>
            <w:vAlign w:val="bottom"/>
          </w:tcPr>
          <w:p>
            <w:pPr>
              <w:ind w:left="1460"/>
              <w:spacing w:after="0"/>
              <w:rPr>
                <w:sz w:val="20"/>
                <w:szCs w:val="20"/>
                <w:color w:val="auto"/>
              </w:rPr>
            </w:pPr>
            <w:r>
              <w:rPr>
                <w:rFonts w:ascii="Arial" w:cs="Arial" w:eastAsia="Arial" w:hAnsi="Arial"/>
                <w:sz w:val="18"/>
                <w:szCs w:val="18"/>
                <w:color w:val="auto"/>
              </w:rPr>
              <w:t>59</w:t>
            </w:r>
          </w:p>
        </w:tc>
      </w:tr>
      <w:tr>
        <w:trPr>
          <w:trHeight w:val="226"/>
        </w:trPr>
        <w:tc>
          <w:tcPr>
            <w:tcW w:w="34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2" w:name="page83"/>
    <w:bookmarkEnd w:id="82"/>
    <w:p>
      <w:pPr>
        <w:ind w:left="3700"/>
        <w:spacing w:after="0"/>
        <w:rPr>
          <w:sz w:val="20"/>
          <w:szCs w:val="20"/>
          <w:color w:val="auto"/>
        </w:rPr>
      </w:pPr>
      <w:r>
        <w:rPr>
          <w:rFonts w:ascii="Arial" w:cs="Arial" w:eastAsia="Arial" w:hAnsi="Arial"/>
          <w:sz w:val="18"/>
          <w:szCs w:val="18"/>
          <w:b w:val="1"/>
          <w:bCs w:val="1"/>
          <w:color w:val="auto"/>
        </w:rPr>
        <w:t>Shareholder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189"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 annual meeting of Universal Forest Products, Inc. will be held at 8:30 a.m. on April 15, 2009, at 2880 East Beltline Lane NE, Grand Rapids, MI 49525.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INFORMATION</w:t>
      </w:r>
    </w:p>
    <w:p>
      <w:pPr>
        <w:spacing w:after="0" w:line="202"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Shares of the Company’s stock are traded under the symbol UFPI on the NASDAQ Stock Market. The Company’s 10-K report, filed with the Securities and Exchange Commission, will be provided free of charge to any shareholder upon written request. For more information contact: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www.ufpi.com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COUNSEL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Varnum,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AGENT/SHAREHOLDER INQUIRIES</w:t>
      </w:r>
    </w:p>
    <w:p>
      <w:pPr>
        <w:spacing w:after="0" w:line="189" w:lineRule="exact"/>
        <w:rPr>
          <w:sz w:val="20"/>
          <w:szCs w:val="20"/>
          <w:color w:val="auto"/>
        </w:rPr>
      </w:pPr>
    </w:p>
    <w:p>
      <w:pPr>
        <w:ind w:right="559"/>
        <w:spacing w:after="0" w:line="342" w:lineRule="auto"/>
        <w:rPr>
          <w:sz w:val="20"/>
          <w:szCs w:val="20"/>
          <w:color w:val="auto"/>
        </w:rPr>
      </w:pPr>
      <w:r>
        <w:rPr>
          <w:rFonts w:ascii="Arial" w:cs="Arial" w:eastAsia="Arial" w:hAnsi="Arial"/>
          <w:sz w:val="16"/>
          <w:szCs w:val="16"/>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(718) 921-8210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w:t>
      </w:r>
      <w:r>
        <w:rPr>
          <w:rFonts w:ascii="Arial" w:cs="Arial" w:eastAsia="Arial" w:hAnsi="Arial"/>
          <w:sz w:val="15"/>
          <w:szCs w:val="15"/>
          <w:b w:val="1"/>
          <w:bCs w:val="1"/>
          <w:color w:val="auto"/>
        </w:rPr>
        <w:t>®</w:t>
      </w:r>
      <w:r>
        <w:rPr>
          <w:rFonts w:ascii="Arial" w:cs="Arial" w:eastAsia="Arial" w:hAnsi="Arial"/>
          <w:sz w:val="18"/>
          <w:szCs w:val="18"/>
          <w:b w:val="1"/>
          <w:bCs w:val="1"/>
          <w:color w:val="auto"/>
        </w:rPr>
        <w:t>, INC., CORPORATE HEADQUARTERS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(616) 364-5558</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UNIVERSAL FOREST PRODUCTS</w:t>
      </w:r>
      <w:r>
        <w:rPr>
          <w:rFonts w:ascii="Arial" w:cs="Arial" w:eastAsia="Arial" w:hAnsi="Arial"/>
          <w:sz w:val="14"/>
          <w:szCs w:val="14"/>
          <w:b w:val="1"/>
          <w:bCs w:val="1"/>
          <w:color w:val="auto"/>
        </w:rPr>
        <w:t>®</w:t>
      </w:r>
      <w:r>
        <w:rPr>
          <w:rFonts w:ascii="Arial" w:cs="Arial" w:eastAsia="Arial" w:hAnsi="Arial"/>
          <w:sz w:val="17"/>
          <w:szCs w:val="17"/>
          <w:b w:val="1"/>
          <w:bCs w:val="1"/>
          <w:color w:val="auto"/>
        </w:rPr>
        <w:t>, INC., AND ITS AFFILIATES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Locations:</w:t>
      </w:r>
    </w:p>
    <w:p>
      <w:pPr>
        <w:sectPr>
          <w:pgSz w:w="11900" w:h="16838" w:orient="portrait"/>
          <w:cols w:equalWidth="0" w:num="1">
            <w:col w:w="9879"/>
          </w:cols>
          <w:pgMar w:left="580" w:top="931" w:right="1440"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Ashburn, 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Auburn,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Auburndale,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Belchertown,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Berlin,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Blanchester, OH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Bunn,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Burleson,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Burlington,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Chaffee,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Chandler, AZ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Chesapeake,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Clinton,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Conway, 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Crestwood, 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Durango, Durango, Mexico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Eatonton, 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City,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Emlenton,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Englewood,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Evans City,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Fontana,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Georgetown,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Gordon,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Grandview,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Granger,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Guaynabo, 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Haleyville, 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Harrisonville, 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Hastings,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Hillsboro,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Hudson,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Independence,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OH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Janesville, 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Kyle, TX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Lacolle, Quebec, Canada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Lafayette,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Lansing, 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Lodi, OH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McMinnville,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Medley, 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Minneota,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Moultrie, 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Muscle Shoals, 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London,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Waverly,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Windsor,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Ooltewah, 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Parker,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Pearisburg,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Plainville,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Prairie du Chien, 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Ranson, WV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Riverbank,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Riverside,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Saginaw,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Salisbury,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Antonio,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Schertz,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Sidney,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Silsbee,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Stockertown, 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Thorndale, Ontario, Canada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Thornton,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Turlock,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City, 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Warrens, 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Bear Lake,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Pigeon, 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Windsor,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Winthrop, ME</w:t>
      </w:r>
    </w:p>
    <w:p>
      <w:pPr>
        <w:spacing w:after="0" w:line="1268" w:lineRule="exact"/>
        <w:rPr>
          <w:sz w:val="20"/>
          <w:szCs w:val="20"/>
          <w:color w:val="auto"/>
        </w:rPr>
      </w:pPr>
    </w:p>
    <w:p>
      <w:pPr>
        <w:sectPr>
          <w:pgSz w:w="11900" w:h="16838" w:orient="portrait"/>
          <w:cols w:equalWidth="0" w:num="2">
            <w:col w:w="2180" w:space="720"/>
            <w:col w:w="6979"/>
          </w:cols>
          <w:pgMar w:left="580" w:top="931" w:right="1440" w:bottom="1440" w:gutter="0" w:footer="0" w:header="0"/>
          <w:type w:val="continuous"/>
        </w:sectPr>
      </w:pPr>
    </w:p>
    <w:p>
      <w:pPr>
        <w:spacing w:after="0" w:line="37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879"/>
          </w:cols>
          <w:pgMar w:left="580" w:top="931" w:right="1440"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 21</w:t>
            </w:r>
          </w:p>
        </w:tc>
      </w:tr>
      <w:tr>
        <w:trPr>
          <w:trHeight w:val="372"/>
        </w:trPr>
        <w:tc>
          <w:tcPr>
            <w:tcW w:w="21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LIST OF REGISTRANT’S SUBSIDIARIES AND AFFILIATES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453"/>
        </w:trPr>
        <w:tc>
          <w:tcPr>
            <w:tcW w:w="218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49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10"/>
        </w:trPr>
        <w:tc>
          <w:tcPr>
            <w:tcW w:w="79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Advanced Component Systems LLC</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Aljoma Holding Company,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Aljoma Lumber, Inc.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Atlantic Building Professionals,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&amp; L Framing, LLC (100% owned) 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D&amp;R Framing Contractors, L.L.C. (50% owned) 1</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Euro-Pacific Building Materials, Inc.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Euro-Pacific International Corp</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Great Lakes Framing, LLC (90% owned)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Gulf Coast Components, LLC (50% owned) 1</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Indianapolis Real Estate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International Wood Industries, Inc.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Maine Ornamental,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Mid Atlantic Framing,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Midwest Framing,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Pinelli Universal TKT, S. de R.L. de C.V. (50% owned) 1</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Pinelli Universal, S. de R.L. de C.V. (50% owned) 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PR Distribution,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Shawnlee Construction LLC (90% owned)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Shepardville Construction, LLC (90% owned)</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 Framing,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Titan Foundations,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TKT Real Estate, S. de R.L. de C.V. (50% owned) 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Treating Services of Minnesota,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Tresstar,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U.F.P Mexico Holdings, S. de R.L. de C.V.</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UFP Building Supply,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UFP Framing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UFP Framing of Florida,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UFP Insurance Ltd.</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UFP New England Building Supply,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UFP Real Estate, Inc.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UFP Thorndale Partnership (70% owned)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UFP Transportation, Inc.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UFP Ventures II, Inc.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UFP Ventures, Inc.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Lumber &amp; Reman, LLC (50% owned) 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Universal Consumer Products, Inc.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Universal Forest Products Eastern Division, Inc.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Universal Forest Products Eastern Purchasing, Inc.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Universal Forest Products of Canada, Inc.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Universal Forest Products of Modesto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Universal Forest Products Reclamation Center, Inc.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Universal Forest Products RMS, LLC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Universal Forest Products Texas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Universal Forest Products Western Division, Inc.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Universal Forest Products Western Purchasing, LLC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Universal Forest Products, Inc.</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Universal Truss, Inc.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Western Building Professionals of California II Limited Partnership</w:t>
            </w:r>
          </w:p>
        </w:tc>
        <w:tc>
          <w:tcPr>
            <w:tcW w:w="2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Western Building Professionals of California, Inc.</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30"/>
        </w:trPr>
        <w:tc>
          <w:tcPr>
            <w:tcW w:w="7900" w:type="dxa"/>
            <w:vAlign w:val="bottom"/>
            <w:gridSpan w:val="3"/>
          </w:tcPr>
          <w:p>
            <w:pPr>
              <w:spacing w:after="0"/>
              <w:rPr>
                <w:sz w:val="20"/>
                <w:szCs w:val="20"/>
                <w:color w:val="auto"/>
              </w:rPr>
            </w:pPr>
            <w:r>
              <w:rPr>
                <w:rFonts w:ascii="Arial" w:cs="Arial" w:eastAsia="Arial" w:hAnsi="Arial"/>
                <w:sz w:val="18"/>
                <w:szCs w:val="18"/>
                <w:color w:val="auto"/>
              </w:rPr>
              <w:t>Western Building Professionals, LLC</w:t>
            </w:r>
          </w:p>
        </w:tc>
        <w:tc>
          <w:tcPr>
            <w:tcW w:w="28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20"/>
                <w:szCs w:val="20"/>
                <w:color w:val="auto"/>
              </w:rPr>
            </w:pPr>
          </w:p>
        </w:tc>
      </w:tr>
      <w:tr>
        <w:trPr>
          <w:trHeight w:val="323"/>
        </w:trPr>
        <w:tc>
          <w:tcPr>
            <w:tcW w:w="7900" w:type="dxa"/>
            <w:vAlign w:val="bottom"/>
            <w:gridSpan w:val="3"/>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Do not meet the definition of a subsidiary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879"/>
          </w:cols>
          <w:pgMar w:left="580" w:top="108" w:right="1440" w:bottom="1440" w:gutter="0" w:footer="0" w:header="0"/>
        </w:sectPr>
      </w:pPr>
    </w:p>
    <w:bookmarkStart w:id="85" w:name="page86"/>
    <w:bookmarkEnd w:id="85"/>
    <w:p>
      <w:pPr>
        <w:ind w:left="1580"/>
        <w:spacing w:after="0"/>
        <w:rPr>
          <w:sz w:val="20"/>
          <w:szCs w:val="20"/>
          <w:color w:val="auto"/>
        </w:rPr>
      </w:pPr>
      <w:r>
        <w:rPr>
          <w:rFonts w:ascii="Arial" w:cs="Arial" w:eastAsia="Arial" w:hAnsi="Arial"/>
          <w:sz w:val="18"/>
          <w:szCs w:val="18"/>
          <w:b w:val="1"/>
          <w:bCs w:val="1"/>
          <w:color w:val="auto"/>
        </w:rPr>
        <w:t>Exhibit 23—Consent of Independent Registered Public Accounting Firm</w:t>
      </w:r>
    </w:p>
    <w:p>
      <w:pPr>
        <w:spacing w:after="0" w:line="192" w:lineRule="exact"/>
        <w:rPr>
          <w:sz w:val="20"/>
          <w:szCs w:val="20"/>
          <w:color w:val="auto"/>
        </w:rPr>
      </w:pPr>
    </w:p>
    <w:p>
      <w:pPr>
        <w:ind w:right="779"/>
        <w:spacing w:after="0" w:line="238" w:lineRule="auto"/>
        <w:rPr>
          <w:sz w:val="20"/>
          <w:szCs w:val="20"/>
          <w:color w:val="auto"/>
        </w:rPr>
      </w:pPr>
      <w:r>
        <w:rPr>
          <w:rFonts w:ascii="Arial" w:cs="Arial" w:eastAsia="Arial" w:hAnsi="Arial"/>
          <w:sz w:val="18"/>
          <w:szCs w:val="18"/>
          <w:color w:val="auto"/>
        </w:rPr>
        <w:t>We consent to the incorporation by reference in this Annual Report (Form 10-K) of Universal Forest Products, Inc. and subsidiaries of our reports dated February 20, 2009, with respect to the consolidated financial statements of Universal Forest Products, Inc. and subsidiaries, and the effectiveness of internal control over financial reporting of Universal Forest Products, Inc. and subsidiaries, included in the 2008 Annual Report to Shareholders of Universal Forest Products, Inc. and subsidiaries.</w:t>
      </w:r>
    </w:p>
    <w:p>
      <w:pPr>
        <w:spacing w:after="0" w:line="176" w:lineRule="exact"/>
        <w:rPr>
          <w:sz w:val="20"/>
          <w:szCs w:val="20"/>
          <w:color w:val="auto"/>
        </w:rPr>
      </w:pPr>
    </w:p>
    <w:p>
      <w:pPr>
        <w:ind w:right="659"/>
        <w:spacing w:after="0" w:line="237" w:lineRule="auto"/>
        <w:rPr>
          <w:sz w:val="20"/>
          <w:szCs w:val="20"/>
          <w:color w:val="auto"/>
        </w:rPr>
      </w:pPr>
      <w:r>
        <w:rPr>
          <w:rFonts w:ascii="Arial" w:cs="Arial" w:eastAsia="Arial" w:hAnsi="Arial"/>
          <w:sz w:val="18"/>
          <w:szCs w:val="18"/>
          <w:color w:val="auto"/>
        </w:rPr>
        <w:t>We also consent to the incorporation by reference in the Registration Statement file numbers 33-81128, 33-81116, 33-81450, 333-60630, 333-88056, and 333-156596 on Form S-8 related to various employee option and incentive stock plans and Registration Statement file number 333-75278 on Form S-3 of our reports dated February 20, 2009, with respect to the consolidated financial statements of Universal Forest Products, Inc. and subsidiaries and the effectiveness of internal control over financial reporting of Universal Forest Products, Inc. and subsidiaries, incorporated by reference in this Annual Report (Form 10-K) for the year ended December 27,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rPr>
          <w:sz w:val="20"/>
          <w:szCs w:val="20"/>
          <w:color w:val="auto"/>
        </w:rPr>
      </w:pPr>
      <w:r>
        <w:rPr>
          <w:rFonts w:ascii="Arial" w:cs="Arial" w:eastAsia="Arial" w:hAnsi="Arial"/>
          <w:sz w:val="18"/>
          <w:szCs w:val="18"/>
          <w:color w:val="auto"/>
        </w:rPr>
        <w:t>February 24, 2009</w:t>
      </w:r>
    </w:p>
    <w:p>
      <w:pPr>
        <w:sectPr>
          <w:pgSz w:w="11900" w:h="16838" w:orient="portrait"/>
          <w:cols w:equalWidth="0" w:num="1">
            <w:col w:w="9879"/>
          </w:cols>
          <w:pgMar w:left="580" w:top="118" w:right="1440" w:bottom="1440" w:gutter="0" w:footer="0" w:header="0"/>
        </w:sectPr>
      </w:pPr>
    </w:p>
    <w:bookmarkStart w:id="86" w:name="page87"/>
    <w:bookmarkEnd w:id="86"/>
    <w:p>
      <w:pPr>
        <w:jc w:val="right"/>
        <w:ind w:right="559"/>
        <w:spacing w:after="0"/>
        <w:rPr>
          <w:sz w:val="20"/>
          <w:szCs w:val="20"/>
          <w:color w:val="auto"/>
        </w:rPr>
      </w:pPr>
      <w:r>
        <w:rPr>
          <w:rFonts w:ascii="Arial" w:cs="Arial" w:eastAsia="Arial" w:hAnsi="Arial"/>
          <w:sz w:val="18"/>
          <w:szCs w:val="18"/>
          <w:b w:val="1"/>
          <w:bCs w:val="1"/>
          <w:u w:val="single" w:color="auto"/>
          <w:color w:val="auto"/>
        </w:rPr>
        <w:t>EXHIBIT 31(a)</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85" w:lineRule="exact"/>
        <w:rPr>
          <w:sz w:val="20"/>
          <w:szCs w:val="20"/>
          <w:color w:val="auto"/>
        </w:rPr>
      </w:pPr>
    </w:p>
    <w:p>
      <w:pPr>
        <w:ind w:left="348" w:hanging="348"/>
        <w:spacing w:after="0"/>
        <w:tabs>
          <w:tab w:leader="none" w:pos="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98"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de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February 25,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Glenn</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121" w:right="1440" w:bottom="1440" w:gutter="0" w:footer="0" w:header="0"/>
        </w:sectPr>
      </w:pPr>
    </w:p>
    <w:bookmarkStart w:id="87" w:name="page88"/>
    <w:bookmarkEnd w:id="87"/>
    <w:p>
      <w:pPr>
        <w:jc w:val="right"/>
        <w:ind w:right="559"/>
        <w:spacing w:after="0"/>
        <w:rPr>
          <w:sz w:val="20"/>
          <w:szCs w:val="20"/>
          <w:color w:val="auto"/>
        </w:rPr>
      </w:pPr>
      <w:r>
        <w:rPr>
          <w:rFonts w:ascii="Arial" w:cs="Arial" w:eastAsia="Arial" w:hAnsi="Arial"/>
          <w:sz w:val="18"/>
          <w:szCs w:val="18"/>
          <w:b w:val="1"/>
          <w:bCs w:val="1"/>
          <w:u w:val="single" w:color="auto"/>
          <w:color w:val="auto"/>
        </w:rPr>
        <w:t>EXHIBIT 31(b)</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98" w:lineRule="exact"/>
        <w:rPr>
          <w:sz w:val="20"/>
          <w:szCs w:val="20"/>
          <w:color w:val="auto"/>
        </w:rPr>
      </w:pPr>
    </w:p>
    <w:p>
      <w:pPr>
        <w:ind w:left="348" w:hanging="348"/>
        <w:spacing w:after="0"/>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8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de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4"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February 25,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513" w:right="1440" w:bottom="1440" w:gutter="0" w:footer="0" w:header="0"/>
        </w:sectPr>
      </w:pPr>
    </w:p>
    <w:bookmarkStart w:id="88" w:name="page89"/>
    <w:bookmarkEnd w:id="88"/>
    <w:p>
      <w:pPr>
        <w:jc w:val="right"/>
        <w:ind w:right="559"/>
        <w:spacing w:after="0"/>
        <w:rPr>
          <w:sz w:val="20"/>
          <w:szCs w:val="20"/>
          <w:color w:val="auto"/>
        </w:rPr>
      </w:pPr>
      <w:r>
        <w:rPr>
          <w:rFonts w:ascii="Arial" w:cs="Arial" w:eastAsia="Arial" w:hAnsi="Arial"/>
          <w:sz w:val="18"/>
          <w:szCs w:val="18"/>
          <w:b w:val="1"/>
          <w:bCs w:val="1"/>
          <w:u w:val="single" w:color="auto"/>
          <w:color w:val="auto"/>
        </w:rPr>
        <w:t>EXHIBIT 32(a)</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CHIEF EXECUTIVE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43" w:lineRule="exact"/>
        <w:rPr>
          <w:sz w:val="20"/>
          <w:szCs w:val="20"/>
          <w:color w:val="auto"/>
        </w:rPr>
      </w:pPr>
    </w:p>
    <w:p>
      <w:pPr>
        <w:ind w:right="559" w:firstLine="365"/>
        <w:spacing w:after="0" w:line="277" w:lineRule="auto"/>
        <w:tabs>
          <w:tab w:leader="none" w:pos="6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on Form 10-K for the year ended December 27, 2008, which this statement accompanies, fully complies with requirements of Section 13(a) or 15(d) of the Securities Exchange Act of 1934; and</w:t>
      </w:r>
    </w:p>
    <w:p>
      <w:pPr>
        <w:spacing w:after="0" w:line="129" w:lineRule="exact"/>
        <w:rPr>
          <w:rFonts w:ascii="Arial" w:cs="Arial" w:eastAsia="Arial" w:hAnsi="Arial"/>
          <w:sz w:val="18"/>
          <w:szCs w:val="18"/>
          <w:color w:val="auto"/>
        </w:rPr>
      </w:pPr>
    </w:p>
    <w:p>
      <w:pPr>
        <w:ind w:right="559" w:firstLine="365"/>
        <w:spacing w:after="0" w:line="277" w:lineRule="auto"/>
        <w:tabs>
          <w:tab w:leader="none" w:pos="63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this report on Form 10-K for the period ended December 27, 2008 fairly presents, in all material respects, the financial condition and results of operations of Universal Forest Products,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4920" w:type="dxa"/>
            <w:vAlign w:val="bottom"/>
            <w:gridSpan w:val="2"/>
          </w:tcPr>
          <w:p>
            <w:pPr>
              <w:ind w:left="130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February 25, 2009</w:t>
            </w:r>
          </w:p>
        </w:tc>
        <w:tc>
          <w:tcPr>
            <w:tcW w:w="4920" w:type="dxa"/>
            <w:vAlign w:val="bottom"/>
            <w:gridSpan w:val="2"/>
          </w:tcPr>
          <w:p>
            <w:pPr>
              <w:ind w:left="1300"/>
              <w:spacing w:after="0"/>
              <w:rPr>
                <w:sz w:val="20"/>
                <w:szCs w:val="20"/>
                <w:color w:val="auto"/>
              </w:rPr>
            </w:pPr>
            <w:r>
              <w:rPr>
                <w:rFonts w:ascii="Arial" w:cs="Arial" w:eastAsia="Arial" w:hAnsi="Arial"/>
                <w:sz w:val="18"/>
                <w:szCs w:val="18"/>
                <w:color w:val="auto"/>
              </w:rPr>
              <w:t>By: /s/ Michael B. Glenn</w:t>
            </w:r>
          </w:p>
        </w:tc>
      </w:tr>
      <w:tr>
        <w:trPr>
          <w:trHeight w:val="195"/>
        </w:trPr>
        <w:tc>
          <w:tcPr>
            <w:tcW w:w="3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3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Executive Officer</w:t>
            </w:r>
          </w:p>
        </w:tc>
      </w:tr>
    </w:tbl>
    <w:p>
      <w:pPr>
        <w:spacing w:after="0" w:line="16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513" w:right="1440" w:bottom="1440" w:gutter="0" w:footer="0" w:header="0"/>
        </w:sectPr>
      </w:pPr>
    </w:p>
    <w:bookmarkStart w:id="89" w:name="page90"/>
    <w:bookmarkEnd w:id="89"/>
    <w:p>
      <w:pPr>
        <w:jc w:val="right"/>
        <w:ind w:right="559"/>
        <w:spacing w:after="0"/>
        <w:rPr>
          <w:sz w:val="20"/>
          <w:szCs w:val="20"/>
          <w:color w:val="auto"/>
        </w:rPr>
      </w:pPr>
      <w:r>
        <w:rPr>
          <w:rFonts w:ascii="Arial" w:cs="Arial" w:eastAsia="Arial" w:hAnsi="Arial"/>
          <w:sz w:val="18"/>
          <w:szCs w:val="18"/>
          <w:b w:val="1"/>
          <w:bCs w:val="1"/>
          <w:color w:val="auto"/>
        </w:rPr>
        <w:t>EXHIBIT 32(b)</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CHIEF FINANCIAL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on Form 10-K for the period ended December 27, 2008,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277" w:lineRule="auto"/>
        <w:tabs>
          <w:tab w:leader="none" w:pos="6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this report on Form 10-K for the period ended December 27, 2008 fairly presents, in all material respects, the financial condition and results of operations of Universal Forest Products,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4920" w:type="dxa"/>
            <w:vAlign w:val="bottom"/>
            <w:gridSpan w:val="2"/>
          </w:tcPr>
          <w:p>
            <w:pPr>
              <w:ind w:left="130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February 25, 2009</w:t>
            </w:r>
          </w:p>
        </w:tc>
        <w:tc>
          <w:tcPr>
            <w:tcW w:w="4920" w:type="dxa"/>
            <w:vAlign w:val="bottom"/>
            <w:gridSpan w:val="2"/>
          </w:tcPr>
          <w:p>
            <w:pPr>
              <w:ind w:left="1300"/>
              <w:spacing w:after="0"/>
              <w:rPr>
                <w:sz w:val="20"/>
                <w:szCs w:val="20"/>
                <w:color w:val="auto"/>
              </w:rPr>
            </w:pPr>
            <w:r>
              <w:rPr>
                <w:rFonts w:ascii="Arial" w:cs="Arial" w:eastAsia="Arial" w:hAnsi="Arial"/>
                <w:sz w:val="18"/>
                <w:szCs w:val="18"/>
                <w:color w:val="auto"/>
              </w:rPr>
              <w:t>By: /s/ Michael R. Cole</w:t>
            </w:r>
          </w:p>
        </w:tc>
      </w:tr>
      <w:tr>
        <w:trPr>
          <w:trHeight w:val="195"/>
        </w:trPr>
        <w:tc>
          <w:tcPr>
            <w:tcW w:w="3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3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Financial Officer</w:t>
            </w:r>
          </w:p>
        </w:tc>
      </w:tr>
    </w:tbl>
    <w:p>
      <w:pPr>
        <w:spacing w:after="0" w:line="16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lowerLetter"/>
      <w:start w:val="1"/>
    </w:lvl>
    <w:lvl w:ilvl="1">
      <w:lvlJc w:val="left"/>
      <w:lvlText w:val="%2."/>
      <w:numFmt w:val="decimal"/>
      <w:start w:val="2"/>
    </w:lvl>
  </w:abstractNum>
  <w:abstractNum w:abstractNumId="12">
    <w:nsid w:val="5577F8E1"/>
    <w:multiLevelType w:val="hybridMultilevel"/>
    <w:lvl w:ilvl="0">
      <w:lvlJc w:val="left"/>
      <w:lvlText w:val="(%1)"/>
      <w:numFmt w:val="lowerLetter"/>
      <w:start w:val="2"/>
    </w:lvl>
    <w:lvl w:ilvl="1">
      <w:lvlJc w:val="left"/>
      <w:lvlText w:val="%2"/>
      <w:numFmt w:val="decimal"/>
      <w:start w:val="1"/>
    </w:lvl>
  </w:abstractNum>
  <w:abstractNum w:abstractNumId="13">
    <w:nsid w:val="440BADFC"/>
    <w:multiLevelType w:val="hybridMultilevel"/>
    <w:lvl w:ilvl="0">
      <w:lvlJc w:val="left"/>
      <w:lvlText w:val="3"/>
      <w:numFmt w:val="bullet"/>
      <w:start w:val="1"/>
    </w:lvl>
    <w:lvl w:ilvl="1">
      <w:lvlJc w:val="left"/>
      <w:lvlText w:val="(%2)"/>
      <w:numFmt w:val="lowerLetter"/>
      <w:start w:val="1"/>
    </w:lvl>
  </w:abstractNum>
  <w:abstractNum w:abstractNumId="14">
    <w:nsid w:val="5072367"/>
    <w:multiLevelType w:val="hybridMultilevel"/>
    <w:lvl w:ilvl="0">
      <w:lvlJc w:val="left"/>
      <w:lvlText w:val="4"/>
      <w:numFmt w:val="bullet"/>
      <w:start w:val="1"/>
    </w:lvl>
  </w:abstractNum>
  <w:abstractNum w:abstractNumId="15">
    <w:nsid w:val="3804823E"/>
    <w:multiLevelType w:val="hybridMultilevel"/>
    <w:lvl w:ilvl="0">
      <w:lvlJc w:val="left"/>
      <w:lvlText w:val="%1"/>
      <w:numFmt w:val="decimal"/>
      <w:start w:val="13"/>
    </w:lvl>
    <w:lvl w:ilvl="1">
      <w:lvlJc w:val="left"/>
      <w:lvlText w:val="(%2)"/>
      <w:numFmt w:val="lowerLetter"/>
      <w:start w:val="1"/>
    </w:lvl>
  </w:abstractNum>
  <w:abstractNum w:abstractNumId="16">
    <w:nsid w:val="77465F01"/>
    <w:multiLevelType w:val="hybridMultilevel"/>
    <w:lvl w:ilvl="0">
      <w:lvlJc w:val="left"/>
      <w:lvlText w:val="*"/>
      <w:numFmt w:val="bullet"/>
      <w:start w:val="1"/>
    </w:lvl>
    <w:lvl w:ilvl="1">
      <w:lvlJc w:val="left"/>
      <w:lvlText w:val="%2"/>
      <w:numFmt w:val="decimal"/>
      <w:start w:val="31"/>
    </w:lvl>
    <w:lvl w:ilvl="2">
      <w:lvlJc w:val="left"/>
      <w:lvlText w:val="(%3)"/>
      <w:numFmt w:val="lowerLetter"/>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upperLetter"/>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upperLetter"/>
      <w:start w:val="2"/>
    </w:lvl>
  </w:abstractNum>
  <w:abstractNum w:abstractNumId="34">
    <w:nsid w:val="4B588F54"/>
    <w:multiLevelType w:val="hybridMultilevel"/>
    <w:lvl w:ilvl="0">
      <w:lvlJc w:val="left"/>
      <w:lvlText w:val="%1."/>
      <w:numFmt w:val="upperLetter"/>
      <w:start w:val="3"/>
    </w:lvl>
  </w:abstractNum>
  <w:abstractNum w:abstractNumId="35">
    <w:nsid w:val="542289EC"/>
    <w:multiLevelType w:val="hybridMultilevel"/>
    <w:lvl w:ilvl="0">
      <w:lvlJc w:val="left"/>
      <w:lvlText w:val="%1."/>
      <w:numFmt w:val="upperLetter"/>
      <w:start w:val="4"/>
    </w:lvl>
  </w:abstractNum>
  <w:abstractNum w:abstractNumId="36">
    <w:nsid w:val="6DE91B18"/>
    <w:multiLevelType w:val="hybridMultilevel"/>
    <w:lvl w:ilvl="0">
      <w:lvlJc w:val="left"/>
      <w:lvlText w:val="%1."/>
      <w:numFmt w:val="upperLetter"/>
      <w:start w:val="5"/>
    </w:lvl>
  </w:abstractNum>
  <w:abstractNum w:abstractNumId="37">
    <w:nsid w:val="38437FDB"/>
    <w:multiLevelType w:val="hybridMultilevel"/>
    <w:lvl w:ilvl="0">
      <w:lvlJc w:val="left"/>
      <w:lvlText w:val="%1."/>
      <w:numFmt w:val="upperLetter"/>
      <w:start w:val="6"/>
    </w:lvl>
  </w:abstractNum>
  <w:abstractNum w:abstractNumId="38">
    <w:nsid w:val="7644A45C"/>
    <w:multiLevelType w:val="hybridMultilevel"/>
    <w:lvl w:ilvl="0">
      <w:lvlJc w:val="left"/>
      <w:lvlText w:val="%1."/>
      <w:numFmt w:val="upperLetter"/>
      <w:start w:val="7"/>
    </w:lvl>
  </w:abstractNum>
  <w:abstractNum w:abstractNumId="39">
    <w:nsid w:val="32FFF902"/>
    <w:multiLevelType w:val="hybridMultilevel"/>
    <w:lvl w:ilvl="0">
      <w:lvlJc w:val="left"/>
      <w:lvlText w:val="%1."/>
      <w:numFmt w:val="upperLetter"/>
      <w:start w:val="8"/>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upperLetter"/>
      <w:start w:val="9"/>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upperLetter"/>
      <w:start w:val="10"/>
    </w:lvl>
  </w:abstractNum>
  <w:abstractNum w:abstractNumId="45">
    <w:nsid w:val="79A1DEAA"/>
    <w:multiLevelType w:val="hybridMultilevel"/>
    <w:lvl w:ilvl="0">
      <w:lvlJc w:val="left"/>
      <w:lvlText w:val="%1."/>
      <w:numFmt w:val="upperLetter"/>
      <w:start w:val="11"/>
    </w:lvl>
  </w:abstractNum>
  <w:abstractNum w:abstractNumId="46">
    <w:nsid w:val="75C6C33A"/>
    <w:multiLevelType w:val="hybridMultilevel"/>
    <w:lvl w:ilvl="0">
      <w:lvlJc w:val="left"/>
      <w:lvlText w:val="%1."/>
      <w:numFmt w:val="upperLetter"/>
      <w:start w:val="12"/>
    </w:lvl>
  </w:abstractNum>
  <w:abstractNum w:abstractNumId="47">
    <w:nsid w:val="12E685FB"/>
    <w:multiLevelType w:val="hybridMultilevel"/>
    <w:lvl w:ilvl="0">
      <w:lvlJc w:val="left"/>
      <w:lvlText w:val="%1."/>
      <w:numFmt w:val="upperLetter"/>
      <w:start w:val="13"/>
    </w:lvl>
  </w:abstractNum>
  <w:abstractNum w:abstractNumId="48">
    <w:nsid w:val="70C6A529"/>
    <w:multiLevelType w:val="hybridMultilevel"/>
    <w:lvl w:ilvl="0">
      <w:lvlJc w:val="left"/>
      <w:lvlText w:val="%1."/>
      <w:numFmt w:val="upperLetter"/>
      <w:start w:val="14"/>
    </w:lvl>
  </w:abstractNum>
  <w:abstractNum w:abstractNumId="49">
    <w:nsid w:val="520EEDD1"/>
    <w:multiLevelType w:val="hybridMultilevel"/>
    <w:lvl w:ilvl="0">
      <w:lvlJc w:val="left"/>
      <w:lvlText w:val="%1."/>
      <w:numFmt w:val="upperLetter"/>
      <w:start w:val="15"/>
    </w:lvl>
  </w:abstractNum>
  <w:abstractNum w:abstractNumId="50">
    <w:nsid w:val="374A3FE6"/>
    <w:multiLevelType w:val="hybridMultilevel"/>
    <w:lvl w:ilvl="0">
      <w:lvlJc w:val="left"/>
      <w:lvlText w:val="%1."/>
      <w:numFmt w:val="upperLetter"/>
      <w:start w:val="16"/>
    </w:lvl>
  </w:abstractNum>
  <w:abstractNum w:abstractNumId="51">
    <w:nsid w:val="4F4EF005"/>
    <w:multiLevelType w:val="hybridMultilevel"/>
    <w:lvl w:ilvl="0">
      <w:lvlJc w:val="left"/>
      <w:lvlText w:val="%1."/>
      <w:numFmt w:val="upperLetter"/>
      <w:start w:val="17"/>
    </w:lvl>
  </w:abstractNum>
  <w:abstractNum w:abstractNumId="52">
    <w:nsid w:val="23F9C13C"/>
    <w:multiLevelType w:val="hybridMultilevel"/>
    <w:lvl w:ilvl="0">
      <w:lvlJc w:val="left"/>
      <w:lvlText w:val="%1."/>
      <w:numFmt w:val="upperLetter"/>
      <w:start w:val="18"/>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2019-12-10T12:20:23Z</dcterms:created>
  <dcterms:modified xsi:type="dcterms:W3CDTF">2019-12-10T12:20:23Z</dcterms:modified>
</cp:coreProperties>
</file>