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380" w:right="1440" w:hanging="3369"/>
        <w:spacing w:after="0" w:line="501" w:lineRule="auto"/>
        <w:tabs>
          <w:tab w:leader="none" w:pos="31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2017</w:t>
      </w:r>
    </w:p>
    <w:p>
      <w:pPr>
        <w:jc w:val="center"/>
        <w:ind w:right="-19"/>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7"/>
              </w:rPr>
              <w:t>Michigan</w:t>
            </w:r>
          </w:p>
        </w:tc>
        <w:tc>
          <w:tcPr>
            <w:tcW w:w="4060" w:type="dxa"/>
            <w:vAlign w:val="bottom"/>
          </w:tcPr>
          <w:p>
            <w:pPr>
              <w:jc w:val="center"/>
              <w:ind w:right="5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0"/>
              </w:rPr>
              <w:t>organization)</w:t>
            </w:r>
          </w:p>
        </w:tc>
        <w:tc>
          <w:tcPr>
            <w:tcW w:w="4060" w:type="dxa"/>
            <w:vAlign w:val="bottom"/>
          </w:tcPr>
          <w:p>
            <w:pPr>
              <w:spacing w:after="0"/>
              <w:rPr>
                <w:sz w:val="20"/>
                <w:szCs w:val="20"/>
                <w:color w:val="auto"/>
              </w:rPr>
            </w:pPr>
          </w:p>
        </w:tc>
      </w:tr>
      <w:tr>
        <w:trPr>
          <w:trHeight w:val="439"/>
        </w:trPr>
        <w:tc>
          <w:tcPr>
            <w:tcW w:w="532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2801 East Beltline NE, Grand Rapids, Michigan</w:t>
            </w:r>
          </w:p>
        </w:tc>
        <w:tc>
          <w:tcPr>
            <w:tcW w:w="406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60" w:type="dxa"/>
            <w:vAlign w:val="bottom"/>
          </w:tcPr>
          <w:p>
            <w:pPr>
              <w:spacing w:after="0"/>
              <w:rPr>
                <w:sz w:val="24"/>
                <w:szCs w:val="24"/>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138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1960" w:space="720"/>
            <w:col w:w="1440" w:space="320"/>
            <w:col w:w="1820" w:space="520"/>
            <w:col w:w="364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5220" w:type="dxa"/>
            <w:vAlign w:val="bottom"/>
            <w:gridSpan w:val="2"/>
          </w:tcPr>
          <w:p>
            <w:pPr>
              <w:jc w:val="center"/>
              <w:ind w:right="1080"/>
              <w:spacing w:after="0"/>
              <w:rPr>
                <w:sz w:val="20"/>
                <w:szCs w:val="20"/>
                <w:color w:val="auto"/>
              </w:rPr>
            </w:pPr>
            <w:r>
              <w:rPr>
                <w:rFonts w:ascii="Arial" w:cs="Arial" w:eastAsia="Arial" w:hAnsi="Arial"/>
                <w:sz w:val="18"/>
                <w:szCs w:val="18"/>
                <w:color w:val="auto"/>
                <w:w w:val="84"/>
              </w:rPr>
              <w:t>Class</w:t>
            </w:r>
          </w:p>
        </w:tc>
        <w:tc>
          <w:tcPr>
            <w:tcW w:w="4160" w:type="dxa"/>
            <w:vAlign w:val="bottom"/>
          </w:tcPr>
          <w:p>
            <w:pPr>
              <w:jc w:val="center"/>
              <w:spacing w:after="0"/>
              <w:rPr>
                <w:sz w:val="20"/>
                <w:szCs w:val="20"/>
                <w:color w:val="auto"/>
              </w:rPr>
            </w:pPr>
            <w:r>
              <w:rPr>
                <w:rFonts w:ascii="Arial" w:cs="Arial" w:eastAsia="Arial" w:hAnsi="Arial"/>
                <w:sz w:val="18"/>
                <w:szCs w:val="18"/>
                <w:color w:val="auto"/>
                <w:w w:val="89"/>
              </w:rPr>
              <w:t>Outstanding as of September 30, 2017</w:t>
            </w:r>
          </w:p>
        </w:tc>
        <w:tc>
          <w:tcPr>
            <w:tcW w:w="520" w:type="dxa"/>
            <w:vAlign w:val="bottom"/>
          </w:tcPr>
          <w:p>
            <w:pPr>
              <w:spacing w:after="0"/>
              <w:rPr>
                <w:sz w:val="20"/>
                <w:szCs w:val="20"/>
                <w:color w:val="auto"/>
              </w:rPr>
            </w:pPr>
          </w:p>
        </w:tc>
      </w:tr>
      <w:tr>
        <w:trPr>
          <w:trHeight w:val="230"/>
        </w:trPr>
        <w:tc>
          <w:tcPr>
            <w:tcW w:w="5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$1 par value</w:t>
            </w:r>
          </w:p>
        </w:tc>
        <w:tc>
          <w:tcPr>
            <w:tcW w:w="1040" w:type="dxa"/>
            <w:vAlign w:val="bottom"/>
          </w:tcPr>
          <w:p>
            <w:pPr>
              <w:spacing w:after="0"/>
              <w:rPr>
                <w:sz w:val="20"/>
                <w:szCs w:val="20"/>
                <w:color w:val="auto"/>
              </w:rPr>
            </w:pPr>
          </w:p>
        </w:tc>
        <w:tc>
          <w:tcPr>
            <w:tcW w:w="416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20,391,399</w:t>
            </w:r>
          </w:p>
        </w:tc>
        <w:tc>
          <w:tcPr>
            <w:tcW w:w="520" w:type="dxa"/>
            <w:vAlign w:val="bottom"/>
          </w:tcPr>
          <w:p>
            <w:pPr>
              <w:spacing w:after="0"/>
              <w:rPr>
                <w:sz w:val="20"/>
                <w:szCs w:val="20"/>
                <w:color w:val="auto"/>
              </w:rPr>
            </w:pPr>
          </w:p>
        </w:tc>
      </w:tr>
      <w:tr>
        <w:trPr>
          <w:trHeight w:val="107"/>
        </w:trPr>
        <w:tc>
          <w:tcPr>
            <w:tcW w:w="5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r>
      <w:tr>
        <w:trPr>
          <w:trHeight w:val="588"/>
        </w:trPr>
        <w:tc>
          <w:tcPr>
            <w:tcW w:w="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80" w:type="dxa"/>
            <w:vAlign w:val="bottom"/>
            <w:gridSpan w:val="13"/>
          </w:tcPr>
          <w:p>
            <w:pPr>
              <w:jc w:val="center"/>
              <w:ind w:right="144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Condensed Balance Sheets at September 30, 2017, December 31, 2016 and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24,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Months Ended and Nine Months Ended September 30, 2017 and September 24,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Condensed Statements of Shareholders’ Equity for the Nine Months Ended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2017 and September 24,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Cash Flows for the Nine Months Ended September</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2017 and September 24,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6"/>
                <w:szCs w:val="16"/>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419,183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282,253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343,771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203,930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198,954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180,740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208,556</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198,273</w:t>
            </w: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189,188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412,486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397,227</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4"/>
                <w:szCs w:val="14"/>
                <w:color w:val="auto"/>
              </w:rPr>
              <w:t>369,928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22,438</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20,662</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21,636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888,600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756,438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790,787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198,535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754,175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699,462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717,287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(429,066)</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(401,611)</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(432,796)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325,109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297,851</w:t>
            </w: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284,491</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1,486,926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1,292,058</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1,310,637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26,617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171,774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124,660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137,979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88,185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92,441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2,197</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2,634</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271,777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310,156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145,884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109,059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110,362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22,806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29,204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29,939</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28,963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536,846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431,592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463,547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8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20,391,399, 20,342,069 and 20,330,939</w:t>
            </w: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20,342</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200,778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185,333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183,962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715,497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649,135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tcBorders>
              <w:top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935,795</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849,180</w:t>
            </w: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836,975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14,285</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11,286</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950,080</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860,466</w:t>
            </w: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847,090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80" w:type="dxa"/>
            <w:vAlign w:val="bottom"/>
          </w:tcPr>
          <w:p>
            <w:pPr>
              <w:spacing w:after="0" w:line="136"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36"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1,486,926</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1,292,058</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91"/>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1,310,637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vMerge w:val="restart"/>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ind w:left="40"/>
              <w:spacing w:after="0" w:line="126" w:lineRule="exact"/>
              <w:rPr>
                <w:sz w:val="20"/>
                <w:szCs w:val="20"/>
                <w:color w:val="auto"/>
              </w:rPr>
            </w:pPr>
            <w:r>
              <w:rPr>
                <w:rFonts w:ascii="Arial" w:cs="Arial" w:eastAsia="Arial" w:hAnsi="Arial"/>
                <w:sz w:val="14"/>
                <w:szCs w:val="14"/>
                <w:b w:val="1"/>
                <w:bCs w:val="1"/>
                <w:color w:val="auto"/>
              </w:rPr>
              <w:t>September 30,</w:t>
            </w:r>
          </w:p>
        </w:tc>
        <w:tc>
          <w:tcPr>
            <w:tcW w:w="9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3"/>
              </w:rPr>
              <w:t>September 24,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1,056,586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826,665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2,975,091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2,380,909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911,899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708,611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2,561,424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2,028,629</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413,667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92,416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74,502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273,676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223,153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EARNINGS OF INVESTEE</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50,919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42,625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135,732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126,525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34,669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28,764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90,877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83,257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tcPr>
          <w:p>
            <w:pPr>
              <w:spacing w:after="0" w:line="176" w:lineRule="exact"/>
              <w:rPr>
                <w:sz w:val="20"/>
                <w:szCs w:val="20"/>
                <w:color w:val="auto"/>
              </w:rPr>
            </w:pPr>
            <w:r>
              <w:rPr>
                <w:rFonts w:ascii="Arial" w:cs="Arial" w:eastAsia="Arial" w:hAnsi="Arial"/>
                <w:sz w:val="18"/>
                <w:szCs w:val="18"/>
                <w:color w:val="auto"/>
              </w:rPr>
              <w:t>NET EARNINGS ATTRIBUTABLE TO CONTROLLING</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33,693</w:t>
            </w:r>
          </w:p>
        </w:tc>
        <w:tc>
          <w:tcPr>
            <w:tcW w:w="34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88,397</w:t>
            </w:r>
          </w:p>
        </w:tc>
        <w:tc>
          <w:tcPr>
            <w:tcW w:w="22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80,429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83,257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GAIN (LOSS)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3" w:lineRule="exact"/>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36,388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27,608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97,018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81,736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LESS COMPREHENSIVE INCOME ATTRIBUTABLE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tcPr>
          <w:p>
            <w:pPr>
              <w:spacing w:after="0" w:line="176" w:lineRule="exact"/>
              <w:rPr>
                <w:sz w:val="20"/>
                <w:szCs w:val="20"/>
                <w:color w:val="auto"/>
              </w:rPr>
            </w:pPr>
            <w:r>
              <w:rPr>
                <w:rFonts w:ascii="Arial" w:cs="Arial" w:eastAsia="Arial" w:hAnsi="Arial"/>
                <w:sz w:val="18"/>
                <w:szCs w:val="18"/>
                <w:color w:val="auto"/>
              </w:rPr>
              <w:t>COMPREHENSIVE INCOME ATTRIBUTABLE TO</w:t>
            </w:r>
          </w:p>
        </w:tc>
        <w:tc>
          <w:tcPr>
            <w:tcW w:w="10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35,413</w:t>
            </w:r>
          </w:p>
        </w:tc>
        <w:tc>
          <w:tcPr>
            <w:tcW w:w="180" w:type="dxa"/>
            <w:vAlign w:val="bottom"/>
            <w:vMerge w:val="restart"/>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27,113</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93,156</w:t>
            </w:r>
          </w:p>
        </w:tc>
        <w:tc>
          <w:tcPr>
            <w:tcW w:w="22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80,160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80" w:type="dxa"/>
            <w:vAlign w:val="bottom"/>
            <w:gridSpan w:val="2"/>
          </w:tcPr>
          <w:p>
            <w:pPr>
              <w:spacing w:after="0"/>
              <w:rPr>
                <w:sz w:val="20"/>
                <w:szCs w:val="20"/>
                <w:color w:val="auto"/>
              </w:rPr>
            </w:pPr>
            <w:r>
              <w:rPr>
                <w:rFonts w:ascii="Arial" w:cs="Arial" w:eastAsia="Arial" w:hAnsi="Arial"/>
                <w:sz w:val="18"/>
                <w:szCs w:val="18"/>
                <w:color w:val="auto"/>
              </w:rPr>
              <w:t>CONTROLLING INTEREST</w:t>
            </w:r>
          </w:p>
        </w:tc>
        <w:tc>
          <w:tcPr>
            <w:tcW w:w="1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w w:val="89"/>
              </w:rPr>
              <w:t>Controlling Interest Shareholders’ Equity</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08"/>
        </w:trPr>
        <w:tc>
          <w:tcPr>
            <w:tcW w:w="3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22"/>
        </w:trPr>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58"/>
              <w:spacing w:after="0" w:line="122"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w w:val="96"/>
              </w:rPr>
              <w:t>Common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38"/>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9"/>
              <w:spacing w:after="0" w:line="122" w:lineRule="exact"/>
              <w:rPr>
                <w:sz w:val="20"/>
                <w:szCs w:val="20"/>
                <w:color w:val="auto"/>
              </w:rPr>
            </w:pPr>
            <w:r>
              <w:rPr>
                <w:rFonts w:ascii="Arial" w:cs="Arial" w:eastAsia="Arial" w:hAnsi="Arial"/>
                <w:sz w:val="11"/>
                <w:szCs w:val="11"/>
                <w:b w:val="1"/>
                <w:bCs w:val="1"/>
                <w:color w:val="auto"/>
                <w:w w:val="94"/>
              </w:rPr>
              <w:t>Retained</w:t>
            </w:r>
          </w:p>
        </w:tc>
        <w:tc>
          <w:tcPr>
            <w:tcW w:w="14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4"/>
              </w:rPr>
              <w:t>Comprehensive</w:t>
            </w:r>
          </w:p>
        </w:tc>
        <w:tc>
          <w:tcPr>
            <w:tcW w:w="60" w:type="dxa"/>
            <w:vAlign w:val="bottom"/>
          </w:tcPr>
          <w:p>
            <w:pPr>
              <w:spacing w:after="0"/>
              <w:rPr>
                <w:sz w:val="10"/>
                <w:szCs w:val="10"/>
                <w:color w:val="auto"/>
              </w:rPr>
            </w:pPr>
          </w:p>
        </w:tc>
        <w:tc>
          <w:tcPr>
            <w:tcW w:w="7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2"/>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8"/>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9"/>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18"/>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97"/>
              <w:spacing w:after="0"/>
              <w:rPr>
                <w:sz w:val="20"/>
                <w:szCs w:val="20"/>
                <w:color w:val="auto"/>
              </w:rPr>
            </w:pPr>
            <w:r>
              <w:rPr>
                <w:rFonts w:ascii="Arial" w:cs="Arial" w:eastAsia="Arial" w:hAnsi="Arial"/>
                <w:sz w:val="11"/>
                <w:szCs w:val="11"/>
                <w:b w:val="1"/>
                <w:bCs w:val="1"/>
                <w:color w:val="auto"/>
              </w:rPr>
              <w:t>Total</w:t>
            </w:r>
          </w:p>
        </w:tc>
      </w:tr>
      <w:tr>
        <w:trPr>
          <w:trHeight w:val="135"/>
        </w:trPr>
        <w:tc>
          <w:tcPr>
            <w:tcW w:w="35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26, 2015</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20,142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171,562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565,636</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(4,585)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13,654</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766,409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80,429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2,828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83,257</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(1,872)</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351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351</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(3,160)</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Purchases of noncontrolling interest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(1,955)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$0.420 per share</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(8,529)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Issuance of 5,195 shares under employee stock plans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395</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133,293 shares under stock grant programs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5,143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5,276</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w w:val="97"/>
              </w:rPr>
              <w:t>Issuance of 50,742 shares under deferred compensation plans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Expense associated with share-based compensation arrangements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1,568</w:t>
            </w:r>
          </w:p>
        </w:tc>
      </w:tr>
      <w:tr>
        <w:trPr>
          <w:trHeight w:val="142"/>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4,495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4,495</w:t>
            </w:r>
          </w:p>
        </w:tc>
      </w:tr>
      <w:tr>
        <w:trPr>
          <w:trHeight w:val="155"/>
        </w:trPr>
        <w:tc>
          <w:tcPr>
            <w:tcW w:w="35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September 24, 2016</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20,331</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183,962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637,536</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(4,854)</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10,115</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847,090</w:t>
            </w:r>
          </w:p>
        </w:tc>
      </w:tr>
      <w:tr>
        <w:trPr>
          <w:trHeight w:val="122"/>
        </w:trPr>
        <w:tc>
          <w:tcPr>
            <w:tcW w:w="354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31, 2016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20,342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185,333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649,135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(5,630)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11,286</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860,466</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88,397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2,480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90,877</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1,382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5,707</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(3,272)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(3,272)</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Cash dividends - $0.450 per share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(9,208)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(9,208)</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5,975 shares under employee stock plans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476</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Issuance of 142,775 shares under stock grant programs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7,037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7,180</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Issuance of 49,160 shares under deferred compensation plans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Repurchase of 148,580 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(149)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(12,827)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(12,976)</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Expense associated with share-based compensation arrangements</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1,978</w:t>
            </w:r>
          </w:p>
        </w:tc>
      </w:tr>
      <w:tr>
        <w:trPr>
          <w:trHeight w:val="142"/>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6,009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6,009</w:t>
            </w:r>
          </w:p>
        </w:tc>
      </w:tr>
      <w:tr>
        <w:trPr>
          <w:trHeight w:val="142"/>
        </w:trPr>
        <w:tc>
          <w:tcPr>
            <w:tcW w:w="35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September 30, 2017</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20,391</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200,778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715,497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(871)</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14,285</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950,080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3"/>
              </w:rPr>
              <w:t>September 24,</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2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90,877</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83,257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29,014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compensation arrangements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1,978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Expense associated with stock grant plans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 (credits)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investee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Net (gain) loss on disposition and impairment of assets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(121,688)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(69,357)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21,683</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53,424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35,026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34,221</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33,413</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100"/>
              <w:spacing w:after="0" w:line="136" w:lineRule="exact"/>
              <w:rPr>
                <w:sz w:val="20"/>
                <w:szCs w:val="20"/>
                <w:color w:val="auto"/>
              </w:rPr>
            </w:pPr>
            <w:r>
              <w:rPr>
                <w:rFonts w:ascii="Arial" w:cs="Arial" w:eastAsia="Arial" w:hAnsi="Arial"/>
                <w:sz w:val="14"/>
                <w:szCs w:val="14"/>
                <w:color w:val="auto"/>
              </w:rPr>
              <w:t>NET CASH FROM OPERATING ACTIVITIES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97,350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136,377</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(57,189)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(59,859)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debt of acquiree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Purchase of remaining noncontrolling interest, net of cash received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contributed from noncontrolling interest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Advances of notes receivable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Collections on notes receivable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(12,155)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top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USED IN INVESTING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(121,375)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(200,139)</w:t>
            </w: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52,479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(573,829)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(12,976)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100"/>
              <w:spacing w:after="0" w:line="136" w:lineRule="exact"/>
              <w:rPr>
                <w:sz w:val="20"/>
                <w:szCs w:val="20"/>
                <w:color w:val="auto"/>
              </w:rPr>
            </w:pPr>
            <w:r>
              <w:rPr>
                <w:rFonts w:ascii="Arial" w:cs="Arial" w:eastAsia="Arial" w:hAnsi="Arial"/>
                <w:sz w:val="14"/>
                <w:szCs w:val="14"/>
                <w:color w:val="auto"/>
              </w:rPr>
              <w:t>NET CASH FROM (USED IN) FINANCING ACTIVITIES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11,230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13,981</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spacing w:after="0" w:line="136" w:lineRule="exact"/>
              <w:rPr>
                <w:sz w:val="20"/>
                <w:szCs w:val="20"/>
                <w:color w:val="auto"/>
              </w:rPr>
            </w:pPr>
            <w:r>
              <w:rPr>
                <w:rFonts w:ascii="Arial" w:cs="Arial" w:eastAsia="Arial" w:hAnsi="Arial"/>
                <w:sz w:val="14"/>
                <w:szCs w:val="14"/>
                <w:color w:val="auto"/>
              </w:rPr>
              <w:t>NET CHANGE IN CASH AND CASH EQUIVALENTS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(11,540)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Arial" w:cs="Arial" w:eastAsia="Arial" w:hAnsi="Arial"/>
                <w:sz w:val="14"/>
                <w:szCs w:val="14"/>
                <w:color w:val="auto"/>
              </w:rPr>
              <w:t>(50,750)</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88,342</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CCEEFF"/>
            </w:tcBorders>
            <w:gridSpan w:val="2"/>
          </w:tcPr>
          <w:p>
            <w:pPr>
              <w:spacing w:after="0" w:line="136"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22,949</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37,592</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1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2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87,756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586</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88,342</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72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22,044</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36,683</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909</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22,949</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37,592</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72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3,910</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2,587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34,108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43,384</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3,657</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80"/>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2016.</w:t>
      </w:r>
    </w:p>
    <w:p>
      <w:pPr>
        <w:spacing w:after="0" w:line="205" w:lineRule="exact"/>
        <w:rPr>
          <w:rFonts w:ascii="Arial" w:cs="Arial" w:eastAsia="Arial" w:hAnsi="Arial"/>
          <w:sz w:val="18"/>
          <w:szCs w:val="18"/>
          <w:b w:val="1"/>
          <w:bCs w:val="1"/>
          <w:color w:val="auto"/>
        </w:rPr>
      </w:pPr>
    </w:p>
    <w:p>
      <w:pPr>
        <w:ind w:left="48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24, 2016 balances in the accompanying unaudited consolidated condensed balance sheets.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480" w:hanging="477"/>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24, 2016</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26"/>
        </w:trPr>
        <w:tc>
          <w:tcPr>
            <w:tcW w:w="2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3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9"/>
        </w:trPr>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216"/>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Fixed income funds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4,384</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Mutual funds: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Domestic stock funds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International stock funds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Target funds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2300" w:type="dxa"/>
            <w:vAlign w:val="bottom"/>
          </w:tcPr>
          <w:p>
            <w:pPr>
              <w:ind w:left="120"/>
              <w:spacing w:after="0"/>
              <w:rPr>
                <w:sz w:val="20"/>
                <w:szCs w:val="20"/>
                <w:color w:val="auto"/>
              </w:rPr>
            </w:pPr>
            <w:r>
              <w:rPr>
                <w:rFonts w:ascii="Arial" w:cs="Arial" w:eastAsia="Arial" w:hAnsi="Arial"/>
                <w:sz w:val="18"/>
                <w:szCs w:val="18"/>
                <w:color w:val="auto"/>
              </w:rPr>
              <w:t>Bond funds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6"/>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03"/>
        </w:trPr>
        <w:tc>
          <w:tcPr>
            <w:tcW w:w="230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12,447</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7,318</w:t>
            </w:r>
          </w:p>
        </w:tc>
        <w:tc>
          <w:tcPr>
            <w:tcW w:w="2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19,765</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8,972</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2,467</w:t>
            </w:r>
          </w:p>
        </w:tc>
        <w:tc>
          <w:tcPr>
            <w:tcW w:w="18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11,439</w:t>
            </w: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at fair value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r>
      <w:tr>
        <w:trPr>
          <w:trHeight w:val="27"/>
        </w:trPr>
        <w:tc>
          <w:tcPr>
            <w:tcW w:w="2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480" w:right="140"/>
        <w:spacing w:after="0" w:line="342" w:lineRule="auto"/>
        <w:rPr>
          <w:sz w:val="20"/>
          <w:szCs w:val="20"/>
          <w:color w:val="auto"/>
        </w:rPr>
      </w:pPr>
      <w:r>
        <w:rPr>
          <w:rFonts w:ascii="Arial" w:cs="Arial" w:eastAsia="Arial" w:hAnsi="Arial"/>
          <w:sz w:val="16"/>
          <w:szCs w:val="16"/>
          <w:color w:val="auto"/>
        </w:rPr>
        <w:t>We maintain money market, mutual funds, bonds, and/or stocks in our non-qualified deferred compensation plan and our wholly owned licensed captive insurance company. These funds are valued at prices quoted in an active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left="480" w:right="40"/>
        <w:spacing w:after="0" w:line="264" w:lineRule="auto"/>
        <w:rPr>
          <w:sz w:val="20"/>
          <w:szCs w:val="20"/>
          <w:color w:val="auto"/>
        </w:rPr>
      </w:pPr>
      <w:r>
        <w:rPr>
          <w:rFonts w:ascii="Arial" w:cs="Arial" w:eastAsia="Arial" w:hAnsi="Arial"/>
          <w:sz w:val="18"/>
          <w:szCs w:val="18"/>
          <w:color w:val="auto"/>
        </w:rPr>
        <w:t xml:space="preserve">exchange market and are included in “Cash and Cash Equivalents”, “Investments”, “Restricted Cash”, and “Restricted Investments”.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1F497D"/>
        </w:rPr>
        <w:t>We did not maintain any Level 3 assets or liabilities at September 30, 2017 or September 24, 2016.</w:t>
      </w:r>
    </w:p>
    <w:p>
      <w:pPr>
        <w:spacing w:after="0" w:line="225"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In November 2016, the Financial Accounting Standards Board (FASB) issued Accounting Standard Update (ASU) No. 2016-18, “Statement of Cash Flows (Topic 230)” (ASU 2016-18). Under ASU 2016-18, an entity will be required to explain changes in the statement of cash flows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should be applied using retrospective transition method to each period presented. Companies are required to adopt the new standard for fiscal years beginning after December 15, 2017. Early adoption of ASU 2016-18 is permitted, including adoption in an interim period. The Company has early adopted this standard during the first quarter of 2017.</w:t>
      </w:r>
    </w:p>
    <w:p>
      <w:pPr>
        <w:spacing w:after="0" w:line="178" w:lineRule="exact"/>
        <w:rPr>
          <w:sz w:val="20"/>
          <w:szCs w:val="20"/>
          <w:color w:val="auto"/>
        </w:rPr>
      </w:pPr>
    </w:p>
    <w:p>
      <w:pPr>
        <w:ind w:left="480"/>
        <w:spacing w:after="0" w:line="276" w:lineRule="auto"/>
        <w:rPr>
          <w:sz w:val="20"/>
          <w:szCs w:val="20"/>
          <w:color w:val="auto"/>
        </w:rPr>
      </w:pPr>
      <w:r>
        <w:rPr>
          <w:rFonts w:ascii="Arial" w:cs="Arial" w:eastAsia="Arial" w:hAnsi="Arial"/>
          <w:sz w:val="17"/>
          <w:szCs w:val="17"/>
          <w:color w:val="auto"/>
        </w:rPr>
        <w:t>In the first nine months of 2017, our wholly-owned captive, Ardellis Insurance Ltd. (“Ardellis”) transferred $4.1 million in fixed income securities from its Investment Account and purchased an additional $3.8 million in fixed income securities which are held in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173" w:lineRule="exact"/>
        <w:rPr>
          <w:sz w:val="20"/>
          <w:szCs w:val="20"/>
          <w:color w:val="auto"/>
        </w:rPr>
      </w:pPr>
    </w:p>
    <w:p>
      <w:pPr>
        <w:ind w:left="480" w:right="18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$18.4 million as of September 30, 2017, consisting of domestic and international stocks, and fixed income bonds.</w:t>
      </w:r>
    </w:p>
    <w:p>
      <w:pPr>
        <w:spacing w:after="0" w:line="181" w:lineRule="exact"/>
        <w:rPr>
          <w:sz w:val="20"/>
          <w:szCs w:val="20"/>
          <w:color w:val="auto"/>
        </w:rPr>
      </w:pPr>
    </w:p>
    <w:p>
      <w:pPr>
        <w:ind w:left="480" w:right="50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Gain/(Loss)</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10,194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17,293</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160" w:firstLine="648"/>
        <w:spacing w:after="0" w:line="254" w:lineRule="auto"/>
        <w:rPr>
          <w:sz w:val="20"/>
          <w:szCs w:val="20"/>
          <w:color w:val="auto"/>
        </w:rPr>
      </w:pPr>
      <w:r>
        <w:rPr>
          <w:rFonts w:ascii="Arial" w:cs="Arial" w:eastAsia="Arial" w:hAnsi="Arial"/>
          <w:sz w:val="18"/>
          <w:szCs w:val="18"/>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effected unrealized gain was $1.1 million. Carrying amounts above are recorded in the investments and restricted investments line items within the balance sheet as of September 30, 2017. During the first nine months of 2017, Ardellis investments reported a net realized gain of $185 thousand, which was recorded in interest income on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500" w:hanging="497"/>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81" w:lineRule="exact"/>
        <w:rPr>
          <w:rFonts w:ascii="Arial" w:cs="Arial" w:eastAsia="Arial" w:hAnsi="Arial"/>
          <w:sz w:val="18"/>
          <w:szCs w:val="18"/>
          <w:b w:val="1"/>
          <w:bCs w:val="1"/>
          <w:color w:val="auto"/>
        </w:rPr>
      </w:pPr>
    </w:p>
    <w:p>
      <w:pPr>
        <w:ind w:left="4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May 28, 2014, the FASB issued ASU No. 2014-09 (Accounting Standard Codification 606),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Company plans to adopt the guidance in the first quarter of fiscal 2018 and apply the modified retrospective method. The Company is in the process of finalizing contract reviews and the completion of the new standard’s impact on its Consolidated Financial Statements.</w:t>
      </w:r>
    </w:p>
    <w:p>
      <w:pPr>
        <w:spacing w:after="0" w:line="166" w:lineRule="exact"/>
        <w:rPr>
          <w:rFonts w:ascii="Arial" w:cs="Arial" w:eastAsia="Arial" w:hAnsi="Arial"/>
          <w:sz w:val="18"/>
          <w:szCs w:val="18"/>
          <w:b w:val="1"/>
          <w:bCs w:val="1"/>
          <w:color w:val="auto"/>
        </w:rPr>
      </w:pPr>
    </w:p>
    <w:p>
      <w:pPr>
        <w:ind w:left="480" w:right="2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Earnings on construction contracts are reflected in operations using percentage-of-completion accounting, under either cost to cost or units of delivery methods, depending on the nature of the business at individual operations.</w:t>
      </w:r>
    </w:p>
    <w:p>
      <w:pPr>
        <w:ind w:left="4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increased to approximately $36.6 million, during the third quarter of 2017, from $31.9 million during the same period of 2016. Construction contract revenue was approximately $99.6 million and $95.2 million through the first nine months of 2017 and 2016, respectively.</w:t>
      </w:r>
    </w:p>
    <w:p>
      <w:pPr>
        <w:spacing w:after="0" w:line="166" w:lineRule="exact"/>
        <w:rPr>
          <w:rFonts w:ascii="Arial" w:cs="Arial" w:eastAsia="Arial" w:hAnsi="Arial"/>
          <w:sz w:val="18"/>
          <w:szCs w:val="18"/>
          <w:b w:val="1"/>
          <w:bCs w:val="1"/>
          <w:color w:val="auto"/>
        </w:rPr>
      </w:pPr>
    </w:p>
    <w:p>
      <w:pPr>
        <w:ind w:left="4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6" w:lineRule="exact"/>
        <w:rPr>
          <w:rFonts w:ascii="Arial" w:cs="Arial" w:eastAsia="Arial" w:hAnsi="Arial"/>
          <w:sz w:val="18"/>
          <w:szCs w:val="18"/>
          <w:b w:val="1"/>
          <w:bCs w:val="1"/>
          <w:color w:val="auto"/>
        </w:rPr>
      </w:pPr>
    </w:p>
    <w:p>
      <w:pPr>
        <w:ind w:left="4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w:t>
            </w:r>
          </w:p>
        </w:tc>
      </w:tr>
      <w:tr>
        <w:trPr>
          <w:trHeight w:val="178"/>
        </w:trPr>
        <w:tc>
          <w:tcPr>
            <w:tcW w:w="3680" w:type="dxa"/>
            <w:vAlign w:val="bottom"/>
            <w:tcBorders>
              <w:bottom w:val="single" w:sz="8" w:color="CCEEFF"/>
            </w:tcBorders>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00" w:type="dxa"/>
            <w:vAlign w:val="bottom"/>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Pr>
          <w:p>
            <w:pPr>
              <w:spacing w:after="0"/>
              <w:rPr>
                <w:sz w:val="20"/>
                <w:szCs w:val="20"/>
                <w:color w:val="auto"/>
              </w:rPr>
            </w:pPr>
          </w:p>
        </w:tc>
      </w:tr>
      <w:tr>
        <w:trPr>
          <w:trHeight w:val="864"/>
        </w:trPr>
        <w:tc>
          <w:tcPr>
            <w:tcW w:w="3680" w:type="dxa"/>
            <w:vAlign w:val="bottom"/>
          </w:tcPr>
          <w:p>
            <w:pPr>
              <w:spacing w:after="0"/>
              <w:rPr>
                <w:sz w:val="24"/>
                <w:szCs w:val="24"/>
                <w:color w:val="auto"/>
              </w:rPr>
            </w:pPr>
          </w:p>
        </w:tc>
        <w:tc>
          <w:tcPr>
            <w:tcW w:w="2140" w:type="dxa"/>
            <w:vAlign w:val="bottom"/>
          </w:tcPr>
          <w:p>
            <w:pPr>
              <w:jc w:val="right"/>
              <w:ind w:right="115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36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ind w:right="132"/>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ind w:left="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26"/>
        </w:trPr>
        <w:tc>
          <w:tcPr>
            <w:tcW w:w="4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5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33,693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88,397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Adjustment for earnings allocated to non-vested restricted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33,037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86,764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79,148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20,075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20,062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20,103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20,036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20,095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20,140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680"/>
        <w:spacing w:after="0" w:line="277" w:lineRule="auto"/>
        <w:rPr>
          <w:sz w:val="20"/>
          <w:szCs w:val="20"/>
          <w:color w:val="auto"/>
        </w:rPr>
      </w:pPr>
      <w:r>
        <w:rPr>
          <w:rFonts w:ascii="Arial" w:cs="Arial" w:eastAsia="Arial" w:hAnsi="Arial"/>
          <w:sz w:val="18"/>
          <w:szCs w:val="18"/>
          <w:color w:val="auto"/>
        </w:rPr>
        <w:t>No options were excluded from the computation of diluted EPS for the quarters ended September 30, 2017 or September 24, 2016.</w:t>
      </w:r>
    </w:p>
    <w:p>
      <w:pPr>
        <w:spacing w:after="0" w:line="170" w:lineRule="exact"/>
        <w:rPr>
          <w:sz w:val="20"/>
          <w:szCs w:val="20"/>
          <w:color w:val="auto"/>
        </w:rPr>
      </w:pPr>
    </w:p>
    <w:p>
      <w:pPr>
        <w:ind w:left="480" w:right="180"/>
        <w:spacing w:after="0" w:line="255" w:lineRule="auto"/>
        <w:rPr>
          <w:sz w:val="20"/>
          <w:szCs w:val="20"/>
          <w:color w:val="auto"/>
        </w:rPr>
      </w:pPr>
      <w:r>
        <w:rPr>
          <w:rFonts w:ascii="Arial" w:cs="Arial" w:eastAsia="Arial" w:hAnsi="Arial"/>
          <w:sz w:val="18"/>
          <w:szCs w:val="18"/>
          <w:color w:val="auto"/>
        </w:rPr>
        <w:t>On October 17, 2017, our Board of Directors declared a three-for-one stock split effected in the form of a stock dividend. The record date of the stock split will be October 31, 2017, and the eventual stock distribution to shareholders will occur November 14, 2017. All references made to share or earnings per share amounts in the accompanying unaudited consolidated financial statements and applicable disclosures are presented on a pre-split basis. As a result of the stock split, all historical per share data and number of shares outstanding presented in future financial statements will be retroactively adjusted.</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pro forma earnings per share, giving retroactive effect to the stock split: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ind w:right="134"/>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100"/>
              <w:spacing w:after="0"/>
              <w:rPr>
                <w:sz w:val="20"/>
                <w:szCs w:val="20"/>
                <w:color w:val="auto"/>
              </w:rPr>
            </w:pPr>
            <w:r>
              <w:rPr>
                <w:rFonts w:ascii="Arial" w:cs="Arial" w:eastAsia="Arial" w:hAnsi="Arial"/>
                <w:sz w:val="18"/>
                <w:szCs w:val="18"/>
                <w:color w:val="auto"/>
              </w:rPr>
              <w:t>Nine Months Ended</w:t>
            </w:r>
          </w:p>
        </w:tc>
      </w:tr>
      <w:tr>
        <w:trPr>
          <w:trHeight w:val="126"/>
        </w:trPr>
        <w:tc>
          <w:tcPr>
            <w:tcW w:w="4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160" w:type="dxa"/>
            <w:vAlign w:val="bottom"/>
          </w:tcPr>
          <w:p>
            <w:pPr>
              <w:spacing w:after="0"/>
              <w:rPr>
                <w:sz w:val="10"/>
                <w:szCs w:val="10"/>
                <w:color w:val="auto"/>
              </w:rPr>
            </w:pPr>
          </w:p>
        </w:tc>
      </w:tr>
      <w:tr>
        <w:trPr>
          <w:trHeight w:val="178"/>
        </w:trPr>
        <w:tc>
          <w:tcPr>
            <w:tcW w:w="44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Shares for calculating basic EPS - Post stock split basis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60,108</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Shares for calculating diluted EPS - Post stock split basis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60,204</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(post stock split):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60"/>
        <w:spacing w:after="0" w:line="271" w:lineRule="auto"/>
        <w:rPr>
          <w:sz w:val="20"/>
          <w:szCs w:val="20"/>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9" w:lineRule="exact"/>
        <w:rPr>
          <w:sz w:val="20"/>
          <w:szCs w:val="20"/>
          <w:color w:val="auto"/>
        </w:rPr>
      </w:pPr>
    </w:p>
    <w:p>
      <w:pPr>
        <w:ind w:left="480" w:right="200"/>
        <w:spacing w:after="0" w:line="264" w:lineRule="auto"/>
        <w:rPr>
          <w:sz w:val="20"/>
          <w:szCs w:val="20"/>
          <w:color w:val="auto"/>
        </w:rPr>
      </w:pPr>
      <w:r>
        <w:rPr>
          <w:rFonts w:ascii="Arial" w:cs="Arial" w:eastAsia="Arial" w:hAnsi="Arial"/>
          <w:sz w:val="18"/>
          <w:szCs w:val="18"/>
          <w:color w:val="auto"/>
        </w:rPr>
        <w:t>On a consolidated basis, we have reserved approximately $3.6 million and $3.4 million on September 30, 2017, and September 24, 2016, respectively, representing the estimated costs to complete future remediation efforts. These amounts have not been reduced by an insurance receivable.</w:t>
      </w:r>
    </w:p>
    <w:p>
      <w:pPr>
        <w:spacing w:after="0" w:line="181"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$0.2 million. As a result, this amount is recorded in other long-term liabilities on September 30, 2017.</w:t>
      </w:r>
    </w:p>
    <w:p>
      <w:pPr>
        <w:spacing w:after="0" w:line="166" w:lineRule="exact"/>
        <w:rPr>
          <w:sz w:val="20"/>
          <w:szCs w:val="20"/>
          <w:color w:val="auto"/>
        </w:rPr>
      </w:pPr>
    </w:p>
    <w:p>
      <w:pPr>
        <w:ind w:left="480" w:right="20"/>
        <w:spacing w:after="0" w:line="284" w:lineRule="auto"/>
        <w:rPr>
          <w:sz w:val="20"/>
          <w:szCs w:val="20"/>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Based upon prior communications with the US Attorney’s Office, we do not believe that the resolution of this matter will have a material adverse impact on our financial condition or the results of our operations.</w:t>
      </w:r>
    </w:p>
    <w:p>
      <w:pPr>
        <w:spacing w:after="0" w:line="194" w:lineRule="exact"/>
        <w:rPr>
          <w:sz w:val="20"/>
          <w:szCs w:val="20"/>
          <w:color w:val="auto"/>
        </w:rPr>
      </w:pPr>
    </w:p>
    <w:p>
      <w:pPr>
        <w:ind w:left="480" w:right="20"/>
        <w:spacing w:after="0" w:line="286" w:lineRule="auto"/>
        <w:rPr>
          <w:sz w:val="20"/>
          <w:szCs w:val="20"/>
          <w:color w:val="auto"/>
        </w:rPr>
      </w:pPr>
      <w:r>
        <w:rPr>
          <w:rFonts w:ascii="Arial" w:cs="Arial" w:eastAsia="Arial" w:hAnsi="Arial"/>
          <w:sz w:val="17"/>
          <w:szCs w:val="17"/>
          <w:color w:val="auto"/>
        </w:rPr>
        <w:t>In addition, on September 30, 2017,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ind w:left="480" w:right="80"/>
        <w:spacing w:after="0" w:line="277" w:lineRule="auto"/>
        <w:rPr>
          <w:sz w:val="20"/>
          <w:szCs w:val="20"/>
          <w:color w:val="auto"/>
        </w:rPr>
      </w:pPr>
      <w:r>
        <w:rPr>
          <w:rFonts w:ascii="Arial" w:cs="Arial" w:eastAsia="Arial" w:hAnsi="Arial"/>
          <w:sz w:val="18"/>
          <w:szCs w:val="18"/>
          <w:color w:val="auto"/>
        </w:rPr>
        <w:t>On September 30, 2017, we had outstanding purchase commitments on commenced capital projects of approximately $26.1 million.</w:t>
      </w:r>
    </w:p>
    <w:p>
      <w:pPr>
        <w:spacing w:after="0" w:line="170"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September 30, 2017 we had approximately $8.8 million outstanding payment and performance bonds for open projects. We had approximately $1.7 million in payment and performance bonds outstanding for completed projects which are still under warranty.</w:t>
      </w:r>
    </w:p>
    <w:p>
      <w:pPr>
        <w:spacing w:after="0" w:line="189" w:lineRule="exact"/>
        <w:rPr>
          <w:sz w:val="20"/>
          <w:szCs w:val="20"/>
          <w:color w:val="auto"/>
        </w:rPr>
      </w:pPr>
    </w:p>
    <w:p>
      <w:pPr>
        <w:ind w:left="480" w:right="640"/>
        <w:spacing w:after="0" w:line="277" w:lineRule="auto"/>
        <w:rPr>
          <w:sz w:val="20"/>
          <w:szCs w:val="20"/>
          <w:color w:val="auto"/>
        </w:rPr>
      </w:pPr>
      <w:r>
        <w:rPr>
          <w:rFonts w:ascii="Arial" w:cs="Arial" w:eastAsia="Arial" w:hAnsi="Arial"/>
          <w:sz w:val="18"/>
          <w:szCs w:val="18"/>
          <w:color w:val="auto"/>
        </w:rPr>
        <w:t>On September 30, 2017, we had outstanding letters of credit totaling $26.5 million, primarily related to certain insurance contracts and industrial development revenue bonds described further below.</w:t>
      </w:r>
    </w:p>
    <w:p>
      <w:pPr>
        <w:spacing w:after="0" w:line="170" w:lineRule="exact"/>
        <w:rPr>
          <w:sz w:val="20"/>
          <w:szCs w:val="20"/>
          <w:color w:val="auto"/>
        </w:rPr>
      </w:pPr>
    </w:p>
    <w:p>
      <w:pPr>
        <w:jc w:val="both"/>
        <w:ind w:left="500" w:right="16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$16.7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480" w:right="10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28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420"/>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2017 which would require us to recognize a liability on our balance sheet.</w:t>
      </w:r>
    </w:p>
    <w:p>
      <w:pPr>
        <w:spacing w:after="0" w:line="166" w:lineRule="exact"/>
        <w:rPr>
          <w:sz w:val="20"/>
          <w:szCs w:val="20"/>
          <w:color w:val="auto"/>
        </w:rPr>
      </w:pPr>
    </w:p>
    <w:p>
      <w:pPr>
        <w:ind w:left="460" w:hanging="457"/>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340"/>
        <w:spacing w:after="0" w:line="277" w:lineRule="auto"/>
        <w:rPr>
          <w:sz w:val="20"/>
          <w:szCs w:val="20"/>
          <w:color w:val="auto"/>
        </w:rPr>
      </w:pPr>
      <w:r>
        <w:rPr>
          <w:rFonts w:ascii="Arial" w:cs="Arial" w:eastAsia="Arial" w:hAnsi="Arial"/>
          <w:sz w:val="18"/>
          <w:szCs w:val="18"/>
          <w:color w:val="auto"/>
        </w:rPr>
        <w:t>We completed the following acquisitions in nine months ended 2017 and 2016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Net</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Tangible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$5,042</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May 26,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4,880</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Go Boy Pallets, LLC ("Go Boy")</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57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w w:val="92"/>
              </w:rPr>
              <w:t>A manufacturer and distributor of industrial pallets and packaging in Georgia and North</w:t>
            </w: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Carolina. Go Boy has annual sales of approximately $8 million. The acquisition of Go Boy</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46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enabled us to expand our industrial packaging product offering and lumber sourcing in this region.</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$31,818</w:t>
            </w:r>
          </w:p>
        </w:tc>
        <w:tc>
          <w:tcPr>
            <w:tcW w:w="12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7,533</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24,285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Robbins Manufacturing Co.</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tcPr>
          <w:p>
            <w:pPr>
              <w:spacing w:after="0"/>
              <w:rPr>
                <w:sz w:val="15"/>
                <w:szCs w:val="15"/>
                <w:color w:val="auto"/>
              </w:rPr>
            </w:pPr>
          </w:p>
        </w:tc>
        <w:tc>
          <w:tcPr>
            <w:tcW w:w="5740" w:type="dxa"/>
            <w:vAlign w:val="bottom"/>
            <w:gridSpan w:val="6"/>
          </w:tcPr>
          <w:p>
            <w:pPr>
              <w:spacing w:after="0" w:line="176" w:lineRule="exact"/>
              <w:rPr>
                <w:sz w:val="20"/>
                <w:szCs w:val="20"/>
                <w:color w:val="auto"/>
              </w:rPr>
            </w:pPr>
            <w:r>
              <w:rPr>
                <w:rFonts w:ascii="Arial" w:cs="Arial" w:eastAsia="Arial" w:hAnsi="Arial"/>
                <w:sz w:val="16"/>
                <w:szCs w:val="16"/>
                <w:color w:val="auto"/>
                <w:w w:val="95"/>
              </w:rPr>
              <w:t>A manufacturer of treated wood products with facilities in Florida, Georgia, and North</w:t>
            </w: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("Robbins")</w:t>
            </w: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Carolina. Robbins has annual sales of approximately $86 million. The acquisition of Robbins</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64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w w:val="98"/>
              </w:rPr>
              <w:t>allowed us to expand our presence in this region and serve customers more cost effectively.</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$22,789</w:t>
            </w:r>
          </w:p>
        </w:tc>
        <w:tc>
          <w:tcPr>
            <w:tcW w:w="12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March 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14,266</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8,523</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12"/>
        </w:trPr>
        <w:tc>
          <w:tcPr>
            <w:tcW w:w="2620" w:type="dxa"/>
            <w:vAlign w:val="bottom"/>
            <w:tcBorders>
              <w:left w:val="single" w:sz="8" w:color="auto"/>
              <w:right w:val="single" w:sz="8" w:color="auto"/>
            </w:tcBorders>
            <w:shd w:val="clear" w:color="auto" w:fill="CCEEFF"/>
          </w:tcPr>
          <w:p>
            <w:pPr>
              <w:spacing w:after="0"/>
              <w:rPr>
                <w:sz w:val="18"/>
                <w:szCs w:val="18"/>
                <w:color w:val="auto"/>
              </w:rPr>
            </w:pPr>
          </w:p>
        </w:tc>
        <w:tc>
          <w:tcPr>
            <w:tcW w:w="1520" w:type="dxa"/>
            <w:vAlign w:val="bottom"/>
            <w:tcBorders>
              <w:right w:val="single" w:sz="8" w:color="auto"/>
            </w:tcBorders>
            <w:shd w:val="clear" w:color="auto" w:fill="CCEEFF"/>
          </w:tcPr>
          <w:p>
            <w:pPr>
              <w:spacing w:after="0"/>
              <w:rPr>
                <w:sz w:val="18"/>
                <w:szCs w:val="18"/>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3760" w:type="dxa"/>
            <w:vAlign w:val="bottom"/>
            <w:gridSpan w:val="3"/>
          </w:tcPr>
          <w:p>
            <w:pPr>
              <w:jc w:val="right"/>
              <w:ind w:right="204"/>
              <w:spacing w:after="0"/>
              <w:rPr>
                <w:sz w:val="20"/>
                <w:szCs w:val="20"/>
                <w:color w:val="auto"/>
              </w:rPr>
            </w:pPr>
            <w:r>
              <w:rPr>
                <w:rFonts w:ascii="Arial" w:cs="Arial" w:eastAsia="Arial" w:hAnsi="Arial"/>
                <w:sz w:val="18"/>
                <w:szCs w:val="18"/>
                <w:b w:val="1"/>
                <w:bCs w:val="1"/>
                <w:color w:val="auto"/>
              </w:rPr>
              <w:t>UNIVERSAL FOREST PRODUCTS, INC.</w:t>
            </w: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Quality Hardwood Sales, LLC</w:t>
            </w: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5"/>
              </w:rPr>
              <w:t>A manufacturer and supplier of hardwood products, including components of cabinets used in</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("Quality")</w:t>
            </w: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6"/>
              </w:rPr>
              <w:t>homes and recreational vehicles. Quality has annual sales of approximately $30 million. The</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8"/>
              </w:rPr>
              <w:t>acquisition of Quality enabled us to expand our product offering to include hardwood-based</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products.</w:t>
            </w:r>
          </w:p>
        </w:tc>
        <w:tc>
          <w:tcPr>
            <w:tcW w:w="1840" w:type="dxa"/>
            <w:vAlign w:val="bottom"/>
            <w:tcBorders>
              <w:bottom w:val="single" w:sz="8" w:color="auto"/>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7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$9,455</w:t>
            </w:r>
          </w:p>
        </w:tc>
        <w:tc>
          <w:tcPr>
            <w:tcW w:w="4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95"/>
        </w:trPr>
        <w:tc>
          <w:tcPr>
            <w:tcW w:w="2720" w:type="dxa"/>
            <w:vAlign w:val="bottom"/>
            <w:tcBorders>
              <w:left w:val="single" w:sz="8" w:color="auto"/>
              <w:right w:val="single" w:sz="8" w:color="auto"/>
            </w:tcBorders>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November 29, 2016</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cash paid for 100% stock</w:t>
            </w: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7,314</w:t>
            </w:r>
          </w:p>
        </w:tc>
        <w:tc>
          <w:tcPr>
            <w:tcW w:w="640" w:type="dxa"/>
            <w:vAlign w:val="bottom"/>
            <w:vMerge w:val="restart"/>
          </w:tcPr>
          <w:p>
            <w:pPr>
              <w:jc w:val="right"/>
              <w:ind w:right="484"/>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2,141</w:t>
            </w:r>
          </w:p>
        </w:tc>
        <w:tc>
          <w:tcPr>
            <w:tcW w:w="80" w:type="dxa"/>
            <w:vAlign w:val="bottom"/>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720" w:type="dxa"/>
            <w:vAlign w:val="bottom"/>
            <w:tcBorders>
              <w:left w:val="single" w:sz="8" w:color="auto"/>
              <w:right w:val="single" w:sz="8" w:color="auto"/>
            </w:tcBorders>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20" w:type="dxa"/>
            <w:vAlign w:val="bottom"/>
            <w:tcBorders>
              <w:right w:val="single" w:sz="8" w:color="auto"/>
            </w:tcBorders>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right w:val="single" w:sz="8" w:color="auto"/>
            </w:tcBorders>
          </w:tcPr>
          <w:p>
            <w:pPr>
              <w:jc w:val="center"/>
              <w:ind w:right="39"/>
              <w:spacing w:after="0" w:line="158" w:lineRule="exact"/>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The UBEECO Group Pty. Ltd.</w:t>
            </w:r>
          </w:p>
        </w:tc>
        <w:tc>
          <w:tcPr>
            <w:tcW w:w="152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purchase</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tcBorders>
              <w:left w:val="single" w:sz="8" w:color="auto"/>
              <w:right w:val="single" w:sz="8" w:color="auto"/>
            </w:tcBorders>
            <w:vMerge w:val="continue"/>
          </w:tcPr>
          <w:p>
            <w:pPr>
              <w:spacing w:after="0"/>
              <w:rPr>
                <w:sz w:val="15"/>
                <w:szCs w:val="15"/>
                <w:color w:val="auto"/>
              </w:rPr>
            </w:pPr>
          </w:p>
        </w:tc>
        <w:tc>
          <w:tcPr>
            <w:tcW w:w="6360" w:type="dxa"/>
            <w:vAlign w:val="bottom"/>
            <w:tcBorders>
              <w:right w:val="single" w:sz="8" w:color="auto"/>
            </w:tcBorders>
            <w:gridSpan w:val="8"/>
          </w:tcPr>
          <w:p>
            <w:pPr>
              <w:spacing w:after="0" w:line="173" w:lineRule="exact"/>
              <w:rPr>
                <w:sz w:val="20"/>
                <w:szCs w:val="20"/>
                <w:color w:val="auto"/>
              </w:rPr>
            </w:pPr>
            <w:r>
              <w:rPr>
                <w:rFonts w:ascii="Arial" w:cs="Arial" w:eastAsia="Arial" w:hAnsi="Arial"/>
                <w:sz w:val="16"/>
                <w:szCs w:val="16"/>
                <w:color w:val="auto"/>
                <w:w w:val="93"/>
              </w:rPr>
              <w:t>A manufacturer and distributor of a variety of wood packaging and alternative material products,</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("Ubeeco")</w:t>
            </w: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5"/>
              </w:rPr>
              <w:t>including boxes, crates, pallets, skids, protective packaging, packaging accessories and loose</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spacing w:after="0"/>
              <w:rPr>
                <w:sz w:val="17"/>
                <w:szCs w:val="17"/>
                <w:color w:val="auto"/>
              </w:rPr>
            </w:pPr>
          </w:p>
        </w:tc>
        <w:tc>
          <w:tcPr>
            <w:tcW w:w="5880" w:type="dxa"/>
            <w:vAlign w:val="bottom"/>
            <w:gridSpan w:val="7"/>
          </w:tcPr>
          <w:p>
            <w:pPr>
              <w:spacing w:after="0"/>
              <w:rPr>
                <w:sz w:val="20"/>
                <w:szCs w:val="20"/>
                <w:color w:val="auto"/>
              </w:rPr>
            </w:pPr>
            <w:r>
              <w:rPr>
                <w:rFonts w:ascii="Arial" w:cs="Arial" w:eastAsia="Arial" w:hAnsi="Arial"/>
                <w:sz w:val="16"/>
                <w:szCs w:val="16"/>
                <w:color w:val="auto"/>
                <w:w w:val="92"/>
              </w:rPr>
              <w:t>lumber. Ubeeco has annual sales of approximately $20 million. The acquisition of Ubeeco</w:t>
            </w: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left w:val="single" w:sz="8" w:color="auto"/>
              <w:right w:val="single" w:sz="8" w:color="auto"/>
            </w:tcBorders>
          </w:tcPr>
          <w:p>
            <w:pPr>
              <w:spacing w:after="0"/>
              <w:rPr>
                <w:sz w:val="18"/>
                <w:szCs w:val="18"/>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5"/>
              </w:rPr>
              <w:t>allows us to make progress on our goal of becoming a global provider of packaging solutions.</w:t>
            </w:r>
          </w:p>
        </w:tc>
        <w:tc>
          <w:tcPr>
            <w:tcW w:w="0" w:type="dxa"/>
            <w:vAlign w:val="bottom"/>
          </w:tcPr>
          <w:p>
            <w:pPr>
              <w:spacing w:after="0"/>
              <w:rPr>
                <w:sz w:val="1"/>
                <w:szCs w:val="1"/>
                <w:color w:val="auto"/>
              </w:rPr>
            </w:pPr>
          </w:p>
        </w:tc>
      </w:tr>
      <w:tr>
        <w:trPr>
          <w:trHeight w:val="196"/>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$66,691</w:t>
            </w:r>
          </w:p>
        </w:tc>
        <w:tc>
          <w:tcPr>
            <w:tcW w:w="4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cash paid for 100% stock</w:t>
            </w:r>
          </w:p>
        </w:tc>
        <w:tc>
          <w:tcPr>
            <w:tcW w:w="4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purchase which includes</w:t>
            </w:r>
          </w:p>
        </w:tc>
        <w:tc>
          <w:tcPr>
            <w:tcW w:w="4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September 16, 2016</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$11,337 in net cash</w:t>
            </w:r>
          </w:p>
        </w:tc>
        <w:tc>
          <w:tcPr>
            <w:tcW w:w="4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17,455</w:t>
            </w:r>
          </w:p>
        </w:tc>
        <w:tc>
          <w:tcPr>
            <w:tcW w:w="640" w:type="dxa"/>
            <w:vAlign w:val="bottom"/>
            <w:vMerge w:val="restart"/>
            <w:shd w:val="clear" w:color="auto" w:fill="CCEEFF"/>
          </w:tcPr>
          <w:p>
            <w:pPr>
              <w:jc w:val="right"/>
              <w:ind w:right="484"/>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49,236</w:t>
            </w: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All</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vMerge w:val="continue"/>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received. Also, paid</w:t>
            </w:r>
          </w:p>
        </w:tc>
        <w:tc>
          <w:tcPr>
            <w:tcW w:w="400" w:type="dxa"/>
            <w:vAlign w:val="bottom"/>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580" w:type="dxa"/>
            <w:vAlign w:val="bottom"/>
            <w:tcBorders>
              <w:right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$86,294 to retire</w:t>
            </w:r>
          </w:p>
        </w:tc>
        <w:tc>
          <w:tcPr>
            <w:tcW w:w="4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spacing w:after="0"/>
              <w:rPr>
                <w:sz w:val="17"/>
                <w:szCs w:val="17"/>
                <w:color w:val="auto"/>
              </w:rPr>
            </w:pPr>
          </w:p>
        </w:tc>
        <w:tc>
          <w:tcPr>
            <w:tcW w:w="18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88"/>
              </w:rPr>
              <w:t>outstanding debt and $6,536</w:t>
            </w:r>
          </w:p>
        </w:tc>
        <w:tc>
          <w:tcPr>
            <w:tcW w:w="4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2"/>
              </w:rPr>
              <w:t>of certain other obligations.</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3"/>
              </w:rPr>
              <w:t>A designer, producer, and installer of customized interior fixtures and related products used in a</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6"/>
              </w:rPr>
              <w:t>variety of commercial structures. idX has annual sales of $300 million. The acquisition of idX</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6"/>
              </w:rPr>
              <w:t>enables us to enhance our design, product and service offering to become a tier 1 supplier of</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636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4"/>
              </w:rPr>
              <w:t>interior fixtures to retail customers, and continue to use idX's capabilities to continue to develop</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idX Holdings, Inc. ("idX")</w:t>
            </w:r>
          </w:p>
        </w:tc>
        <w:tc>
          <w:tcPr>
            <w:tcW w:w="522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4"/>
              </w:rPr>
              <w:t>new markets for growth. Our goal is to achieve long-term synergies, including:</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w:t>
            </w:r>
          </w:p>
        </w:tc>
        <w:tc>
          <w:tcPr>
            <w:tcW w:w="37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Eliminating redundant administrative support costs.</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left w:val="single" w:sz="8" w:color="auto"/>
              <w:right w:val="single" w:sz="8" w:color="auto"/>
            </w:tcBorders>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b.</w:t>
            </w:r>
          </w:p>
        </w:tc>
        <w:tc>
          <w:tcPr>
            <w:tcW w:w="484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6"/>
              </w:rPr>
              <w:t>Using the scale advantage of the Company to reduce material costs of</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CCEEFF"/>
            </w:tcBorders>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raw materials.</w:t>
            </w:r>
          </w:p>
        </w:tc>
        <w:tc>
          <w:tcPr>
            <w:tcW w:w="4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Borders>
              <w:left w:val="single" w:sz="8" w:color="auto"/>
              <w:right w:val="single" w:sz="8" w:color="auto"/>
            </w:tcBorders>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c.</w:t>
            </w:r>
          </w:p>
        </w:tc>
        <w:tc>
          <w:tcPr>
            <w:tcW w:w="484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Utilizing manufacturing capacity of certain existing locations to supply</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CCEEFF"/>
            </w:tcBorders>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idX.</w:t>
            </w:r>
          </w:p>
        </w:tc>
        <w:tc>
          <w:tcPr>
            <w:tcW w:w="4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Borders>
              <w:left w:val="single" w:sz="8" w:color="auto"/>
              <w:right w:val="single" w:sz="8" w:color="auto"/>
            </w:tcBorders>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w:t>
            </w:r>
          </w:p>
        </w:tc>
        <w:tc>
          <w:tcPr>
            <w:tcW w:w="484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9"/>
              </w:rPr>
              <w:t>Utilizing idX’s international footprint to identify sourcing opportunities</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CCEEFF"/>
            </w:tcBorders>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for certain products.</w:t>
            </w:r>
          </w:p>
        </w:tc>
        <w:tc>
          <w:tcPr>
            <w:tcW w:w="4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Borders>
              <w:left w:val="single" w:sz="8" w:color="auto"/>
              <w:right w:val="single" w:sz="8" w:color="auto"/>
            </w:tcBorders>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e.</w:t>
            </w:r>
          </w:p>
        </w:tc>
        <w:tc>
          <w:tcPr>
            <w:tcW w:w="484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Cross selling one another’s products and services with our respective</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CCEEFF"/>
            </w:tcBorders>
            <w:shd w:val="clear" w:color="auto" w:fill="CCEEFF"/>
          </w:tcPr>
          <w:p>
            <w:pPr>
              <w:spacing w:after="0"/>
              <w:rPr>
                <w:sz w:val="16"/>
                <w:szCs w:val="16"/>
                <w:color w:val="auto"/>
              </w:rPr>
            </w:pPr>
          </w:p>
        </w:tc>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customers.</w:t>
            </w:r>
          </w:p>
        </w:tc>
        <w:tc>
          <w:tcPr>
            <w:tcW w:w="4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w:t>
            </w:r>
          </w:p>
        </w:tc>
        <w:tc>
          <w:tcPr>
            <w:tcW w:w="37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6"/>
                <w:szCs w:val="16"/>
                <w:color w:val="auto"/>
              </w:rPr>
              <w:t>Collaborating on new product development.</w:t>
            </w:r>
          </w:p>
        </w:tc>
        <w:tc>
          <w:tcPr>
            <w:tcW w:w="580" w:type="dxa"/>
            <w:vAlign w:val="bottom"/>
            <w:tcBorders>
              <w:bottom w:val="single" w:sz="8" w:color="auto"/>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July 29, 2016</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$1,246</w:t>
            </w:r>
          </w:p>
        </w:tc>
        <w:tc>
          <w:tcPr>
            <w:tcW w:w="400" w:type="dxa"/>
            <w:vAlign w:val="bottom"/>
            <w:vMerge w:val="restart"/>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405</w:t>
            </w:r>
          </w:p>
        </w:tc>
        <w:tc>
          <w:tcPr>
            <w:tcW w:w="640" w:type="dxa"/>
            <w:vAlign w:val="bottom"/>
            <w:vMerge w:val="restart"/>
          </w:tcPr>
          <w:p>
            <w:pPr>
              <w:jc w:val="right"/>
              <w:ind w:right="484"/>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841</w:t>
            </w:r>
          </w:p>
        </w:tc>
        <w:tc>
          <w:tcPr>
            <w:tcW w:w="80" w:type="dxa"/>
            <w:vAlign w:val="bottom"/>
          </w:tcPr>
          <w:p>
            <w:pPr>
              <w:spacing w:after="0"/>
              <w:rPr>
                <w:sz w:val="17"/>
                <w:szCs w:val="17"/>
                <w:color w:val="auto"/>
              </w:rPr>
            </w:pPr>
          </w:p>
        </w:tc>
        <w:tc>
          <w:tcPr>
            <w:tcW w:w="48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193"/>
        </w:trPr>
        <w:tc>
          <w:tcPr>
            <w:tcW w:w="27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87"/>
              </w:rPr>
              <w:t>cash paid for asset purchase</w:t>
            </w:r>
          </w:p>
        </w:tc>
        <w:tc>
          <w:tcPr>
            <w:tcW w:w="40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Seven D Truss, L.P.</w:t>
            </w:r>
          </w:p>
        </w:tc>
        <w:tc>
          <w:tcPr>
            <w:tcW w:w="152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2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5"/>
              </w:rPr>
              <w:t>A manufacturer and distributor of roof and floor trusses. 7D had annual sales of approximately</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6"/>
              </w:rPr>
              <w:t>$4.0 million. The acquisition of 7D gave us the opportunity to consolidate operations with our</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bottom w:val="single" w:sz="8" w:color="auto"/>
              <w:right w:val="single" w:sz="8" w:color="auto"/>
            </w:tcBorders>
          </w:tcPr>
          <w:p>
            <w:pPr>
              <w:spacing w:after="0"/>
              <w:rPr>
                <w:sz w:val="19"/>
                <w:szCs w:val="19"/>
                <w:color w:val="auto"/>
              </w:rPr>
            </w:pP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Gordon, Pennsylvania location.</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40" w:firstLine="648"/>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2017, excluding Go Boy. In aggregate, acquisitions completed since September of 2016 contributed approximately $292.1 million in revenue and $5.3 million in operating profit during 2017.</w:t>
      </w:r>
    </w:p>
    <w:p>
      <w:pPr>
        <w:spacing w:after="0" w:line="183"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40"/>
        <w:spacing w:after="0" w:line="290" w:lineRule="auto"/>
        <w:rPr>
          <w:sz w:val="20"/>
          <w:szCs w:val="20"/>
          <w:color w:val="auto"/>
        </w:rPr>
      </w:pPr>
      <w:r>
        <w:rPr>
          <w:rFonts w:ascii="Arial" w:cs="Arial" w:eastAsia="Arial" w:hAnsi="Arial"/>
          <w:sz w:val="16"/>
          <w:szCs w:val="16"/>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and West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66" w:lineRule="exact"/>
        <w:rPr>
          <w:sz w:val="20"/>
          <w:szCs w:val="20"/>
          <w:color w:val="auto"/>
        </w:rPr>
      </w:pPr>
    </w:p>
    <w:p>
      <w:pPr>
        <w:ind w:left="480" w:right="100"/>
        <w:spacing w:after="0" w:line="264"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Our Alternative Materials, International and idX division have been included in the “All Other” column of the table below. The “Corporate” column includes unallocated administrative costs and certain incentive compensation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29"/>
          </w:tcPr>
          <w:p>
            <w:pPr>
              <w:jc w:val="right"/>
              <w:ind w:right="565"/>
              <w:spacing w:after="0"/>
              <w:rPr>
                <w:sz w:val="20"/>
                <w:szCs w:val="20"/>
                <w:color w:val="auto"/>
              </w:rPr>
            </w:pPr>
            <w:r>
              <w:rPr>
                <w:rFonts w:ascii="Arial" w:cs="Arial" w:eastAsia="Arial" w:hAnsi="Arial"/>
                <w:sz w:val="14"/>
                <w:szCs w:val="14"/>
                <w:b w:val="1"/>
                <w:bCs w:val="1"/>
                <w:color w:val="auto"/>
              </w:rPr>
              <w:t>Three Months Ended September 30, 2017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56"/>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South</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310,384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$ 206,050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$ 378,714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$ 161,438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1,056,586</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47,539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16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106,637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85"/>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9"/>
          </w:tcPr>
          <w:p>
            <w:pPr>
              <w:jc w:val="center"/>
              <w:ind w:right="5"/>
              <w:spacing w:after="0"/>
              <w:rPr>
                <w:sz w:val="20"/>
                <w:szCs w:val="20"/>
                <w:color w:val="auto"/>
              </w:rPr>
            </w:pPr>
            <w:r>
              <w:rPr>
                <w:rFonts w:ascii="Arial" w:cs="Arial" w:eastAsia="Arial" w:hAnsi="Arial"/>
                <w:sz w:val="14"/>
                <w:szCs w:val="14"/>
                <w:b w:val="1"/>
                <w:bCs w:val="1"/>
                <w:color w:val="auto"/>
                <w:w w:val="92"/>
              </w:rPr>
              <w:t>Three Months Ended September 24, 2016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267,156</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173,715</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$ 335,981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$ 49,813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826,665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9,642</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rPr>
              <w:t>22,054</w:t>
            </w:r>
          </w:p>
        </w:tc>
        <w:tc>
          <w:tcPr>
            <w:tcW w:w="20" w:type="dxa"/>
            <w:vAlign w:val="bottom"/>
          </w:tcPr>
          <w:p>
            <w:pPr>
              <w:spacing w:after="0"/>
              <w:rPr>
                <w:sz w:val="18"/>
                <w:szCs w:val="18"/>
                <w:color w:val="auto"/>
              </w:rPr>
            </w:pPr>
          </w:p>
        </w:tc>
        <w:tc>
          <w:tcPr>
            <w:tcW w:w="900" w:type="dxa"/>
            <w:vAlign w:val="bottom"/>
            <w:gridSpan w:val="6"/>
          </w:tcPr>
          <w:p>
            <w:pPr>
              <w:jc w:val="right"/>
              <w:ind w:right="60"/>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10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9,900</w:t>
            </w:r>
          </w:p>
        </w:tc>
        <w:tc>
          <w:tcPr>
            <w:tcW w:w="98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19,962</w:t>
            </w:r>
          </w:p>
        </w:tc>
        <w:tc>
          <w:tcPr>
            <w:tcW w:w="2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2,959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(3,899)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601"/>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4"/>
          </w:tcPr>
          <w:p>
            <w:pPr>
              <w:jc w:val="center"/>
              <w:ind w:left="458"/>
              <w:spacing w:after="0"/>
              <w:rPr>
                <w:sz w:val="20"/>
                <w:szCs w:val="20"/>
                <w:color w:val="auto"/>
              </w:rPr>
            </w:pPr>
            <w:r>
              <w:rPr>
                <w:rFonts w:ascii="Arial" w:cs="Arial" w:eastAsia="Arial" w:hAnsi="Arial"/>
                <w:sz w:val="14"/>
                <w:szCs w:val="14"/>
                <w:b w:val="1"/>
                <w:bCs w:val="1"/>
                <w:color w:val="auto"/>
                <w:w w:val="92"/>
              </w:rPr>
              <w:t>Nine Months Ended September 30, 2017</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South</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6"/>
          </w:tcPr>
          <w:p>
            <w:pPr>
              <w:jc w:val="right"/>
              <w:ind w:right="65"/>
              <w:spacing w:after="0" w:line="149"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857,858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$ 616,376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2"/>
              </w:rPr>
              <w:t>$ 1,088,744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$ 412,113</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$ 2,975,091</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51,859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55,472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65,466</w:t>
            </w:r>
          </w:p>
        </w:tc>
        <w:tc>
          <w:tcPr>
            <w:tcW w:w="20" w:type="dxa"/>
            <w:vAlign w:val="bottom"/>
          </w:tcPr>
          <w:p>
            <w:pPr>
              <w:spacing w:after="0"/>
              <w:rPr>
                <w:sz w:val="18"/>
                <w:szCs w:val="18"/>
                <w:color w:val="auto"/>
              </w:rPr>
            </w:pPr>
          </w:p>
        </w:tc>
        <w:tc>
          <w:tcPr>
            <w:tcW w:w="980" w:type="dxa"/>
            <w:vAlign w:val="bottom"/>
            <w:gridSpan w:val="7"/>
          </w:tcPr>
          <w:p>
            <w:pPr>
              <w:jc w:val="right"/>
              <w:ind w:right="80"/>
              <w:spacing w:after="0"/>
              <w:rPr>
                <w:sz w:val="20"/>
                <w:szCs w:val="20"/>
                <w:color w:val="auto"/>
              </w:rPr>
            </w:pPr>
            <w:r>
              <w:rPr>
                <w:rFonts w:ascii="Arial" w:cs="Arial" w:eastAsia="Arial" w:hAnsi="Arial"/>
                <w:sz w:val="18"/>
                <w:szCs w:val="18"/>
                <w:color w:val="auto"/>
              </w:rPr>
              <w:t>116,743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4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289,540</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65,547</w:t>
            </w:r>
          </w:p>
        </w:tc>
        <w:tc>
          <w:tcPr>
            <w:tcW w:w="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13,285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(12,914)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139,991</w:t>
            </w:r>
          </w:p>
        </w:tc>
      </w:tr>
      <w:tr>
        <w:trPr>
          <w:trHeight w:val="385"/>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9"/>
          </w:tcPr>
          <w:p>
            <w:pPr>
              <w:jc w:val="center"/>
              <w:spacing w:after="0"/>
              <w:rPr>
                <w:sz w:val="20"/>
                <w:szCs w:val="20"/>
                <w:color w:val="auto"/>
              </w:rPr>
            </w:pPr>
            <w:r>
              <w:rPr>
                <w:rFonts w:ascii="Arial" w:cs="Arial" w:eastAsia="Arial" w:hAnsi="Arial"/>
                <w:sz w:val="14"/>
                <w:szCs w:val="14"/>
                <w:b w:val="1"/>
                <w:bCs w:val="1"/>
                <w:color w:val="auto"/>
                <w:w w:val="92"/>
              </w:rPr>
              <w:t>Nine Months Ended September 24, 2016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6"/>
          </w:tcPr>
          <w:p>
            <w:pPr>
              <w:jc w:val="right"/>
              <w:ind w:right="5"/>
              <w:spacing w:after="0" w:line="149" w:lineRule="exact"/>
              <w:rPr>
                <w:sz w:val="20"/>
                <w:szCs w:val="20"/>
                <w:color w:val="auto"/>
              </w:rPr>
            </w:pPr>
            <w:r>
              <w:rPr>
                <w:rFonts w:ascii="Arial" w:cs="Arial" w:eastAsia="Arial" w:hAnsi="Arial"/>
                <w:sz w:val="14"/>
                <w:szCs w:val="14"/>
                <w:b w:val="1"/>
                <w:bCs w:val="1"/>
                <w:color w:val="auto"/>
              </w:rPr>
              <w:t>Corporate</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758,066</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533,239</w:t>
            </w:r>
          </w:p>
        </w:tc>
        <w:tc>
          <w:tcPr>
            <w:tcW w:w="60" w:type="dxa"/>
            <w:vAlign w:val="bottom"/>
            <w:gridSpan w:val="2"/>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$ 940,188</w:t>
            </w:r>
          </w:p>
        </w:tc>
        <w:tc>
          <w:tcPr>
            <w:tcW w:w="6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$ 149,416</w:t>
            </w:r>
          </w:p>
        </w:tc>
        <w:tc>
          <w:tcPr>
            <w:tcW w:w="40" w:type="dxa"/>
            <w:vAlign w:val="bottom"/>
            <w:gridSpan w:val="2"/>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5"/>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$ 2,380,909</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42,071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28,693</w:t>
            </w:r>
          </w:p>
        </w:tc>
        <w:tc>
          <w:tcPr>
            <w:tcW w:w="1000" w:type="dxa"/>
            <w:vAlign w:val="bottom"/>
            <w:gridSpan w:val="8"/>
          </w:tcPr>
          <w:p>
            <w:pPr>
              <w:jc w:val="right"/>
              <w:ind w:right="20"/>
              <w:spacing w:after="0"/>
              <w:rPr>
                <w:sz w:val="20"/>
                <w:szCs w:val="20"/>
                <w:color w:val="auto"/>
              </w:rPr>
            </w:pPr>
            <w:r>
              <w:rPr>
                <w:rFonts w:ascii="Arial" w:cs="Arial" w:eastAsia="Arial" w:hAnsi="Arial"/>
                <w:sz w:val="18"/>
                <w:szCs w:val="18"/>
                <w:color w:val="auto"/>
              </w:rPr>
              <w:t>65,325</w:t>
            </w:r>
          </w:p>
        </w:tc>
        <w:tc>
          <w:tcPr>
            <w:tcW w:w="980" w:type="dxa"/>
            <w:vAlign w:val="bottom"/>
            <w:gridSpan w:val="7"/>
          </w:tcPr>
          <w:p>
            <w:pPr>
              <w:jc w:val="right"/>
              <w:ind w:right="20"/>
              <w:spacing w:after="0"/>
              <w:rPr>
                <w:sz w:val="20"/>
                <w:szCs w:val="20"/>
                <w:color w:val="auto"/>
              </w:rPr>
            </w:pPr>
            <w:r>
              <w:rPr>
                <w:rFonts w:ascii="Arial" w:cs="Arial" w:eastAsia="Arial" w:hAnsi="Arial"/>
                <w:sz w:val="18"/>
                <w:szCs w:val="18"/>
                <w:color w:val="auto"/>
              </w:rPr>
              <w:t>16,559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5"/>
          </w:tcPr>
          <w:p>
            <w:pPr>
              <w:jc w:val="right"/>
              <w:ind w:right="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152,648</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35,830</w:t>
            </w:r>
          </w:p>
        </w:tc>
        <w:tc>
          <w:tcPr>
            <w:tcW w:w="10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58,434</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11,542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(19,733)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129,127</w:t>
            </w:r>
          </w:p>
        </w:tc>
      </w:tr>
    </w:tbl>
    <w:p>
      <w:pPr>
        <w:spacing w:after="0" w:line="225"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8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31.9% in the third quarter of 2017 compared</w:t>
      </w:r>
    </w:p>
    <w:p>
      <w:pPr>
        <w:ind w:left="480"/>
        <w:spacing w:after="0"/>
        <w:rPr>
          <w:rFonts w:ascii="Arial" w:cs="Arial" w:eastAsia="Arial" w:hAnsi="Arial"/>
          <w:sz w:val="18"/>
          <w:szCs w:val="18"/>
          <w:b w:val="1"/>
          <w:bCs w:val="1"/>
          <w:color w:val="auto"/>
        </w:rPr>
      </w:pPr>
      <w:r>
        <w:rPr>
          <w:rFonts w:ascii="Arial" w:cs="Arial" w:eastAsia="Arial" w:hAnsi="Arial"/>
          <w:sz w:val="17"/>
          <w:szCs w:val="17"/>
          <w:color w:val="auto"/>
        </w:rPr>
        <w:t>to 32.5% for same period in 2016. Our effective tax rate was 33.0% in the first nine months of 2017 compared</w:t>
      </w:r>
    </w:p>
    <w:p>
      <w:pPr>
        <w:spacing w:after="0" w:line="20" w:lineRule="exact"/>
        <w:rPr>
          <w:rFonts w:ascii="Arial" w:cs="Arial" w:eastAsia="Arial" w:hAnsi="Arial"/>
          <w:sz w:val="18"/>
          <w:szCs w:val="18"/>
          <w:b w:val="1"/>
          <w:bCs w:val="1"/>
          <w:color w:val="auto"/>
        </w:rPr>
      </w:pPr>
    </w:p>
    <w:p>
      <w:pPr>
        <w:ind w:left="48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to 34.2% in 2016, primarily due to recording a tax deduction for certain share-based compensation and fees at fair market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third quarter of 2017 were impacted by the following:</w:t>
      </w:r>
    </w:p>
    <w:p>
      <w:pPr>
        <w:spacing w:after="0" w:line="225" w:lineRule="exact"/>
        <w:rPr>
          <w:sz w:val="20"/>
          <w:szCs w:val="20"/>
          <w:color w:val="auto"/>
        </w:rPr>
      </w:pPr>
    </w:p>
    <w:p>
      <w:pPr>
        <w:ind w:left="820" w:right="100" w:hanging="331"/>
        <w:spacing w:after="0" w:line="276"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gross sales increased by 28% compared to the third quarter of 2016, which was comprised of a 22% increase in unit sales and a 6% increase in selling prices primarily due to the commodity lumber market (see Historical Lumber Prices below). Acquired operations contributed 15% to our unit sales growth. Our 7% organic growth rate was primarily driven by our sales to industrial, retail, residential construction, and manufactured housing customers. Unit sales to commercial construction customers decreased.</w:t>
      </w:r>
    </w:p>
    <w:p>
      <w:pPr>
        <w:spacing w:after="0" w:line="172" w:lineRule="exact"/>
        <w:rPr>
          <w:rFonts w:ascii="Arial" w:cs="Arial" w:eastAsia="Arial" w:hAnsi="Arial"/>
          <w:sz w:val="17"/>
          <w:szCs w:val="17"/>
          <w:color w:val="auto"/>
        </w:rPr>
      </w:pPr>
    </w:p>
    <w:p>
      <w:pPr>
        <w:ind w:left="820" w:right="60" w:hanging="331"/>
        <w:spacing w:after="0" w:line="31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operating profits increased by 20.0%, which is comparable with our 22% increase in unit sales. The shortfall in our profit growth was primarily due to the impact of volatile lumber prices on gross profits and the impact of acquired operations which contributed unit sales growth without a proportionate increase in operating profits.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Random Lengths Composite</w:t>
      </w:r>
    </w:p>
    <w:p>
      <w:pPr>
        <w:jc w:val="center"/>
        <w:ind w:left="674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February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April</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June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August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2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Year-to-date average</w:t>
            </w:r>
          </w:p>
        </w:tc>
        <w:tc>
          <w:tcPr>
            <w:tcW w:w="2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w:t>
            </w:r>
          </w:p>
        </w:tc>
        <w:tc>
          <w:tcPr>
            <w:tcW w:w="4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comprised approximately 44% and 42% of total lumber purchases through the first nine months of 2017 and 2016, respectively.</w:t>
      </w:r>
    </w:p>
    <w:p>
      <w:pPr>
        <w:spacing w:after="0" w:line="186"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Random Lengths SYP</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February</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April</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June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August</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2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Year-to-date average</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4440" w:type="dxa"/>
            <w:vAlign w:val="bottom"/>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r>
      <w:tr>
        <w:trPr>
          <w:trHeight w:val="864"/>
        </w:trPr>
        <w:tc>
          <w:tcPr>
            <w:tcW w:w="3400" w:type="dxa"/>
            <w:vAlign w:val="bottom"/>
          </w:tcPr>
          <w:p>
            <w:pPr>
              <w:spacing w:after="0"/>
              <w:rPr>
                <w:sz w:val="24"/>
                <w:szCs w:val="24"/>
                <w:color w:val="auto"/>
              </w:rPr>
            </w:pPr>
          </w:p>
        </w:tc>
        <w:tc>
          <w:tcPr>
            <w:tcW w:w="4440" w:type="dxa"/>
            <w:vAlign w:val="bottom"/>
          </w:tcPr>
          <w:p>
            <w:pPr>
              <w:jc w:val="right"/>
              <w:ind w:right="3130"/>
              <w:spacing w:after="0"/>
              <w:rPr>
                <w:sz w:val="20"/>
                <w:szCs w:val="20"/>
                <w:color w:val="auto"/>
              </w:rPr>
            </w:pPr>
            <w:r>
              <w:rPr>
                <w:rFonts w:ascii="Arial" w:cs="Arial" w:eastAsia="Arial" w:hAnsi="Arial"/>
                <w:sz w:val="18"/>
                <w:szCs w:val="18"/>
                <w:color w:val="auto"/>
              </w:rPr>
              <w:t>16</w:t>
            </w:r>
          </w:p>
        </w:tc>
        <w:tc>
          <w:tcPr>
            <w:tcW w:w="1220" w:type="dxa"/>
            <w:vAlign w:val="bottom"/>
          </w:tcPr>
          <w:p>
            <w:pPr>
              <w:spacing w:after="0"/>
              <w:rPr>
                <w:sz w:val="24"/>
                <w:szCs w:val="24"/>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48.2% and 48.4% of our sales in the first nine months of 2017 and 2016, respectively.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20" w:right="20" w:hanging="331"/>
        <w:spacing w:after="0" w:line="272"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w:t>
      </w:r>
    </w:p>
    <w:p>
      <w:pPr>
        <w:spacing w:after="0" w:line="177" w:lineRule="exact"/>
        <w:rPr>
          <w:rFonts w:ascii="Arial" w:cs="Arial" w:eastAsia="Arial" w:hAnsi="Arial"/>
          <w:sz w:val="17"/>
          <w:szCs w:val="17"/>
          <w:color w:val="auto"/>
        </w:rPr>
      </w:pPr>
    </w:p>
    <w:p>
      <w:pPr>
        <w:ind w:left="820" w:hanging="331"/>
        <w:spacing w:after="0" w:line="27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20" w:right="20" w:hanging="331"/>
        <w:spacing w:after="0" w:line="218" w:lineRule="exact"/>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820" w:hanging="331"/>
        <w:spacing w:after="0" w:line="34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12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first nine months of 2017, volatility in the lumber market has impacted our gross profits on products sold under each of the general pricing methods described above. For example, the dramatic rise in lumber prices, which peaked in April, resulted in a decline in gross profit per unit on products sold with fixed prices primarily in the second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quarter. Additionally, the subsequent decline in lumber prices in May, June, and July resulted in a decline in gross profit per unit on products sold with a variable price indexed to the lumber market. We anticipate these trends may continue to impact our results into the fourth quarter until we reach a point of re-pricing products sold via a fixed price with our customers and selling through higher cost material sold on a variable price which is mitigated to some degree by stability of the SYP market.</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Finally, hurricane Harvey and Irma as well as recent wildfires in British Columbia have resulted in sharp increases in lumber prices in the third quarter of 2017.</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completed three business acquisitions during the first nine months of 2017 and six during all of 2016. The annual historical sales attributable to acquisitions completed in 2017 and 2016 was approximately $124 million and $324 million, respectively. These business combinations were not significant to our quarterly or year-to-date operating results individually or in aggregate and thus pro forma results for 2017 or 2016 are not presented.</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5"/>
                <w:szCs w:val="15"/>
                <w:color w:val="auto"/>
              </w:rPr>
            </w:pPr>
          </w:p>
        </w:tc>
      </w:tr>
      <w:tr>
        <w:trPr>
          <w:trHeight w:val="126"/>
        </w:trPr>
        <w:tc>
          <w:tcPr>
            <w:tcW w:w="452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300" w:type="dxa"/>
            <w:vAlign w:val="bottom"/>
          </w:tcPr>
          <w:p>
            <w:pPr>
              <w:spacing w:after="0"/>
              <w:rPr>
                <w:sz w:val="10"/>
                <w:szCs w:val="10"/>
                <w:color w:val="auto"/>
              </w:rPr>
            </w:pPr>
          </w:p>
        </w:tc>
      </w:tr>
      <w:tr>
        <w:trPr>
          <w:trHeight w:val="178"/>
        </w:trPr>
        <w:tc>
          <w:tcPr>
            <w:tcW w:w="4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5"/>
                <w:szCs w:val="15"/>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00" w:type="dxa"/>
            <w:vAlign w:val="bottom"/>
            <w:tcBorders>
              <w:bottom w:val="single" w:sz="8" w:color="CCEEFF"/>
            </w:tcBorders>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CCEEFF"/>
            </w:tcBorders>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19"/>
                <w:szCs w:val="19"/>
                <w:color w:val="auto"/>
              </w:rPr>
            </w:pPr>
          </w:p>
        </w:tc>
      </w:tr>
      <w:tr>
        <w:trPr>
          <w:trHeight w:val="22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20" w:right="180" w:hanging="331"/>
        <w:spacing w:after="0" w:line="30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54" w:lineRule="exact"/>
        <w:rPr>
          <w:rFonts w:ascii="Arial" w:cs="Arial" w:eastAsia="Arial" w:hAnsi="Arial"/>
          <w:sz w:val="16"/>
          <w:szCs w:val="16"/>
          <w:color w:val="auto"/>
        </w:rPr>
      </w:pPr>
    </w:p>
    <w:p>
      <w:pPr>
        <w:ind w:left="820" w:hanging="3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20" w:right="40" w:hanging="331"/>
        <w:spacing w:after="0" w:line="273"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78" w:lineRule="exact"/>
        <w:rPr>
          <w:rFonts w:ascii="Arial" w:cs="Arial" w:eastAsia="Arial" w:hAnsi="Arial"/>
          <w:sz w:val="17"/>
          <w:szCs w:val="17"/>
          <w:color w:val="auto"/>
        </w:rPr>
      </w:pPr>
    </w:p>
    <w:p>
      <w:pPr>
        <w:ind w:left="820" w:hanging="3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820" w:right="340" w:hanging="331"/>
        <w:spacing w:after="0" w:line="31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new products and expanding our product offering for existing customers. New product sales were $107.7 million in the third quarter of 2017 compared to $88.5 million during the third quarter of 2016. New product sales year-to-date for 2017 and 2016 were $313.6 million and $255.3 million,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center"/>
              <w:ind w:right="154"/>
              <w:spacing w:after="0"/>
              <w:rPr>
                <w:sz w:val="20"/>
                <w:szCs w:val="20"/>
                <w:color w:val="auto"/>
              </w:rPr>
            </w:pPr>
            <w:r>
              <w:rPr>
                <w:rFonts w:ascii="Arial" w:cs="Arial" w:eastAsia="Arial" w:hAnsi="Arial"/>
                <w:sz w:val="14"/>
                <w:szCs w:val="14"/>
                <w:b w:val="1"/>
                <w:bCs w:val="1"/>
                <w:color w:val="auto"/>
                <w:w w:val="94"/>
              </w:rPr>
              <w:t>New Product Sales by Market</w:t>
            </w:r>
          </w:p>
        </w:tc>
        <w:tc>
          <w:tcPr>
            <w:tcW w:w="180" w:type="dxa"/>
            <w:vAlign w:val="bottom"/>
          </w:tcPr>
          <w:p>
            <w:pPr>
              <w:spacing w:after="0"/>
              <w:rPr>
                <w:sz w:val="15"/>
                <w:szCs w:val="15"/>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New Product Sales by Market</w:t>
            </w:r>
          </w:p>
        </w:tc>
        <w:tc>
          <w:tcPr>
            <w:tcW w:w="0" w:type="dxa"/>
            <w:vAlign w:val="bottom"/>
          </w:tcPr>
          <w:p>
            <w:pPr>
              <w:spacing w:after="0"/>
              <w:rPr>
                <w:sz w:val="1"/>
                <w:szCs w:val="1"/>
                <w:color w:val="auto"/>
              </w:rPr>
            </w:pPr>
          </w:p>
        </w:tc>
      </w:tr>
      <w:tr>
        <w:trPr>
          <w:trHeight w:val="15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24,</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24,</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65,383</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53,252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22.78%</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192,194</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153,966</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26,738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23,374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76,125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65,642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3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35,717</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107,698</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88,537</w:t>
            </w: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w:t>
            </w: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313,640</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255,325</w:t>
            </w: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8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6"/>
              </w:rPr>
              <w:t>Three Months Ended</w:t>
            </w: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4"/>
          </w:tcPr>
          <w:p>
            <w:pPr>
              <w:ind w:left="160"/>
              <w:spacing w:after="0" w:line="126" w:lineRule="exact"/>
              <w:rPr>
                <w:sz w:val="20"/>
                <w:szCs w:val="20"/>
                <w:color w:val="auto"/>
              </w:rPr>
            </w:pPr>
            <w:r>
              <w:rPr>
                <w:rFonts w:ascii="Arial" w:cs="Arial" w:eastAsia="Arial" w:hAnsi="Arial"/>
                <w:sz w:val="14"/>
                <w:szCs w:val="14"/>
                <w:b w:val="1"/>
                <w:bCs w:val="1"/>
                <w:color w:val="auto"/>
              </w:rPr>
              <w:t>September 24,</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0"/>
                <w:szCs w:val="10"/>
                <w:color w:val="auto"/>
              </w:rPr>
            </w:pPr>
          </w:p>
        </w:tc>
        <w:tc>
          <w:tcPr>
            <w:tcW w:w="10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0"/>
                <w:szCs w:val="10"/>
                <w:color w:val="auto"/>
              </w:rPr>
            </w:pPr>
          </w:p>
        </w:tc>
        <w:tc>
          <w:tcPr>
            <w:tcW w:w="1020" w:type="dxa"/>
            <w:vAlign w:val="bottom"/>
            <w:gridSpan w:val="2"/>
          </w:tcPr>
          <w:p>
            <w:pPr>
              <w:jc w:val="right"/>
              <w:ind w:right="160"/>
              <w:spacing w:after="0" w:line="126" w:lineRule="exact"/>
              <w:rPr>
                <w:sz w:val="20"/>
                <w:szCs w:val="20"/>
                <w:color w:val="auto"/>
              </w:rPr>
            </w:pPr>
            <w:r>
              <w:rPr>
                <w:rFonts w:ascii="Arial" w:cs="Arial" w:eastAsia="Arial" w:hAnsi="Arial"/>
                <w:sz w:val="14"/>
                <w:szCs w:val="14"/>
                <w:b w:val="1"/>
                <w:bCs w:val="1"/>
                <w:color w:val="auto"/>
                <w:w w:val="87"/>
              </w:rPr>
              <w:t>September 24,</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20"/>
                <w:szCs w:val="20"/>
                <w:color w:val="auto"/>
              </w:rPr>
            </w:pPr>
            <w:r>
              <w:rPr>
                <w:rFonts w:ascii="Arial" w:cs="Arial" w:eastAsia="Arial" w:hAnsi="Arial"/>
                <w:sz w:val="14"/>
                <w:szCs w:val="14"/>
                <w:b w:val="1"/>
                <w:bCs w:val="1"/>
                <w:color w:val="auto"/>
              </w:rPr>
              <w:t>Market Classification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88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391,895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339,275</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$1,162,785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$1,018,203</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Industrial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369,506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232,017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982,675</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661,718</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310,026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267,772</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872,997</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740,393</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Gross Sales</w:t>
            </w: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1,071,427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839,064</w:t>
            </w: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27.7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3,018,457</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2,420,314</w:t>
            </w: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(43,366)</w:t>
            </w: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(39,405)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Sales</w:t>
            </w: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1,056,586</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826,665</w:t>
            </w: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27.8</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2,975,091</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2,380,909</w:t>
            </w: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Gross sales in the third quarter of 2017 increased 28% compared to the same period of 2016, due to a 22% increase in unit sales and a 6% increase in selling prices primarily due to the Lumber Market. Acquired operations contributed 15% to our unit sales growth, and our organic unit sales growth was 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Gross sales to the retail market increased almost 16% in the third quarter of 2017 compared to the same period of 2016, due to a 12% increase in unit sales and a 4% increase in selling prices. Within this market, sales to our big box customers increased almost 13%, and sales to other independent retailers increased over 20%. Businesses we acquired contributed 7% to our growth in unit sales, primarily to independent retail customers. Our organic unit growth was 5% for the quarter. By comparison, “big box” same store sales growth during the third quarter has been reported at approximately 6.3%.</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Gross sales to the retail market increased over 14% in the first nine months of 2017 compared to the same period of 2016, due to a 9% increase in unit sales and a 5% increase in selling prices. Within this market, sales to our big box customers increased almost 15%, and sales to other independent retailers increased almost 14%. Businesses we acquired contributed 6% to our growth in unit sales, primarily to independent retail customers. Our organic unit growth was 3% in the first nine months of 2017. By comparison, “big box” same store sales growth in the first nine months of 2017 has been reported at approximately 6.0%.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Gross sales to the industrial market increased over 59% in the third quarter of 2017 compared to the same period of 2016, resulting from a 54% increase in unit sales and a 5% increase in selling prices. Businesses we acquired contributed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43% to our growth in unit sales. Our organic growth in unit sales of 11% was primarily due to new operations, adding 578 new customers, and share gains with several existing customers.</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Gross sales to the industrial market increased almost 49% in the first nine months of 2017 compared to the same period of 2016, resulting from a 43% increase in unit sales and a 6% increase in selling prices. Businesses we acquired contributed 34% to our growth in unit sales. Our organic growth in unit sales of 9% was primarily due to same factors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sales to the construction market increased almost 16% in the third quarter of 2017 compared to 2016. The increase was due to an 8% increase in unit sales and an 8% increase in our selling prices. Our increase in unit sales was driven by a 12% increase to manufactured housing customers, and an 8% increase to residential construction customers, offset by a 5% decrease to commercial construction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20" w:right="260" w:hanging="331"/>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of HUD-code manufactured homes in June, July, August 2017, the most recent period reported, was up 12.0% compared to the same period of 2016.</w:t>
      </w:r>
    </w:p>
    <w:p>
      <w:pPr>
        <w:spacing w:after="0" w:line="1" w:lineRule="exact"/>
        <w:rPr>
          <w:rFonts w:ascii="Arial" w:cs="Arial" w:eastAsia="Arial" w:hAnsi="Arial"/>
          <w:sz w:val="18"/>
          <w:szCs w:val="18"/>
          <w:color w:val="auto"/>
        </w:rPr>
      </w:pPr>
    </w:p>
    <w:p>
      <w:pPr>
        <w:ind w:left="820" w:right="300" w:hanging="331"/>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Non-residential construction activity in July and August increased approximately 10.2% compared to the same period of 2016.</w:t>
      </w:r>
    </w:p>
    <w:p>
      <w:pPr>
        <w:ind w:left="820" w:right="260" w:hanging="331"/>
        <w:spacing w:after="0" w:line="30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National housing starts increased approximately 0.9% in the period from June through August 2017 (our sales trail housing starts by about a month) compared to the same period of 2016. Our sales growth exceeds national industry growth due to certain market share gains and organic sales growth in our eastern regions.</w:t>
      </w:r>
    </w:p>
    <w:p>
      <w:pPr>
        <w:spacing w:after="0" w:line="1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Gross sales to the construction market increased almost 18% in the first nine months of 2017 compared to 2016. The increase was due to a 9% increase in unit sales and a 9% increase in our selling prices. Our increase in unit sales was driven by an 11% increase to manufactured housing customers, an 11% increase to residential construction customers, and a 1% increase to commercial construction customers due to the same factors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08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3"/>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060" w:type="dxa"/>
            <w:vAlign w:val="bottom"/>
          </w:tcPr>
          <w:p>
            <w:pPr>
              <w:spacing w:after="0"/>
              <w:rPr>
                <w:sz w:val="10"/>
                <w:szCs w:val="10"/>
                <w:color w:val="auto"/>
              </w:rPr>
            </w:pPr>
          </w:p>
        </w:tc>
        <w:tc>
          <w:tcPr>
            <w:tcW w:w="104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tcPr>
          <w:p>
            <w:pPr>
              <w:ind w:left="60"/>
              <w:spacing w:after="0" w:line="126" w:lineRule="exact"/>
              <w:rPr>
                <w:sz w:val="20"/>
                <w:szCs w:val="20"/>
                <w:color w:val="auto"/>
              </w:rPr>
            </w:pPr>
            <w:r>
              <w:rPr>
                <w:rFonts w:ascii="Arial" w:cs="Arial" w:eastAsia="Arial" w:hAnsi="Arial"/>
                <w:sz w:val="14"/>
                <w:szCs w:val="14"/>
                <w:b w:val="1"/>
                <w:bCs w:val="1"/>
                <w:color w:val="auto"/>
                <w:w w:val="96"/>
              </w:rPr>
              <w:t>September 24,</w:t>
            </w:r>
          </w:p>
        </w:tc>
        <w:tc>
          <w:tcPr>
            <w:tcW w:w="40" w:type="dxa"/>
            <w:vAlign w:val="bottom"/>
          </w:tcPr>
          <w:p>
            <w:pPr>
              <w:spacing w:after="0"/>
              <w:rPr>
                <w:sz w:val="10"/>
                <w:szCs w:val="10"/>
                <w:color w:val="auto"/>
              </w:rPr>
            </w:pPr>
          </w:p>
        </w:tc>
        <w:tc>
          <w:tcPr>
            <w:tcW w:w="104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30,</w:t>
            </w: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24,</w:t>
            </w:r>
          </w:p>
        </w:tc>
      </w:tr>
      <w:tr>
        <w:trPr>
          <w:trHeight w:val="178"/>
        </w:trPr>
        <w:tc>
          <w:tcPr>
            <w:tcW w:w="50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63.9 %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61.1 %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62.9 %</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61.5 %</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Commodity-Based</w:t>
            </w:r>
          </w:p>
        </w:tc>
        <w:tc>
          <w:tcPr>
            <w:tcW w:w="1000" w:type="dxa"/>
            <w:vAlign w:val="bottom"/>
          </w:tcPr>
          <w:p>
            <w:pPr>
              <w:ind w:left="380"/>
              <w:spacing w:after="0"/>
              <w:rPr>
                <w:sz w:val="20"/>
                <w:szCs w:val="20"/>
                <w:color w:val="auto"/>
              </w:rPr>
            </w:pPr>
            <w:r>
              <w:rPr>
                <w:rFonts w:ascii="Arial" w:cs="Arial" w:eastAsia="Arial" w:hAnsi="Arial"/>
                <w:sz w:val="18"/>
                <w:szCs w:val="18"/>
                <w:color w:val="auto"/>
              </w:rPr>
              <w:t>36.1 %</w:t>
            </w:r>
          </w:p>
        </w:tc>
        <w:tc>
          <w:tcPr>
            <w:tcW w:w="40" w:type="dxa"/>
            <w:vAlign w:val="bottom"/>
          </w:tcPr>
          <w:p>
            <w:pPr>
              <w:spacing w:after="0"/>
              <w:rPr>
                <w:sz w:val="20"/>
                <w:szCs w:val="20"/>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38.9 %</w:t>
            </w:r>
          </w:p>
        </w:tc>
        <w:tc>
          <w:tcPr>
            <w:tcW w:w="40" w:type="dxa"/>
            <w:vAlign w:val="bottom"/>
          </w:tcPr>
          <w:p>
            <w:pPr>
              <w:spacing w:after="0"/>
              <w:rPr>
                <w:sz w:val="20"/>
                <w:szCs w:val="20"/>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37.1 %</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Our gross margin decreased to 13.7% from 14.3% comparing the third quarter of 2017 to the same period of 2016 due to the higher level of lumber prices. Our 22.6% increase in gross profit dollars compares favorably with our 22% increase in unit sales during the same period. Acquired operations contributed $19.9 million of gross profit in the third quarter of</w:t>
      </w:r>
    </w:p>
    <w:p>
      <w:pPr>
        <w:spacing w:after="0"/>
        <w:rPr>
          <w:sz w:val="20"/>
          <w:szCs w:val="20"/>
          <w:color w:val="auto"/>
        </w:rPr>
      </w:pPr>
      <w:r>
        <w:rPr>
          <w:rFonts w:ascii="Arial" w:cs="Arial" w:eastAsia="Arial" w:hAnsi="Arial"/>
          <w:sz w:val="16"/>
          <w:szCs w:val="16"/>
          <w:color w:val="auto"/>
        </w:rPr>
        <w:t>2017. Excluding acquisitions, our gross profits increased by $6.7 million, or 5.7%, over the same period last year as follows:</w:t>
      </w:r>
    </w:p>
    <w:p>
      <w:pPr>
        <w:spacing w:after="0" w:line="234" w:lineRule="exact"/>
        <w:rPr>
          <w:sz w:val="20"/>
          <w:szCs w:val="20"/>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approximately $1 million.</w:t>
      </w:r>
    </w:p>
    <w:p>
      <w:pPr>
        <w:spacing w:after="0" w:line="23" w:lineRule="exact"/>
        <w:rPr>
          <w:rFonts w:ascii="Arial" w:cs="Arial" w:eastAsia="Arial" w:hAnsi="Arial"/>
          <w:sz w:val="18"/>
          <w:szCs w:val="18"/>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$1 million.</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hanging="33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over $3 million.</w:t>
      </w:r>
    </w:p>
    <w:p>
      <w:pPr>
        <w:spacing w:after="0" w:line="225"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Our gross margin decreased to 13.9% from 14.8% comparing the first nine months of 2017 to the same period of 2016. Our 17.4% increase in gross profit dollars compares unfavorably with our 19% increase in unit sales in the first nine months of 2017 compared to the same period last year. The increase in our gross profit dollars was primarily due to acquired operations which contributed $45.6 million of gross profit in the first nine months of 2017. Excluding acquisitions, our gross profits increased by $15.8 million over the same period last year as follows:</w:t>
      </w:r>
    </w:p>
    <w:p>
      <w:pPr>
        <w:spacing w:after="0" w:line="173" w:lineRule="exact"/>
        <w:rPr>
          <w:sz w:val="20"/>
          <w:szCs w:val="20"/>
          <w:color w:val="auto"/>
        </w:rPr>
      </w:pPr>
    </w:p>
    <w:p>
      <w:pPr>
        <w:ind w:left="820" w:hanging="33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over $3 million.</w:t>
      </w:r>
    </w:p>
    <w:p>
      <w:pPr>
        <w:spacing w:after="0" w:line="23" w:lineRule="exact"/>
        <w:rPr>
          <w:rFonts w:ascii="Arial" w:cs="Arial" w:eastAsia="Arial" w:hAnsi="Arial"/>
          <w:sz w:val="18"/>
          <w:szCs w:val="18"/>
          <w:color w:val="auto"/>
        </w:rPr>
      </w:pPr>
    </w:p>
    <w:p>
      <w:pPr>
        <w:ind w:left="820" w:hanging="33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decreased by over $5 million.</w:t>
      </w:r>
    </w:p>
    <w:p>
      <w:pPr>
        <w:spacing w:after="0" w:line="9" w:lineRule="exact"/>
        <w:rPr>
          <w:rFonts w:ascii="Arial" w:cs="Arial" w:eastAsia="Arial" w:hAnsi="Arial"/>
          <w:sz w:val="18"/>
          <w:szCs w:val="18"/>
          <w:color w:val="auto"/>
        </w:rPr>
      </w:pPr>
    </w:p>
    <w:p>
      <w:pPr>
        <w:ind w:left="820" w:hanging="33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over $12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159"/>
        <w:spacing w:after="0" w:line="276" w:lineRule="auto"/>
        <w:rPr>
          <w:sz w:val="20"/>
          <w:szCs w:val="20"/>
          <w:color w:val="auto"/>
        </w:rPr>
      </w:pPr>
      <w:r>
        <w:rPr>
          <w:rFonts w:ascii="Arial" w:cs="Arial" w:eastAsia="Arial" w:hAnsi="Arial"/>
          <w:sz w:val="17"/>
          <w:szCs w:val="17"/>
          <w:color w:val="auto"/>
        </w:rPr>
        <w:t>Selling, general and administrative (“SG&amp;A”) expenses increased by approximately $17.9 million, or 24.0%, in the third quarter of 2017 compared to the same period of 2016, while we reported a 22% increase in unit sales. Accrued bonus expense, which varies with our overall profitability and return on investment, totaled $12.4 million in the third quarter of 2017 compared to $12.0 million in 2016. Acquired operations contributed approximately $15 million to our year over year increase. The remaining increase was primarily due to an increase in compensation and benefit costs.</w:t>
      </w:r>
    </w:p>
    <w:p>
      <w:pPr>
        <w:spacing w:after="0" w:line="173"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Selling, general and administrative (“SG&amp;A”) expenses increased by approximately $50.5 million, or 22.6%, in the first nine months of 2017 compared to the same period of 2016, while we reported a 19% increase in unit sales. Accrued bonus expense totaled $32.6 million in the nine months of 2017 compared to $33.9 million in 2016. Acquired operations contributed approximately $41 million to our year over year increase. The remaining increase was primarily due to an increase in compensation and benefit costs and foreign currency exchange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Net interest costs were higher in the third quarter of 2017 compared to the same period of 2016 due to carrying a higher amount of debt and a slight increase in short-term borrowing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31.9% in the third quarter of 2017 compared to 32.5% for same period in 2016. Our effective tax rate was 33.0% in the first nine months of 2017 compared to 34.2% in 2016. The decrease in our effective tax rate is primarily due to recording a tax deduction for certain share-based compensation at fair market value.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our net sales and earnings from operations by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88"/>
              </w:rPr>
              <w:t>Net Sales</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126"/>
        </w:trPr>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0"/>
                <w:szCs w:val="10"/>
                <w:color w:val="auto"/>
              </w:rPr>
            </w:pPr>
          </w:p>
        </w:tc>
        <w:tc>
          <w:tcPr>
            <w:tcW w:w="980" w:type="dxa"/>
            <w:vAlign w:val="bottom"/>
            <w:gridSpan w:val="4"/>
          </w:tcPr>
          <w:p>
            <w:pPr>
              <w:ind w:left="40"/>
              <w:spacing w:after="0" w:line="126" w:lineRule="exact"/>
              <w:rPr>
                <w:sz w:val="20"/>
                <w:szCs w:val="20"/>
                <w:color w:val="auto"/>
              </w:rPr>
            </w:pPr>
            <w:r>
              <w:rPr>
                <w:rFonts w:ascii="Arial" w:cs="Arial" w:eastAsia="Arial" w:hAnsi="Arial"/>
                <w:sz w:val="14"/>
                <w:szCs w:val="14"/>
                <w:b w:val="1"/>
                <w:bCs w:val="1"/>
                <w:color w:val="auto"/>
                <w:w w:val="96"/>
              </w:rPr>
              <w:t>September 24,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55"/>
              <w:spacing w:after="0" w:line="126"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0"/>
                <w:szCs w:val="10"/>
                <w:color w:val="auto"/>
              </w:rPr>
            </w:pPr>
          </w:p>
        </w:tc>
        <w:tc>
          <w:tcPr>
            <w:tcW w:w="460" w:type="dxa"/>
            <w:vAlign w:val="bottom"/>
          </w:tcPr>
          <w:p>
            <w:pPr>
              <w:jc w:val="center"/>
              <w:ind w:left="194"/>
              <w:spacing w:after="0" w:line="126"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102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w w:val="96"/>
              </w:rPr>
              <w:t>September 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440" w:type="dxa"/>
            <w:vAlign w:val="bottom"/>
          </w:tcPr>
          <w:p>
            <w:pPr>
              <w:jc w:val="center"/>
              <w:ind w:left="94"/>
              <w:spacing w:after="0" w:line="12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r>
      <w:tr>
        <w:trPr>
          <w:trHeight w:val="178"/>
        </w:trPr>
        <w:tc>
          <w:tcPr>
            <w:tcW w:w="1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South</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206,050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173,715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32,335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111,625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224.1</w:t>
            </w: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10"/>
        </w:trPr>
        <w:tc>
          <w:tcPr>
            <w:tcW w:w="1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1,056,586</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826,665</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2"/>
              </w:rPr>
              <w:t>$ 229,921</w:t>
            </w: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right w:val="single" w:sz="8" w:color="auto"/>
            </w:tcBorders>
            <w:gridSpan w:val="2"/>
          </w:tcPr>
          <w:p>
            <w:pPr>
              <w:jc w:val="right"/>
              <w:ind w:right="30"/>
              <w:spacing w:after="0" w:line="203" w:lineRule="exact"/>
              <w:rPr>
                <w:sz w:val="20"/>
                <w:szCs w:val="20"/>
                <w:color w:val="auto"/>
              </w:rPr>
            </w:pPr>
            <w:r>
              <w:rPr>
                <w:rFonts w:ascii="Arial" w:cs="Arial" w:eastAsia="Arial" w:hAnsi="Arial"/>
                <w:sz w:val="18"/>
                <w:szCs w:val="18"/>
                <w:color w:val="auto"/>
              </w:rPr>
              <w:t>27.8 %</w:t>
            </w:r>
          </w:p>
        </w:tc>
        <w:tc>
          <w:tcPr>
            <w:tcW w:w="200" w:type="dxa"/>
            <w:vAlign w:val="bottom"/>
            <w:tcBorders>
              <w:top w:val="single" w:sz="8" w:color="CCEEFF"/>
              <w:right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52,271</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43,552</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8,719</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20.0 %</w:t>
            </w:r>
          </w:p>
        </w:tc>
      </w:tr>
      <w:tr>
        <w:trPr>
          <w:trHeight w:val="385"/>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center"/>
              <w:ind w:left="256"/>
              <w:spacing w:after="0"/>
              <w:rPr>
                <w:sz w:val="20"/>
                <w:szCs w:val="20"/>
                <w:color w:val="auto"/>
              </w:rPr>
            </w:pPr>
            <w:r>
              <w:rPr>
                <w:rFonts w:ascii="Arial" w:cs="Arial" w:eastAsia="Arial" w:hAnsi="Arial"/>
                <w:sz w:val="14"/>
                <w:szCs w:val="14"/>
                <w:b w:val="1"/>
                <w:bCs w:val="1"/>
                <w:color w:val="auto"/>
                <w:w w:val="88"/>
              </w:rPr>
              <w:t>Net Sales</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126"/>
        </w:trPr>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5"/>
          </w:tcPr>
          <w:p>
            <w:pPr>
              <w:ind w:left="2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0"/>
                <w:szCs w:val="10"/>
                <w:color w:val="auto"/>
              </w:rPr>
            </w:pPr>
          </w:p>
        </w:tc>
        <w:tc>
          <w:tcPr>
            <w:tcW w:w="980" w:type="dxa"/>
            <w:vAlign w:val="bottom"/>
            <w:gridSpan w:val="4"/>
          </w:tcPr>
          <w:p>
            <w:pPr>
              <w:ind w:left="20"/>
              <w:spacing w:after="0" w:line="126" w:lineRule="exact"/>
              <w:rPr>
                <w:sz w:val="20"/>
                <w:szCs w:val="20"/>
                <w:color w:val="auto"/>
              </w:rPr>
            </w:pPr>
            <w:r>
              <w:rPr>
                <w:rFonts w:ascii="Arial" w:cs="Arial" w:eastAsia="Arial" w:hAnsi="Arial"/>
                <w:sz w:val="14"/>
                <w:szCs w:val="14"/>
                <w:b w:val="1"/>
                <w:bCs w:val="1"/>
                <w:color w:val="auto"/>
                <w:w w:val="98"/>
              </w:rPr>
              <w:t>September 24,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55"/>
              <w:spacing w:after="0" w:line="126"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0"/>
                <w:szCs w:val="10"/>
                <w:color w:val="auto"/>
              </w:rPr>
            </w:pPr>
          </w:p>
        </w:tc>
        <w:tc>
          <w:tcPr>
            <w:tcW w:w="460" w:type="dxa"/>
            <w:vAlign w:val="bottom"/>
          </w:tcPr>
          <w:p>
            <w:pPr>
              <w:jc w:val="center"/>
              <w:ind w:left="194"/>
              <w:spacing w:after="0" w:line="126"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102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w w:val="96"/>
              </w:rPr>
              <w:t>September 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440" w:type="dxa"/>
            <w:vAlign w:val="bottom"/>
          </w:tcPr>
          <w:p>
            <w:pPr>
              <w:jc w:val="right"/>
              <w:ind w:right="54"/>
              <w:spacing w:after="0" w:line="12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r>
      <w:tr>
        <w:trPr>
          <w:trHeight w:val="178"/>
        </w:trPr>
        <w:tc>
          <w:tcPr>
            <w:tcW w:w="1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857,858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top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South</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616,376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533,239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83,137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(4,678)</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(13.1)%</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1,088,744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148,556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412,113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149,416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262,697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175.8</w:t>
            </w: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10"/>
        </w:trPr>
        <w:tc>
          <w:tcPr>
            <w:tcW w:w="1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2,975,091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2,380,909</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2"/>
              </w:rPr>
              <w:t>$ 594,182</w:t>
            </w: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right w:val="single" w:sz="8" w:color="auto"/>
            </w:tcBorders>
            <w:gridSpan w:val="2"/>
          </w:tcPr>
          <w:p>
            <w:pPr>
              <w:jc w:val="right"/>
              <w:ind w:right="30"/>
              <w:spacing w:after="0" w:line="203" w:lineRule="exact"/>
              <w:rPr>
                <w:sz w:val="20"/>
                <w:szCs w:val="20"/>
                <w:color w:val="auto"/>
              </w:rPr>
            </w:pPr>
            <w:r>
              <w:rPr>
                <w:rFonts w:ascii="Arial" w:cs="Arial" w:eastAsia="Arial" w:hAnsi="Arial"/>
                <w:sz w:val="18"/>
                <w:szCs w:val="18"/>
                <w:color w:val="auto"/>
              </w:rPr>
              <w:t>25.0 %</w:t>
            </w:r>
          </w:p>
        </w:tc>
        <w:tc>
          <w:tcPr>
            <w:tcW w:w="200" w:type="dxa"/>
            <w:vAlign w:val="bottom"/>
            <w:tcBorders>
              <w:top w:val="single" w:sz="8" w:color="CCEEFF"/>
              <w:right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139,991</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129,127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10,864</w:t>
            </w: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r>
      <w:tr>
        <w:trPr>
          <w:trHeight w:val="108"/>
        </w:trPr>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94" w:lineRule="exact"/>
        <w:rPr>
          <w:sz w:val="20"/>
          <w:szCs w:val="20"/>
          <w:color w:val="auto"/>
        </w:rPr>
      </w:pPr>
    </w:p>
    <w:p>
      <w:pPr>
        <w:ind w:right="1360" w:firstLine="3"/>
        <w:spacing w:after="0" w:line="504"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Corporate primarily represents over (under) allocated administrative costs and accrued bonus expense. </w:t>
      </w:r>
      <w:r>
        <w:rPr>
          <w:rFonts w:ascii="Arial" w:cs="Arial" w:eastAsia="Arial" w:hAnsi="Arial"/>
          <w:sz w:val="18"/>
          <w:szCs w:val="18"/>
          <w:u w:val="single" w:color="auto"/>
          <w:color w:val="auto"/>
        </w:rPr>
        <w:t>North</w:t>
      </w:r>
    </w:p>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8"/>
              </w:rPr>
              <w:t>Net Sales</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left="436"/>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0"/>
                <w:szCs w:val="10"/>
                <w:color w:val="auto"/>
              </w:rPr>
            </w:pPr>
          </w:p>
        </w:tc>
        <w:tc>
          <w:tcPr>
            <w:tcW w:w="10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24,</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0"/>
                <w:szCs w:val="10"/>
                <w:color w:val="auto"/>
              </w:rPr>
            </w:pPr>
          </w:p>
        </w:tc>
        <w:tc>
          <w:tcPr>
            <w:tcW w:w="1060" w:type="dxa"/>
            <w:vAlign w:val="bottom"/>
            <w:gridSpan w:val="3"/>
          </w:tcPr>
          <w:p>
            <w:pPr>
              <w:ind w:left="20"/>
              <w:spacing w:after="0" w:line="126"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24,</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Market Classification</w:t>
            </w: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139,284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387,925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369,699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Industrial</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114,533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87,287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137,616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113,897</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373,838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316,204</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Arial" w:cs="Arial" w:eastAsia="Arial" w:hAnsi="Arial"/>
                <w:sz w:val="18"/>
                <w:szCs w:val="18"/>
                <w:color w:val="auto"/>
              </w:rPr>
              <w:t>Total Gross Sales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317,092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272,754</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16.3</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876,296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773,190</w:t>
            </w:r>
          </w:p>
        </w:tc>
        <w:tc>
          <w:tcPr>
            <w:tcW w:w="1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13.3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(15,124)</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320" w:type="dxa"/>
            <w:vAlign w:val="bottom"/>
          </w:tcPr>
          <w:p>
            <w:pPr>
              <w:spacing w:after="0" w:line="203" w:lineRule="exact"/>
              <w:rPr>
                <w:sz w:val="20"/>
                <w:szCs w:val="20"/>
                <w:color w:val="auto"/>
              </w:rPr>
            </w:pPr>
            <w:r>
              <w:rPr>
                <w:rFonts w:ascii="Arial" w:cs="Arial" w:eastAsia="Arial" w:hAnsi="Arial"/>
                <w:sz w:val="18"/>
                <w:szCs w:val="18"/>
                <w:color w:val="auto"/>
              </w:rPr>
              <w:t>Total Net Sales</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310,384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267,156</w:t>
            </w:r>
          </w:p>
        </w:tc>
        <w:tc>
          <w:tcPr>
            <w:tcW w:w="140" w:type="dxa"/>
            <w:vAlign w:val="bottom"/>
          </w:tcPr>
          <w:p>
            <w:pPr>
              <w:spacing w:after="0"/>
              <w:rPr>
                <w:sz w:val="18"/>
                <w:szCs w:val="18"/>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16.2</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857,858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758,066</w:t>
            </w:r>
          </w:p>
        </w:tc>
        <w:tc>
          <w:tcPr>
            <w:tcW w:w="140" w:type="dxa"/>
            <w:vAlign w:val="bottom"/>
          </w:tcPr>
          <w:p>
            <w:pPr>
              <w:spacing w:after="0"/>
              <w:rPr>
                <w:sz w:val="18"/>
                <w:szCs w:val="18"/>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13.2</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sales attributable to the North reportable segment increased in the third quarter of 2017 compared to 2016 as a result of increased sales to each of our markets primarily due to the same factors previously discussed. Acquired operations contributed $8.7 million to our industrial sales increase.</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Earnings from operations for the North reportable segment increased in the third quarter of 2017 by $2.1 million, or 14.1%, due to an increase in gross profit of $2.7 million, offset by a $0.6 million increase in SG&amp;A expenses compared to last year. Acquired operations contributed $0.4 million to our operating profits in the third quarter.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attributable to the North reportable segment increased in the first nine months of 2017 compared to 2016 due to an increase in sales to each of our markets primarily due to the same factors previously discussed. Acquired operations contributed $21.0 million to our industrial sales increase.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North reportable segment decreased in the first nine months of 2017 by $0.1 million, or</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0.3%, due to an increase in gross profit of $4.5 million offset by a $4.6 million increase in SG&amp;A expenses compared to last year. Acquired operations contributed $1.4 million to our operating profits in the first nine months of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Net Sales</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jc w:val="center"/>
              <w:ind w:left="36"/>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7"/>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1120" w:type="dxa"/>
            <w:vAlign w:val="bottom"/>
            <w:gridSpan w:val="5"/>
          </w:tcPr>
          <w:p>
            <w:pPr>
              <w:ind w:left="60"/>
              <w:spacing w:after="0" w:line="126" w:lineRule="exact"/>
              <w:rPr>
                <w:sz w:val="20"/>
                <w:szCs w:val="20"/>
                <w:color w:val="auto"/>
              </w:rPr>
            </w:pPr>
            <w:r>
              <w:rPr>
                <w:rFonts w:ascii="Arial" w:cs="Arial" w:eastAsia="Arial" w:hAnsi="Arial"/>
                <w:sz w:val="14"/>
                <w:szCs w:val="14"/>
                <w:b w:val="1"/>
                <w:bCs w:val="1"/>
                <w:color w:val="auto"/>
              </w:rPr>
              <w:t>September 24,</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September 24,</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92,146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75,130</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282,809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240,175</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61,749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201,928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185,529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145,387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118,223</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210,590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177,264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18.8</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630,124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543,927</w:t>
            </w: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15.8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206,050</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173,715</w:t>
            </w: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18.6</w:t>
            </w:r>
          </w:p>
        </w:tc>
        <w:tc>
          <w:tcPr>
            <w:tcW w:w="2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616,376</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533,239</w:t>
            </w: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sales attributable to the South reportable segment increased in the third quarter of 2017 compared to 2016 due to increased sales to all markets primarily due to the same factors previously discussed. Acquired operations contributed $24.4 million and $1.8 million to our growth in sales to the retail and industrial market, respectively.</w:t>
      </w:r>
    </w:p>
    <w:p>
      <w:pPr>
        <w:spacing w:after="0" w:line="1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Earnings from operations for the South reportable segment increased in the third quarter of 2017 by $0.3 million, or 3.4%, due to a increase in gross profit of $0.7 million offset by a $0.4 million increase in SG&amp;A expenses. Acquired operations contributed $0.6 million to our operating profits in the third quarter.</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Net sales attributable to the South reportable segment increased in the first nine months of 2017 compared to 2016 due to increased sales to all markets primarily due to the factors previously discussed. Acquired operations contributed $59.9 million of sales growth to our retail market.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Earnings from operations for the South reportable segment decreased in the first nine months of 2017 by $4.7 million, or 13.1%, due to a decrease in gross profit of $3.1 million and an increase of $1.6 million in SG&amp;A expenses. The decrease in gross profit was primarily due to the impact of the volatility in lumber prices. Acquired operations contributed $2.0 million to our operating profits in the first nine months of 2017.</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jc w:val="center"/>
              <w:ind w:left="56"/>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7"/>
          </w:tcPr>
          <w:p>
            <w:pPr>
              <w:jc w:val="center"/>
              <w:ind w:left="96"/>
              <w:spacing w:after="0" w:line="149" w:lineRule="exact"/>
              <w:rPr>
                <w:sz w:val="20"/>
                <w:szCs w:val="20"/>
                <w:color w:val="auto"/>
              </w:rPr>
            </w:pPr>
            <w:r>
              <w:rPr>
                <w:rFonts w:ascii="Arial" w:cs="Arial" w:eastAsia="Arial" w:hAnsi="Arial"/>
                <w:sz w:val="14"/>
                <w:szCs w:val="14"/>
                <w:b w:val="1"/>
                <w:bCs w:val="1"/>
                <w:color w:val="auto"/>
                <w:w w:val="92"/>
              </w:rPr>
              <w:t>West Segment by Market</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7"/>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ind w:left="576"/>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1120" w:type="dxa"/>
            <w:vAlign w:val="bottom"/>
            <w:gridSpan w:val="5"/>
          </w:tcPr>
          <w:p>
            <w:pPr>
              <w:ind w:left="80"/>
              <w:spacing w:after="0" w:line="126" w:lineRule="exact"/>
              <w:rPr>
                <w:sz w:val="20"/>
                <w:szCs w:val="20"/>
                <w:color w:val="auto"/>
              </w:rPr>
            </w:pPr>
            <w:r>
              <w:rPr>
                <w:rFonts w:ascii="Arial" w:cs="Arial" w:eastAsia="Arial" w:hAnsi="Arial"/>
                <w:sz w:val="14"/>
                <w:szCs w:val="14"/>
                <w:b w:val="1"/>
                <w:bCs w:val="1"/>
                <w:color w:val="auto"/>
              </w:rPr>
              <w:t>September 24,</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spacing w:after="0" w:line="126" w:lineRule="exact"/>
              <w:rPr>
                <w:sz w:val="20"/>
                <w:szCs w:val="20"/>
                <w:color w:val="auto"/>
              </w:rPr>
            </w:pPr>
            <w:r>
              <w:rPr>
                <w:rFonts w:ascii="Arial" w:cs="Arial" w:eastAsia="Arial" w:hAnsi="Arial"/>
                <w:sz w:val="14"/>
                <w:szCs w:val="14"/>
                <w:b w:val="1"/>
                <w:bCs w:val="1"/>
                <w:color w:val="auto"/>
              </w:rPr>
              <w:t>September 24,</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115,069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99,762</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347,270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298,723</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145,132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126,836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401,850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347,902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123,026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113,488</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353,238</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305,962</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383,227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340,086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12.7</w:t>
            </w:r>
          </w:p>
        </w:tc>
        <w:tc>
          <w:tcPr>
            <w:tcW w:w="28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7"/>
              </w:rPr>
              <w:t>1,102,358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952,587</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15.7</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378,714</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335,981</w:t>
            </w: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1,088,744</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940,188</w:t>
            </w: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15.8</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attributable to the West reportable segment increased in the third quarter of 2017 compared to 2016 due to increases in sales to all markets primarily due to factors previously discussed.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third quarter of 2017 by $2.6 million, or 12.9%, compared to the same period in 2016 due to a $2.5 million increase in gross profit combined with a $0.1 million decrease in SG&amp;A expenses.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nine months of 2017 compared to 2016 due to an increase in sales to all markets due to the same factors previously discussed.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West reportable segment increased in the first nine months of 2017 by $7.1 million, or</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12.2%, compared to the same period in 2016 due to a $10.8 million increase in gross profit, offset by a $3.7 million increase in SG&amp;A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Net Sales</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5"/>
              </w:rPr>
              <w:t>All Other Segment by Market</w:t>
            </w: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4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6"/>
              </w:rPr>
              <w:t>September 30,</w:t>
            </w:r>
          </w:p>
        </w:tc>
        <w:tc>
          <w:tcPr>
            <w:tcW w:w="108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rPr>
              <w:t>September 24,</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45,396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33,049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37.4</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144,782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109,606</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32.1</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114,792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264,364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8,175.0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13,225.0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160,519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48,960</w:t>
            </w: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227.9</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409,679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150,610</w:t>
            </w:r>
          </w:p>
        </w:tc>
        <w:tc>
          <w:tcPr>
            <w:tcW w:w="1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172.0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161,438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49,813</w:t>
            </w:r>
          </w:p>
        </w:tc>
        <w:tc>
          <w:tcPr>
            <w:tcW w:w="140" w:type="dxa"/>
            <w:vAlign w:val="bottom"/>
          </w:tcPr>
          <w:p>
            <w:pPr>
              <w:spacing w:after="0"/>
              <w:rPr>
                <w:sz w:val="18"/>
                <w:szCs w:val="18"/>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224.1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412,113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149,416</w:t>
            </w:r>
          </w:p>
        </w:tc>
        <w:tc>
          <w:tcPr>
            <w:tcW w:w="160" w:type="dxa"/>
            <w:vAlign w:val="bottom"/>
          </w:tcPr>
          <w:p>
            <w:pPr>
              <w:spacing w:after="0"/>
              <w:rPr>
                <w:sz w:val="18"/>
                <w:szCs w:val="18"/>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175.8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third quarter of 2017 compared to 2016 due to increases in sales to the retail and industrial markets. Our increase in sales to the industrial market was primarily due to an $89.3 million increase from businesses we acquired since September of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Earnings from operations for All Other reportable segments increased during the third quarter of 2017 by $3.9 million, or 132.6%, compared to the same period of 2016. During the third quarter of 2017, gross profit dollars increased $20.6 million, offset by an increase in SG&amp;A expenses of $16.1 million compared to the same period of 2016. Businesses we acquired contributed $3.7 million to our earnings from operations during the third quarter of 2017.</w:t>
      </w:r>
    </w:p>
    <w:p>
      <w:pPr>
        <w:spacing w:after="0" w:line="17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first nine months of 2017 compared to 2016 due to increases in sales to the retail and industrial markets. Our increase in sales to the industrial market was primarily due to a $203.1 million increase from businesses we acquired since September of 2016.</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Earnings from operations for All Other reportable segments increased during the first nine months of 2017 by $1.7 million, or 15.1%, compared to the same period of 2016. During the first nine months of 2017, gross profit dollars increased $48.4 million, offset by an increase in SG&amp;A expenses of $46.7 million compared to the same period of 2016. Businesses we acquired since September of 2016 contributed $1.1 million to the earnings from operations increase in the first nine months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960" w:type="dxa"/>
            <w:vAlign w:val="bottom"/>
            <w:tcBorders>
              <w:top w:val="single" w:sz="8" w:color="auto"/>
            </w:tcBorders>
            <w:gridSpan w:val="3"/>
          </w:tcPr>
          <w:p>
            <w:pPr>
              <w:ind w:left="100"/>
              <w:spacing w:after="0" w:line="126" w:lineRule="exact"/>
              <w:rPr>
                <w:sz w:val="20"/>
                <w:szCs w:val="20"/>
                <w:color w:val="auto"/>
              </w:rPr>
            </w:pPr>
            <w:r>
              <w:rPr>
                <w:rFonts w:ascii="Arial" w:cs="Arial" w:eastAsia="Arial" w:hAnsi="Arial"/>
                <w:sz w:val="14"/>
                <w:szCs w:val="14"/>
                <w:b w:val="1"/>
                <w:bCs w:val="1"/>
                <w:color w:val="auto"/>
                <w:w w:val="87"/>
              </w:rPr>
              <w:t>September 24,</w:t>
            </w:r>
          </w:p>
        </w:tc>
        <w:tc>
          <w:tcPr>
            <w:tcW w:w="20" w:type="dxa"/>
            <w:vAlign w:val="bottom"/>
          </w:tcPr>
          <w:p>
            <w:pPr>
              <w:spacing w:after="0"/>
              <w:rPr>
                <w:sz w:val="10"/>
                <w:szCs w:val="10"/>
                <w:color w:val="auto"/>
              </w:rPr>
            </w:pPr>
          </w:p>
        </w:tc>
      </w:tr>
      <w:tr>
        <w:trPr>
          <w:trHeight w:val="178"/>
        </w:trPr>
        <w:tc>
          <w:tcPr>
            <w:tcW w:w="58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136,377</w:t>
            </w:r>
          </w:p>
        </w:tc>
        <w:tc>
          <w:tcPr>
            <w:tcW w:w="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(121,375)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(200,139)</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20" w:type="dxa"/>
            <w:vAlign w:val="bottom"/>
          </w:tcPr>
          <w:p>
            <w:pPr>
              <w:spacing w:after="0"/>
              <w:rPr>
                <w:sz w:val="18"/>
                <w:szCs w:val="18"/>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w:t>
            </w:r>
          </w:p>
        </w:tc>
        <w:tc>
          <w:tcPr>
            <w:tcW w:w="20" w:type="dxa"/>
            <w:vAlign w:val="bottom"/>
          </w:tcPr>
          <w:p>
            <w:pPr>
              <w:spacing w:after="0"/>
              <w:rPr>
                <w:sz w:val="18"/>
                <w:szCs w:val="18"/>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88,342</w:t>
            </w:r>
          </w:p>
        </w:tc>
        <w:tc>
          <w:tcPr>
            <w:tcW w:w="20" w:type="dxa"/>
            <w:vAlign w:val="bottom"/>
          </w:tcPr>
          <w:p>
            <w:pPr>
              <w:spacing w:after="0"/>
              <w:rPr>
                <w:sz w:val="19"/>
                <w:szCs w:val="19"/>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49 days from 44 days during the third quarter and increased to 52 days from 47 in the first nine months of 2017 compared to the prior periods, due to the impact of</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acquired operations which carry comparatively higher investments in inventory than our other operations. Excluding acquired operations our cash cycle was 44 days in the third quarter of 2017 and 47 days in the first nine months of 2017.</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1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September 30,</w:t>
            </w:r>
          </w:p>
        </w:tc>
        <w:tc>
          <w:tcPr>
            <w:tcW w:w="94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6"/>
              </w:rPr>
              <w:t>September 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9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98"/>
              </w:rPr>
              <w:t>September 24,</w:t>
            </w:r>
          </w:p>
        </w:tc>
        <w:tc>
          <w:tcPr>
            <w:tcW w:w="180" w:type="dxa"/>
            <w:vAlign w:val="bottom"/>
          </w:tcPr>
          <w:p>
            <w:pPr>
              <w:spacing w:after="0"/>
              <w:rPr>
                <w:sz w:val="10"/>
                <w:szCs w:val="10"/>
                <w:color w:val="auto"/>
              </w:rPr>
            </w:pPr>
          </w:p>
        </w:tc>
      </w:tr>
      <w:tr>
        <w:trPr>
          <w:trHeight w:val="178"/>
        </w:trPr>
        <w:tc>
          <w:tcPr>
            <w:tcW w:w="2480" w:type="dxa"/>
            <w:vAlign w:val="bottom"/>
          </w:tcPr>
          <w:p>
            <w:pPr>
              <w:spacing w:after="0"/>
              <w:rPr>
                <w:sz w:val="15"/>
                <w:szCs w:val="15"/>
                <w:color w:val="auto"/>
              </w:rPr>
            </w:pPr>
          </w:p>
        </w:tc>
        <w:tc>
          <w:tcPr>
            <w:tcW w:w="14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r>
      <w:tr>
        <w:trPr>
          <w:trHeight w:val="23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r>
      <w:tr>
        <w:trPr>
          <w:trHeight w:val="210"/>
        </w:trPr>
        <w:tc>
          <w:tcPr>
            <w:tcW w:w="2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Days in cash cycle</w:t>
            </w:r>
          </w:p>
        </w:tc>
        <w:tc>
          <w:tcPr>
            <w:tcW w:w="5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first nine months of 2017, our cash from operating activities was $97.3 million, which was comprised of net earnings of $90.9 million and $41.3 million of non-cash expenses, offset by a $34.9 million increase in cash invested in working capital since the end of December 2016 due to the strong sales growth and higher lumber prices. Comparatively, cash from operating activities was $136.4 million in the first nine months of 2016, which was comprised of net earnings of $83.3 million and $32.3 million of non-cash expenses, offset by a $20.8 million seasonal decrease in working capital since the end of 2015. The increase in working capital compared to the same period last year was primarily due to significant increases in inventory and accounts receivable offset by increases in accounts payable which can be attributed to sales growth and higher lumber prices.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Acquisitions and purchases of property, plant, and equipment comprised most of our cash used in investing activities during the first nine months of 2017 and totaled $59.9 million and $57.2 million, respectively. Outstanding purchase commitments on existing capital projects totaled approximately $26.1 million on September 30, 2017. We currently plan to spend $70 million for the year in 2017 on capital expenditures. We intend to fund capital expenditures and purchase commitments through our operating cash flows for the balance of the year. Comparatively, capital expenditures were $35.7 million during the first nine months of 2016. The increase in our capital expenditures in 2017 is primarily due to the additional requirements of our recently acquired operations and an increase in our “expansionary and efficiency” capital expenditures tied to initiatives including new products, value-added product capacity expansion, and automation. The sale and purchase of investments totaling $12.2 million and $4.2 million, respectively, are due to investment activity in our captive insurance subsidiary.</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Cash flows from financing activities primarily consisted of net borrowings under our revolving credit facility of approximately $36.2 million, primarily to finance the $59.9 million of acquisitions we completed in the first nine months of 2017. Additionally, we had $9.2 million in dividend payments and $13.0 million in payments for stock repurchases.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September 30, 2017, we had $70.8 million outstanding on our $295 million revolving credit facility. The outstanding revolving credit facility also includes letters of credit totaling approximately $9.8 million on September 30, 2017; as a result, we have approximately $224.2 million in remaining availability on our revolver after considering letters of credit.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30, 2017.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These principles require us to make certain estimates and apply judgments that affect our financial position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results of operations. We continually review our accounting policies and financial information disclosures. There have been no material changes in our policies or estimates since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have entered into forward foreign exchange rate contracts in 2017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20" w:right="140" w:hanging="331"/>
        <w:spacing w:after="0" w:line="302"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30, 2017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20" w:right="20" w:hanging="331"/>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30, 2017,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Month</w:t>
            </w:r>
          </w:p>
        </w:tc>
        <w:tc>
          <w:tcPr>
            <w:tcW w:w="5240" w:type="dxa"/>
            <w:vAlign w:val="bottom"/>
            <w:gridSpan w:val="2"/>
          </w:tcPr>
          <w:p>
            <w:pPr>
              <w:spacing w:after="0"/>
              <w:rPr>
                <w:sz w:val="16"/>
                <w:szCs w:val="16"/>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r>
      <w:tr>
        <w:trPr>
          <w:trHeight w:val="203"/>
        </w:trPr>
        <w:tc>
          <w:tcPr>
            <w:tcW w:w="60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July 2 - August 5, 2017</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2,755,923</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August 6 - September 2, 2017</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34,900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80.40</w:t>
            </w: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2,721,023</w:t>
            </w: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3 - September 30, 2017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2,721,023</w:t>
            </w: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2"/>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Certificate of the Chief Executive Officer of Universal Forest Products, Inc., pursuant to Section 302 of the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2"/>
        </w:numPr>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Certificate of the Chief Financial Officer of Universal Forest Products, Inc., pursuant to Section 302 of the</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520" w:hanging="517"/>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2"/>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Certificate of the Chief Executive Officer of Universal Forest Products, Inc., pursuant to Section 906 of the</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2"/>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Certificate of the Chief Financial Officer of Universal Forest Products, Inc., pursuant to Section 906 of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rFonts w:ascii="Arial" w:cs="Arial" w:eastAsia="Arial" w:hAnsi="Arial"/>
          <w:sz w:val="18"/>
          <w:szCs w:val="18"/>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1, 2017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5" w:right="1440" w:bottom="1440" w:gutter="0" w:footer="0" w:header="0"/>
          <w:type w:val="continuous"/>
        </w:sect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1, 2017</w:t>
            </w:r>
          </w:p>
        </w:tc>
        <w:tc>
          <w:tcPr>
            <w:tcW w:w="452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1, 2017</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jc w:val="both"/>
        <w:ind w:left="560" w:hanging="557"/>
        <w:spacing w:after="0" w:line="224" w:lineRule="exact"/>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September 30, 2017,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jc w:val="both"/>
        <w:ind w:left="560" w:hanging="557"/>
        <w:spacing w:after="0" w:line="221" w:lineRule="exact"/>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September 30, 2017,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1, 2017</w:t>
            </w:r>
          </w:p>
        </w:tc>
        <w:tc>
          <w:tcPr>
            <w:tcW w:w="452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jc w:val="both"/>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September 30, 2017,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jc w:val="both"/>
        <w:ind w:left="560" w:hanging="557"/>
        <w:spacing w:after="0" w:line="221" w:lineRule="exact"/>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September 30, 2017,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November 1, 2017</w:t>
            </w:r>
          </w:p>
        </w:tc>
        <w:tc>
          <w:tcPr>
            <w:tcW w:w="452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3"/>
    </w:lvl>
  </w:abstractNum>
  <w:abstractNum w:abstractNumId="4">
    <w:nsid w:val="41A7C4C9"/>
    <w:multiLevelType w:val="hybridMultilevel"/>
    <w:lvl w:ilvl="0">
      <w:lvlJc w:val="left"/>
      <w:lvlText w:val="%1."/>
      <w:numFmt w:val="upperLetter"/>
      <w:start w:val="4"/>
    </w:lvl>
  </w:abstractNum>
  <w:abstractNum w:abstractNumId="5">
    <w:nsid w:val="6B68079A"/>
    <w:multiLevelType w:val="hybridMultilevel"/>
    <w:lvl w:ilvl="0">
      <w:lvlJc w:val="left"/>
      <w:lvlText w:val="%1."/>
      <w:numFmt w:val="upperLetter"/>
      <w:start w:val="5"/>
    </w:lvl>
  </w:abstractNum>
  <w:abstractNum w:abstractNumId="6">
    <w:nsid w:val="4E6AFB66"/>
    <w:multiLevelType w:val="hybridMultilevel"/>
    <w:lvl w:ilvl="0">
      <w:lvlJc w:val="left"/>
      <w:lvlText w:val="%1."/>
      <w:numFmt w:val="upperLetter"/>
      <w:start w:val="6"/>
    </w:lvl>
  </w:abstractNum>
  <w:abstractNum w:abstractNumId="7">
    <w:nsid w:val="25E45D32"/>
    <w:multiLevelType w:val="hybridMultilevel"/>
    <w:lvl w:ilvl="0">
      <w:lvlJc w:val="left"/>
      <w:lvlText w:val="%1."/>
      <w:numFmt w:val="upperLetter"/>
      <w:start w:val="7"/>
    </w:lvl>
  </w:abstractNum>
  <w:abstractNum w:abstractNumId="8">
    <w:nsid w:val="519B500D"/>
    <w:multiLevelType w:val="hybridMultilevel"/>
    <w:lvl w:ilvl="0">
      <w:lvlJc w:val="left"/>
      <w:lvlText w:val="%1."/>
      <w:numFmt w:val="upperLetter"/>
      <w:start w:val="8"/>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3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2019-12-29T03:09:17Z</dcterms:created>
  <dcterms:modified xsi:type="dcterms:W3CDTF">2019-12-29T03:09:17Z</dcterms:modified>
</cp:coreProperties>
</file>