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183,024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28,953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25,054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stock. The shares vest on the fifth anniversary of the grant date, subject to earlier vesting upon death, disability,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2023-02-28T18:00:36Z</dcterms:created>
  <dcterms:modified xsi:type="dcterms:W3CDTF">2023-02-28T18:00:36Z</dcterms:modified>
</cp:coreProperties>
</file>