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480" w:after="0"/>
        <w:ind w:left="0" w:right="0" w:hanging="0"/>
        <w:jc w:val="left"/>
        <w:rPr/>
      </w:pPr>
      <w:bookmarkStart w:id="0" w:name="ufpi-20250428x8k.htm"/>
      <w:bookmarkStart w:id="1" w:name="ksufpi20250428x8k"/>
      <w:bookmarkEnd w:id="0"/>
      <w:bookmarkEnd w:id="1"/>
      <w:r>
        <w:rPr/>
        <w:t>​</w:t>
      </w:r>
    </w:p>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center"/>
        <w:rPr>
          <w:rFonts w:ascii="Times New Roman;Times;serif" w:hAnsi="Times New Roman;Times;serif"/>
          <w:b/>
          <w:sz w:val="28"/>
        </w:rPr>
      </w:pPr>
      <w:bookmarkStart w:id="2" w:name="_a77e191e_3827_4897_a820_f2c2b6884f8b"/>
      <w:bookmarkEnd w:id="2"/>
      <w:r>
        <w:rPr>
          <w:rFonts w:ascii="Times New Roman;Times;serif" w:hAnsi="Times New Roman;Times;serif"/>
          <w:b/>
          <w:sz w:val="28"/>
        </w:rPr>
        <w:t>UNITED STATES</w:t>
      </w:r>
    </w:p>
    <w:p>
      <w:pPr>
        <w:pStyle w:val="TextBody"/>
        <w:bidi w:val="0"/>
        <w:spacing w:lineRule="auto" w:line="343"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343"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April 28, 2025</w:t>
      </w:r>
    </w:p>
    <w:p>
      <w:pPr>
        <w:pStyle w:val="TextBody"/>
        <w:bidi w:val="0"/>
        <w:spacing w:lineRule="auto" w:line="343"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UFP INDUSTRIES, INC.</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343" w:before="0" w:after="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375920"/>
                      <wp:effectExtent l="0" t="0" r="0" b="0"/>
                      <wp:wrapNone/>
                      <wp:docPr id="1" name="Frame1"/>
                      <a:graphic xmlns:a="http://schemas.openxmlformats.org/drawingml/2006/main">
                        <a:graphicData uri="http://schemas.microsoft.com/office/word/2010/wordprocessingShape">
                          <wps:wsp>
                            <wps:cNvSpPr txBox="1"/>
                            <wps:spPr>
                              <a:xfrm>
                                <a:off x="0" y="0"/>
                                <a:ext cx="78740" cy="375920"/>
                              </a:xfrm>
                              <a:prstGeom prst="rect"/>
                              <a:solidFill>
                                <a:srgbClr val="FFFFFF"/>
                              </a:solidFill>
                            </wps:spPr>
                            <wps:txb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375920"/>
                      <wp:effectExtent l="0" t="0" r="0" b="0"/>
                      <wp:wrapNone/>
                      <wp:docPr id="2" name="Frame2"/>
                      <a:graphic xmlns:a="http://schemas.openxmlformats.org/drawingml/2006/main">
                        <a:graphicData uri="http://schemas.microsoft.com/office/word/2010/wordprocessingShape">
                          <wps:wsp>
                            <wps:cNvSpPr txBox="1"/>
                            <wps:spPr>
                              <a:xfrm>
                                <a:off x="0" y="0"/>
                                <a:ext cx="69215" cy="375920"/>
                              </a:xfrm>
                              <a:prstGeom prst="rect"/>
                              <a:solidFill>
                                <a:srgbClr val="FFFFFF"/>
                              </a:solidFill>
                            </wps:spPr>
                            <wps:txb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7790" cy="375920"/>
                      <wp:effectExtent l="0" t="0" r="0" b="0"/>
                      <wp:wrapNone/>
                      <wp:docPr id="3" name="Frame3"/>
                      <a:graphic xmlns:a="http://schemas.openxmlformats.org/drawingml/2006/main">
                        <a:graphicData uri="http://schemas.microsoft.com/office/word/2010/wordprocessingShape">
                          <wps:wsp>
                            <wps:cNvSpPr txBox="1"/>
                            <wps:spPr>
                              <a:xfrm>
                                <a:off x="0" y="0"/>
                                <a:ext cx="97790" cy="375920"/>
                              </a:xfrm>
                              <a:prstGeom prst="rect"/>
                              <a:solidFill>
                                <a:srgbClr val="FFFFFF"/>
                              </a:solidFill>
                            </wps:spPr>
                            <wps:txb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78740" cy="5318125"/>
                      <wp:effectExtent l="0" t="0" r="0" b="0"/>
                      <wp:wrapNone/>
                      <wp:docPr id="4" name="Frame4"/>
                      <a:graphic xmlns:a="http://schemas.openxmlformats.org/drawingml/2006/main">
                        <a:graphicData uri="http://schemas.microsoft.com/office/word/2010/wordprocessingShape">
                          <wps:wsp>
                            <wps:cNvSpPr txBox="1"/>
                            <wps:spPr>
                              <a:xfrm>
                                <a:off x="0" y="0"/>
                                <a:ext cx="78740" cy="531812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18.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4279265"/>
                      <wp:effectExtent l="0" t="0" r="0" b="0"/>
                      <wp:wrapNone/>
                      <wp:docPr id="5" name="Frame5"/>
                      <a:graphic xmlns:a="http://schemas.openxmlformats.org/drawingml/2006/main">
                        <a:graphicData uri="http://schemas.microsoft.com/office/word/2010/wordprocessingShape">
                          <wps:wsp>
                            <wps:cNvSpPr txBox="1"/>
                            <wps:spPr>
                              <a:xfrm>
                                <a:off x="0" y="0"/>
                                <a:ext cx="69215" cy="4279265"/>
                              </a:xfrm>
                              <a:prstGeom prst="rect"/>
                              <a:solidFill>
                                <a:srgbClr val="FFFFFF"/>
                              </a:solidFill>
                            </wps:spPr>
                            <wps:txb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0-22684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36.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0-22684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5159375"/>
                      <wp:effectExtent l="0" t="0" r="0" b="0"/>
                      <wp:wrapNone/>
                      <wp:docPr id="6" name="Frame6"/>
                      <a:graphic xmlns:a="http://schemas.openxmlformats.org/drawingml/2006/main">
                        <a:graphicData uri="http://schemas.microsoft.com/office/word/2010/wordprocessingShape">
                          <wps:wsp>
                            <wps:cNvSpPr txBox="1"/>
                            <wps:spPr>
                              <a:xfrm>
                                <a:off x="0" y="0"/>
                                <a:ext cx="97790" cy="5159375"/>
                              </a:xfrm>
                              <a:prstGeom prst="rect"/>
                              <a:solidFill>
                                <a:srgbClr val="FFFFFF"/>
                              </a:solidFill>
                            </wps:spPr>
                            <wps:txb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38-1465835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06.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38-1465835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v:textbox>
                      <w10:wrap type="none"/>
                    </v:rect>
                  </w:pict>
                </mc:Fallback>
              </mc:AlternateContent>
            </w:r>
          </w:p>
        </w:tc>
      </w:tr>
    </w:tbl>
    <w:p>
      <w:pPr>
        <w:pStyle w:val="TextBody"/>
        <w:bidi w:val="0"/>
        <w:spacing w:lineRule="auto" w:line="343"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551180"/>
                      <wp:effectExtent l="0" t="0" r="0" b="0"/>
                      <wp:wrapNone/>
                      <wp:docPr id="7" name="Frame7"/>
                      <a:graphic xmlns:a="http://schemas.openxmlformats.org/drawingml/2006/main">
                        <a:graphicData uri="http://schemas.microsoft.com/office/word/2010/wordprocessingShape">
                          <wps:wsp>
                            <wps:cNvSpPr txBox="1"/>
                            <wps:spPr>
                              <a:xfrm>
                                <a:off x="0" y="0"/>
                                <a:ext cx="78740" cy="55118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7790" cy="551180"/>
                      <wp:effectExtent l="0" t="0" r="0" b="0"/>
                      <wp:wrapNone/>
                      <wp:docPr id="8" name="Frame8"/>
                      <a:graphic xmlns:a="http://schemas.openxmlformats.org/drawingml/2006/main">
                        <a:graphicData uri="http://schemas.microsoft.com/office/word/2010/wordprocessingShape">
                          <wps:wsp>
                            <wps:cNvSpPr txBox="1"/>
                            <wps:spPr>
                              <a:xfrm>
                                <a:off x="0" y="0"/>
                                <a:ext cx="97790" cy="55118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8740" cy="4650105"/>
                      <wp:effectExtent l="0" t="0" r="0" b="0"/>
                      <wp:wrapNone/>
                      <wp:docPr id="9" name="Frame9"/>
                      <a:graphic xmlns:a="http://schemas.openxmlformats.org/drawingml/2006/main">
                        <a:graphicData uri="http://schemas.microsoft.com/office/word/2010/wordprocessingShape">
                          <wps:wsp>
                            <wps:cNvSpPr txBox="1"/>
                            <wps:spPr>
                              <a:xfrm>
                                <a:off x="0" y="0"/>
                                <a:ext cx="78740" cy="465010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2801 East Beltline, NE</w:t>
                                  </w:r>
                                  <w:r>
                                    <w:rPr>
                                      <w:rFonts w:ascii="Times New Roman;Times;serif" w:hAnsi="Times New Roman;Times;serif"/>
                                      <w:sz w:val="20"/>
                                    </w:rPr>
                                    <w:t xml:space="preserve"> </w:t>
                                  </w:r>
                                  <w:r>
                                    <w:rPr>
                                      <w:rFonts w:ascii="Times New Roman;Times;serif" w:hAnsi="Times New Roman;Times;serif"/>
                                      <w:b/>
                                      <w:sz w:val="20"/>
                                    </w:rPr>
                                    <w:t>Grand Rapids, 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66.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2801 East Beltline, NE</w:t>
                            </w:r>
                            <w:r>
                              <w:rPr>
                                <w:rFonts w:ascii="Times New Roman;Times;serif" w:hAnsi="Times New Roman;Times;serif"/>
                                <w:sz w:val="20"/>
                              </w:rPr>
                              <w:t xml:space="preserve"> </w:t>
                            </w:r>
                            <w:r>
                              <w:rPr>
                                <w:rFonts w:ascii="Times New Roman;Times;serif" w:hAnsi="Times New Roman;Times;serif"/>
                                <w:b/>
                                <w:sz w:val="20"/>
                              </w:rPr>
                              <w:t>Grand Rapids, 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2053590"/>
                      <wp:effectExtent l="0" t="0" r="0" b="0"/>
                      <wp:wrapNone/>
                      <wp:docPr id="10" name="Frame10"/>
                      <a:graphic xmlns:a="http://schemas.openxmlformats.org/drawingml/2006/main">
                        <a:graphicData uri="http://schemas.microsoft.com/office/word/2010/wordprocessingShape">
                          <wps:wsp>
                            <wps:cNvSpPr txBox="1"/>
                            <wps:spPr>
                              <a:xfrm>
                                <a:off x="0" y="0"/>
                                <a:ext cx="97790" cy="205359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49525</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(Zip Code)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49525</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(Zip Code)</w:t>
                            </w:r>
                          </w:p>
                        </w:txbxContent>
                      </v:textbox>
                      <w10:wrap type="none"/>
                    </v:rect>
                  </w:pict>
                </mc:Fallback>
              </mc:AlternateContent>
            </w:r>
          </w:p>
        </w:tc>
      </w:tr>
    </w:tbl>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(616) 364-6161</w:t>
      </w:r>
    </w:p>
    <w:p>
      <w:pPr>
        <w:pStyle w:val="TextBody"/>
        <w:bidi w:val="0"/>
        <w:spacing w:lineRule="auto" w:line="343"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14">
                <wp:simplePos x="0" y="0"/>
                <wp:positionH relativeFrom="column">
                  <wp:align>right</wp:align>
                </wp:positionH>
                <wp:positionV relativeFrom="line">
                  <wp:posOffset>635</wp:posOffset>
                </wp:positionV>
                <wp:extent cx="6480175" cy="798195"/>
                <wp:effectExtent l="0" t="0" r="0" b="0"/>
                <wp:wrapSquare wrapText="left"/>
                <wp:docPr id="11" name="Frame11"/>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p>
                            <w:pPr>
                              <w:pStyle w:val="Normal"/>
                              <w:bidi w:val="0"/>
                              <w:spacing w:before="0" w:after="0"/>
                              <w:jc w:val="left"/>
                              <w:rPr>
                                <w:sz w:val="4"/>
                                <w:szCs w:val="4"/>
                              </w:rPr>
                            </w:pPr>
                            <w:r>
                              <w:rPr>
                                <w:sz w:val="4"/>
                                <w:szCs w:val="4"/>
                              </w:rPr>
                            </w:r>
                            <w:bookmarkStart w:id="3" w:name="Tc_1aMfIU92pUq4YcxMnb8pgA_2_2"/>
                            <w:bookmarkStart w:id="4" w:name="Tc_jIuD6-dWjUqde-2TsijmJA_1_2"/>
                            <w:bookmarkStart w:id="5" w:name="Tc_sk764z8vcUCpiZK1mZL8bA_1_1"/>
                            <w:bookmarkStart w:id="6" w:name="Tc_xk_4iCeQJE-UatS5R0CwTw_1_0"/>
                            <w:bookmarkStart w:id="7" w:name="_d901f167_7d47_48d0_8653_6b7aa285f3c5"/>
                            <w:bookmarkStart w:id="8" w:name="Tc_1aMfIU92pUq4YcxMnb8pgA_2_2"/>
                            <w:bookmarkStart w:id="9" w:name="Tc_jIuD6-dWjUqde-2TsijmJA_1_2"/>
                            <w:bookmarkStart w:id="10" w:name="Tc_sk764z8vcUCpiZK1mZL8bA_1_1"/>
                            <w:bookmarkStart w:id="11" w:name="Tc_xk_4iCeQJE-UatS5R0CwTw_1_0"/>
                            <w:bookmarkStart w:id="12" w:name="_d901f167_7d47_48d0_8653_6b7aa285f3c5"/>
                            <w:bookmarkEnd w:id="8"/>
                            <w:bookmarkEnd w:id="9"/>
                            <w:bookmarkEnd w:id="10"/>
                            <w:bookmarkEnd w:id="11"/>
                            <w:bookmarkEnd w:id="12"/>
                          </w:p>
                          <w:tbl>
                            <w:tblPr>
                              <w:tblW w:w="6903" w:type="dxa"/>
                              <w:jc w:val="left"/>
                              <w:tblInd w:w="0" w:type="dxa"/>
                              <w:tblLayout w:type="fixed"/>
                              <w:tblCellMar>
                                <w:top w:w="0" w:type="dxa"/>
                                <w:left w:w="0" w:type="dxa"/>
                                <w:bottom w:w="0" w:type="dxa"/>
                                <w:right w:w="0" w:type="dxa"/>
                              </w:tblCellMar>
                            </w:tblPr>
                            <w:tblGrid>
                              <w:gridCol w:w="1576"/>
                              <w:gridCol w:w="1621"/>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UFPI</w:t>
                                  </w:r>
                                </w:p>
                              </w:tc>
                              <w:tc>
                                <w:tcPr>
                                  <w:tcW w:w="370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right;mso-position-horizontal-relative:text">
                <v:textbox>
                  <w:txbxContent>
                    <w:p>
                      <w:pPr>
                        <w:pStyle w:val="Normal"/>
                        <w:bidi w:val="0"/>
                        <w:spacing w:before="0" w:after="0"/>
                        <w:jc w:val="left"/>
                        <w:rPr>
                          <w:sz w:val="4"/>
                          <w:szCs w:val="4"/>
                        </w:rPr>
                      </w:pPr>
                      <w:r>
                        <w:rPr>
                          <w:sz w:val="4"/>
                          <w:szCs w:val="4"/>
                        </w:rPr>
                      </w:r>
                      <w:bookmarkStart w:id="13" w:name="Tc_1aMfIU92pUq4YcxMnb8pgA_2_2"/>
                      <w:bookmarkStart w:id="14" w:name="Tc_jIuD6-dWjUqde-2TsijmJA_1_2"/>
                      <w:bookmarkStart w:id="15" w:name="Tc_sk764z8vcUCpiZK1mZL8bA_1_1"/>
                      <w:bookmarkStart w:id="16" w:name="Tc_xk_4iCeQJE-UatS5R0CwTw_1_0"/>
                      <w:bookmarkStart w:id="17" w:name="_d901f167_7d47_48d0_8653_6b7aa285f3c5"/>
                      <w:bookmarkStart w:id="18" w:name="Tc_1aMfIU92pUq4YcxMnb8pgA_2_2"/>
                      <w:bookmarkStart w:id="19" w:name="Tc_jIuD6-dWjUqde-2TsijmJA_1_2"/>
                      <w:bookmarkStart w:id="20" w:name="Tc_sk764z8vcUCpiZK1mZL8bA_1_1"/>
                      <w:bookmarkStart w:id="21" w:name="Tc_xk_4iCeQJE-UatS5R0CwTw_1_0"/>
                      <w:bookmarkStart w:id="22" w:name="_d901f167_7d47_48d0_8653_6b7aa285f3c5"/>
                      <w:bookmarkEnd w:id="18"/>
                      <w:bookmarkEnd w:id="19"/>
                      <w:bookmarkEnd w:id="20"/>
                      <w:bookmarkEnd w:id="21"/>
                      <w:bookmarkEnd w:id="22"/>
                    </w:p>
                    <w:tbl>
                      <w:tblPr>
                        <w:tblW w:w="6903" w:type="dxa"/>
                        <w:jc w:val="left"/>
                        <w:tblInd w:w="0" w:type="dxa"/>
                        <w:tblLayout w:type="fixed"/>
                        <w:tblCellMar>
                          <w:top w:w="0" w:type="dxa"/>
                          <w:left w:w="0" w:type="dxa"/>
                          <w:bottom w:w="0" w:type="dxa"/>
                          <w:right w:w="0" w:type="dxa"/>
                        </w:tblCellMar>
                      </w:tblPr>
                      <w:tblGrid>
                        <w:gridCol w:w="1576"/>
                        <w:gridCol w:w="1621"/>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UFPI</w:t>
                            </w:r>
                          </w:p>
                        </w:tc>
                        <w:tc>
                          <w:tcPr>
                            <w:tcW w:w="370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 w:name="_2cada9e9_b38a_4453_967d_cd6006dd0740"/>
      <w:bookmarkEnd w:id="23"/>
      <w:r>
        <w:rPr>
          <w:rFonts w:ascii="Times New Roman;Times;serif" w:hAnsi="Times New Roman;Times;serif"/>
          <w:b/>
          <w:sz w:val="20"/>
        </w:rPr>
        <w:t>Item 2.02        Results of Operations and Financial Condition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28, 2025, the Registrant issued a press release announcing its financial results for the quarter-ended March 29, 2025.  A copy of the Registrant’s press release is attached as Exhibit 99(a) to this Current Report.</w:t>
      </w:r>
    </w:p>
    <w:p>
      <w:pPr>
        <w:pStyle w:val="TextBody"/>
        <w:bidi w:val="0"/>
        <w:spacing w:before="40" w:after="40"/>
        <w:ind w:left="0" w:right="0" w:hanging="0"/>
        <w:jc w:val="left"/>
        <w:rPr>
          <w:rFonts w:ascii="Times New Roman;Times;serif" w:hAnsi="Times New Roman;Times;serif"/>
          <w:b/>
          <w:sz w:val="20"/>
        </w:rPr>
      </w:pPr>
      <w:bookmarkStart w:id="24" w:name="_6053ace7_b2b1_4747_bc45_1ad63a2923ba"/>
      <w:bookmarkEnd w:id="24"/>
      <w:r>
        <w:rPr>
          <w:rFonts w:ascii="Times New Roman;Times;serif" w:hAnsi="Times New Roman;Times;serif"/>
          <w:b/>
          <w:sz w:val="20"/>
        </w:rPr>
        <w:t>Item 9.01        Financial Statements, Pro Forma Financial Information, and Exhibits</w:t>
      </w:r>
    </w:p>
    <w:p>
      <w:pPr>
        <w:pStyle w:val="TextBody"/>
        <w:bidi w:val="0"/>
        <w:spacing w:lineRule="auto" w:line="343" w:before="6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Exhibits</w:t>
      </w:r>
    </w:p>
    <w:p>
      <w:pPr>
        <w:pStyle w:val="TextBody"/>
        <w:bidi w:val="0"/>
        <w:spacing w:before="0" w:after="0"/>
        <w:ind w:left="0" w:right="0" w:firstLine="720"/>
        <w:jc w:val="left"/>
        <w:rPr/>
      </w:pPr>
      <w:r>
        <w:rPr/>
        <w:t>​</w:t>
      </w:r>
    </w:p>
    <w:p>
      <w:pPr>
        <w:pStyle w:val="TextBody"/>
        <w:bidi w:val="0"/>
        <w:spacing w:before="0" w:after="0"/>
        <w:ind w:left="120" w:right="0" w:firstLine="720"/>
        <w:jc w:val="left"/>
        <w:rPr/>
      </w:pPr>
      <w:r>
        <w:rPr/>
        <w:t>​</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99(a)</w:t>
      </w:r>
      <w:hyperlink w:anchor="ufpi-20250428xex99da.htm">
        <w:r>
          <w:rPr>
            <w:rStyle w:val="InternetLink"/>
            <w:rFonts w:ascii="Times New Roman;Times;serif" w:hAnsi="Times New Roman;Times;serif"/>
            <w:b w:val="false"/>
            <w:i w:val="false"/>
            <w:caps w:val="false"/>
            <w:smallCaps w:val="false"/>
            <w:sz w:val="20"/>
          </w:rPr>
          <w:t>Press Release dated April 28, 2025</w:t>
        </w:r>
      </w:hyperlink>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File (the cover page XBRL tags are embedded in the Inline XBRL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bookmarkStart w:id="25" w:name="_332223ac_3f2b_455b_86c3_e8b2f74285bf"/>
      <w:bookmarkEnd w:id="25"/>
      <w:r>
        <w:rPr>
          <w:rFonts w:ascii="Times New Roman;Times;serif" w:hAnsi="Times New Roman;Times;serif"/>
          <w:b/>
          <w:sz w:val="20"/>
        </w:rPr>
        <w:t>EXHIBIT INDEX</w:t>
      </w:r>
    </w:p>
    <w:p>
      <w:pPr>
        <w:pStyle w:val="TextBody"/>
        <w:bidi w:val="0"/>
        <w:spacing w:before="0" w:after="1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7"/>
        <w:gridCol w:w="326"/>
        <w:gridCol w:w="7260"/>
        <w:gridCol w:w="1162"/>
      </w:tblGrid>
      <w:tr>
        <w:trPr/>
        <w:tc>
          <w:tcPr>
            <w:tcW w:w="1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25195" cy="175260"/>
                      <wp:effectExtent l="0" t="0" r="0" b="0"/>
                      <wp:wrapNone/>
                      <wp:docPr id="12" name="Frame12"/>
                      <a:graphic xmlns:a="http://schemas.openxmlformats.org/drawingml/2006/main">
                        <a:graphicData uri="http://schemas.microsoft.com/office/word/2010/wordprocessingShape">
                          <wps:wsp>
                            <wps:cNvSpPr txBox="1"/>
                            <wps:spPr>
                              <a:xfrm>
                                <a:off x="0" y="0"/>
                                <a:ext cx="925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842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347970" cy="175260"/>
                      <wp:effectExtent l="0" t="0" r="0" b="0"/>
                      <wp:wrapNone/>
                      <wp:docPr id="13" name="Frame13"/>
                      <a:graphic xmlns:a="http://schemas.openxmlformats.org/drawingml/2006/main">
                        <a:graphicData uri="http://schemas.microsoft.com/office/word/2010/wordprocessingShape">
                          <wps:wsp>
                            <wps:cNvSpPr txBox="1"/>
                            <wps:spPr>
                              <a:xfrm>
                                <a:off x="0" y="0"/>
                                <a:ext cx="534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326" w:type="dxa"/>
            <w:tcBorders/>
            <w:vAlign w:val="center"/>
          </w:tcPr>
          <w:p>
            <w:pPr>
              <w:pStyle w:val="TableContents"/>
              <w:bidi w:val="0"/>
              <w:spacing w:before="0" w:after="0"/>
              <w:ind w:left="0" w:right="0" w:hanging="0"/>
              <w:jc w:val="left"/>
              <w:rPr/>
            </w:pPr>
            <w:r>
              <w:rPr/>
              <w:t>    </w:t>
            </w:r>
          </w:p>
        </w:tc>
        <w:tc>
          <w:tcPr>
            <w:tcW w:w="72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Document</w:t>
            </w:r>
          </w:p>
        </w:tc>
        <w:tc>
          <w:tcPr>
            <w:tcW w:w="11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45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22" w:type="dxa"/>
            <w:gridSpan w:val="2"/>
            <w:tcBorders/>
            <w:vAlign w:val="center"/>
          </w:tcPr>
          <w:p>
            <w:pPr>
              <w:pStyle w:val="TableContents"/>
              <w:bidi w:val="0"/>
              <w:spacing w:before="0" w:after="0"/>
              <w:ind w:left="0" w:right="0" w:hanging="0"/>
              <w:jc w:val="left"/>
              <w:rPr/>
            </w:pPr>
            <w:r>
              <w:rPr/>
              <w:t>​</w:t>
            </w:r>
          </w:p>
        </w:tc>
      </w:tr>
      <w:tr>
        <w:trPr/>
        <w:tc>
          <w:tcPr>
            <w:tcW w:w="1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99(a)</w:t>
            </w:r>
          </w:p>
        </w:tc>
        <w:tc>
          <w:tcPr>
            <w:tcW w:w="326" w:type="dxa"/>
            <w:tcBorders/>
            <w:vAlign w:val="center"/>
          </w:tcPr>
          <w:p>
            <w:pPr>
              <w:pStyle w:val="TableContents"/>
              <w:bidi w:val="0"/>
              <w:spacing w:before="0" w:after="0"/>
              <w:ind w:left="0" w:right="0" w:hanging="0"/>
              <w:jc w:val="left"/>
              <w:rPr/>
            </w:pPr>
            <w:r>
              <w:rPr/>
              <w:t>​</w:t>
            </w:r>
          </w:p>
        </w:tc>
        <w:tc>
          <w:tcPr>
            <w:tcW w:w="8422" w:type="dxa"/>
            <w:gridSpan w:val="2"/>
            <w:tcBorders/>
            <w:vAlign w:val="center"/>
          </w:tcPr>
          <w:p>
            <w:pPr>
              <w:pStyle w:val="TableContents"/>
              <w:bidi w:val="0"/>
              <w:spacing w:before="0" w:after="0"/>
              <w:ind w:left="0" w:right="0" w:hanging="0"/>
              <w:jc w:val="left"/>
              <w:rPr/>
            </w:pPr>
            <w:hyperlink w:anchor="ufpi-20250428xex99da.htm">
              <w:r>
                <w:rPr>
                  <w:rStyle w:val="InternetLink"/>
                  <w:rFonts w:ascii="Times New Roman;Times;serif" w:hAnsi="Times New Roman;Times;serif"/>
                  <w:b w:val="false"/>
                  <w:i w:val="false"/>
                  <w:caps w:val="false"/>
                  <w:smallCaps w:val="false"/>
                  <w:sz w:val="20"/>
                </w:rPr>
                <w:t>Press Release, dated April 28, 2025.</w:t>
              </w:r>
            </w:hyperlink>
          </w:p>
        </w:tc>
      </w:tr>
      <w:tr>
        <w:trPr/>
        <w:tc>
          <w:tcPr>
            <w:tcW w:w="14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22" w:type="dxa"/>
            <w:gridSpan w:val="2"/>
            <w:tcBorders/>
            <w:vAlign w:val="center"/>
          </w:tcPr>
          <w:p>
            <w:pPr>
              <w:pStyle w:val="TableContents"/>
              <w:bidi w:val="0"/>
              <w:spacing w:before="0" w:after="0"/>
              <w:ind w:left="0" w:right="0" w:hanging="0"/>
              <w:jc w:val="left"/>
              <w:rPr/>
            </w:pPr>
            <w:r>
              <w:rPr/>
              <w:t>​</w:t>
            </w:r>
          </w:p>
        </w:tc>
      </w:tr>
      <w:tr>
        <w:trPr/>
        <w:tc>
          <w:tcPr>
            <w:tcW w:w="1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842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bookmarkStart w:id="26" w:name="_ead1af83_49a4_4c0a_8d67_bc4f7a3a2af2"/>
      <w:bookmarkEnd w:id="26"/>
      <w:r>
        <w:rPr>
          <w:rFonts w:ascii="Times New Roman;Times;serif" w:hAnsi="Times New Roman;Times;serif"/>
          <w:b/>
          <w:sz w:val="20"/>
        </w:rPr>
        <w:t>SIGNATURE</w:t>
      </w:r>
    </w:p>
    <w:p>
      <w:pPr>
        <w:pStyle w:val="TextBody"/>
        <w:bidi w:val="0"/>
        <w:spacing w:lineRule="auto" w:line="343" w:before="0" w:after="0"/>
        <w:ind w:left="0" w:right="0" w:hanging="0"/>
        <w:jc w:val="left"/>
        <w:rPr/>
      </w:pPr>
      <w:r>
        <w:rPr/>
        <w:t>​</w:t>
      </w:r>
    </w:p>
    <w:p>
      <w:pPr>
        <w:pStyle w:val="TextBody"/>
        <w:bidi w:val="0"/>
        <w:spacing w:lineRule="auto" w:line="343"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937" w:type="dxa"/>
        <w:jc w:val="left"/>
        <w:tblInd w:w="0" w:type="dxa"/>
        <w:tblLayout w:type="fixed"/>
        <w:tblCellMar>
          <w:top w:w="0" w:type="dxa"/>
          <w:left w:w="0" w:type="dxa"/>
          <w:bottom w:w="0" w:type="dxa"/>
          <w:right w:w="0" w:type="dxa"/>
        </w:tblCellMar>
      </w:tblPr>
      <w:tblGrid>
        <w:gridCol w:w="1891"/>
        <w:gridCol w:w="406"/>
        <w:gridCol w:w="2419"/>
        <w:gridCol w:w="221"/>
      </w:tblGrid>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04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INDUSTRIES, INC.</w:t>
            </w:r>
          </w:p>
        </w:tc>
      </w:tr>
      <w:tr>
        <w:trPr/>
        <w:tc>
          <w:tcPr>
            <w:tcW w:w="1891" w:type="dxa"/>
            <w:tcBorders/>
            <w:vAlign w:val="center"/>
          </w:tcPr>
          <w:p>
            <w:pPr>
              <w:pStyle w:val="TableContents"/>
              <w:bidi w:val="0"/>
              <w:spacing w:before="0" w:after="0"/>
              <w:ind w:left="0" w:right="0" w:hanging="0"/>
              <w:jc w:val="left"/>
              <w:rPr/>
            </w:pPr>
            <w:r>
              <w:rPr/>
              <w:t>​</w:t>
            </w:r>
          </w:p>
        </w:tc>
        <w:tc>
          <w:tcPr>
            <w:tcW w:w="304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April 28,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 Cole</w:t>
            </w:r>
          </w:p>
        </w:tc>
        <w:tc>
          <w:tcPr>
            <w:tcW w:w="221" w:type="dxa"/>
            <w:tcBorders/>
            <w:vAlign w:val="center"/>
          </w:tcPr>
          <w:p>
            <w:pPr>
              <w:pStyle w:val="TableContents"/>
              <w:bidi w:val="0"/>
              <w:spacing w:before="0" w:after="0"/>
              <w:ind w:left="0" w:right="0" w:hanging="0"/>
              <w:jc w:val="left"/>
              <w:rPr/>
            </w:pPr>
            <w:r>
              <w:rPr/>
              <w:t>​</w:t>
            </w:r>
          </w:p>
        </w:tc>
      </w:tr>
      <w:tr>
        <w:trPr/>
        <w:tc>
          <w:tcPr>
            <w:tcW w:w="4937"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Cole</w:t>
            </w:r>
          </w:p>
        </w:tc>
      </w:tr>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w:t>
            </w:r>
          </w:p>
        </w:tc>
      </w:tr>
      <w:tr>
        <w:trPr/>
        <w:tc>
          <w:tcPr>
            <w:tcW w:w="189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6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right"/>
        <w:rPr>
          <w:rFonts w:ascii="Times New Roman;Times;serif" w:hAnsi="Times New Roman;Times;serif"/>
          <w:b/>
          <w:sz w:val="20"/>
        </w:rPr>
      </w:pPr>
      <w:bookmarkStart w:id="27" w:name="ufpi-20250428xex99da.htm"/>
      <w:bookmarkStart w:id="28" w:name="ksufpi20250428xex99da"/>
      <w:bookmarkEnd w:id="27"/>
      <w:bookmarkEnd w:id="28"/>
      <w:r>
        <w:rPr>
          <w:rFonts w:ascii="Times New Roman;Times;serif" w:hAnsi="Times New Roman;Times;serif"/>
          <w:b/>
          <w:sz w:val="20"/>
        </w:rPr>
        <w:t>UFP Industries, Inc.</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1</w:t>
      </w:r>
    </w:p>
    <w:p>
      <w:pPr>
        <w:pStyle w:val="TextBody"/>
        <w:bidi w:val="0"/>
        <w:spacing w:before="0" w:after="0"/>
        <w:ind w:left="0" w:right="0" w:hanging="0"/>
        <w:jc w:val="left"/>
        <w:rPr/>
      </w:pPr>
      <w:r>
        <w:rPr/>
        <w:t>​</w:t>
      </w:r>
    </w:p>
    <w:p>
      <w:pPr>
        <w:pStyle w:val="TextBody"/>
        <w:pBdr>
          <w:top w:val="single" w:sz="36" w:space="1" w:color="000000"/>
        </w:pBdr>
        <w:bidi w:val="0"/>
        <w:spacing w:before="0" w:after="0"/>
        <w:ind w:left="0" w:right="0" w:hanging="0"/>
        <w:jc w:val="right"/>
        <w:rPr/>
      </w:pPr>
      <w:r>
        <w:rPr/>
        <w:t>​</w:t>
      </w:r>
    </w:p>
    <w:p>
      <w:pPr>
        <w:pStyle w:val="TextBody"/>
        <w:bidi w:val="0"/>
        <w:ind w:left="0" w:right="0" w:hanging="0"/>
        <w:jc w:val="right"/>
        <w:rPr>
          <w:rFonts w:ascii="Times New Roman;Times;serif" w:hAnsi="Times New Roman;Times;serif"/>
          <w:b/>
          <w:sz w:val="20"/>
        </w:rPr>
      </w:pPr>
      <w:r>
        <w:rPr>
          <w:rFonts w:ascii="Times New Roman;Times;serif" w:hAnsi="Times New Roman;Times;serif"/>
          <w:b/>
          <w:sz w:val="20"/>
        </w:rPr>
        <w:t>Exhibit 99(a)</w:t>
      </w:r>
    </w:p>
    <w:p>
      <w:pPr>
        <w:pStyle w:val="TextBody"/>
        <w:bidi w:val="0"/>
        <w:spacing w:before="0" w:after="0"/>
        <w:ind w:left="0" w:right="0" w:hanging="0"/>
        <w:jc w:val="right"/>
        <w:rPr/>
      </w:pPr>
      <w:r>
        <w:rPr/>
        <w:t>​</w:t>
      </w:r>
      <w:r>
        <mc:AlternateContent>
          <mc:Choice Requires="wps">
            <w:drawing>
              <wp:anchor behindDoc="0" distT="0" distB="0" distL="114300" distR="0" simplePos="0" locked="0" layoutInCell="1" allowOverlap="1" relativeHeight="3">
                <wp:simplePos x="0" y="0"/>
                <wp:positionH relativeFrom="column">
                  <wp:align>right</wp:align>
                </wp:positionH>
                <wp:positionV relativeFrom="line">
                  <wp:posOffset>635</wp:posOffset>
                </wp:positionV>
                <wp:extent cx="2117090" cy="838835"/>
                <wp:effectExtent l="0" t="0" r="0" b="0"/>
                <wp:wrapSquare wrapText="left"/>
                <wp:docPr id="14" name="Frame15"/>
                <a:graphic xmlns:a="http://schemas.openxmlformats.org/drawingml/2006/main">
                  <a:graphicData uri="http://schemas.microsoft.com/office/word/2010/wordprocessingShape">
                    <wps:wsp>
                      <wps:cNvSpPr txBox="1"/>
                      <wps:spPr>
                        <a:xfrm>
                          <a:off x="0" y="0"/>
                          <a:ext cx="2117090" cy="838835"/>
                        </a:xfrm>
                        <a:prstGeom prst="rect"/>
                        <a:solidFill>
                          <a:srgbClr val="FFFFFF"/>
                        </a:solidFill>
                      </wps:spPr>
                      <wps:txbx>
                        <w:txbxContent>
                          <w:p>
                            <w:pPr>
                              <w:pStyle w:val="TextBody"/>
                              <w:bidi w:val="0"/>
                              <w:spacing w:before="0" w:after="0"/>
                              <w:jc w:val="left"/>
                              <w:rPr/>
                            </w:pPr>
                            <w:r>
                              <w:rPr/>
                              <w:drawing>
                                <wp:inline distT="0" distB="0" distL="0" distR="0">
                                  <wp:extent cx="2117090" cy="83883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2117090" cy="83883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66.7pt;height:66.05pt;mso-wrap-distance-left:9pt;mso-wrap-distance-right:0pt;mso-wrap-distance-top:0pt;mso-wrap-distance-bottom:0pt;margin-top:0pt;mso-position-vertical:top;mso-position-vertical-relative:text;margin-left:343.55pt;mso-position-horizontal:right;mso-position-horizontal-relative:text">
                <v:textbox>
                  <w:txbxContent>
                    <w:p>
                      <w:pPr>
                        <w:pStyle w:val="TextBody"/>
                        <w:bidi w:val="0"/>
                        <w:spacing w:before="0" w:after="0"/>
                        <w:jc w:val="left"/>
                        <w:rPr/>
                      </w:pPr>
                      <w:r>
                        <w:rPr/>
                        <w:drawing>
                          <wp:inline distT="0" distB="0" distL="0" distR="0">
                            <wp:extent cx="2117090" cy="838835"/>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3"/>
                                    <a:stretch>
                                      <a:fillRect/>
                                    </a:stretch>
                                  </pic:blipFill>
                                  <pic:spPr bwMode="auto">
                                    <a:xfrm>
                                      <a:off x="0" y="0"/>
                                      <a:ext cx="2117090" cy="83883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7">
                <wp:simplePos x="0" y="0"/>
                <wp:positionH relativeFrom="column">
                  <wp:align>right</wp:align>
                </wp:positionH>
                <wp:positionV relativeFrom="line">
                  <wp:posOffset>635</wp:posOffset>
                </wp:positionV>
                <wp:extent cx="14605" cy="175260"/>
                <wp:effectExtent l="0" t="0" r="0" b="0"/>
                <wp:wrapSquare wrapText="left"/>
                <wp:docPr id="17" name="Frame14"/>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0pt;mso-position-vertical:top;mso-position-vertical-relative:text;margin-left:509.1pt;mso-position-horizontal:right;mso-position-horizontal-relative:text">
                <v:textbox>
                  <w:txbxContent>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360" w:right="0" w:hanging="0"/>
        <w:jc w:val="left"/>
        <w:rPr>
          <w:rFonts w:ascii="Times New Roman;Times;serif" w:hAnsi="Times New Roman;Times;serif"/>
          <w:b/>
          <w:sz w:val="22"/>
        </w:rPr>
      </w:pPr>
      <w:r>
        <w:rPr>
          <w:rFonts w:ascii="Times New Roman;Times;serif" w:hAnsi="Times New Roman;Times;serif"/>
          <w:b/>
          <w:sz w:val="22"/>
        </w:rPr>
        <w:t>FOR IMMEDIATE RELEASE</w:t>
      </w:r>
    </w:p>
    <w:p>
      <w:pPr>
        <w:pStyle w:val="TextBody"/>
        <w:bidi w:val="0"/>
        <w:spacing w:before="0" w:after="0"/>
        <w:ind w:left="360" w:right="0" w:hanging="0"/>
        <w:jc w:val="left"/>
        <w:rPr>
          <w:rFonts w:ascii="Times New Roman;Times;serif" w:hAnsi="Times New Roman;Times;serif"/>
          <w:b/>
          <w:sz w:val="22"/>
        </w:rPr>
      </w:pPr>
      <w:r>
        <w:rPr>
          <w:rFonts w:ascii="Times New Roman;Times;serif" w:hAnsi="Times New Roman;Times;serif"/>
          <w:b/>
          <w:sz w:val="22"/>
        </w:rPr>
        <w:t>Monday, April 28, 2025</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left"/>
        <w:rPr/>
      </w:pPr>
      <w:r>
        <w:rPr/>
        <w:t>​</w:t>
      </w:r>
    </w:p>
    <w:p>
      <w:pPr>
        <w:pStyle w:val="TextBody"/>
        <w:bidi w:val="0"/>
        <w:spacing w:before="0" w:after="0"/>
        <w:ind w:left="360" w:right="0" w:hanging="0"/>
        <w:jc w:val="center"/>
        <w:rPr/>
      </w:pPr>
      <w:r>
        <w:rPr/>
        <w:t>​</w:t>
      </w:r>
    </w:p>
    <w:p>
      <w:pPr>
        <w:pStyle w:val="TextBody"/>
        <w:bidi w:val="0"/>
        <w:spacing w:before="280" w:after="0"/>
        <w:ind w:left="360" w:right="0" w:hanging="0"/>
        <w:jc w:val="center"/>
        <w:rPr>
          <w:rFonts w:ascii="Times New Roman;Times;serif" w:hAnsi="Times New Roman;Times;serif"/>
          <w:sz w:val="20"/>
        </w:rPr>
      </w:pPr>
      <w:r>
        <w:rPr>
          <w:rFonts w:ascii="Times New Roman;Times;serif" w:hAnsi="Times New Roman;Times;serif"/>
          <w:b/>
          <w:sz w:val="28"/>
        </w:rPr>
        <w:t>UFP Industries Announces First Quarter 2025 Results</w:t>
      </w:r>
      <w:r>
        <w:rPr>
          <w:rFonts w:ascii="Times New Roman;Times;serif" w:hAnsi="Times New Roman;Times;serif"/>
          <w:b/>
          <w:sz w:val="24"/>
        </w:rPr>
        <w:br/>
      </w:r>
      <w:r>
        <w:rPr>
          <w:rFonts w:ascii="Times New Roman;Times;serif" w:hAnsi="Times New Roman;Times;serif"/>
          <w:sz w:val="20"/>
        </w:rPr>
        <w:t>​</w:t>
      </w:r>
    </w:p>
    <w:p>
      <w:pPr>
        <w:pStyle w:val="TextBody"/>
        <w:bidi w:val="0"/>
        <w:spacing w:lineRule="auto" w:line="429" w:before="240" w:after="120"/>
        <w:ind w:left="360" w:right="0" w:hanging="0"/>
        <w:jc w:val="left"/>
        <w:rPr>
          <w:rFonts w:ascii="Times New Roman;Times;serif" w:hAnsi="Times New Roman;Times;serif"/>
          <w:sz w:val="22"/>
        </w:rPr>
      </w:pPr>
      <w:r>
        <w:rPr>
          <w:rFonts w:ascii="Times New Roman;Times;serif" w:hAnsi="Times New Roman;Times;serif"/>
          <w:sz w:val="22"/>
        </w:rPr>
        <w:t xml:space="preserve">GRAND RAPIDS, Mich., Monday, April 28, 2025 – UFP Industries, Inc. (Nasdaq: UFPI) today announced first quarter 2025 results including net sales of $1.60 billion, net earnings attributable to controlling interests of $78.8 million, and earnings per diluted share of $1.30. </w:t>
      </w:r>
    </w:p>
    <w:p>
      <w:pPr>
        <w:pStyle w:val="TextBody"/>
        <w:bidi w:val="0"/>
        <w:spacing w:lineRule="auto" w:line="429" w:before="240" w:after="120"/>
        <w:ind w:left="360" w:right="0" w:hanging="0"/>
        <w:jc w:val="left"/>
        <w:rPr/>
      </w:pPr>
      <w:r>
        <w:rPr/>
        <w:t>“</w:t>
      </w:r>
      <w:r>
        <w:rPr>
          <w:rFonts w:ascii="Times New Roman;Times;serif" w:hAnsi="Times New Roman;Times;serif"/>
          <w:sz w:val="22"/>
        </w:rPr>
        <w:t>While our first quarter proved more challenging than anticipated and visibility remains limited, we are more encouraged by recent business trends,” said Will Schwartz, UFP Industries CEO. “Business activity improved sequentially in each month during the quarter and that improvement has continued into April. Despite the uncertainty, our team continues to stay laser-focused on what we can control by directing our efforts to activities that improve profitability and streamline our costs. We remain on target to realize $60 million of structural cost savings by year-end 2026, and we continue to accelerate investments across our portfolio into higher-growth and higher-margin opportunities that meet our return on capital targets.”</w:t>
      </w:r>
    </w:p>
    <w:p>
      <w:pPr>
        <w:pStyle w:val="TextBody"/>
        <w:bidi w:val="0"/>
        <w:spacing w:lineRule="auto" w:line="429" w:before="240" w:after="120"/>
        <w:ind w:left="360" w:right="0" w:hanging="0"/>
        <w:jc w:val="left"/>
        <w:rPr/>
      </w:pPr>
      <w:r>
        <w:rPr/>
        <w:t>“</w:t>
      </w:r>
      <w:r>
        <w:rPr>
          <w:rFonts w:ascii="Times New Roman;Times;serif" w:hAnsi="Times New Roman;Times;serif"/>
          <w:sz w:val="22"/>
        </w:rPr>
        <w:t>In tough economic climates, the combination of our scale, diversification, and unique company culture becomes an even more important strategic advantage. These factors have historically led us to outperform the market, and we see the current environment as no different. While the prospect of lumber tariffs only adds to the macro uncertainty, we have dealt with lumber tariffs for many years and are well equipped to manage through them. We believe our diverse and balanced customer base will help us navigate through any market challenges. Finally, our balance sheet and free cash flow generation enhance our competitive advantage and provide us the flexibility to invest organically and pursue strategic M&amp;A and opportunistic share repurchases, all while maintaining our conservative capital structure.”</w:t>
      </w:r>
    </w:p>
    <w:p>
      <w:pPr>
        <w:pStyle w:val="TextBody"/>
        <w:bidi w:val="0"/>
        <w:spacing w:lineRule="auto" w:line="429" w:before="240" w:after="120"/>
        <w:ind w:left="360" w:right="0" w:hanging="0"/>
        <w:jc w:val="left"/>
        <w:rPr>
          <w:rFonts w:ascii="Times New Roman;Times;serif" w:hAnsi="Times New Roman;Times;serif"/>
          <w:b/>
          <w:sz w:val="22"/>
        </w:rPr>
      </w:pPr>
      <w:r>
        <w:rPr>
          <w:rFonts w:ascii="Times New Roman;Times;serif" w:hAnsi="Times New Roman;Times;serif"/>
          <w:b/>
          <w:sz w:val="22"/>
        </w:rPr>
        <w:t>First Quarter 2025 Highlights (comparisons on a year-over-year basis except where noted):</w:t>
      </w:r>
    </w:p>
    <w:p>
      <w:pPr>
        <w:pStyle w:val="TextBody"/>
        <w:bidi w:val="0"/>
        <w:spacing w:lineRule="auto" w:line="429" w:before="0" w:after="0"/>
        <w:ind w:left="720" w:right="0" w:hanging="0"/>
        <w:jc w:val="left"/>
        <w:rPr/>
      </w:pPr>
      <w:r>
        <w:rPr/>
        <w:t>●</w:t>
      </w:r>
      <w:r>
        <w:rPr>
          <w:rFonts w:ascii="Times New Roman;Times;serif" w:hAnsi="Times New Roman;Times;serif"/>
          <w:sz w:val="22"/>
        </w:rPr>
        <w:t>Net sales of $1.60 billion decreased 2.7 percent due to a 0.7 percent decrease in selling prices and 2 percent decrease in organic unit sales.</w:t>
      </w:r>
    </w:p>
    <w:p>
      <w:pPr>
        <w:pStyle w:val="TextBody"/>
        <w:bidi w:val="0"/>
        <w:spacing w:lineRule="auto" w:line="429" w:before="0" w:after="0"/>
        <w:ind w:left="720" w:right="0" w:hanging="0"/>
        <w:jc w:val="left"/>
        <w:rPr/>
      </w:pPr>
      <w:r>
        <w:rPr/>
        <w:t>●</w:t>
      </w:r>
      <w:r>
        <w:rPr>
          <w:rFonts w:ascii="Times New Roman;Times;serif" w:hAnsi="Times New Roman;Times;serif"/>
          <w:sz w:val="22"/>
        </w:rPr>
        <w:t>New product sales of $106 million were 6.7 percent of total sales compared to 7.2 percent in the first quarter of 2024.</w:t>
      </w:r>
    </w:p>
    <w:p>
      <w:pPr>
        <w:pStyle w:val="TextBody"/>
        <w:bidi w:val="0"/>
        <w:spacing w:lineRule="auto" w:line="429"/>
        <w:ind w:left="720" w:right="0" w:hanging="0"/>
        <w:jc w:val="left"/>
        <w:rPr/>
      </w:pPr>
      <w:r>
        <w:rPr/>
        <w:t>●</w:t>
      </w:r>
      <w:r>
        <w:rPr>
          <w:rFonts w:ascii="Times New Roman;Times;serif" w:hAnsi="Times New Roman;Times;serif"/>
          <w:sz w:val="22"/>
        </w:rPr>
        <w:t>Net earnings attributable to controlling interests of $78.8 million represents a 35 percent decrease from last year. Net earnings attributable to controlling interests of $120.8 million last year included $7.3 million of additional tax benefits related to our deduction for share-based compensation.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2</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Adjusted EBITDA</w:t>
            </w:r>
            <w:hyperlink w:anchor="footnote-2">
              <w:bookmarkStart w:id="29" w:name="_Hlk149572369"/>
              <w:bookmarkEnd w:id="29"/>
              <w:r>
                <w:rPr>
                  <w:rStyle w:val="InternetLink"/>
                  <w:rFonts w:ascii="Times New Roman;Times;serif" w:hAnsi="Times New Roman;Times;serif"/>
                  <w:b w:val="false"/>
                  <w:i w:val="false"/>
                  <w:caps w:val="false"/>
                  <w:smallCaps w:val="false"/>
                  <w:sz w:val="17"/>
                </w:rPr>
                <w:t>1</w:t>
              </w:r>
            </w:hyperlink>
            <w:r>
              <w:rPr>
                <w:caps w:val="false"/>
                <w:smallCaps w:val="false"/>
              </w:rPr>
              <w:t xml:space="preserve"> </w:t>
            </w:r>
            <w:r>
              <w:rPr>
                <w:rFonts w:ascii="Times New Roman;Times;serif" w:hAnsi="Times New Roman;Times;serif"/>
                <w:b w:val="false"/>
                <w:i w:val="false"/>
                <w:caps w:val="false"/>
                <w:smallCaps w:val="false"/>
                <w:sz w:val="22"/>
              </w:rPr>
              <w:t>was $142.2 million in the quarter or 8.9 percent of sales, compared to $180.8 million or 11.0 percent of sales for the same period a year ago</w:t>
            </w:r>
            <w:r>
              <w:rPr>
                <w:rFonts w:ascii="Times New Roman;Times;serif" w:hAnsi="Times New Roman;Times;serif"/>
                <w:b w:val="false"/>
                <w:i w:val="false"/>
                <w:caps w:val="false"/>
                <w:smallCaps w:val="false"/>
                <w:sz w:val="24"/>
              </w:rPr>
              <w:t>.</w:t>
            </w:r>
          </w:p>
        </w:tc>
      </w:tr>
    </w:tbl>
    <w:p>
      <w:pPr>
        <w:pStyle w:val="TextBody"/>
        <w:bidi w:val="0"/>
        <w:spacing w:lineRule="auto" w:line="429" w:before="240" w:after="120"/>
        <w:ind w:left="360" w:right="0" w:hanging="0"/>
        <w:jc w:val="left"/>
        <w:rPr>
          <w:rFonts w:ascii="Times New Roman;Times;serif" w:hAnsi="Times New Roman;Times;serif"/>
          <w:b/>
          <w:sz w:val="22"/>
        </w:rPr>
      </w:pPr>
      <w:r>
        <w:rPr>
          <w:rFonts w:ascii="Times New Roman;Times;serif" w:hAnsi="Times New Roman;Times;serif"/>
          <w:b/>
          <w:sz w:val="22"/>
        </w:rPr>
        <w:t>Capital Allocation</w:t>
      </w:r>
    </w:p>
    <w:p>
      <w:pPr>
        <w:pStyle w:val="TextBody"/>
        <w:bidi w:val="0"/>
        <w:spacing w:lineRule="auto" w:line="429" w:before="240" w:after="120"/>
        <w:ind w:left="360" w:right="0" w:hanging="0"/>
        <w:jc w:val="left"/>
        <w:rPr>
          <w:rFonts w:ascii="Times New Roman;Times;serif" w:hAnsi="Times New Roman;Times;serif"/>
          <w:sz w:val="22"/>
        </w:rPr>
      </w:pPr>
      <w:r>
        <w:rPr>
          <w:rFonts w:ascii="Times New Roman;Times;serif" w:hAnsi="Times New Roman;Times;serif"/>
          <w:sz w:val="22"/>
        </w:rPr>
        <w:t>UFP Industries maintains a strong balance sheet with nearly $903.6 million in cash as of March 29, 2025, compared to $979.7 million in cash at the end of the first quarter of 2024. As of March 29, 2025, the company had approximately $2.2 billion of liquidity consisting of cash and remaining availability under its revolving credit facility and a shelf agreement with certain lenders. The company’s return-focused approach to capital allocation includes the following:</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1008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Acquisitions and Organic Growth.</w:t>
            </w:r>
            <w:r>
              <w:rPr>
                <w:caps w:val="false"/>
                <w:smallCaps w:val="false"/>
              </w:rPr>
              <w:t xml:space="preserve"> </w:t>
            </w:r>
            <w:r>
              <w:rPr>
                <w:rFonts w:ascii="Times New Roman;Times;serif" w:hAnsi="Times New Roman;Times;serif"/>
                <w:b w:val="false"/>
                <w:i w:val="false"/>
                <w:caps w:val="false"/>
                <w:smallCaps w:val="false"/>
                <w:sz w:val="22"/>
              </w:rPr>
              <w:t xml:space="preserve">The company seeks strategic acquisitions and invests in organic growth opportunities when acquisition targets are not available at valuations that will allow us to meet or exceed targeted return rates. In 2024, the company announced up to $1 billion in capital investments across the portfolio through 2028 for automation, technology upgrades, geographic expansion and increased capacity at existing facilities, primarily for its Deckorators and Site Built business units and its Packaging segment. The company expects to invest approximately $300 million to $350 million in capital projects in 2025. </w:t>
            </w:r>
          </w:p>
        </w:tc>
      </w:tr>
    </w:tbl>
    <w:p>
      <w:pPr>
        <w:pStyle w:val="TextBody"/>
        <w:bidi w:val="0"/>
        <w:spacing w:lineRule="auto" w:line="429"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1008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2"/>
              </w:rPr>
              <w:t>Dividend payments.</w:t>
            </w:r>
            <w:r>
              <w:rPr>
                <w:caps w:val="false"/>
                <w:smallCaps w:val="false"/>
              </w:rPr>
              <w:t xml:space="preserve"> </w:t>
            </w:r>
            <w:r>
              <w:rPr>
                <w:rFonts w:ascii="Times New Roman;Times;serif" w:hAnsi="Times New Roman;Times;serif"/>
                <w:b w:val="false"/>
                <w:i w:val="false"/>
                <w:caps w:val="false"/>
                <w:smallCaps w:val="false"/>
                <w:sz w:val="22"/>
              </w:rPr>
              <w:t>On April 23, 2025, the UFP Industries Board of Directors approved a quarterly dividend payment of $0.35 per share, a 6 percent increase over the quarterly dividend of $0.33 per share paid throughout 2024. The dividend is payable on June 16, 2025, to shareholders of record on June 2, 2025.</w:t>
            </w:r>
          </w:p>
        </w:tc>
      </w:tr>
    </w:tbl>
    <w:p>
      <w:pPr>
        <w:pStyle w:val="TextBody"/>
        <w:bidi w:val="0"/>
        <w:spacing w:lineRule="auto" w:line="429"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w:t>
            </w:r>
          </w:p>
        </w:tc>
        <w:tc>
          <w:tcPr>
            <w:tcW w:w="10087" w:type="dxa"/>
            <w:tcBorders/>
            <w:vAlign w:val="center"/>
          </w:tcPr>
          <w:p>
            <w:pPr>
              <w:pStyle w:val="TableContents"/>
              <w:bidi w:val="0"/>
              <w:spacing w:before="0" w:after="283"/>
              <w:jc w:val="left"/>
              <w:rPr/>
            </w:pPr>
            <w:r>
              <w:rPr>
                <w:rFonts w:ascii="Times" w:hAnsi="Times"/>
                <w:b/>
                <w:i w:val="false"/>
                <w:caps w:val="false"/>
                <w:smallCaps w:val="false"/>
                <w:sz w:val="22"/>
              </w:rPr>
              <w:t>Share repurchases.</w:t>
            </w:r>
            <w:r>
              <w:rPr>
                <w:caps w:val="false"/>
                <w:smallCaps w:val="false"/>
              </w:rPr>
              <w:t xml:space="preserve"> </w:t>
            </w:r>
            <w:r>
              <w:rPr>
                <w:rFonts w:ascii="Times" w:hAnsi="Times"/>
                <w:b w:val="false"/>
                <w:i w:val="false"/>
                <w:caps w:val="false"/>
                <w:smallCaps w:val="false"/>
                <w:sz w:val="22"/>
              </w:rPr>
              <w:t>On April 23, 2025, the UFP Industries Board of Directors authorized the company to amend its share repurchase authorization, dated July 24, 2024, from up to $200 million of shares through July 31, 2025, to $300 million through the same period. Since July 24, 2024, the company has repurchased 1,624,069 shares at an average share price of $105.93 (a total of $172 million). During the first quarter of 2025, the company repurchased approximately 649,060 shares at an average share price of $108.00 (a total of $70.1 million), and in April repurchased approximately 1,022,493 shares at an average share price of $104.65 (a total of $107 million). As of April 28, 2025, the company has $122 million remaining in its authorization.</w:t>
            </w:r>
          </w:p>
        </w:tc>
      </w:tr>
    </w:tbl>
    <w:p>
      <w:pPr>
        <w:pStyle w:val="TextBody"/>
        <w:bidi w:val="0"/>
        <w:spacing w:before="0" w:after="0"/>
        <w:ind w:left="0" w:right="0" w:hanging="0"/>
        <w:jc w:val="left"/>
        <w:rPr>
          <w:rFonts w:ascii="Times New Roman;Times;serif" w:hAnsi="Times New Roman;Times;serif"/>
          <w:sz w:val="20"/>
        </w:rPr>
      </w:pPr>
      <w:bookmarkStart w:id="30" w:name="footnote-2"/>
      <w:bookmarkEnd w:id="30"/>
      <w:r>
        <w:rPr>
          <w:rFonts w:ascii="Times New Roman;Times;serif" w:hAnsi="Times New Roman;Times;serif"/>
          <w:sz w:val="15"/>
        </w:rPr>
        <w:t>1</w:t>
      </w:r>
      <w:r>
        <w:rPr>
          <w:rFonts w:ascii="Times New Roman;Times;serif" w:hAnsi="Times New Roman;Times;serif"/>
          <w:sz w:val="20"/>
        </w:rPr>
        <w:t xml:space="preserve"> Represents a non-GAAP measurement; see the reconciliation of non-GAAP financial measures and related explanations below.</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3</w:t>
      </w:r>
    </w:p>
    <w:p>
      <w:pPr>
        <w:pStyle w:val="TextBody"/>
        <w:bidi w:val="0"/>
        <w:spacing w:lineRule="auto" w:line="429" w:before="0" w:after="120"/>
        <w:ind w:left="360" w:right="0" w:hanging="0"/>
        <w:jc w:val="left"/>
        <w:rPr>
          <w:rFonts w:ascii="Times New Roman;Times;serif" w:hAnsi="Times New Roman;Times;serif"/>
          <w:sz w:val="22"/>
        </w:rPr>
      </w:pPr>
      <w:r>
        <w:rPr>
          <w:rFonts w:ascii="Times New Roman;Times;serif" w:hAnsi="Times New Roman;Times;serif"/>
          <w:sz w:val="22"/>
        </w:rPr>
        <w:t>By business segment, the company reported the following results:</w:t>
      </w:r>
    </w:p>
    <w:p>
      <w:pPr>
        <w:pStyle w:val="TextBody"/>
        <w:bidi w:val="0"/>
        <w:spacing w:lineRule="auto" w:line="429" w:before="0" w:after="120"/>
        <w:ind w:left="360" w:right="0" w:hanging="0"/>
        <w:jc w:val="left"/>
        <w:rPr>
          <w:rFonts w:ascii="Times New Roman;Times;serif" w:hAnsi="Times New Roman;Times;serif"/>
          <w:b/>
          <w:sz w:val="22"/>
        </w:rPr>
      </w:pPr>
      <w:r>
        <w:rPr>
          <w:rFonts w:ascii="Times New Roman;Times;serif" w:hAnsi="Times New Roman;Times;serif"/>
          <w:b/>
          <w:sz w:val="22"/>
        </w:rPr>
        <w:t>UFP Retail Solutions</w:t>
      </w:r>
    </w:p>
    <w:p>
      <w:pPr>
        <w:pStyle w:val="TextBody"/>
        <w:bidi w:val="0"/>
        <w:spacing w:lineRule="auto" w:line="429" w:before="0" w:after="0"/>
        <w:ind w:left="360" w:right="0" w:hanging="0"/>
        <w:jc w:val="left"/>
        <w:rPr>
          <w:rFonts w:ascii="Times New Roman;Times;serif" w:hAnsi="Times New Roman;Times;serif"/>
          <w:sz w:val="22"/>
        </w:rPr>
      </w:pPr>
      <w:r>
        <w:rPr>
          <w:rFonts w:ascii="Times New Roman;Times;serif" w:hAnsi="Times New Roman;Times;serif"/>
          <w:sz w:val="22"/>
        </w:rPr>
        <w:t>Net sales of $607 million were down 3 percent compared to the first quarter of 2024. Organic unit sales decreased 4 percent, which was partially offset by a 1 percent increase in selling prices. Organic unit sales decreased 11 percent for Deckorators and 3 percent for ProWood. Gross profit was $81 million or 13.3 percent of sales compared to $101 million or 16.1 percent of sales over the same period in 2024. Gross profit declined for Deckorators as a result of a temporary decline in volume due to a strategic shift in the business as well as unfavorable cost variances due to fixed costs. Gross profit for ProWood declined primarily due to a decline in unit sales as a result of softer demand and competitive price pressure and higher material costs on certain products sold with a fixed price. Price increases have recently been accepted to offset these increased costs.</w:t>
      </w:r>
    </w:p>
    <w:p>
      <w:pPr>
        <w:pStyle w:val="TextBody"/>
        <w:bidi w:val="0"/>
        <w:spacing w:before="0" w:after="0"/>
        <w:ind w:left="360" w:right="0" w:hanging="0"/>
        <w:jc w:val="left"/>
        <w:rPr/>
      </w:pPr>
      <w:r>
        <w:rPr/>
        <w:t>​</w:t>
      </w:r>
    </w:p>
    <w:p>
      <w:pPr>
        <w:pStyle w:val="TextBody"/>
        <w:bidi w:val="0"/>
        <w:spacing w:lineRule="auto" w:line="429" w:before="0" w:after="120"/>
        <w:ind w:left="360" w:right="0" w:hanging="0"/>
        <w:jc w:val="left"/>
        <w:rPr>
          <w:rFonts w:ascii="Times New Roman;Times;serif" w:hAnsi="Times New Roman;Times;serif"/>
          <w:b/>
          <w:sz w:val="22"/>
        </w:rPr>
      </w:pPr>
      <w:r>
        <w:rPr>
          <w:rFonts w:ascii="Times New Roman;Times;serif" w:hAnsi="Times New Roman;Times;serif"/>
          <w:b/>
          <w:sz w:val="22"/>
        </w:rPr>
        <w:t>UFP Packaging</w:t>
      </w:r>
    </w:p>
    <w:p>
      <w:pPr>
        <w:pStyle w:val="TextBody"/>
        <w:bidi w:val="0"/>
        <w:spacing w:lineRule="auto" w:line="429" w:before="0" w:after="0"/>
        <w:ind w:left="360" w:right="0" w:hanging="0"/>
        <w:jc w:val="left"/>
        <w:rPr>
          <w:rFonts w:ascii="Times New Roman;Times;serif" w:hAnsi="Times New Roman;Times;serif"/>
          <w:sz w:val="22"/>
        </w:rPr>
      </w:pPr>
      <w:r>
        <w:rPr>
          <w:rFonts w:ascii="Times New Roman;Times;serif" w:hAnsi="Times New Roman;Times;serif"/>
          <w:sz w:val="22"/>
        </w:rPr>
        <w:t>Net sales of $410 million were down 3 percent compared to the first quarter of 2024. A 3 percent decline in organic unit sales and a 1 percent decline in selling prices were partially offset by a 1 percent increase from an acquisition. A 5 percent decline in organic unit sales for Structural Packaging and a 1 percent decline in organic unit sales for PalletOne, both attributable to softer demand, were partially offset by a 13 percent increase in organic unit sales for Protective Packaging due to capacity increases. Gross profit for the Packaging segment was $70 million or 17.0 percent of sales compared to $85 million or 20.1 percent of sales in the first quarter last year. Gross profit declined primarily due to softer demand, lower unit sales, and competitive pricing and higher material costs in our Pallet One and Structural Packaging business units.</w:t>
      </w:r>
    </w:p>
    <w:p>
      <w:pPr>
        <w:pStyle w:val="TextBody"/>
        <w:bidi w:val="0"/>
        <w:spacing w:before="0" w:after="0"/>
        <w:ind w:left="360" w:right="0" w:hanging="0"/>
        <w:jc w:val="left"/>
        <w:rPr/>
      </w:pPr>
      <w:r>
        <w:rPr/>
        <w:t>​</w:t>
      </w:r>
    </w:p>
    <w:p>
      <w:pPr>
        <w:pStyle w:val="TextBody"/>
        <w:bidi w:val="0"/>
        <w:spacing w:lineRule="auto" w:line="429" w:before="0" w:after="120"/>
        <w:ind w:left="360" w:right="0" w:hanging="0"/>
        <w:jc w:val="left"/>
        <w:rPr>
          <w:rFonts w:ascii="Times New Roman;Times;serif" w:hAnsi="Times New Roman;Times;serif"/>
          <w:b/>
          <w:sz w:val="22"/>
        </w:rPr>
      </w:pPr>
      <w:r>
        <w:rPr>
          <w:rFonts w:ascii="Times New Roman;Times;serif" w:hAnsi="Times New Roman;Times;serif"/>
          <w:b/>
          <w:sz w:val="22"/>
        </w:rPr>
        <w:t>UFP Construction</w:t>
      </w:r>
    </w:p>
    <w:p>
      <w:pPr>
        <w:pStyle w:val="TextBody"/>
        <w:bidi w:val="0"/>
        <w:spacing w:lineRule="auto" w:line="429" w:before="0" w:after="0"/>
        <w:ind w:left="360" w:right="0" w:hanging="0"/>
        <w:jc w:val="left"/>
        <w:rPr>
          <w:rFonts w:ascii="Times New Roman;Times;serif" w:hAnsi="Times New Roman;Times;serif"/>
          <w:sz w:val="22"/>
        </w:rPr>
      </w:pPr>
      <w:r>
        <w:rPr>
          <w:rFonts w:ascii="Times New Roman;Times;serif" w:hAnsi="Times New Roman;Times;serif"/>
          <w:sz w:val="22"/>
        </w:rPr>
        <w:t>Net sales of $516 million were flat compared to the first quarter of 2024. Organic unit sales increased 3 percent, which was offset by a 3 percent decrease in selling prices. Organic unit sales increased 13 percent in Factory Built primarily due to an increase in industry production, and organic unit sales increased 4 percent in Commercial and 3 percent in Concrete Forming. Organic unit sales in Site Built decreased 5 percent due to softer demand. Gross profit for the Construction segment was $91 million or 17.6 percent of sales compared to $114 million or 22.1 percent of sales in the first quarter last year. The decrease in gross profit was primarily due to more competitive pricing in our Site Built business unit.</w:t>
      </w:r>
    </w:p>
    <w:p>
      <w:pPr>
        <w:pStyle w:val="TextBody"/>
        <w:bidi w:val="0"/>
        <w:spacing w:before="0" w:after="0"/>
        <w:ind w:left="360" w:right="0" w:hanging="0"/>
        <w:jc w:val="left"/>
        <w:rPr/>
      </w:pPr>
      <w:r>
        <w:rPr/>
        <w:t>​</w:t>
      </w:r>
    </w:p>
    <w:p>
      <w:pPr>
        <w:pStyle w:val="TextBody"/>
        <w:bidi w:val="0"/>
        <w:spacing w:lineRule="auto" w:line="429" w:before="0" w:after="120"/>
        <w:ind w:left="0" w:right="0" w:firstLine="360"/>
        <w:jc w:val="left"/>
        <w:rPr>
          <w:rFonts w:ascii="Times New Roman;Times;serif" w:hAnsi="Times New Roman;Times;serif"/>
          <w:b/>
          <w:sz w:val="22"/>
        </w:rPr>
      </w:pPr>
      <w:r>
        <w:rPr>
          <w:rFonts w:ascii="Times New Roman;Times;serif" w:hAnsi="Times New Roman;Times;serif"/>
          <w:b/>
          <w:sz w:val="22"/>
        </w:rPr>
        <w:t>Short-Term Outlook</w:t>
      </w:r>
    </w:p>
    <w:p>
      <w:pPr>
        <w:pStyle w:val="TextBody"/>
        <w:bidi w:val="0"/>
        <w:spacing w:lineRule="auto" w:line="429" w:before="0" w:after="120"/>
        <w:ind w:left="360" w:right="0" w:hanging="0"/>
        <w:jc w:val="left"/>
        <w:rPr>
          <w:rFonts w:ascii="Times New Roman;Times;serif" w:hAnsi="Times New Roman;Times;serif"/>
          <w:sz w:val="20"/>
        </w:rPr>
      </w:pPr>
      <w:r>
        <w:rPr>
          <w:rFonts w:ascii="Times New Roman;Times;serif" w:hAnsi="Times New Roman;Times;serif"/>
          <w:sz w:val="22"/>
          <w:u w:val="single"/>
        </w:rPr>
        <w:t>Tariff impacts:</w:t>
      </w:r>
      <w:r>
        <w:rPr>
          <w:rFonts w:ascii="Times New Roman;Times;serif" w:hAnsi="Times New Roman;Times;serif"/>
          <w:sz w:val="20"/>
        </w:rPr>
        <w:t xml:space="preserve"> </w:t>
      </w:r>
      <w:r>
        <w:rPr>
          <w:rFonts w:ascii="Times New Roman;Times;serif" w:hAnsi="Times New Roman;Times;serif"/>
          <w:sz w:val="22"/>
        </w:rPr>
        <w:t>We are working closely with our domestic and international suppliers to navigate the recently proposed tariffs on several of our raw materials, which have been paused in Mexico and Canada. If tariffs are enacted, the demand for domestic products would be expected to increase, which will likely increase costs as capacity gets challenged. Although the trade landscape continues to evolve, since we do not own any foreign sawmills and have excellent relationships with our mill partners, we believe we are currently in a strong position to adapt quickly to tariffs without material adverse financial impact after a short adjustment period. The company will continue to monitor the market and make decisions quickly to minimize disruption.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4</w:t>
      </w:r>
    </w:p>
    <w:p>
      <w:pPr>
        <w:pStyle w:val="TextBody"/>
        <w:bidi w:val="0"/>
        <w:spacing w:lineRule="auto" w:line="429" w:before="0" w:after="0"/>
        <w:ind w:left="360" w:right="0" w:hanging="0"/>
        <w:jc w:val="left"/>
        <w:rPr>
          <w:rFonts w:ascii="Times New Roman;Times;serif" w:hAnsi="Times New Roman;Times;serif"/>
          <w:sz w:val="20"/>
        </w:rPr>
      </w:pPr>
      <w:r>
        <w:rPr>
          <w:rFonts w:ascii="Times New Roman;Times;serif" w:hAnsi="Times New Roman;Times;serif"/>
          <w:sz w:val="22"/>
          <w:u w:val="single"/>
        </w:rPr>
        <w:t>End Market Demand:</w:t>
      </w:r>
      <w:r>
        <w:rPr>
          <w:rFonts w:ascii="Times New Roman;Times;serif" w:hAnsi="Times New Roman;Times;serif"/>
          <w:sz w:val="20"/>
        </w:rPr>
        <w:t xml:space="preserve"> </w:t>
      </w:r>
      <w:r>
        <w:rPr>
          <w:rFonts w:ascii="Times New Roman;Times;serif" w:hAnsi="Times New Roman;Times;serif"/>
          <w:sz w:val="22"/>
        </w:rPr>
        <w:t>We anticipate the softer demand and competitive pricing environment will continue through the remainder of 2025, with overall demand slightly down in each of our segments. We anticipate a decline in Site Built will be partially offset by an increase in Factory Built.</w:t>
      </w:r>
    </w:p>
    <w:p>
      <w:pPr>
        <w:pStyle w:val="TextBody"/>
        <w:bidi w:val="0"/>
        <w:spacing w:lineRule="auto" w:line="429" w:before="240" w:after="120"/>
        <w:ind w:left="0" w:right="0" w:firstLine="360"/>
        <w:jc w:val="left"/>
        <w:rPr>
          <w:rFonts w:ascii="Times New Roman;Times;serif" w:hAnsi="Times New Roman;Times;serif"/>
          <w:b/>
          <w:sz w:val="22"/>
        </w:rPr>
      </w:pPr>
      <w:r>
        <w:rPr>
          <w:rFonts w:ascii="Times New Roman;Times;serif" w:hAnsi="Times New Roman;Times;serif"/>
          <w:b/>
          <w:sz w:val="22"/>
        </w:rPr>
        <w:t>Long-Term Outlook</w:t>
      </w:r>
    </w:p>
    <w:p>
      <w:pPr>
        <w:pStyle w:val="TextBody"/>
        <w:bidi w:val="0"/>
        <w:spacing w:lineRule="auto" w:line="429" w:before="120" w:after="0"/>
        <w:ind w:left="360" w:right="0" w:hanging="0"/>
        <w:jc w:val="left"/>
        <w:rPr>
          <w:rFonts w:ascii="Times New Roman;Times;serif" w:hAnsi="Times New Roman;Times;serif"/>
          <w:sz w:val="22"/>
        </w:rPr>
      </w:pPr>
      <w:r>
        <w:rPr>
          <w:rFonts w:ascii="Times New Roman;Times;serif" w:hAnsi="Times New Roman;Times;serif"/>
          <w:sz w:val="22"/>
        </w:rPr>
        <w:t xml:space="preserve">The company’s long-term goals remain unchanged and include: 1) achieving 7-10 percent unit sales growth annually (including bolt-on acquisitions) and at least 10 percent of all sales coming from new products; 2) achieving 12.5 percent EBITDA margins; 3) earning an incremental return on new investments over our hurdle rate; and 4) maintaining a conservative capital structure. </w:t>
      </w:r>
    </w:p>
    <w:p>
      <w:pPr>
        <w:pStyle w:val="TextBody"/>
        <w:bidi w:val="0"/>
        <w:spacing w:lineRule="auto" w:line="429" w:before="0" w:after="0"/>
        <w:ind w:left="360" w:right="0" w:hanging="0"/>
        <w:jc w:val="left"/>
        <w:rPr/>
      </w:pPr>
      <w:r>
        <w:rPr/>
        <w:t>​</w:t>
      </w:r>
    </w:p>
    <w:p>
      <w:pPr>
        <w:pStyle w:val="TextBody"/>
        <w:bidi w:val="0"/>
        <w:spacing w:lineRule="auto" w:line="429" w:before="240" w:after="120"/>
        <w:ind w:left="360" w:right="0" w:hanging="0"/>
        <w:jc w:val="left"/>
        <w:rPr>
          <w:rFonts w:ascii="Times New Roman;Times;serif" w:hAnsi="Times New Roman;Times;serif"/>
          <w:b/>
          <w:sz w:val="22"/>
        </w:rPr>
      </w:pPr>
      <w:r>
        <w:rPr>
          <w:rFonts w:ascii="Times New Roman;Times;serif" w:hAnsi="Times New Roman;Times;serif"/>
          <w:b/>
          <w:sz w:val="22"/>
        </w:rPr>
        <w:t>CONFERENCE CALL</w:t>
      </w:r>
    </w:p>
    <w:p>
      <w:pPr>
        <w:pStyle w:val="TextBody"/>
        <w:bidi w:val="0"/>
        <w:spacing w:lineRule="auto" w:line="429" w:before="0" w:after="0"/>
        <w:ind w:left="360" w:right="0" w:hanging="0"/>
        <w:jc w:val="left"/>
        <w:rPr>
          <w:rFonts w:ascii="Times New Roman;Times;serif" w:hAnsi="Times New Roman;Times;serif"/>
          <w:sz w:val="22"/>
        </w:rPr>
      </w:pPr>
      <w:bookmarkStart w:id="31" w:name="_Hlk149572683"/>
      <w:bookmarkEnd w:id="31"/>
      <w:r>
        <w:rPr>
          <w:rFonts w:ascii="Times New Roman;Times;serif" w:hAnsi="Times New Roman;Times;serif"/>
          <w:sz w:val="22"/>
        </w:rPr>
        <w:t>UFP Industries will conduct a conference call to discuss its outlook and information included in this news release at 9:00 a.m. ET on Tuesday, April 29, 2025. The call will be hosted by CEO Will Schwartz and CFO Michael Cole and will be available simultaneously and in its entirety to all interested investors and news media through a webcast at https://www.ufpinvestor.com/news-filings-reports#events---presentations. A replay of the call will be available through the website.</w:t>
      </w:r>
    </w:p>
    <w:p>
      <w:pPr>
        <w:pStyle w:val="TextBody"/>
        <w:bidi w:val="0"/>
        <w:spacing w:lineRule="auto" w:line="429" w:before="240" w:after="120"/>
        <w:ind w:left="360" w:right="0" w:hanging="0"/>
        <w:jc w:val="left"/>
        <w:rPr>
          <w:rFonts w:ascii="Times New Roman;Times;serif" w:hAnsi="Times New Roman;Times;serif"/>
          <w:b/>
          <w:sz w:val="22"/>
        </w:rPr>
      </w:pPr>
      <w:r>
        <w:rPr>
          <w:rFonts w:ascii="Times New Roman;Times;serif" w:hAnsi="Times New Roman;Times;serif"/>
          <w:b/>
          <w:sz w:val="22"/>
        </w:rPr>
        <w:t>UFP Industries, Inc.</w:t>
      </w:r>
    </w:p>
    <w:p>
      <w:pPr>
        <w:pStyle w:val="TextBody"/>
        <w:bidi w:val="0"/>
        <w:spacing w:lineRule="auto" w:line="429" w:before="240" w:after="120"/>
        <w:ind w:left="360" w:right="0" w:hanging="0"/>
        <w:jc w:val="left"/>
        <w:rPr>
          <w:rFonts w:ascii="Times New Roman;Times;serif" w:hAnsi="Times New Roman;Times;serif"/>
          <w:sz w:val="22"/>
        </w:rPr>
      </w:pPr>
      <w:r>
        <w:rPr>
          <w:rFonts w:ascii="Times New Roman;Times;serif" w:hAnsi="Times New Roman;Times;serif"/>
          <w:sz w:val="22"/>
        </w:rPr>
        <w:t>UFP Industries, Inc. is a holding company whose operating subsidiaries – UFP Packaging, UFP Construction and UFP Retail Solutions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UFP Industries is ranked #493 on the Fortune 500 and #128 on Industry Week’s list of America’s Largest Manufacturers. For more about UFP Industries, go to www.ufpi.com.</w:t>
      </w:r>
    </w:p>
    <w:p>
      <w:pPr>
        <w:pStyle w:val="TextBody"/>
        <w:bidi w:val="0"/>
        <w:spacing w:lineRule="auto" w:line="429" w:before="240" w:after="120"/>
        <w:ind w:left="360" w:right="0" w:hanging="0"/>
        <w:jc w:val="left"/>
        <w:rPr/>
      </w:pPr>
      <w:r>
        <w:rPr/>
        <w:t>​</w:t>
      </w:r>
    </w:p>
    <w:p>
      <w:pPr>
        <w:pStyle w:val="TextBody"/>
        <w:bidi w:val="0"/>
        <w:spacing w:lineRule="auto" w:line="429" w:before="0" w:after="120"/>
        <w:ind w:left="360" w:right="0" w:hanging="0"/>
        <w:jc w:val="left"/>
        <w:rPr>
          <w:rFonts w:ascii="Times New Roman;Times;serif" w:hAnsi="Times New Roman;Times;serif"/>
          <w:i/>
          <w:sz w:val="16"/>
        </w:rPr>
      </w:pPr>
      <w:r>
        <w:rPr>
          <w:rFonts w:ascii="Times New Roman;Times;serif" w:hAnsi="Times New Roman;Times;serif"/>
          <w:i/>
          <w:sz w:val="16"/>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or unusual weather conditions; adverse economic conditions in the markets we serve; changes in tariffs, import/export regulations, and other trade policies; concentration of sales to customers; the success of vertical integration strategies; excess capacity or supply chain challenges; inbound and outbound transportation costs; alternatives to replace treated wood products; government regulations, particularly involving environmental and safety regulations; our ability to make successful business acquisitions; cybersecurity breaches; and potential pandemics. Certain of these risk factors as well as other risk factors and additional information are included in the Company's reports on Form 10-K and 10-Q on file with the Securities and Exchange Commission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5</w:t>
      </w:r>
    </w:p>
    <w:p>
      <w:pPr>
        <w:pStyle w:val="TextBody"/>
        <w:bidi w:val="0"/>
        <w:spacing w:lineRule="auto" w:line="429" w:before="0" w:after="120"/>
        <w:ind w:left="360" w:right="0" w:hanging="0"/>
        <w:jc w:val="left"/>
        <w:rPr>
          <w:rFonts w:ascii="Times New Roman;Times;serif" w:hAnsi="Times New Roman;Times;serif"/>
          <w:i/>
          <w:sz w:val="16"/>
        </w:rPr>
      </w:pPr>
      <w:r>
        <w:rPr>
          <w:rFonts w:ascii="Times New Roman;Times;serif" w:hAnsi="Times New Roman;Times;serif"/>
          <w:i/>
          <w:sz w:val="16"/>
        </w:rPr>
        <w:t>Non-GAAP Financial Information</w:t>
      </w:r>
    </w:p>
    <w:p>
      <w:pPr>
        <w:pStyle w:val="TextBody"/>
        <w:bidi w:val="0"/>
        <w:spacing w:lineRule="auto" w:line="429" w:before="0" w:after="120"/>
        <w:ind w:left="360" w:right="0" w:hanging="0"/>
        <w:jc w:val="left"/>
        <w:rPr>
          <w:rFonts w:ascii="Times New Roman;Times;serif" w:hAnsi="Times New Roman;Times;serif"/>
          <w:i/>
          <w:sz w:val="16"/>
        </w:rPr>
      </w:pPr>
      <w:r>
        <w:rPr>
          <w:rFonts w:ascii="Times New Roman;Times;serif" w:hAnsi="Times New Roman;Times;serif"/>
          <w:i/>
          <w:sz w:val="16"/>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uses Adjusted EBITDA, a non-GAAP financial measure, in order to evaluate historical and ongoing operations. Management believes that this non-GAAP financial measure is useful in order to enable investors to perform meaningful comparisons of historical and current performance. Adjusted EBITDA is intended to supplement and should be read together with the financial results. Adjusted EBITDA should not be considered an alternative or substitute for, and should not be considered superior to, the reported financial results. Accordingly, users of this financial information should not place undue reliance on the non-GAAP financial measure. See the table below for a reconciliation of Adjusted EBITDA to net earnings.</w:t>
      </w:r>
    </w:p>
    <w:p>
      <w:pPr>
        <w:pStyle w:val="TextBody"/>
        <w:bidi w:val="0"/>
        <w:spacing w:lineRule="auto" w:line="429" w:before="0" w:after="120"/>
        <w:ind w:left="360" w:right="0" w:hanging="0"/>
        <w:jc w:val="left"/>
        <w:rPr>
          <w:rFonts w:ascii="Times New Roman;Times;serif" w:hAnsi="Times New Roman;Times;serif"/>
          <w:i/>
          <w:sz w:val="16"/>
        </w:rPr>
      </w:pPr>
      <w:r>
        <w:rPr>
          <w:rFonts w:ascii="Times New Roman;Times;serif" w:hAnsi="Times New Roman;Times;serif"/>
          <w:i/>
          <w:sz w:val="16"/>
        </w:rPr>
        <w:t xml:space="preserve">Net earnings </w:t>
      </w:r>
    </w:p>
    <w:p>
      <w:pPr>
        <w:pStyle w:val="TextBody"/>
        <w:bidi w:val="0"/>
        <w:spacing w:lineRule="auto" w:line="429" w:before="0" w:after="120"/>
        <w:ind w:left="360" w:right="0" w:hanging="0"/>
        <w:jc w:val="left"/>
        <w:rPr>
          <w:rFonts w:ascii="Times New Roman;Times;serif" w:hAnsi="Times New Roman;Times;serif"/>
          <w:i/>
          <w:sz w:val="16"/>
        </w:rPr>
      </w:pPr>
      <w:r>
        <w:rPr>
          <w:rFonts w:ascii="Times New Roman;Times;serif" w:hAnsi="Times New Roman;Times;serif"/>
          <w:i/>
          <w:sz w:val="16"/>
        </w:rPr>
        <w:t xml:space="preserve">Net earnings refers to net earnings attributable to controlling interest unless specifically noted. </w:t>
      </w:r>
    </w:p>
    <w:p>
      <w:pPr>
        <w:pStyle w:val="TextBody"/>
        <w:bidi w:val="0"/>
        <w:spacing w:lineRule="auto" w:line="429" w:before="0" w:after="120"/>
        <w:ind w:left="360" w:right="0" w:hanging="0"/>
        <w:jc w:val="center"/>
        <w:rPr>
          <w:rFonts w:ascii="Times New Roman;Times;serif" w:hAnsi="Times New Roman;Times;serif"/>
          <w:sz w:val="20"/>
        </w:rPr>
      </w:pPr>
      <w:r>
        <w:rPr>
          <w:rFonts w:ascii="Times New Roman;Times;serif" w:hAnsi="Times New Roman;Times;serif"/>
          <w:sz w:val="20"/>
        </w:rPr>
        <w:t># # #</w:t>
      </w:r>
    </w:p>
    <w:p>
      <w:pPr>
        <w:pStyle w:val="TextBody"/>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---------------AT THE COMPANY---------------</w:t>
      </w:r>
    </w:p>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Stanley Elliott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Director of Investor Relations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(804) 337-8217</w:t>
      </w:r>
    </w:p>
    <w:p>
      <w:pPr>
        <w:pStyle w:val="TextBody"/>
        <w:bidi w:val="0"/>
        <w:spacing w:lineRule="auto" w:line="429" w:before="0" w:after="120"/>
        <w:ind w:left="360" w:right="0" w:hanging="0"/>
        <w:jc w:val="center"/>
        <w:rPr/>
      </w:pPr>
      <w:r>
        <w:rPr/>
        <w:t>​</w:t>
      </w:r>
    </w:p>
    <w:p>
      <w:pPr>
        <w:pStyle w:val="TextBody"/>
        <w:bidi w:val="0"/>
        <w:spacing w:before="0" w:after="120"/>
        <w:ind w:left="360" w:right="0" w:hanging="0"/>
        <w:jc w:val="center"/>
        <w:rPr/>
      </w:pPr>
      <w:r>
        <w:rPr/>
        <w:t>​</w:t>
      </w:r>
    </w:p>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EARNINGS AND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COMPREHENSIVE INCOME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2025/2024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754"/>
        <w:gridCol w:w="326"/>
        <w:gridCol w:w="196"/>
        <w:gridCol w:w="826"/>
        <w:gridCol w:w="206"/>
        <w:gridCol w:w="511"/>
        <w:gridCol w:w="301"/>
        <w:gridCol w:w="196"/>
        <w:gridCol w:w="826"/>
        <w:gridCol w:w="206"/>
        <w:gridCol w:w="511"/>
        <w:gridCol w:w="346"/>
      </w:tblGrid>
      <w:tr>
        <w:trPr/>
        <w:tc>
          <w:tcPr>
            <w:tcW w:w="5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653790" cy="175260"/>
                      <wp:effectExtent l="0" t="0" r="0" b="0"/>
                      <wp:wrapNone/>
                      <wp:docPr id="18" name="Frame16"/>
                      <a:graphic xmlns:a="http://schemas.openxmlformats.org/drawingml/2006/main">
                        <a:graphicData uri="http://schemas.microsoft.com/office/word/2010/wordprocessingShape">
                          <wps:wsp>
                            <wps:cNvSpPr txBox="1"/>
                            <wps:spPr>
                              <a:xfrm>
                                <a:off x="0" y="0"/>
                                <a:ext cx="3653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9"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20"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24510" cy="175260"/>
                      <wp:effectExtent l="0" t="0" r="0" b="0"/>
                      <wp:wrapNone/>
                      <wp:docPr id="21" name="Frame1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0810" cy="175260"/>
                      <wp:effectExtent l="0" t="0" r="0" b="0"/>
                      <wp:wrapNone/>
                      <wp:docPr id="22" name="Frame2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24485" cy="175260"/>
                      <wp:effectExtent l="0" t="0" r="0" b="0"/>
                      <wp:wrapNone/>
                      <wp:docPr id="23" name="Frame2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91135" cy="175260"/>
                      <wp:effectExtent l="0" t="0" r="0" b="0"/>
                      <wp:wrapNone/>
                      <wp:docPr id="24" name="Frame2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5"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24510" cy="175260"/>
                      <wp:effectExtent l="0" t="0" r="0" b="0"/>
                      <wp:wrapNone/>
                      <wp:docPr id="26" name="Frame2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0810" cy="175260"/>
                      <wp:effectExtent l="0" t="0" r="0" b="0"/>
                      <wp:wrapNone/>
                      <wp:docPr id="27" name="Frame2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24485" cy="175260"/>
                      <wp:effectExtent l="0" t="0" r="0" b="0"/>
                      <wp:wrapNone/>
                      <wp:docPr id="28" name="Frame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9"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54"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pPr>
            <w:r>
              <w:rPr/>
              <w:t>​</w:t>
            </w:r>
          </w:p>
        </w:tc>
        <w:tc>
          <w:tcPr>
            <w:tcW w:w="326"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4125" w:type="dxa"/>
            <w:gridSpan w:val="10"/>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Quarter Period and Year to Date</w:t>
            </w:r>
          </w:p>
        </w:tc>
      </w:tr>
      <w:tr>
        <w:trPr/>
        <w:tc>
          <w:tcPr>
            <w:tcW w:w="5754"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    </w:t>
            </w:r>
          </w:p>
        </w:tc>
        <w:tc>
          <w:tcPr>
            <w:tcW w:w="2040" w:type="dxa"/>
            <w:gridSpan w:val="5"/>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2085" w:type="dxa"/>
            <w:gridSpan w:val="5"/>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SALES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1,595,519</w:t>
            </w:r>
          </w:p>
        </w:tc>
        <w:tc>
          <w:tcPr>
            <w:tcW w:w="20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1,638,966</w:t>
            </w:r>
          </w:p>
        </w:tc>
        <w:tc>
          <w:tcPr>
            <w:tcW w:w="20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COST OF GOODS SOLD </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1,327,323</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83.2</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1,312,888</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80.1</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268,196</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326,078</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SELLING, GENERAL AND ADMINISTRATIVE EXPENSES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176,254</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192,059</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GAIN ON DISPOSITION AND IMPAIRMENT OF ASSETS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(GAINS) LOSSES, NET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EARNINGS FROM OPERATIONS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92,252</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133,823</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INTEREST AND OTHER</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(8,429)</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(12,763)</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EARNINGS BEFORE INCOME TAXES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100,681</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146,586</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TAXES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21,258</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25,487</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EARNINGS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79,423</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121,099</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LESS NET EARNINGS ATTRIBUTABLE TO NONCONTROLLING INTEREST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(670)</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EARNINGS ATTRIBUTABLE TO CONTROLLING INTEREST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78,753</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120,791</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EARNINGS PER SHARE - BASIC </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EARNINGS PER SHARE - DILUTED</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INCOME</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82,604</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119,969</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LESS COMPREHENSIVE INCOME ATTRIBUTABLE TO NONCONTROLLING INTEREST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01"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INCOME ATTRIBUTABLE TO CONTROLLING INTEREST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81,967</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01"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119,378</w:t>
            </w:r>
          </w:p>
        </w:tc>
        <w:tc>
          <w:tcPr>
            <w:tcW w:w="20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4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5754"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01"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12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7</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EARNINGS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TO ADJUSTED EBITDA BY SEGMENT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2025</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477"/>
        <w:gridCol w:w="109"/>
        <w:gridCol w:w="211"/>
        <w:gridCol w:w="781"/>
        <w:gridCol w:w="109"/>
        <w:gridCol w:w="211"/>
        <w:gridCol w:w="781"/>
        <w:gridCol w:w="109"/>
        <w:gridCol w:w="223"/>
        <w:gridCol w:w="828"/>
        <w:gridCol w:w="109"/>
        <w:gridCol w:w="211"/>
        <w:gridCol w:w="676"/>
        <w:gridCol w:w="109"/>
        <w:gridCol w:w="211"/>
        <w:gridCol w:w="753"/>
        <w:gridCol w:w="109"/>
        <w:gridCol w:w="211"/>
        <w:gridCol w:w="977"/>
      </w:tblGrid>
      <w:tr>
        <w:trPr/>
        <w:tc>
          <w:tcPr>
            <w:tcW w:w="3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207895" cy="175260"/>
                      <wp:effectExtent l="0" t="0" r="0" b="0"/>
                      <wp:wrapNone/>
                      <wp:docPr id="30" name="Frame28"/>
                      <a:graphic xmlns:a="http://schemas.openxmlformats.org/drawingml/2006/main">
                        <a:graphicData uri="http://schemas.microsoft.com/office/word/2010/wordprocessingShape">
                          <wps:wsp>
                            <wps:cNvSpPr txBox="1"/>
                            <wps:spPr>
                              <a:xfrm>
                                <a:off x="0" y="0"/>
                                <a:ext cx="2207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1"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2"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95935" cy="175260"/>
                      <wp:effectExtent l="0" t="0" r="0" b="0"/>
                      <wp:wrapNone/>
                      <wp:docPr id="33" name="Frame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4"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5"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95935" cy="175260"/>
                      <wp:effectExtent l="0" t="0" r="0" b="0"/>
                      <wp:wrapNone/>
                      <wp:docPr id="36" name="Frame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7"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1605" cy="175260"/>
                      <wp:effectExtent l="0" t="0" r="0" b="0"/>
                      <wp:wrapNone/>
                      <wp:docPr id="38" name="Frame3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25780" cy="175260"/>
                      <wp:effectExtent l="0" t="0" r="0" b="0"/>
                      <wp:wrapNone/>
                      <wp:docPr id="39" name="Frame37"/>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40"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1"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29260" cy="175260"/>
                      <wp:effectExtent l="0" t="0" r="0" b="0"/>
                      <wp:wrapNone/>
                      <wp:docPr id="42" name="Frame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3"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3985" cy="175260"/>
                      <wp:effectExtent l="0" t="0" r="0" b="0"/>
                      <wp:wrapNone/>
                      <wp:docPr id="44"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78155" cy="175260"/>
                      <wp:effectExtent l="0" t="0" r="0" b="0"/>
                      <wp:wrapNone/>
                      <wp:docPr id="45" name="Frame43"/>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6"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47"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20395" cy="175260"/>
                      <wp:effectExtent l="0" t="0" r="0" b="0"/>
                      <wp:wrapNone/>
                      <wp:docPr id="48" name="Frame46"/>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77"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6619" w:type="dxa"/>
            <w:gridSpan w:val="1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Quarter Period and Year to Date 2025</w:t>
            </w:r>
          </w:p>
        </w:tc>
      </w:tr>
      <w:tr>
        <w:trPr/>
        <w:tc>
          <w:tcPr>
            <w:tcW w:w="3477"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992" w:type="dxa"/>
            <w:gridSpan w:val="2"/>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vAlign w:val="center"/>
          </w:tcPr>
          <w:p>
            <w:pPr>
              <w:pStyle w:val="TableContents"/>
              <w:bidi w:val="0"/>
              <w:spacing w:before="0" w:after="0"/>
              <w:ind w:left="0" w:right="0" w:hanging="0"/>
              <w:jc w:val="center"/>
              <w:rPr/>
            </w:pPr>
            <w:r>
              <w:rPr/>
              <w:t>​</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0"/>
              <w:ind w:left="0" w:right="0" w:hanging="0"/>
              <w:jc w:val="center"/>
              <w:rPr/>
            </w:pPr>
            <w:r>
              <w:rPr/>
              <w:t>​</w:t>
            </w:r>
          </w:p>
        </w:tc>
        <w:tc>
          <w:tcPr>
            <w:tcW w:w="1188"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SALES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410,008</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515,940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1,595,519</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GOODS SOLD</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526,088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340,434</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425,140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49,666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1,327,323</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69,574</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268,196</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 EXPENSES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47,769</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176,254</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(GAIN) ON DISPOSITION AND IMPAIRMENT OF ASSETS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(GAINS) LOSSES, NET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FROM OPERATIONS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21,773</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92,252</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AND OTHER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BEFORE INCOME TAXES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21,445</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100,681</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4,528</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21,258</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EARNINGS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16,917</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21,944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79,423</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(8,429)</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4,528</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21,258</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ASSOCIATED WITH SHARE-BASED COMPENSATION ARRANGEMENTS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11,561</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(GAIN) ON DISPOSITION AND IMPAIRMENT OF ASSETS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FROM REDUCTION OF ESTIMATED EARNOUT LIABILITY</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8,897</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7"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32,941</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5,817</w:t>
            </w:r>
          </w:p>
        </w:tc>
      </w:tr>
      <w:tr>
        <w:trPr/>
        <w:tc>
          <w:tcPr>
            <w:tcW w:w="3477"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35,849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35,045</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28,914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7" w:type="dxa"/>
            <w:tcBorders>
              <w:bottom w:val="double" w:sz="6"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142,151</w:t>
            </w:r>
          </w:p>
        </w:tc>
      </w:tr>
      <w:tr>
        <w:trPr/>
        <w:tc>
          <w:tcPr>
            <w:tcW w:w="3477"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3477"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AS A PERCENTAGE OF NET SALES</w:t>
            </w:r>
          </w:p>
        </w:tc>
        <w:tc>
          <w:tcPr>
            <w:tcW w:w="109"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34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Not meaningful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8</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EARNINGS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TO ADJUSTED EBITDA BY SEGMENT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45"/>
        <w:gridCol w:w="109"/>
        <w:gridCol w:w="211"/>
        <w:gridCol w:w="781"/>
        <w:gridCol w:w="109"/>
        <w:gridCol w:w="211"/>
        <w:gridCol w:w="781"/>
        <w:gridCol w:w="109"/>
        <w:gridCol w:w="223"/>
        <w:gridCol w:w="828"/>
        <w:gridCol w:w="109"/>
        <w:gridCol w:w="211"/>
        <w:gridCol w:w="680"/>
        <w:gridCol w:w="109"/>
        <w:gridCol w:w="211"/>
        <w:gridCol w:w="680"/>
        <w:gridCol w:w="109"/>
        <w:gridCol w:w="211"/>
        <w:gridCol w:w="978"/>
      </w:tblGrid>
      <w:tr>
        <w:trPr/>
        <w:tc>
          <w:tcPr>
            <w:tcW w:w="3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51075" cy="175260"/>
                      <wp:effectExtent l="0" t="0" r="0" b="0"/>
                      <wp:wrapNone/>
                      <wp:docPr id="49" name="Frame47"/>
                      <a:graphic xmlns:a="http://schemas.openxmlformats.org/drawingml/2006/main">
                        <a:graphicData uri="http://schemas.microsoft.com/office/word/2010/wordprocessingShape">
                          <wps:wsp>
                            <wps:cNvSpPr txBox="1"/>
                            <wps:spPr>
                              <a:xfrm>
                                <a:off x="0" y="0"/>
                                <a:ext cx="2251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50"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1"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95935" cy="175260"/>
                      <wp:effectExtent l="0" t="0" r="0" b="0"/>
                      <wp:wrapNone/>
                      <wp:docPr id="52"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3"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4"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5935" cy="175260"/>
                      <wp:effectExtent l="0" t="0" r="0" b="0"/>
                      <wp:wrapNone/>
                      <wp:docPr id="55" name="Frame5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6"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1605" cy="175260"/>
                      <wp:effectExtent l="0" t="0" r="0" b="0"/>
                      <wp:wrapNone/>
                      <wp:docPr id="57" name="Frame5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25780" cy="175260"/>
                      <wp:effectExtent l="0" t="0" r="0" b="0"/>
                      <wp:wrapNone/>
                      <wp:docPr id="58" name="Frame56"/>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9" name="Frame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60"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1800" cy="175260"/>
                      <wp:effectExtent l="0" t="0" r="0" b="0"/>
                      <wp:wrapNone/>
                      <wp:docPr id="61" name="Frame5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2"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3"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31800" cy="175260"/>
                      <wp:effectExtent l="0" t="0" r="0" b="0"/>
                      <wp:wrapNone/>
                      <wp:docPr id="64" name="Frame62"/>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5"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6"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21030" cy="175260"/>
                      <wp:effectExtent l="0" t="0" r="0" b="0"/>
                      <wp:wrapNone/>
                      <wp:docPr id="67" name="Frame65"/>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5"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left"/>
              <w:rPr/>
            </w:pPr>
            <w:r>
              <w:rPr/>
              <w:t>​</w:t>
            </w:r>
          </w:p>
        </w:tc>
        <w:tc>
          <w:tcPr>
            <w:tcW w:w="109" w:type="dxa"/>
            <w:tcBorders>
              <w:top w:val="single" w:sz="2"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6551" w:type="dxa"/>
            <w:gridSpan w:val="1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Quarter Period and Year to Date 2024</w:t>
            </w:r>
          </w:p>
        </w:tc>
      </w:tr>
      <w:tr>
        <w:trPr/>
        <w:tc>
          <w:tcPr>
            <w:tcW w:w="3545"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992" w:type="dxa"/>
            <w:gridSpan w:val="2"/>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Retail</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Packaging</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Construction</w:t>
            </w:r>
          </w:p>
        </w:tc>
        <w:tc>
          <w:tcPr>
            <w:tcW w:w="109" w:type="dxa"/>
            <w:tcBorders/>
            <w:vAlign w:val="center"/>
          </w:tcPr>
          <w:p>
            <w:pPr>
              <w:pStyle w:val="TableContents"/>
              <w:bidi w:val="0"/>
              <w:spacing w:before="0" w:after="0"/>
              <w:ind w:left="0" w:right="0" w:hanging="0"/>
              <w:jc w:val="center"/>
              <w:rPr/>
            </w:pPr>
            <w:r>
              <w:rPr/>
              <w:t>​</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109" w:type="dxa"/>
            <w:tcBorders/>
            <w:vAlign w:val="center"/>
          </w:tcPr>
          <w:p>
            <w:pPr>
              <w:pStyle w:val="TableContents"/>
              <w:bidi w:val="0"/>
              <w:spacing w:before="0" w:after="0"/>
              <w:ind w:left="0" w:right="0" w:hanging="0"/>
              <w:jc w:val="center"/>
              <w:rPr/>
            </w:pPr>
            <w:r>
              <w:rPr/>
              <w:t>​</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0"/>
              <w:ind w:left="0" w:right="0" w:hanging="0"/>
              <w:jc w:val="center"/>
              <w:rPr/>
            </w:pPr>
            <w:r>
              <w:rPr/>
              <w:t>​</w:t>
            </w:r>
          </w:p>
        </w:tc>
        <w:tc>
          <w:tcPr>
            <w:tcW w:w="1189"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SALES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628,765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424,418</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517,896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1,638,966</w:t>
            </w:r>
          </w:p>
        </w:tc>
      </w:tr>
      <w:tr>
        <w:trPr/>
        <w:tc>
          <w:tcPr>
            <w:tcW w:w="354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GOODS SOLD</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527,641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338,978</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403,561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1,312,888</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85,440</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8"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326,078</w:t>
            </w:r>
          </w:p>
        </w:tc>
      </w:tr>
      <w:tr>
        <w:trPr/>
        <w:tc>
          <w:tcPr>
            <w:tcW w:w="354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 EXPENSES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53,941</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192,059</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(GAIN) LOSS ON DISPOSITION AND IMPAIRMENT OF ASSETS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8"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354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(GAINS) LOSSES, NET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FROM OPERATIONS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31,246</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8"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133,823</w:t>
            </w:r>
          </w:p>
        </w:tc>
      </w:tr>
      <w:tr>
        <w:trPr/>
        <w:tc>
          <w:tcPr>
            <w:tcW w:w="354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AND OTHER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(12,763)</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BEFORE INCOME TAXES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30,658</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8"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146,586</w:t>
            </w:r>
          </w:p>
        </w:tc>
      </w:tr>
      <w:tr>
        <w:trPr/>
        <w:tc>
          <w:tcPr>
            <w:tcW w:w="354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5,330</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25,487</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EARNINGS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38,063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25,328</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8"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121,099</w:t>
            </w:r>
          </w:p>
        </w:tc>
      </w:tr>
      <w:tr>
        <w:trPr/>
        <w:tc>
          <w:tcPr>
            <w:tcW w:w="354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(12,763)</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5,330</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8"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25,487</w:t>
            </w:r>
          </w:p>
        </w:tc>
      </w:tr>
      <w:tr>
        <w:trPr/>
        <w:tc>
          <w:tcPr>
            <w:tcW w:w="354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ASSOCIATED WITH SHARE-BASED COMPENSATION ARRANGEMENTS</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11,277</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 LOSS ON DISPOSITION AND IMPAIRMENT OF ASSETS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8"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354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8,469</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30,019</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5,882</w:t>
            </w:r>
          </w:p>
        </w:tc>
      </w:tr>
      <w:tr>
        <w:trPr/>
        <w:tc>
          <w:tcPr>
            <w:tcW w:w="3545"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55,359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44,349</w:t>
            </w:r>
          </w:p>
        </w:tc>
        <w:tc>
          <w:tcPr>
            <w:tcW w:w="109"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53,892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6,486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20,684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8" w:type="dxa"/>
            <w:tcBorders>
              <w:bottom w:val="double" w:sz="6"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180,770</w:t>
            </w:r>
          </w:p>
        </w:tc>
      </w:tr>
      <w:tr>
        <w:trPr/>
        <w:tc>
          <w:tcPr>
            <w:tcW w:w="3545"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8"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3545"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AS A PERCENTAGE OF NET SALES</w:t>
            </w:r>
          </w:p>
        </w:tc>
        <w:tc>
          <w:tcPr>
            <w:tcW w:w="109"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Not meaningful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2025/2024</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884"/>
        <w:gridCol w:w="326"/>
        <w:gridCol w:w="196"/>
        <w:gridCol w:w="826"/>
        <w:gridCol w:w="326"/>
        <w:gridCol w:w="196"/>
        <w:gridCol w:w="826"/>
        <w:gridCol w:w="326"/>
        <w:gridCol w:w="2448"/>
        <w:gridCol w:w="326"/>
        <w:gridCol w:w="196"/>
        <w:gridCol w:w="826"/>
        <w:gridCol w:w="326"/>
        <w:gridCol w:w="196"/>
        <w:gridCol w:w="826"/>
        <w:gridCol w:w="155"/>
      </w:tblGrid>
      <w:tr>
        <w:trPr/>
        <w:tc>
          <w:tcPr>
            <w:tcW w:w="1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196340" cy="175260"/>
                      <wp:effectExtent l="0" t="0" r="0" b="0"/>
                      <wp:wrapNone/>
                      <wp:docPr id="68" name="Frame66"/>
                      <a:graphic xmlns:a="http://schemas.openxmlformats.org/drawingml/2006/main">
                        <a:graphicData uri="http://schemas.microsoft.com/office/word/2010/wordprocessingShape">
                          <wps:wsp>
                            <wps:cNvSpPr txBox="1"/>
                            <wps:spPr>
                              <a:xfrm>
                                <a:off x="0" y="0"/>
                                <a:ext cx="1196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9"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70"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4510" cy="175260"/>
                      <wp:effectExtent l="0" t="0" r="0" b="0"/>
                      <wp:wrapNone/>
                      <wp:docPr id="71" name="Frame6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2"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4460" cy="175260"/>
                      <wp:effectExtent l="0" t="0" r="0" b="0"/>
                      <wp:wrapNone/>
                      <wp:docPr id="73"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24510" cy="175260"/>
                      <wp:effectExtent l="0" t="0" r="0" b="0"/>
                      <wp:wrapNone/>
                      <wp:docPr id="74" name="Frame7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5"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54480" cy="175260"/>
                      <wp:effectExtent l="0" t="0" r="0" b="0"/>
                      <wp:wrapNone/>
                      <wp:docPr id="76" name="Frame74"/>
                      <a:graphic xmlns:a="http://schemas.openxmlformats.org/drawingml/2006/main">
                        <a:graphicData uri="http://schemas.microsoft.com/office/word/2010/wordprocessingShape">
                          <wps:wsp>
                            <wps:cNvSpPr txBox="1"/>
                            <wps:spPr>
                              <a:xfrm>
                                <a:off x="0" y="0"/>
                                <a:ext cx="155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7"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4460" cy="175260"/>
                      <wp:effectExtent l="0" t="0" r="0" b="0"/>
                      <wp:wrapNone/>
                      <wp:docPr id="78" name="Frame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24510" cy="175260"/>
                      <wp:effectExtent l="0" t="0" r="0" b="0"/>
                      <wp:wrapNone/>
                      <wp:docPr id="79" name="Frame7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80"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81"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24510" cy="175260"/>
                      <wp:effectExtent l="0" t="0" r="0" b="0"/>
                      <wp:wrapNone/>
                      <wp:docPr id="82" name="Frame8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98425" cy="175260"/>
                      <wp:effectExtent l="0" t="0" r="0" b="0"/>
                      <wp:wrapNone/>
                      <wp:docPr id="83" name="Frame8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18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EQUITY</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903,562</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979,746</w:t>
            </w:r>
          </w:p>
        </w:tc>
        <w:tc>
          <w:tcPr>
            <w:tcW w:w="32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277,690</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254,902</w:t>
            </w:r>
          </w:p>
        </w:tc>
        <w:tc>
          <w:tcPr>
            <w:tcW w:w="15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1,061</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214,751</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226,065</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30,725</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36,978</w:t>
            </w:r>
          </w:p>
        </w:tc>
        <w:tc>
          <w:tcPr>
            <w:tcW w:w="32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debt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4,085</w:t>
            </w:r>
          </w:p>
        </w:tc>
        <w:tc>
          <w:tcPr>
            <w:tcW w:w="32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44,051</w:t>
            </w:r>
          </w:p>
        </w:tc>
        <w:tc>
          <w:tcPr>
            <w:tcW w:w="15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712,990</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713,414</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754,913</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745,295</w:t>
            </w:r>
          </w:p>
        </w:tc>
        <w:tc>
          <w:tcPr>
            <w:tcW w:w="32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61,140</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38,221</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2,464,391</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2,514,415</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496,526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525,018</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ASSETS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266,949</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258,537</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LONG-TERM DEBT AND FINANCE LEASE OBLIGATIONS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229,936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233,046</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INTANGIBLE ASSETS, NET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495,921</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511,127</w:t>
            </w:r>
          </w:p>
        </w:tc>
        <w:tc>
          <w:tcPr>
            <w:tcW w:w="32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LIABILITIES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159,488</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185,097</w:t>
            </w:r>
          </w:p>
        </w:tc>
        <w:tc>
          <w:tcPr>
            <w:tcW w:w="15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TEMPORARY EQUITY</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5,280</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19,383</w:t>
            </w:r>
          </w:p>
        </w:tc>
        <w:tc>
          <w:tcPr>
            <w:tcW w:w="15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PROPERTY, PLANT AND EQUIPMENT, NET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923,025</w:t>
            </w:r>
          </w:p>
        </w:tc>
        <w:tc>
          <w:tcPr>
            <w:tcW w:w="32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794,560</w:t>
            </w:r>
          </w:p>
        </w:tc>
        <w:tc>
          <w:tcPr>
            <w:tcW w:w="32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SHAREHOLDERS' EQUITY</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3,259,056</w:t>
            </w:r>
          </w:p>
        </w:tc>
        <w:tc>
          <w:tcPr>
            <w:tcW w:w="32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3,116,095</w:t>
            </w:r>
          </w:p>
        </w:tc>
        <w:tc>
          <w:tcPr>
            <w:tcW w:w="155"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326" w:type="dxa"/>
            <w:tcBorders>
              <w:left w:val="single" w:sz="2" w:space="0" w:color="000000"/>
              <w:right w:val="single" w:sz="2" w:space="0" w:color="000000"/>
            </w:tcBorders>
            <w:shd w:fill="CCEEFF" w:val="clear"/>
            <w:tcMar>
              <w:left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5"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1884"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color w:val="0000FF"/>
              </w:rPr>
            </w:pPr>
            <w:r>
              <w:rPr>
                <w:color w:val="0000FF"/>
              </w:rPr>
              <w:t>​</w:t>
            </w:r>
          </w:p>
        </w:tc>
        <w:tc>
          <w:tcPr>
            <w:tcW w:w="196"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4,150,286</w:t>
            </w:r>
          </w:p>
        </w:tc>
        <w:tc>
          <w:tcPr>
            <w:tcW w:w="326" w:type="dxa"/>
            <w:tcBorders>
              <w:bottom w:val="double" w:sz="6"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color w:val="0000FF"/>
              </w:rPr>
            </w:pPr>
            <w:r>
              <w:rPr>
                <w:color w:val="0000FF"/>
              </w:rPr>
              <w:t>​</w:t>
            </w:r>
          </w:p>
        </w:tc>
        <w:tc>
          <w:tcPr>
            <w:tcW w:w="196"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4,078,639</w:t>
            </w:r>
          </w:p>
        </w:tc>
        <w:tc>
          <w:tcPr>
            <w:tcW w:w="32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2448"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 AND EQUITY</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color w:val="0000FF"/>
              </w:rPr>
            </w:pPr>
            <w:r>
              <w:rPr>
                <w:color w:val="0000FF"/>
              </w:rPr>
              <w:t>​</w:t>
            </w:r>
          </w:p>
        </w:tc>
        <w:tc>
          <w:tcPr>
            <w:tcW w:w="196"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4,150,286</w:t>
            </w:r>
          </w:p>
        </w:tc>
        <w:tc>
          <w:tcPr>
            <w:tcW w:w="326" w:type="dxa"/>
            <w:tcBorders>
              <w:bottom w:val="double" w:sz="6"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color w:val="0000FF"/>
              </w:rPr>
            </w:pPr>
            <w:r>
              <w:rPr>
                <w:color w:val="0000FF"/>
              </w:rPr>
              <w:t>​</w:t>
            </w:r>
          </w:p>
        </w:tc>
        <w:tc>
          <w:tcPr>
            <w:tcW w:w="196"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4,078,639</w:t>
            </w:r>
          </w:p>
        </w:tc>
        <w:tc>
          <w:tcPr>
            <w:tcW w:w="155" w:type="dxa"/>
            <w:tcBorders>
              <w:bottom w:val="double" w:sz="6"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UFP Industries, Inc.</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 10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2025/2024</w:t>
      </w:r>
    </w:p>
    <w:tbl>
      <w:tblPr>
        <w:tblW w:w="9470" w:type="dxa"/>
        <w:jc w:val="left"/>
        <w:tblInd w:w="0" w:type="dxa"/>
        <w:tblLayout w:type="fixed"/>
        <w:tblCellMar>
          <w:top w:w="0" w:type="dxa"/>
          <w:left w:w="0" w:type="dxa"/>
          <w:bottom w:w="0" w:type="dxa"/>
          <w:right w:w="0" w:type="dxa"/>
        </w:tblCellMar>
      </w:tblPr>
      <w:tblGrid>
        <w:gridCol w:w="6511"/>
        <w:gridCol w:w="326"/>
        <w:gridCol w:w="196"/>
        <w:gridCol w:w="826"/>
        <w:gridCol w:w="109"/>
        <w:gridCol w:w="326"/>
        <w:gridCol w:w="196"/>
        <w:gridCol w:w="826"/>
        <w:gridCol w:w="154"/>
      </w:tblGrid>
      <w:tr>
        <w:trPr/>
        <w:tc>
          <w:tcPr>
            <w:tcW w:w="6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134485" cy="175260"/>
                      <wp:effectExtent l="0" t="0" r="0" b="0"/>
                      <wp:wrapNone/>
                      <wp:docPr id="84" name="Frame82"/>
                      <a:graphic xmlns:a="http://schemas.openxmlformats.org/drawingml/2006/main">
                        <a:graphicData uri="http://schemas.microsoft.com/office/word/2010/wordprocessingShape">
                          <wps:wsp>
                            <wps:cNvSpPr txBox="1"/>
                            <wps:spPr>
                              <a:xfrm>
                                <a:off x="0" y="0"/>
                                <a:ext cx="413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5"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6" name="Frame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24510" cy="175260"/>
                      <wp:effectExtent l="0" t="0" r="0" b="0"/>
                      <wp:wrapNone/>
                      <wp:docPr id="87" name="Frame8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8"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9"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90"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24510" cy="175260"/>
                      <wp:effectExtent l="0" t="0" r="0" b="0"/>
                      <wp:wrapNone/>
                      <wp:docPr id="91" name="Frame8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97790" cy="175260"/>
                      <wp:effectExtent l="0" t="0" r="0" b="0"/>
                      <wp:wrapNone/>
                      <wp:docPr id="92" name="Frame9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USED IN OPERATING ACTIVITIES: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79,423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121,099</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earnings to net cash from operating activities: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32,941</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30,019</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intangibles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5,882</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Expense associated with share-based and grant compensation arrangements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11,561</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11,277</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 (gain) on investment and other</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(2,130)</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in loss of investee</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594</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on sale, disposition and impairment of assets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from reduction of estimated earnout liability</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(211,709)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(164,613)</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(33,830)</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(17,788)</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52,902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52,264</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(46,166)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(53,290)</w:t>
            </w:r>
          </w:p>
        </w:tc>
        <w:tc>
          <w:tcPr>
            <w:tcW w:w="154"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OPERATING ACTIVITIES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(108,807)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(16,798)</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USED IN INVESTING ACTIVITIES: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plant, and equipment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(67,268)</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(49,148)</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property, plant and equipment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1,344</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net of cash received and purchase of equity method investment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(3,735)</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investments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(7,191)</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(9,352)</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investments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2,304</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4,300</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(3,206)</w:t>
            </w:r>
          </w:p>
        </w:tc>
        <w:tc>
          <w:tcPr>
            <w:tcW w:w="154"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(75,550)</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(56,062)</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USED IN FINANCING ACTIVITIES: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Borrowings under revolving credit facilities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4,798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5,100</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under revolving credit facilities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(4,752)</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(4,278)</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debt on behalf of investee</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(6,303)</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Contingent consideration payments and other</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(3,779)</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 to shareholders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(21,322)</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(20,411)</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to noncontrolling interest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(3,331)</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to taxing authorities in connection with shares directly withheld from employees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(9,547)</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(17,838)</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(60,553)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(18,798)</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154"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FINANCING ACTIVITIES</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(90,926)</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(68,968)</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shd w:fill="CCEEFF" w:val="clear"/>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154" w:type="dxa"/>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CHANGE IN CASH AND CASH EQUIVALENTS</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(274,971)</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(141,749)</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ALL CASH AND CASH EQUIVALENTS, BEGINNING OF PERIOD</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1,179,594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1,122,256</w:t>
            </w:r>
          </w:p>
        </w:tc>
        <w:tc>
          <w:tcPr>
            <w:tcW w:w="154"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ALL CASH AND CASH EQUIVALENTS, END OF PERIOD</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904,623</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double" w:sz="6"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double" w:sz="6"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980,507</w:t>
            </w:r>
          </w:p>
        </w:tc>
        <w:tc>
          <w:tcPr>
            <w:tcW w:w="154" w:type="dxa"/>
            <w:tcBorders>
              <w:bottom w:val="double" w:sz="6"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Reconciliation of cash and cash equivalents and restricted cash:</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1,171,828</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1,118,329</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 beginning of period</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7,766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3,927</w:t>
            </w:r>
          </w:p>
        </w:tc>
        <w:tc>
          <w:tcPr>
            <w:tcW w:w="154"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All cash and cash equivalents, beginning of period</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1,179,594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1,122,256</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54"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903,562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979,746</w:t>
            </w:r>
          </w:p>
        </w:tc>
        <w:tc>
          <w:tcPr>
            <w:tcW w:w="154"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 end of period</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1,061</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w:t>
            </w:r>
          </w:p>
        </w:tc>
        <w:tc>
          <w:tcPr>
            <w:tcW w:w="154"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All cash and cash equivalents, end of period</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904,623</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bottom w:val="double" w:sz="6"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980,507</w:t>
            </w:r>
          </w:p>
        </w:tc>
        <w:tc>
          <w:tcPr>
            <w:tcW w:w="154" w:type="dxa"/>
            <w:tcBorders>
              <w:bottom w:val="double" w:sz="6"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left"/>
              <w:rPr/>
            </w:pPr>
            <w:r>
              <w:rPr/>
              <w:t>​</w:t>
            </w:r>
          </w:p>
        </w:tc>
      </w:tr>
      <w:tr>
        <w:trPr/>
        <w:tc>
          <w:tcPr>
            <w:tcW w:w="65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9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3742</Words>
  <Characters>20962</Characters>
  <CharactersWithSpaces>25704</CharactersWithSpaces>
  <Paragraphs>2488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